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0306" w14:textId="2CE1B737" w:rsidR="00622CE6" w:rsidRPr="00622CE6" w:rsidRDefault="00622CE6" w:rsidP="001F5564">
      <w:pPr>
        <w:jc w:val="center"/>
        <w:rPr>
          <w:b/>
          <w:sz w:val="28"/>
          <w:szCs w:val="28"/>
        </w:rPr>
      </w:pPr>
      <w:r w:rsidRPr="00622CE6">
        <w:rPr>
          <w:b/>
          <w:sz w:val="28"/>
          <w:szCs w:val="28"/>
        </w:rPr>
        <w:t xml:space="preserve">Metodika statistiky </w:t>
      </w:r>
      <w:r w:rsidR="00A20E66">
        <w:rPr>
          <w:b/>
          <w:sz w:val="28"/>
          <w:szCs w:val="28"/>
        </w:rPr>
        <w:t>spotřeby hnojiv</w:t>
      </w:r>
      <w:r>
        <w:rPr>
          <w:b/>
          <w:sz w:val="28"/>
          <w:szCs w:val="28"/>
        </w:rPr>
        <w:t xml:space="preserve"> - příloha</w:t>
      </w:r>
    </w:p>
    <w:p w14:paraId="3DA1D009" w14:textId="180DC30A" w:rsidR="00622CE6" w:rsidRPr="00622CE6" w:rsidRDefault="003D4182" w:rsidP="00622CE6">
      <w:pPr>
        <w:spacing w:after="0"/>
      </w:pPr>
      <w:r>
        <w:t>Číselníky</w:t>
      </w:r>
      <w:r w:rsidR="00622CE6" w:rsidRPr="00622CE6">
        <w:t xml:space="preserve">: </w:t>
      </w:r>
    </w:p>
    <w:p w14:paraId="03B6CA9B" w14:textId="77777777" w:rsidR="00622CE6" w:rsidRPr="00622CE6" w:rsidRDefault="00622CE6" w:rsidP="00622CE6">
      <w:pPr>
        <w:spacing w:after="0"/>
      </w:pPr>
      <w:r w:rsidRPr="00622CE6">
        <w:t>-</w:t>
      </w:r>
      <w:r w:rsidRPr="00622CE6">
        <w:tab/>
        <w:t>Druh hnojiva (kód číselníku: 237)</w:t>
      </w:r>
    </w:p>
    <w:p w14:paraId="16874DEA" w14:textId="77777777" w:rsidR="00622CE6" w:rsidRPr="00622CE6" w:rsidRDefault="00622CE6" w:rsidP="00622CE6">
      <w:pPr>
        <w:spacing w:after="0"/>
      </w:pPr>
      <w:r w:rsidRPr="00622CE6">
        <w:t>-</w:t>
      </w:r>
      <w:r w:rsidRPr="00622CE6">
        <w:tab/>
        <w:t>Druh hnojiva – agregace (kód číselníku: 240)</w:t>
      </w:r>
    </w:p>
    <w:p w14:paraId="5FC4C6EC" w14:textId="77777777" w:rsidR="00622CE6" w:rsidRPr="00622CE6" w:rsidRDefault="00622CE6" w:rsidP="00622CE6">
      <w:pPr>
        <w:spacing w:after="0"/>
      </w:pPr>
      <w:r w:rsidRPr="00622CE6">
        <w:t>-</w:t>
      </w:r>
      <w:r w:rsidRPr="00622CE6">
        <w:tab/>
        <w:t>Druh živiny (kód číselníku: 241)</w:t>
      </w:r>
    </w:p>
    <w:p w14:paraId="1B103F6D" w14:textId="77777777" w:rsidR="00622CE6" w:rsidRDefault="00622CE6">
      <w:pPr>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48"/>
        <w:gridCol w:w="2268"/>
        <w:gridCol w:w="5245"/>
      </w:tblGrid>
      <w:tr w:rsidR="00622CE6" w:rsidRPr="00622CE6" w14:paraId="35A0DCD1" w14:textId="77777777" w:rsidTr="001F5564">
        <w:trPr>
          <w:tblHeader/>
        </w:trPr>
        <w:tc>
          <w:tcPr>
            <w:tcW w:w="848" w:type="dxa"/>
            <w:noWrap/>
            <w:vAlign w:val="center"/>
          </w:tcPr>
          <w:p w14:paraId="595DFD75" w14:textId="77777777" w:rsidR="00622CE6" w:rsidRPr="00622CE6" w:rsidRDefault="001F5564" w:rsidP="001F5564">
            <w:pPr>
              <w:spacing w:after="0"/>
              <w:jc w:val="center"/>
              <w:rPr>
                <w:rFonts w:eastAsia="Times New Roman" w:cstheme="minorHAnsi"/>
                <w:color w:val="000000"/>
                <w:sz w:val="18"/>
                <w:szCs w:val="18"/>
                <w:lang w:eastAsia="cs-CZ"/>
              </w:rPr>
            </w:pPr>
            <w:r>
              <w:rPr>
                <w:rFonts w:eastAsia="Times New Roman" w:cstheme="minorHAnsi"/>
                <w:color w:val="000000"/>
                <w:sz w:val="18"/>
                <w:szCs w:val="18"/>
                <w:lang w:eastAsia="cs-CZ"/>
              </w:rPr>
              <w:t>Č</w:t>
            </w:r>
            <w:r w:rsidR="00622CE6" w:rsidRPr="00622CE6">
              <w:rPr>
                <w:rFonts w:eastAsia="Times New Roman" w:cstheme="minorHAnsi"/>
                <w:color w:val="000000"/>
                <w:sz w:val="18"/>
                <w:szCs w:val="18"/>
                <w:lang w:eastAsia="cs-CZ"/>
              </w:rPr>
              <w:t>íselník</w:t>
            </w:r>
          </w:p>
        </w:tc>
        <w:tc>
          <w:tcPr>
            <w:tcW w:w="848" w:type="dxa"/>
            <w:noWrap/>
            <w:vAlign w:val="center"/>
          </w:tcPr>
          <w:p w14:paraId="05D14893" w14:textId="77777777" w:rsidR="00622CE6" w:rsidRPr="00622CE6" w:rsidRDefault="00622CE6" w:rsidP="001F5564">
            <w:pPr>
              <w:spacing w:after="0"/>
              <w:jc w:val="center"/>
              <w:rPr>
                <w:rFonts w:eastAsia="Times New Roman" w:cstheme="minorHAnsi"/>
                <w:color w:val="000000"/>
                <w:sz w:val="18"/>
                <w:szCs w:val="18"/>
                <w:lang w:eastAsia="cs-CZ"/>
              </w:rPr>
            </w:pPr>
            <w:r w:rsidRPr="00622CE6">
              <w:rPr>
                <w:rFonts w:eastAsia="Times New Roman" w:cstheme="minorHAnsi"/>
                <w:color w:val="000000"/>
                <w:sz w:val="18"/>
                <w:szCs w:val="18"/>
                <w:lang w:eastAsia="cs-CZ"/>
              </w:rPr>
              <w:t>Kód položky</w:t>
            </w:r>
          </w:p>
        </w:tc>
        <w:tc>
          <w:tcPr>
            <w:tcW w:w="2268" w:type="dxa"/>
            <w:vAlign w:val="center"/>
          </w:tcPr>
          <w:p w14:paraId="48D9E56D" w14:textId="77777777" w:rsidR="00622CE6" w:rsidRPr="00622CE6" w:rsidRDefault="00622CE6" w:rsidP="001F5564">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Název</w:t>
            </w:r>
          </w:p>
        </w:tc>
        <w:tc>
          <w:tcPr>
            <w:tcW w:w="5245" w:type="dxa"/>
            <w:vAlign w:val="center"/>
          </w:tcPr>
          <w:p w14:paraId="6A435F03" w14:textId="77777777" w:rsidR="00622CE6" w:rsidRPr="00622CE6" w:rsidRDefault="00622CE6" w:rsidP="001F5564">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Definice</w:t>
            </w:r>
          </w:p>
        </w:tc>
      </w:tr>
      <w:tr w:rsidR="00622CE6" w:rsidRPr="00622CE6" w14:paraId="70AE9A23" w14:textId="77777777" w:rsidTr="001F5564">
        <w:trPr>
          <w:trHeight w:val="20"/>
        </w:trPr>
        <w:tc>
          <w:tcPr>
            <w:tcW w:w="848" w:type="dxa"/>
            <w:noWrap/>
            <w:hideMark/>
          </w:tcPr>
          <w:p w14:paraId="774418E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0A7BA9F0"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200</w:t>
            </w:r>
          </w:p>
        </w:tc>
        <w:tc>
          <w:tcPr>
            <w:tcW w:w="2268" w:type="dxa"/>
            <w:hideMark/>
          </w:tcPr>
          <w:p w14:paraId="45331E3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Minerální hnojivo</w:t>
            </w:r>
          </w:p>
        </w:tc>
        <w:tc>
          <w:tcPr>
            <w:tcW w:w="5245" w:type="dxa"/>
            <w:hideMark/>
          </w:tcPr>
          <w:p w14:paraId="551A6557"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Hnojivo obsahující deklarované živiny ve formě minerálních látek získaných extrakcí nebo průmyslovým fyzikálním nebo chemickým postupem.</w:t>
            </w:r>
          </w:p>
        </w:tc>
      </w:tr>
      <w:tr w:rsidR="00622CE6" w:rsidRPr="00622CE6" w14:paraId="176D3210" w14:textId="77777777" w:rsidTr="001F5564">
        <w:trPr>
          <w:trHeight w:val="20"/>
        </w:trPr>
        <w:tc>
          <w:tcPr>
            <w:tcW w:w="848" w:type="dxa"/>
            <w:noWrap/>
            <w:hideMark/>
          </w:tcPr>
          <w:p w14:paraId="755C2141"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241</w:t>
            </w:r>
          </w:p>
        </w:tc>
        <w:tc>
          <w:tcPr>
            <w:tcW w:w="848" w:type="dxa"/>
            <w:noWrap/>
            <w:hideMark/>
          </w:tcPr>
          <w:p w14:paraId="6A74B438"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1</w:t>
            </w:r>
          </w:p>
        </w:tc>
        <w:tc>
          <w:tcPr>
            <w:tcW w:w="2268" w:type="dxa"/>
            <w:hideMark/>
          </w:tcPr>
          <w:p w14:paraId="1A32C10E"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Dusík (N)</w:t>
            </w:r>
          </w:p>
        </w:tc>
        <w:tc>
          <w:tcPr>
            <w:tcW w:w="5245" w:type="dxa"/>
            <w:hideMark/>
          </w:tcPr>
          <w:p w14:paraId="28250177"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Základní živina obsažená v minerálních hnojivech. </w:t>
            </w:r>
          </w:p>
          <w:p w14:paraId="2EB601BB"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Množství dusíku je vyjádřeno v elementární formě (N).</w:t>
            </w:r>
          </w:p>
        </w:tc>
      </w:tr>
      <w:tr w:rsidR="00622CE6" w:rsidRPr="00622CE6" w14:paraId="2A31FBD9" w14:textId="77777777" w:rsidTr="001F5564">
        <w:trPr>
          <w:trHeight w:val="20"/>
        </w:trPr>
        <w:tc>
          <w:tcPr>
            <w:tcW w:w="848" w:type="dxa"/>
            <w:noWrap/>
            <w:hideMark/>
          </w:tcPr>
          <w:p w14:paraId="53263C18"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241</w:t>
            </w:r>
          </w:p>
        </w:tc>
        <w:tc>
          <w:tcPr>
            <w:tcW w:w="848" w:type="dxa"/>
            <w:noWrap/>
            <w:hideMark/>
          </w:tcPr>
          <w:p w14:paraId="7CDC4BF7"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w:t>
            </w:r>
          </w:p>
        </w:tc>
        <w:tc>
          <w:tcPr>
            <w:tcW w:w="2268" w:type="dxa"/>
            <w:hideMark/>
          </w:tcPr>
          <w:p w14:paraId="2A5B4E79"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Oxid fosforečný (P</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O</w:t>
            </w:r>
            <w:r w:rsidRPr="00622CE6">
              <w:rPr>
                <w:rFonts w:eastAsia="Times New Roman" w:cstheme="minorHAnsi"/>
                <w:color w:val="000000"/>
                <w:sz w:val="18"/>
                <w:szCs w:val="18"/>
                <w:vertAlign w:val="subscript"/>
                <w:lang w:eastAsia="cs-CZ"/>
              </w:rPr>
              <w:t>5</w:t>
            </w:r>
            <w:r w:rsidRPr="00622CE6">
              <w:rPr>
                <w:rFonts w:eastAsia="Times New Roman" w:cstheme="minorHAnsi"/>
                <w:color w:val="000000"/>
                <w:sz w:val="18"/>
                <w:szCs w:val="18"/>
                <w:lang w:eastAsia="cs-CZ"/>
              </w:rPr>
              <w:t>)</w:t>
            </w:r>
          </w:p>
        </w:tc>
        <w:tc>
          <w:tcPr>
            <w:tcW w:w="5245" w:type="dxa"/>
            <w:hideMark/>
          </w:tcPr>
          <w:p w14:paraId="0BDE48A9"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Základní živina obsažená v minerálních hnojivech. </w:t>
            </w:r>
          </w:p>
          <w:p w14:paraId="6996208F"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Množství fosforu je vyjádřeno v oxidové formě jako oxid fosforečný (P</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O</w:t>
            </w:r>
            <w:r w:rsidRPr="00622CE6">
              <w:rPr>
                <w:rFonts w:eastAsia="Times New Roman" w:cstheme="minorHAnsi"/>
                <w:color w:val="000000"/>
                <w:sz w:val="18"/>
                <w:szCs w:val="18"/>
                <w:vertAlign w:val="subscript"/>
                <w:lang w:eastAsia="cs-CZ"/>
              </w:rPr>
              <w:t>5</w:t>
            </w:r>
            <w:r w:rsidRPr="00622CE6">
              <w:rPr>
                <w:rFonts w:eastAsia="Times New Roman" w:cstheme="minorHAnsi"/>
                <w:color w:val="000000"/>
                <w:sz w:val="18"/>
                <w:szCs w:val="18"/>
                <w:lang w:eastAsia="cs-CZ"/>
              </w:rPr>
              <w:t>).</w:t>
            </w:r>
          </w:p>
          <w:p w14:paraId="3F6BEB6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Přepočet na elementární formu: fosfor (P) = oxid fosforečný (P</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O</w:t>
            </w:r>
            <w:r w:rsidRPr="00622CE6">
              <w:rPr>
                <w:rFonts w:eastAsia="Times New Roman" w:cstheme="minorHAnsi"/>
                <w:color w:val="000000"/>
                <w:sz w:val="18"/>
                <w:szCs w:val="18"/>
                <w:vertAlign w:val="subscript"/>
                <w:lang w:eastAsia="cs-CZ"/>
              </w:rPr>
              <w:t>5</w:t>
            </w:r>
            <w:r w:rsidRPr="00622CE6">
              <w:rPr>
                <w:rFonts w:eastAsia="Times New Roman" w:cstheme="minorHAnsi"/>
                <w:color w:val="000000"/>
                <w:sz w:val="18"/>
                <w:szCs w:val="18"/>
                <w:lang w:eastAsia="cs-CZ"/>
              </w:rPr>
              <w:t>) x 0,436.</w:t>
            </w:r>
          </w:p>
        </w:tc>
      </w:tr>
      <w:tr w:rsidR="00622CE6" w:rsidRPr="00622CE6" w14:paraId="37900D32" w14:textId="77777777" w:rsidTr="001F5564">
        <w:trPr>
          <w:trHeight w:val="20"/>
        </w:trPr>
        <w:tc>
          <w:tcPr>
            <w:tcW w:w="848" w:type="dxa"/>
            <w:noWrap/>
            <w:hideMark/>
          </w:tcPr>
          <w:p w14:paraId="5A97873A"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241</w:t>
            </w:r>
          </w:p>
        </w:tc>
        <w:tc>
          <w:tcPr>
            <w:tcW w:w="848" w:type="dxa"/>
            <w:noWrap/>
            <w:hideMark/>
          </w:tcPr>
          <w:p w14:paraId="022B9C48"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w:t>
            </w:r>
          </w:p>
        </w:tc>
        <w:tc>
          <w:tcPr>
            <w:tcW w:w="2268" w:type="dxa"/>
            <w:hideMark/>
          </w:tcPr>
          <w:p w14:paraId="5E173252"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Oxid draselný (K</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O)</w:t>
            </w:r>
          </w:p>
        </w:tc>
        <w:tc>
          <w:tcPr>
            <w:tcW w:w="5245" w:type="dxa"/>
            <w:hideMark/>
          </w:tcPr>
          <w:p w14:paraId="3AF26E86"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Základní živina obsažená v minerálních hnojivech.</w:t>
            </w:r>
          </w:p>
          <w:p w14:paraId="0186E96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Množství draslíku je vyjádřeno v oxidové formě jako oxid draselný (K</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 xml:space="preserve">O). </w:t>
            </w:r>
          </w:p>
          <w:p w14:paraId="2FB46B9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Přepočet na elementární formu: draslík (K) = oxid draselný (K</w:t>
            </w:r>
            <w:r w:rsidRPr="00622CE6">
              <w:rPr>
                <w:rFonts w:eastAsia="Times New Roman" w:cstheme="minorHAnsi"/>
                <w:color w:val="000000"/>
                <w:sz w:val="18"/>
                <w:szCs w:val="18"/>
                <w:vertAlign w:val="subscript"/>
                <w:lang w:eastAsia="cs-CZ"/>
              </w:rPr>
              <w:t>2</w:t>
            </w:r>
            <w:r w:rsidRPr="00622CE6">
              <w:rPr>
                <w:rFonts w:eastAsia="Times New Roman" w:cstheme="minorHAnsi"/>
                <w:color w:val="000000"/>
                <w:sz w:val="18"/>
                <w:szCs w:val="18"/>
                <w:lang w:eastAsia="cs-CZ"/>
              </w:rPr>
              <w:t>O) x 0,830.</w:t>
            </w:r>
          </w:p>
        </w:tc>
      </w:tr>
      <w:tr w:rsidR="00622CE6" w:rsidRPr="00622CE6" w14:paraId="5E2B567E" w14:textId="77777777" w:rsidTr="001F5564">
        <w:trPr>
          <w:trHeight w:val="20"/>
        </w:trPr>
        <w:tc>
          <w:tcPr>
            <w:tcW w:w="848" w:type="dxa"/>
            <w:noWrap/>
            <w:hideMark/>
          </w:tcPr>
          <w:p w14:paraId="2C5702E1"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21164D74"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100</w:t>
            </w:r>
          </w:p>
        </w:tc>
        <w:tc>
          <w:tcPr>
            <w:tcW w:w="2268" w:type="dxa"/>
            <w:hideMark/>
          </w:tcPr>
          <w:p w14:paraId="6FA61B34"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Vápenaté hnojivo</w:t>
            </w:r>
          </w:p>
        </w:tc>
        <w:tc>
          <w:tcPr>
            <w:tcW w:w="5245" w:type="dxa"/>
            <w:hideMark/>
          </w:tcPr>
          <w:p w14:paraId="526E7F58"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Minerální hnojivo s obsahem vápníku vyráběné z přírodních vápenců nebo dolomitů, určené především k úpravě půdní kyselosti.</w:t>
            </w:r>
          </w:p>
          <w:p w14:paraId="74182AB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Zahrnuje vápence, dolomity a vzdušná vápna.</w:t>
            </w:r>
          </w:p>
        </w:tc>
      </w:tr>
      <w:tr w:rsidR="00622CE6" w:rsidRPr="00622CE6" w14:paraId="4804F8BA" w14:textId="77777777" w:rsidTr="001F5564">
        <w:trPr>
          <w:trHeight w:val="20"/>
        </w:trPr>
        <w:tc>
          <w:tcPr>
            <w:tcW w:w="848" w:type="dxa"/>
            <w:noWrap/>
            <w:hideMark/>
          </w:tcPr>
          <w:p w14:paraId="3FA1F99D"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240</w:t>
            </w:r>
          </w:p>
        </w:tc>
        <w:tc>
          <w:tcPr>
            <w:tcW w:w="848" w:type="dxa"/>
            <w:noWrap/>
            <w:hideMark/>
          </w:tcPr>
          <w:p w14:paraId="43F1CDB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300</w:t>
            </w:r>
          </w:p>
        </w:tc>
        <w:tc>
          <w:tcPr>
            <w:tcW w:w="2268" w:type="dxa"/>
            <w:hideMark/>
          </w:tcPr>
          <w:p w14:paraId="2E6D722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Statková hnojiva</w:t>
            </w:r>
          </w:p>
        </w:tc>
        <w:tc>
          <w:tcPr>
            <w:tcW w:w="5245" w:type="dxa"/>
            <w:hideMark/>
          </w:tcPr>
          <w:p w14:paraId="37C0C3AB"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Hnojiva vznikající jako vedlejší produkt chovu hospodářských zvířat bez další úpravy. Za úpravu se nepovažují přirozené procesy přeměn při skladování, mechanická separace kejdy, přidávání látek snižujících ztráty nebo zlepšujících účinnost živin.</w:t>
            </w:r>
          </w:p>
          <w:p w14:paraId="791F42DF"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Zahrnuje hnůj, kejdu, močůvku a ostatní statková hnojiva. </w:t>
            </w:r>
          </w:p>
          <w:p w14:paraId="3F55575A"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Nezahrnuje vedlejší nebo hlavní produkty při pěstování zemědělských plodin, tedy skliditelné posklizňové zbytky, slámu, chrást nebo plodiny na zelené hnojení.</w:t>
            </w:r>
          </w:p>
        </w:tc>
      </w:tr>
      <w:tr w:rsidR="00622CE6" w:rsidRPr="00622CE6" w14:paraId="4939BC27" w14:textId="77777777" w:rsidTr="001F5564">
        <w:trPr>
          <w:trHeight w:val="20"/>
        </w:trPr>
        <w:tc>
          <w:tcPr>
            <w:tcW w:w="848" w:type="dxa"/>
            <w:noWrap/>
            <w:hideMark/>
          </w:tcPr>
          <w:p w14:paraId="01C6DA08"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44A70BF2"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301</w:t>
            </w:r>
          </w:p>
        </w:tc>
        <w:tc>
          <w:tcPr>
            <w:tcW w:w="2268" w:type="dxa"/>
            <w:hideMark/>
          </w:tcPr>
          <w:p w14:paraId="57820EBE"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Hnůj</w:t>
            </w:r>
          </w:p>
        </w:tc>
        <w:tc>
          <w:tcPr>
            <w:tcW w:w="5245" w:type="dxa"/>
            <w:hideMark/>
          </w:tcPr>
          <w:p w14:paraId="337C78F9"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Statkové hnojivo, které vzniká jako vedlejší produkt při chovu hospodářských zvířat na podestýlce. Hnůj je směs podestýlky, tuhých výkalů a moči hospodářských zvířat. Vzniká fermentací chlévské mrvy.</w:t>
            </w:r>
          </w:p>
        </w:tc>
      </w:tr>
      <w:tr w:rsidR="00622CE6" w:rsidRPr="00622CE6" w14:paraId="3D6B3709" w14:textId="77777777" w:rsidTr="001F5564">
        <w:trPr>
          <w:trHeight w:val="20"/>
        </w:trPr>
        <w:tc>
          <w:tcPr>
            <w:tcW w:w="848" w:type="dxa"/>
            <w:noWrap/>
            <w:hideMark/>
          </w:tcPr>
          <w:p w14:paraId="46F3F9E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18C64B84"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302</w:t>
            </w:r>
          </w:p>
        </w:tc>
        <w:tc>
          <w:tcPr>
            <w:tcW w:w="2268" w:type="dxa"/>
            <w:hideMark/>
          </w:tcPr>
          <w:p w14:paraId="0A4BB676"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Kejda</w:t>
            </w:r>
          </w:p>
        </w:tc>
        <w:tc>
          <w:tcPr>
            <w:tcW w:w="5245" w:type="dxa"/>
            <w:hideMark/>
          </w:tcPr>
          <w:p w14:paraId="15A3867D"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Statkové hnojivo, které vzniká jako vedlejší produkt při chovu hospodářských zvířat bez podestýlky. Kejda je směs pevných a tekutých výkalů hospodářských zvířat ředěná nebo neředěná vodou.</w:t>
            </w:r>
          </w:p>
        </w:tc>
      </w:tr>
      <w:tr w:rsidR="00622CE6" w:rsidRPr="00622CE6" w14:paraId="5B727D60" w14:textId="77777777" w:rsidTr="001F5564">
        <w:trPr>
          <w:trHeight w:val="20"/>
        </w:trPr>
        <w:tc>
          <w:tcPr>
            <w:tcW w:w="848" w:type="dxa"/>
            <w:noWrap/>
            <w:hideMark/>
          </w:tcPr>
          <w:p w14:paraId="552B3500"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759D2DF1"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303</w:t>
            </w:r>
          </w:p>
        </w:tc>
        <w:tc>
          <w:tcPr>
            <w:tcW w:w="2268" w:type="dxa"/>
            <w:hideMark/>
          </w:tcPr>
          <w:p w14:paraId="29F87ACD"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Močůvka</w:t>
            </w:r>
          </w:p>
        </w:tc>
        <w:tc>
          <w:tcPr>
            <w:tcW w:w="5245" w:type="dxa"/>
            <w:hideMark/>
          </w:tcPr>
          <w:p w14:paraId="3C8BD4E1"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Statkové hnojivo, které vzniká jako vedlejší produkt při stájovém chovu hospodářských zvířat. Močůvka je moč hospodářských zvířat ředěná nebo neředěná vodou.</w:t>
            </w:r>
          </w:p>
        </w:tc>
      </w:tr>
      <w:tr w:rsidR="00622CE6" w:rsidRPr="00622CE6" w14:paraId="7FB7F061" w14:textId="77777777" w:rsidTr="001F5564">
        <w:trPr>
          <w:trHeight w:val="20"/>
        </w:trPr>
        <w:tc>
          <w:tcPr>
            <w:tcW w:w="848" w:type="dxa"/>
            <w:noWrap/>
            <w:hideMark/>
          </w:tcPr>
          <w:p w14:paraId="5240AA3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15CEA765"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304</w:t>
            </w:r>
          </w:p>
        </w:tc>
        <w:tc>
          <w:tcPr>
            <w:tcW w:w="2268" w:type="dxa"/>
            <w:hideMark/>
          </w:tcPr>
          <w:p w14:paraId="33F89600"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Statkové hnojivo jiné než hnůj, kejda a močůvka</w:t>
            </w:r>
          </w:p>
        </w:tc>
        <w:tc>
          <w:tcPr>
            <w:tcW w:w="5245" w:type="dxa"/>
            <w:hideMark/>
          </w:tcPr>
          <w:p w14:paraId="629F3C57"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Statkové hnojivo jiné než hnůj, kejda nebo močůvka. </w:t>
            </w:r>
          </w:p>
          <w:p w14:paraId="11DAB43E"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Zahrnuje vedlejší produkty vzniklé chovem hospodářských zvířat, např. suchý drůbeží trus z chovů bez podestýlky, hnojůvku (tekutina, která vytéká z hnoje při zrání na hnojišti), výkaly a moč hospodářských zvířat při pastvě nebo pobytu zvířat na zemědělské půdě. </w:t>
            </w:r>
          </w:p>
          <w:p w14:paraId="0E4171D0"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Nezahrnuje vedlejší nebo hlavní produkty při pěstování zemědělských plodin, tedy skliditelné posklizňové zbytky, slámu, chrást nebo plodiny na zelené hnojení.</w:t>
            </w:r>
          </w:p>
        </w:tc>
      </w:tr>
      <w:tr w:rsidR="00622CE6" w:rsidRPr="00622CE6" w14:paraId="366ACDC4" w14:textId="77777777" w:rsidTr="001F5564">
        <w:trPr>
          <w:trHeight w:val="20"/>
        </w:trPr>
        <w:tc>
          <w:tcPr>
            <w:tcW w:w="848" w:type="dxa"/>
            <w:noWrap/>
            <w:hideMark/>
          </w:tcPr>
          <w:p w14:paraId="4E8DC5CE"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237</w:t>
            </w:r>
          </w:p>
        </w:tc>
        <w:tc>
          <w:tcPr>
            <w:tcW w:w="848" w:type="dxa"/>
            <w:noWrap/>
            <w:hideMark/>
          </w:tcPr>
          <w:p w14:paraId="2FEA406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400</w:t>
            </w:r>
          </w:p>
        </w:tc>
        <w:tc>
          <w:tcPr>
            <w:tcW w:w="2268" w:type="dxa"/>
            <w:hideMark/>
          </w:tcPr>
          <w:p w14:paraId="48B4D38E"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Organické hnojivo</w:t>
            </w:r>
          </w:p>
        </w:tc>
        <w:tc>
          <w:tcPr>
            <w:tcW w:w="5245" w:type="dxa"/>
            <w:hideMark/>
          </w:tcPr>
          <w:p w14:paraId="5C24D44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 xml:space="preserve">Hnojivo obsahující deklarované živiny v organické formě. </w:t>
            </w:r>
          </w:p>
          <w:p w14:paraId="0BEFFAD7"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lastRenderedPageBreak/>
              <w:t xml:space="preserve">Zahrnuje například průmyslové komposty, </w:t>
            </w:r>
            <w:proofErr w:type="spellStart"/>
            <w:r w:rsidRPr="00622CE6">
              <w:rPr>
                <w:rFonts w:eastAsia="Times New Roman" w:cstheme="minorHAnsi"/>
                <w:color w:val="000000"/>
                <w:sz w:val="18"/>
                <w:szCs w:val="18"/>
                <w:lang w:eastAsia="cs-CZ"/>
              </w:rPr>
              <w:t>digestát</w:t>
            </w:r>
            <w:proofErr w:type="spellEnd"/>
            <w:r w:rsidRPr="00622CE6">
              <w:rPr>
                <w:rFonts w:eastAsia="Times New Roman" w:cstheme="minorHAnsi"/>
                <w:color w:val="000000"/>
                <w:sz w:val="18"/>
                <w:szCs w:val="18"/>
                <w:lang w:eastAsia="cs-CZ"/>
              </w:rPr>
              <w:t xml:space="preserve"> z bioplynových stanic apod.</w:t>
            </w:r>
          </w:p>
          <w:p w14:paraId="1076BE2F"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Nezahrnuje statková hnojiva.</w:t>
            </w:r>
          </w:p>
        </w:tc>
      </w:tr>
      <w:tr w:rsidR="00622CE6" w:rsidRPr="00622CE6" w14:paraId="54839D09" w14:textId="77777777" w:rsidTr="001F5564">
        <w:trPr>
          <w:trHeight w:val="20"/>
        </w:trPr>
        <w:tc>
          <w:tcPr>
            <w:tcW w:w="848" w:type="dxa"/>
            <w:noWrap/>
            <w:hideMark/>
          </w:tcPr>
          <w:p w14:paraId="3A64B6FD"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lastRenderedPageBreak/>
              <w:t>237</w:t>
            </w:r>
          </w:p>
        </w:tc>
        <w:tc>
          <w:tcPr>
            <w:tcW w:w="848" w:type="dxa"/>
            <w:noWrap/>
            <w:hideMark/>
          </w:tcPr>
          <w:p w14:paraId="44CCD922"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500</w:t>
            </w:r>
          </w:p>
        </w:tc>
        <w:tc>
          <w:tcPr>
            <w:tcW w:w="2268" w:type="dxa"/>
            <w:hideMark/>
          </w:tcPr>
          <w:p w14:paraId="01B2C34C" w14:textId="77777777" w:rsidR="00622CE6" w:rsidRPr="00622CE6" w:rsidRDefault="00622CE6" w:rsidP="00AE7DC9">
            <w:pPr>
              <w:spacing w:after="0"/>
              <w:rPr>
                <w:rFonts w:eastAsia="Times New Roman" w:cstheme="minorHAnsi"/>
                <w:color w:val="000000"/>
                <w:sz w:val="18"/>
                <w:szCs w:val="18"/>
                <w:lang w:eastAsia="cs-CZ"/>
              </w:rPr>
            </w:pPr>
            <w:proofErr w:type="spellStart"/>
            <w:r w:rsidRPr="00622CE6">
              <w:rPr>
                <w:rFonts w:eastAsia="Times New Roman" w:cstheme="minorHAnsi"/>
                <w:color w:val="000000"/>
                <w:sz w:val="18"/>
                <w:szCs w:val="18"/>
                <w:lang w:eastAsia="cs-CZ"/>
              </w:rPr>
              <w:t>Organominerální</w:t>
            </w:r>
            <w:proofErr w:type="spellEnd"/>
            <w:r w:rsidRPr="00622CE6">
              <w:rPr>
                <w:rFonts w:eastAsia="Times New Roman" w:cstheme="minorHAnsi"/>
                <w:color w:val="000000"/>
                <w:sz w:val="18"/>
                <w:szCs w:val="18"/>
                <w:lang w:eastAsia="cs-CZ"/>
              </w:rPr>
              <w:t xml:space="preserve"> hnojivo</w:t>
            </w:r>
          </w:p>
        </w:tc>
        <w:tc>
          <w:tcPr>
            <w:tcW w:w="5245" w:type="dxa"/>
            <w:hideMark/>
          </w:tcPr>
          <w:p w14:paraId="41FAFB33" w14:textId="77777777" w:rsidR="00622CE6" w:rsidRPr="00622CE6" w:rsidRDefault="00622CE6" w:rsidP="00AE7DC9">
            <w:pPr>
              <w:spacing w:after="0"/>
              <w:rPr>
                <w:rFonts w:eastAsia="Times New Roman" w:cstheme="minorHAnsi"/>
                <w:color w:val="000000"/>
                <w:sz w:val="18"/>
                <w:szCs w:val="18"/>
                <w:lang w:eastAsia="cs-CZ"/>
              </w:rPr>
            </w:pPr>
            <w:r w:rsidRPr="00622CE6">
              <w:rPr>
                <w:rFonts w:eastAsia="Times New Roman" w:cstheme="minorHAnsi"/>
                <w:color w:val="000000"/>
                <w:sz w:val="18"/>
                <w:szCs w:val="18"/>
                <w:lang w:eastAsia="cs-CZ"/>
              </w:rPr>
              <w:t>Hnojivo obsahující deklarované živiny v minerální a organické formě. Zahrnuje například melasové výpalky zahuštěné obohacené.</w:t>
            </w:r>
          </w:p>
        </w:tc>
      </w:tr>
    </w:tbl>
    <w:p w14:paraId="32D45DD0" w14:textId="77777777" w:rsidR="00622CE6" w:rsidRPr="00622CE6" w:rsidRDefault="00622CE6" w:rsidP="003D4182">
      <w:pPr>
        <w:rPr>
          <w:rFonts w:cstheme="minorHAnsi"/>
          <w:sz w:val="18"/>
          <w:szCs w:val="18"/>
        </w:rPr>
      </w:pPr>
      <w:bookmarkStart w:id="0" w:name="_GoBack"/>
      <w:bookmarkEnd w:id="0"/>
    </w:p>
    <w:sectPr w:rsidR="00622CE6" w:rsidRPr="0062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2AEB"/>
    <w:multiLevelType w:val="hybridMultilevel"/>
    <w:tmpl w:val="29B20660"/>
    <w:lvl w:ilvl="0" w:tplc="7A429DA4">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5F"/>
    <w:rsid w:val="000E73CF"/>
    <w:rsid w:val="00197BBF"/>
    <w:rsid w:val="001F5564"/>
    <w:rsid w:val="0022305F"/>
    <w:rsid w:val="002C2B71"/>
    <w:rsid w:val="003A6E33"/>
    <w:rsid w:val="003D4182"/>
    <w:rsid w:val="004C471E"/>
    <w:rsid w:val="0059005F"/>
    <w:rsid w:val="00622CE6"/>
    <w:rsid w:val="008E72FF"/>
    <w:rsid w:val="0092262A"/>
    <w:rsid w:val="00A20E66"/>
    <w:rsid w:val="00B0064F"/>
    <w:rsid w:val="00C84E8F"/>
    <w:rsid w:val="00C97700"/>
    <w:rsid w:val="00CB5007"/>
    <w:rsid w:val="00CD5D91"/>
    <w:rsid w:val="00FD6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7240"/>
  <w15:chartTrackingRefBased/>
  <w15:docId w15:val="{93492EA7-1D9D-422E-88FB-03B30085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305F"/>
    <w:pPr>
      <w:ind w:left="720"/>
      <w:contextualSpacing/>
    </w:pPr>
  </w:style>
  <w:style w:type="paragraph" w:styleId="Bezmezer">
    <w:name w:val="No Spacing"/>
    <w:uiPriority w:val="1"/>
    <w:qFormat/>
    <w:rsid w:val="00622CE6"/>
    <w:pPr>
      <w:spacing w:after="0" w:line="240" w:lineRule="auto"/>
    </w:pPr>
  </w:style>
  <w:style w:type="character" w:styleId="Hypertextovodkaz">
    <w:name w:val="Hyperlink"/>
    <w:basedOn w:val="Standardnpsmoodstavce"/>
    <w:uiPriority w:val="99"/>
    <w:unhideWhenUsed/>
    <w:rsid w:val="00622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F309-7ED5-4DEB-995B-4446C869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2667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Lhotská Dagmar</dc:creator>
  <cp:keywords/>
  <dc:description/>
  <cp:lastModifiedBy>Pospíšilová Dagmar</cp:lastModifiedBy>
  <cp:revision>2</cp:revision>
  <dcterms:created xsi:type="dcterms:W3CDTF">2025-01-24T13:31:00Z</dcterms:created>
  <dcterms:modified xsi:type="dcterms:W3CDTF">2025-01-24T13:31:00Z</dcterms:modified>
</cp:coreProperties>
</file>