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9BF0" w14:textId="77777777" w:rsidR="00844BF4" w:rsidRPr="00844BF4" w:rsidRDefault="00844BF4" w:rsidP="00844BF4">
      <w:pPr>
        <w:jc w:val="both"/>
        <w:rPr>
          <w:rFonts w:eastAsia="Arial Unicode MS" w:cs="Arial Unicode MS"/>
          <w:color w:val="009CB5"/>
          <w:sz w:val="18"/>
          <w:szCs w:val="18"/>
          <w:lang w:val="en-GB"/>
        </w:rPr>
      </w:pPr>
      <w:r w:rsidRPr="00844BF4">
        <w:rPr>
          <w:b/>
          <w:bCs/>
          <w:color w:val="009CB5"/>
          <w:sz w:val="18"/>
          <w:szCs w:val="18"/>
          <w:lang w:val="en-GB"/>
        </w:rPr>
        <w:t>Introduction</w:t>
      </w:r>
    </w:p>
    <w:p w14:paraId="65392C9D" w14:textId="77777777" w:rsidR="00453FAF" w:rsidRPr="00453FAF" w:rsidRDefault="00750DE0" w:rsidP="009A4058">
      <w:pPr>
        <w:pStyle w:val="Zkladntext"/>
        <w:spacing w:before="120" w:line="252" w:lineRule="auto"/>
        <w:rPr>
          <w:sz w:val="14"/>
          <w:szCs w:val="16"/>
          <w:lang w:val="en-GB"/>
        </w:rPr>
      </w:pPr>
      <w:r w:rsidRPr="00453FAF">
        <w:rPr>
          <w:sz w:val="14"/>
          <w:szCs w:val="16"/>
          <w:lang w:val="en-GB"/>
        </w:rPr>
        <w:t xml:space="preserve">Information and communication technologies (hereinafter </w:t>
      </w:r>
      <w:r w:rsidRPr="006E45C0">
        <w:rPr>
          <w:b/>
          <w:bCs/>
          <w:sz w:val="14"/>
          <w:szCs w:val="16"/>
          <w:lang w:val="en-GB"/>
        </w:rPr>
        <w:t>ICT</w:t>
      </w:r>
      <w:r w:rsidRPr="00453FAF">
        <w:rPr>
          <w:sz w:val="14"/>
          <w:szCs w:val="16"/>
          <w:lang w:val="en-GB"/>
        </w:rPr>
        <w:t>) are considered one of the key driving forces for increasing competitiveness and building an innovative a</w:t>
      </w:r>
      <w:r w:rsidR="00453FAF" w:rsidRPr="00453FAF">
        <w:rPr>
          <w:sz w:val="14"/>
          <w:szCs w:val="16"/>
          <w:lang w:val="en-GB"/>
        </w:rPr>
        <w:t>n</w:t>
      </w:r>
      <w:r w:rsidRPr="00453FAF">
        <w:rPr>
          <w:sz w:val="14"/>
          <w:szCs w:val="16"/>
          <w:lang w:val="en-GB"/>
        </w:rPr>
        <w:t xml:space="preserve">d knowledge-based society. </w:t>
      </w:r>
    </w:p>
    <w:p w14:paraId="5D716890" w14:textId="77777777" w:rsidR="00750DE0" w:rsidRPr="00453FAF" w:rsidRDefault="004666E6" w:rsidP="00453FAF">
      <w:pPr>
        <w:pStyle w:val="Zkladntext"/>
        <w:spacing w:before="60" w:line="252" w:lineRule="auto"/>
        <w:rPr>
          <w:sz w:val="14"/>
          <w:szCs w:val="16"/>
          <w:lang w:val="en-GB"/>
        </w:rPr>
      </w:pPr>
      <w:r w:rsidRPr="004666E6">
        <w:rPr>
          <w:sz w:val="14"/>
          <w:szCs w:val="16"/>
          <w:lang w:val="en-GB"/>
        </w:rPr>
        <w:t xml:space="preserve">One approach to monitoring developments in ICT and its impact on the economy is to compile a set of </w:t>
      </w:r>
      <w:r w:rsidRPr="004666E6">
        <w:rPr>
          <w:b/>
          <w:bCs/>
          <w:sz w:val="14"/>
          <w:szCs w:val="16"/>
          <w:lang w:val="en-GB"/>
        </w:rPr>
        <w:t>key statistical indicators</w:t>
      </w:r>
      <w:r w:rsidRPr="004666E6">
        <w:rPr>
          <w:sz w:val="14"/>
          <w:szCs w:val="16"/>
          <w:lang w:val="en-GB"/>
        </w:rPr>
        <w:t xml:space="preserve"> in this field. For this reason, the Czech Statistical Office publishes </w:t>
      </w:r>
      <w:r>
        <w:rPr>
          <w:sz w:val="14"/>
          <w:szCs w:val="16"/>
          <w:lang w:val="en-GB"/>
        </w:rPr>
        <w:t>this</w:t>
      </w:r>
      <w:r w:rsidRPr="004666E6">
        <w:rPr>
          <w:sz w:val="14"/>
          <w:szCs w:val="16"/>
          <w:lang w:val="en-GB"/>
        </w:rPr>
        <w:t xml:space="preserve"> annual statistical overview of the digital economy in Czechia and other EU countries.</w:t>
      </w:r>
    </w:p>
    <w:p w14:paraId="62C53ADF" w14:textId="77777777" w:rsidR="00750DE0" w:rsidRPr="00453FAF" w:rsidRDefault="00750DE0" w:rsidP="00453FAF">
      <w:pPr>
        <w:pStyle w:val="Zkladntext"/>
        <w:spacing w:before="60" w:line="252" w:lineRule="auto"/>
        <w:rPr>
          <w:sz w:val="14"/>
          <w:szCs w:val="16"/>
          <w:lang w:val="en-GB"/>
        </w:rPr>
      </w:pPr>
      <w:r w:rsidRPr="00453FAF">
        <w:rPr>
          <w:sz w:val="14"/>
          <w:szCs w:val="16"/>
          <w:lang w:val="en-GB"/>
        </w:rPr>
        <w:t>Th</w:t>
      </w:r>
      <w:r w:rsidR="004666E6">
        <w:rPr>
          <w:sz w:val="14"/>
          <w:szCs w:val="16"/>
          <w:lang w:val="en-GB"/>
        </w:rPr>
        <w:t>is</w:t>
      </w:r>
      <w:r w:rsidRPr="00453FAF">
        <w:rPr>
          <w:sz w:val="14"/>
          <w:szCs w:val="16"/>
          <w:lang w:val="en-GB"/>
        </w:rPr>
        <w:t xml:space="preserve"> brochure provides a comprehensive </w:t>
      </w:r>
      <w:r w:rsidR="004666E6">
        <w:rPr>
          <w:sz w:val="14"/>
          <w:szCs w:val="16"/>
          <w:lang w:val="en-GB"/>
        </w:rPr>
        <w:t xml:space="preserve">set of </w:t>
      </w:r>
      <w:r w:rsidRPr="004666E6">
        <w:rPr>
          <w:b/>
          <w:bCs/>
          <w:sz w:val="14"/>
          <w:szCs w:val="16"/>
          <w:lang w:val="en-GB"/>
        </w:rPr>
        <w:t>internationally comparable</w:t>
      </w:r>
      <w:r w:rsidRPr="00453FAF">
        <w:rPr>
          <w:sz w:val="14"/>
          <w:szCs w:val="16"/>
          <w:lang w:val="en-GB"/>
        </w:rPr>
        <w:t xml:space="preserve"> indicators on ICT investment</w:t>
      </w:r>
      <w:r w:rsidR="006E45C0">
        <w:rPr>
          <w:sz w:val="14"/>
          <w:szCs w:val="16"/>
          <w:lang w:val="en-GB"/>
        </w:rPr>
        <w:t xml:space="preserve"> intensity</w:t>
      </w:r>
      <w:r w:rsidRPr="00453FAF">
        <w:rPr>
          <w:sz w:val="14"/>
          <w:szCs w:val="16"/>
          <w:lang w:val="en-GB"/>
        </w:rPr>
        <w:t xml:space="preserve">, R&amp;D expenditure in this area, as well as </w:t>
      </w:r>
      <w:r w:rsidR="00453FAF">
        <w:rPr>
          <w:sz w:val="14"/>
          <w:szCs w:val="16"/>
          <w:lang w:val="en-GB"/>
        </w:rPr>
        <w:t xml:space="preserve">international </w:t>
      </w:r>
      <w:r w:rsidRPr="00453FAF">
        <w:rPr>
          <w:sz w:val="14"/>
          <w:szCs w:val="16"/>
          <w:lang w:val="en-GB"/>
        </w:rPr>
        <w:t xml:space="preserve">trade and production of ICT equipment and services. These economic indicators are complemented by data on ICT specialists and their wages, as well as information on students </w:t>
      </w:r>
      <w:r w:rsidR="006E45C0">
        <w:rPr>
          <w:sz w:val="14"/>
          <w:szCs w:val="16"/>
          <w:lang w:val="en-GB"/>
        </w:rPr>
        <w:t xml:space="preserve">of </w:t>
      </w:r>
      <w:r w:rsidRPr="00453FAF">
        <w:rPr>
          <w:sz w:val="14"/>
          <w:szCs w:val="16"/>
          <w:lang w:val="en-GB"/>
        </w:rPr>
        <w:t>and graduates f</w:t>
      </w:r>
      <w:r w:rsidR="006E45C0">
        <w:rPr>
          <w:sz w:val="14"/>
          <w:szCs w:val="16"/>
          <w:lang w:val="en-GB"/>
        </w:rPr>
        <w:t xml:space="preserve">rom </w:t>
      </w:r>
      <w:r w:rsidRPr="00453FAF">
        <w:rPr>
          <w:sz w:val="14"/>
          <w:szCs w:val="16"/>
          <w:lang w:val="en-GB"/>
        </w:rPr>
        <w:t>ICT fields of education</w:t>
      </w:r>
      <w:r w:rsidR="006E45C0">
        <w:rPr>
          <w:sz w:val="14"/>
          <w:szCs w:val="16"/>
          <w:lang w:val="en-GB"/>
        </w:rPr>
        <w:t xml:space="preserve"> at tertiary education</w:t>
      </w:r>
      <w:r w:rsidRPr="00453FAF">
        <w:rPr>
          <w:sz w:val="14"/>
          <w:szCs w:val="16"/>
          <w:lang w:val="en-GB"/>
        </w:rPr>
        <w:t>.</w:t>
      </w:r>
    </w:p>
    <w:p w14:paraId="43705FB1" w14:textId="77777777" w:rsidR="00550B67" w:rsidRPr="00A744AC" w:rsidRDefault="00263CE4" w:rsidP="009A4058">
      <w:pPr>
        <w:pStyle w:val="Zkladntext"/>
        <w:spacing w:before="60" w:line="252" w:lineRule="auto"/>
        <w:rPr>
          <w:sz w:val="14"/>
          <w:szCs w:val="16"/>
          <w:lang w:val="en-GB"/>
        </w:rPr>
      </w:pPr>
      <w:r w:rsidRPr="00A744AC">
        <w:rPr>
          <w:sz w:val="14"/>
          <w:lang w:val="en-GB"/>
        </w:rPr>
        <w:t xml:space="preserve">The brochure consists of the following </w:t>
      </w:r>
      <w:r w:rsidRPr="00A744AC">
        <w:rPr>
          <w:b/>
          <w:sz w:val="14"/>
          <w:lang w:val="en-GB"/>
        </w:rPr>
        <w:t>seven chapters:</w:t>
      </w:r>
    </w:p>
    <w:p w14:paraId="4913EB9B" w14:textId="77777777" w:rsidR="00550B67" w:rsidRPr="006B329B" w:rsidRDefault="00663262" w:rsidP="009A4058">
      <w:pPr>
        <w:pStyle w:val="Zkladntext"/>
        <w:numPr>
          <w:ilvl w:val="0"/>
          <w:numId w:val="6"/>
        </w:numPr>
        <w:spacing w:before="40" w:line="252" w:lineRule="auto"/>
        <w:ind w:left="357" w:hanging="357"/>
        <w:rPr>
          <w:spacing w:val="-2"/>
          <w:sz w:val="14"/>
          <w:szCs w:val="16"/>
          <w:lang w:val="en-GB"/>
        </w:rPr>
      </w:pPr>
      <w:r w:rsidRPr="006B329B">
        <w:rPr>
          <w:b/>
          <w:spacing w:val="-2"/>
          <w:sz w:val="14"/>
          <w:szCs w:val="16"/>
          <w:lang w:val="en-GB"/>
        </w:rPr>
        <w:t>ICT</w:t>
      </w:r>
      <w:r w:rsidR="00AD7DFA" w:rsidRPr="006B329B">
        <w:rPr>
          <w:b/>
          <w:spacing w:val="-2"/>
          <w:sz w:val="14"/>
          <w:szCs w:val="16"/>
          <w:lang w:val="en-GB"/>
        </w:rPr>
        <w:t xml:space="preserve"> </w:t>
      </w:r>
      <w:r w:rsidRPr="006B329B">
        <w:rPr>
          <w:b/>
          <w:spacing w:val="-2"/>
          <w:sz w:val="14"/>
          <w:szCs w:val="16"/>
          <w:lang w:val="en-GB"/>
        </w:rPr>
        <w:t xml:space="preserve">specialists: </w:t>
      </w:r>
      <w:r w:rsidRPr="006B329B">
        <w:rPr>
          <w:spacing w:val="-2"/>
          <w:sz w:val="14"/>
          <w:szCs w:val="16"/>
          <w:lang w:val="en-GB"/>
        </w:rPr>
        <w:t>this chapter</w:t>
      </w:r>
      <w:r w:rsidRPr="006B329B">
        <w:rPr>
          <w:b/>
          <w:spacing w:val="-2"/>
          <w:sz w:val="14"/>
          <w:szCs w:val="16"/>
          <w:lang w:val="en-GB"/>
        </w:rPr>
        <w:t xml:space="preserve"> </w:t>
      </w:r>
      <w:r w:rsidRPr="006B329B">
        <w:rPr>
          <w:spacing w:val="-2"/>
          <w:sz w:val="14"/>
          <w:lang w:val="en-GB"/>
        </w:rPr>
        <w:t xml:space="preserve">provides information about </w:t>
      </w:r>
      <w:r w:rsidR="006B329B" w:rsidRPr="006B329B">
        <w:rPr>
          <w:spacing w:val="-2"/>
          <w:sz w:val="14"/>
          <w:lang w:val="en-GB"/>
        </w:rPr>
        <w:t xml:space="preserve">numbers and wages of </w:t>
      </w:r>
      <w:r w:rsidRPr="006B329B">
        <w:rPr>
          <w:spacing w:val="-2"/>
          <w:sz w:val="14"/>
          <w:lang w:val="en-GB"/>
        </w:rPr>
        <w:t>ICT professionals and ICT technicians</w:t>
      </w:r>
      <w:r w:rsidR="006B329B" w:rsidRPr="006B329B">
        <w:rPr>
          <w:spacing w:val="-2"/>
          <w:sz w:val="14"/>
          <w:lang w:val="en-GB"/>
        </w:rPr>
        <w:t xml:space="preserve">. This data is available, not only by gender, age or education of ICT specialists but also by occupation, sphere, or industry these employees are active in. </w:t>
      </w:r>
      <w:r w:rsidR="00C72FDA" w:rsidRPr="006B329B">
        <w:rPr>
          <w:spacing w:val="-2"/>
          <w:sz w:val="14"/>
          <w:szCs w:val="16"/>
          <w:lang w:val="en-GB"/>
        </w:rPr>
        <w:t xml:space="preserve"> </w:t>
      </w:r>
    </w:p>
    <w:p w14:paraId="1C427F23" w14:textId="77777777" w:rsidR="00CA50B1" w:rsidRPr="00A744AC" w:rsidRDefault="00AD7DFA" w:rsidP="009A4058">
      <w:pPr>
        <w:pStyle w:val="Zkladntext"/>
        <w:numPr>
          <w:ilvl w:val="0"/>
          <w:numId w:val="6"/>
        </w:numPr>
        <w:spacing w:before="40" w:line="252" w:lineRule="auto"/>
        <w:ind w:left="357" w:hanging="357"/>
        <w:rPr>
          <w:sz w:val="14"/>
          <w:szCs w:val="16"/>
          <w:lang w:val="en-GB"/>
        </w:rPr>
      </w:pPr>
      <w:r w:rsidRPr="00A744AC">
        <w:rPr>
          <w:b/>
          <w:sz w:val="14"/>
          <w:szCs w:val="16"/>
          <w:lang w:val="en-GB"/>
        </w:rPr>
        <w:t>ICT students</w:t>
      </w:r>
      <w:r w:rsidR="00CA50B1" w:rsidRPr="00A744AC">
        <w:rPr>
          <w:b/>
          <w:sz w:val="14"/>
          <w:szCs w:val="16"/>
          <w:lang w:val="en-GB"/>
        </w:rPr>
        <w:t>:</w:t>
      </w:r>
      <w:r w:rsidR="00CA50B1" w:rsidRPr="00A744AC">
        <w:rPr>
          <w:sz w:val="14"/>
          <w:szCs w:val="16"/>
          <w:lang w:val="en-GB"/>
        </w:rPr>
        <w:t xml:space="preserve"> </w:t>
      </w:r>
      <w:r w:rsidRPr="00A744AC">
        <w:rPr>
          <w:sz w:val="14"/>
          <w:szCs w:val="16"/>
          <w:lang w:val="en-GB"/>
        </w:rPr>
        <w:t xml:space="preserve">this chapter contains data on the number and structure of students and graduates </w:t>
      </w:r>
      <w:r w:rsidR="006B329B" w:rsidRPr="006B329B">
        <w:rPr>
          <w:sz w:val="14"/>
          <w:szCs w:val="16"/>
          <w:lang w:val="en-GB"/>
        </w:rPr>
        <w:t xml:space="preserve">from ICT fields of education </w:t>
      </w:r>
      <w:r w:rsidRPr="00A744AC">
        <w:rPr>
          <w:sz w:val="14"/>
          <w:szCs w:val="16"/>
          <w:lang w:val="en-GB"/>
        </w:rPr>
        <w:t>at universities</w:t>
      </w:r>
      <w:r w:rsidR="006B329B">
        <w:rPr>
          <w:sz w:val="14"/>
          <w:szCs w:val="16"/>
          <w:lang w:val="en-GB"/>
        </w:rPr>
        <w:t xml:space="preserve"> by </w:t>
      </w:r>
      <w:r w:rsidR="006B329B" w:rsidRPr="009A4058">
        <w:rPr>
          <w:b/>
          <w:bCs/>
          <w:sz w:val="14"/>
          <w:szCs w:val="16"/>
          <w:lang w:val="en-GB"/>
        </w:rPr>
        <w:t>gender, age, citizenships</w:t>
      </w:r>
      <w:r w:rsidR="009A4058">
        <w:rPr>
          <w:sz w:val="14"/>
          <w:szCs w:val="16"/>
          <w:lang w:val="en-GB"/>
        </w:rPr>
        <w:t xml:space="preserve"> or selected </w:t>
      </w:r>
      <w:r w:rsidR="009A4058" w:rsidRPr="009A4058">
        <w:rPr>
          <w:b/>
          <w:bCs/>
          <w:sz w:val="14"/>
          <w:szCs w:val="16"/>
          <w:lang w:val="en-GB"/>
        </w:rPr>
        <w:t>characteristics of their studies</w:t>
      </w:r>
      <w:r w:rsidR="009A4058">
        <w:rPr>
          <w:sz w:val="14"/>
          <w:szCs w:val="16"/>
          <w:lang w:val="en-GB"/>
        </w:rPr>
        <w:t>.</w:t>
      </w:r>
    </w:p>
    <w:p w14:paraId="3E1435C9" w14:textId="77777777" w:rsidR="00550B67" w:rsidRPr="00A744AC" w:rsidRDefault="007125F4" w:rsidP="009A4058">
      <w:pPr>
        <w:pStyle w:val="Zkladntext"/>
        <w:numPr>
          <w:ilvl w:val="0"/>
          <w:numId w:val="6"/>
        </w:numPr>
        <w:spacing w:before="40" w:line="252" w:lineRule="auto"/>
        <w:ind w:left="357" w:hanging="357"/>
        <w:rPr>
          <w:sz w:val="14"/>
          <w:szCs w:val="16"/>
          <w:lang w:val="en-GB"/>
        </w:rPr>
      </w:pPr>
      <w:r w:rsidRPr="00A744AC">
        <w:rPr>
          <w:b/>
          <w:bCs/>
          <w:sz w:val="14"/>
          <w:lang w:val="en-GB"/>
        </w:rPr>
        <w:t>ICT investments</w:t>
      </w:r>
      <w:r w:rsidR="00550B67" w:rsidRPr="00A744AC">
        <w:rPr>
          <w:b/>
          <w:sz w:val="14"/>
          <w:szCs w:val="16"/>
          <w:lang w:val="en-GB"/>
        </w:rPr>
        <w:t>:</w:t>
      </w:r>
      <w:r w:rsidR="00550B67" w:rsidRPr="00A744AC">
        <w:rPr>
          <w:sz w:val="14"/>
          <w:szCs w:val="16"/>
          <w:lang w:val="en-GB"/>
        </w:rPr>
        <w:t xml:space="preserve"> </w:t>
      </w:r>
      <w:r w:rsidRPr="00A744AC">
        <w:rPr>
          <w:sz w:val="14"/>
          <w:szCs w:val="16"/>
          <w:lang w:val="en-GB"/>
        </w:rPr>
        <w:t xml:space="preserve">this chapter </w:t>
      </w:r>
      <w:r w:rsidRPr="00A744AC">
        <w:rPr>
          <w:bCs/>
          <w:sz w:val="14"/>
          <w:lang w:val="en-GB"/>
        </w:rPr>
        <w:t xml:space="preserve">includes detail information </w:t>
      </w:r>
      <w:r w:rsidR="009A4058" w:rsidRPr="00A744AC">
        <w:rPr>
          <w:bCs/>
          <w:sz w:val="14"/>
          <w:lang w:val="en-GB"/>
        </w:rPr>
        <w:t>about investment</w:t>
      </w:r>
      <w:r w:rsidRPr="00A744AC">
        <w:rPr>
          <w:bCs/>
          <w:sz w:val="14"/>
          <w:lang w:val="en-GB"/>
        </w:rPr>
        <w:t xml:space="preserve"> </w:t>
      </w:r>
      <w:r w:rsidR="006B329B">
        <w:rPr>
          <w:bCs/>
          <w:sz w:val="14"/>
          <w:lang w:val="en-GB"/>
        </w:rPr>
        <w:t>intensity</w:t>
      </w:r>
      <w:r w:rsidR="009A4058">
        <w:rPr>
          <w:bCs/>
          <w:sz w:val="14"/>
          <w:lang w:val="en-GB"/>
        </w:rPr>
        <w:t xml:space="preserve"> into ICT equipment and software </w:t>
      </w:r>
      <w:r w:rsidRPr="00A744AC">
        <w:rPr>
          <w:b/>
          <w:bCs/>
          <w:sz w:val="14"/>
          <w:lang w:val="en-GB"/>
        </w:rPr>
        <w:t xml:space="preserve">by </w:t>
      </w:r>
      <w:r w:rsidR="006B329B">
        <w:rPr>
          <w:b/>
          <w:bCs/>
          <w:sz w:val="14"/>
          <w:lang w:val="en-GB"/>
        </w:rPr>
        <w:t xml:space="preserve">type of </w:t>
      </w:r>
      <w:r w:rsidRPr="00A744AC">
        <w:rPr>
          <w:b/>
          <w:bCs/>
          <w:sz w:val="14"/>
          <w:lang w:val="en-GB"/>
        </w:rPr>
        <w:t>asset</w:t>
      </w:r>
      <w:r w:rsidR="006B329B">
        <w:rPr>
          <w:b/>
          <w:bCs/>
          <w:sz w:val="14"/>
          <w:lang w:val="en-GB"/>
        </w:rPr>
        <w:t xml:space="preserve"> </w:t>
      </w:r>
      <w:r w:rsidRPr="00A744AC">
        <w:rPr>
          <w:bCs/>
          <w:sz w:val="14"/>
          <w:lang w:val="en-GB"/>
        </w:rPr>
        <w:t xml:space="preserve">and </w:t>
      </w:r>
      <w:r w:rsidRPr="00A744AC">
        <w:rPr>
          <w:b/>
          <w:bCs/>
          <w:sz w:val="14"/>
          <w:lang w:val="en-GB"/>
        </w:rPr>
        <w:t>industry</w:t>
      </w:r>
      <w:r w:rsidRPr="00A744AC">
        <w:rPr>
          <w:bCs/>
          <w:sz w:val="14"/>
          <w:lang w:val="en-GB"/>
        </w:rPr>
        <w:t xml:space="preserve">. </w:t>
      </w:r>
    </w:p>
    <w:p w14:paraId="28603238" w14:textId="77777777" w:rsidR="00550B67" w:rsidRPr="00A744AC" w:rsidRDefault="00CE1E95" w:rsidP="009A4058">
      <w:pPr>
        <w:pStyle w:val="Zkladntext"/>
        <w:numPr>
          <w:ilvl w:val="0"/>
          <w:numId w:val="6"/>
        </w:numPr>
        <w:spacing w:before="40" w:line="252" w:lineRule="auto"/>
        <w:ind w:left="357" w:hanging="357"/>
        <w:rPr>
          <w:sz w:val="14"/>
          <w:szCs w:val="16"/>
          <w:lang w:val="en-GB"/>
        </w:rPr>
      </w:pPr>
      <w:r w:rsidRPr="00A744AC">
        <w:rPr>
          <w:b/>
          <w:sz w:val="14"/>
          <w:lang w:val="en-GB"/>
        </w:rPr>
        <w:t>ICT research and development</w:t>
      </w:r>
      <w:r w:rsidR="00663262" w:rsidRPr="00A744AC">
        <w:rPr>
          <w:b/>
          <w:sz w:val="14"/>
          <w:lang w:val="en-GB"/>
        </w:rPr>
        <w:t>:</w:t>
      </w:r>
      <w:r w:rsidR="008C743C" w:rsidRPr="00A744AC">
        <w:rPr>
          <w:sz w:val="14"/>
          <w:lang w:val="en-GB"/>
        </w:rPr>
        <w:t xml:space="preserve"> this chapter</w:t>
      </w:r>
      <w:r w:rsidRPr="00A744AC">
        <w:rPr>
          <w:sz w:val="14"/>
          <w:lang w:val="en-GB"/>
        </w:rPr>
        <w:t xml:space="preserve"> provides both data on the </w:t>
      </w:r>
      <w:r w:rsidRPr="00A744AC">
        <w:rPr>
          <w:bCs/>
          <w:sz w:val="14"/>
          <w:lang w:val="en-GB"/>
        </w:rPr>
        <w:t>total financial resources invested in research and development (R&amp;D) in ICT equipment and software and data about R&amp;D expenditures and personnel in the ICT sector.</w:t>
      </w:r>
    </w:p>
    <w:p w14:paraId="0D734BCA" w14:textId="77777777" w:rsidR="001F5C8A" w:rsidRPr="001F5C8A" w:rsidRDefault="001F5C8A" w:rsidP="009A4058">
      <w:pPr>
        <w:pStyle w:val="Zkladntext"/>
        <w:numPr>
          <w:ilvl w:val="0"/>
          <w:numId w:val="6"/>
        </w:numPr>
        <w:spacing w:before="40" w:line="252" w:lineRule="auto"/>
        <w:ind w:left="357" w:hanging="357"/>
        <w:rPr>
          <w:sz w:val="14"/>
          <w:szCs w:val="16"/>
          <w:lang w:val="en-GB"/>
        </w:rPr>
      </w:pPr>
      <w:r w:rsidRPr="001F5C8A">
        <w:rPr>
          <w:b/>
          <w:sz w:val="14"/>
          <w:szCs w:val="16"/>
          <w:lang w:val="en-GB"/>
        </w:rPr>
        <w:t>International trade in</w:t>
      </w:r>
      <w:r w:rsidR="00A744AC" w:rsidRPr="001F5C8A">
        <w:rPr>
          <w:b/>
          <w:sz w:val="14"/>
          <w:szCs w:val="16"/>
          <w:lang w:val="en-GB"/>
        </w:rPr>
        <w:t xml:space="preserve"> ICT goods</w:t>
      </w:r>
      <w:r w:rsidR="00550B67" w:rsidRPr="001F5C8A">
        <w:rPr>
          <w:b/>
          <w:sz w:val="14"/>
          <w:szCs w:val="16"/>
          <w:lang w:val="en-GB"/>
        </w:rPr>
        <w:t>:</w:t>
      </w:r>
      <w:r>
        <w:rPr>
          <w:b/>
          <w:sz w:val="14"/>
          <w:szCs w:val="16"/>
          <w:lang w:val="en-GB"/>
        </w:rPr>
        <w:t xml:space="preserve"> </w:t>
      </w:r>
      <w:r w:rsidRPr="001F5C8A">
        <w:rPr>
          <w:sz w:val="14"/>
          <w:szCs w:val="16"/>
          <w:lang w:val="en-GB"/>
        </w:rPr>
        <w:t xml:space="preserve">this </w:t>
      </w:r>
      <w:r w:rsidR="009A4058">
        <w:rPr>
          <w:sz w:val="14"/>
          <w:szCs w:val="16"/>
          <w:lang w:val="en-GB"/>
        </w:rPr>
        <w:t xml:space="preserve">chapter include both the data based on </w:t>
      </w:r>
      <w:r w:rsidRPr="001F5C8A">
        <w:rPr>
          <w:sz w:val="14"/>
          <w:szCs w:val="16"/>
          <w:lang w:val="en-GB"/>
        </w:rPr>
        <w:t xml:space="preserve">the ownership </w:t>
      </w:r>
      <w:r w:rsidR="009A4058">
        <w:rPr>
          <w:sz w:val="14"/>
          <w:szCs w:val="16"/>
          <w:lang w:val="en-GB"/>
        </w:rPr>
        <w:t xml:space="preserve">change </w:t>
      </w:r>
      <w:r w:rsidRPr="001F5C8A">
        <w:rPr>
          <w:sz w:val="14"/>
          <w:szCs w:val="16"/>
          <w:lang w:val="en-GB"/>
        </w:rPr>
        <w:t>of goods changes between residents and non-residents, as well as the cross-border movements of ICT goods</w:t>
      </w:r>
      <w:r w:rsidR="00453FAF">
        <w:rPr>
          <w:sz w:val="14"/>
          <w:szCs w:val="16"/>
          <w:lang w:val="en-GB"/>
        </w:rPr>
        <w:t>.</w:t>
      </w:r>
    </w:p>
    <w:p w14:paraId="1B2F35C3" w14:textId="77777777" w:rsidR="00CA50B1" w:rsidRPr="00A744AC" w:rsidRDefault="00A744AC" w:rsidP="009A4058">
      <w:pPr>
        <w:pStyle w:val="Zkladntext"/>
        <w:numPr>
          <w:ilvl w:val="0"/>
          <w:numId w:val="6"/>
        </w:numPr>
        <w:spacing w:before="40" w:line="252" w:lineRule="auto"/>
        <w:ind w:left="357" w:hanging="357"/>
        <w:rPr>
          <w:sz w:val="14"/>
          <w:szCs w:val="16"/>
          <w:lang w:val="en-GB"/>
        </w:rPr>
      </w:pPr>
      <w:r w:rsidRPr="00A744AC">
        <w:rPr>
          <w:b/>
          <w:sz w:val="14"/>
          <w:szCs w:val="16"/>
          <w:lang w:val="en-GB"/>
        </w:rPr>
        <w:t>International trade in ICT services</w:t>
      </w:r>
      <w:r w:rsidR="00CA50B1" w:rsidRPr="00A744AC">
        <w:rPr>
          <w:b/>
          <w:sz w:val="14"/>
          <w:szCs w:val="16"/>
          <w:lang w:val="en-GB"/>
        </w:rPr>
        <w:t>:</w:t>
      </w:r>
      <w:r w:rsidR="00CA50B1" w:rsidRPr="00A744AC">
        <w:rPr>
          <w:sz w:val="14"/>
          <w:szCs w:val="16"/>
          <w:lang w:val="en-GB"/>
        </w:rPr>
        <w:t xml:space="preserve"> </w:t>
      </w:r>
      <w:r w:rsidRPr="00A744AC">
        <w:rPr>
          <w:sz w:val="14"/>
          <w:szCs w:val="16"/>
          <w:lang w:val="en-GB"/>
        </w:rPr>
        <w:t>this chapter informs the reader about the export and import of ICT services, both as a whole and broken down into different categories.</w:t>
      </w:r>
    </w:p>
    <w:p w14:paraId="7D2E4836" w14:textId="77777777" w:rsidR="00774A7B" w:rsidRPr="00A744AC" w:rsidRDefault="00CE1E95" w:rsidP="009A4058">
      <w:pPr>
        <w:pStyle w:val="Zkladntext"/>
        <w:numPr>
          <w:ilvl w:val="0"/>
          <w:numId w:val="6"/>
        </w:numPr>
        <w:spacing w:before="40" w:line="252" w:lineRule="auto"/>
        <w:ind w:left="357" w:hanging="357"/>
        <w:rPr>
          <w:sz w:val="14"/>
          <w:lang w:val="en-GB"/>
        </w:rPr>
      </w:pPr>
      <w:r w:rsidRPr="00A744AC">
        <w:rPr>
          <w:b/>
          <w:bCs/>
          <w:sz w:val="14"/>
          <w:lang w:val="en-GB"/>
        </w:rPr>
        <w:t>ICT sector</w:t>
      </w:r>
      <w:r w:rsidR="00663262" w:rsidRPr="00A744AC">
        <w:rPr>
          <w:b/>
          <w:bCs/>
          <w:sz w:val="14"/>
          <w:lang w:val="en-GB"/>
        </w:rPr>
        <w:t>:</w:t>
      </w:r>
      <w:r w:rsidRPr="00A744AC">
        <w:rPr>
          <w:bCs/>
          <w:sz w:val="14"/>
          <w:lang w:val="en-GB"/>
        </w:rPr>
        <w:t xml:space="preserve"> this chapter consists of main economic indicators for industries that are primarily engaged in the production of ICT goods and services. </w:t>
      </w:r>
      <w:r w:rsidR="009B6039" w:rsidRPr="00A744AC">
        <w:rPr>
          <w:sz w:val="14"/>
          <w:szCs w:val="16"/>
          <w:lang w:val="en-GB"/>
        </w:rPr>
        <w:t xml:space="preserve"> </w:t>
      </w:r>
    </w:p>
    <w:p w14:paraId="73953FAB" w14:textId="77777777" w:rsidR="00774A7B" w:rsidRPr="00A744AC" w:rsidRDefault="0079210E" w:rsidP="009A4058">
      <w:pPr>
        <w:pStyle w:val="Zkladntext"/>
        <w:spacing w:before="80" w:line="252" w:lineRule="auto"/>
        <w:rPr>
          <w:sz w:val="14"/>
          <w:szCs w:val="16"/>
          <w:lang w:val="en-GB"/>
        </w:rPr>
      </w:pPr>
      <w:r w:rsidRPr="00A744AC">
        <w:rPr>
          <w:sz w:val="14"/>
          <w:szCs w:val="16"/>
          <w:lang w:val="en-GB"/>
        </w:rPr>
        <w:t xml:space="preserve">In addition to detailed data for </w:t>
      </w:r>
      <w:r w:rsidR="009A4058">
        <w:rPr>
          <w:sz w:val="14"/>
          <w:szCs w:val="16"/>
          <w:lang w:val="en-GB"/>
        </w:rPr>
        <w:t>Czechia</w:t>
      </w:r>
      <w:r w:rsidRPr="00A744AC">
        <w:rPr>
          <w:sz w:val="14"/>
          <w:szCs w:val="16"/>
          <w:lang w:val="en-GB"/>
        </w:rPr>
        <w:t xml:space="preserve">, each chapter contains a </w:t>
      </w:r>
      <w:r w:rsidRPr="004666E6">
        <w:rPr>
          <w:b/>
          <w:bCs/>
          <w:sz w:val="14"/>
          <w:szCs w:val="16"/>
          <w:lang w:val="en-GB"/>
        </w:rPr>
        <w:t>methodological introduction</w:t>
      </w:r>
      <w:r w:rsidRPr="00A744AC">
        <w:rPr>
          <w:sz w:val="14"/>
          <w:szCs w:val="16"/>
          <w:lang w:val="en-GB"/>
        </w:rPr>
        <w:t xml:space="preserve"> and, for most indicators, an available </w:t>
      </w:r>
      <w:r w:rsidRPr="004666E6">
        <w:rPr>
          <w:b/>
          <w:bCs/>
          <w:sz w:val="14"/>
          <w:szCs w:val="16"/>
          <w:lang w:val="en-GB"/>
        </w:rPr>
        <w:t>international comparison</w:t>
      </w:r>
      <w:r w:rsidRPr="00A744AC">
        <w:rPr>
          <w:sz w:val="14"/>
          <w:szCs w:val="16"/>
          <w:lang w:val="en-GB"/>
        </w:rPr>
        <w:t xml:space="preserve">. </w:t>
      </w:r>
    </w:p>
    <w:p w14:paraId="3FB86D4B" w14:textId="77777777" w:rsidR="00CD3C09" w:rsidRPr="00A744AC" w:rsidRDefault="0079210E" w:rsidP="009A4058">
      <w:pPr>
        <w:pStyle w:val="Zkladntext"/>
        <w:spacing w:before="80" w:line="252" w:lineRule="auto"/>
        <w:rPr>
          <w:sz w:val="14"/>
          <w:lang w:val="en-GB"/>
        </w:rPr>
      </w:pPr>
      <w:r w:rsidRPr="00A744AC">
        <w:rPr>
          <w:sz w:val="14"/>
          <w:szCs w:val="16"/>
          <w:lang w:val="en-GB"/>
        </w:rPr>
        <w:t xml:space="preserve">Data given in this brochure were acquired from </w:t>
      </w:r>
      <w:r w:rsidR="00453FAF" w:rsidRPr="00453FAF">
        <w:rPr>
          <w:b/>
          <w:bCs/>
          <w:sz w:val="14"/>
          <w:szCs w:val="16"/>
          <w:lang w:val="en-GB"/>
        </w:rPr>
        <w:t xml:space="preserve">official </w:t>
      </w:r>
      <w:r w:rsidRPr="00453FAF">
        <w:rPr>
          <w:b/>
          <w:bCs/>
          <w:sz w:val="14"/>
          <w:szCs w:val="16"/>
          <w:lang w:val="en-GB"/>
        </w:rPr>
        <w:t>statistic</w:t>
      </w:r>
      <w:r w:rsidR="00453FAF" w:rsidRPr="00453FAF">
        <w:rPr>
          <w:b/>
          <w:bCs/>
          <w:sz w:val="14"/>
          <w:szCs w:val="16"/>
          <w:lang w:val="en-GB"/>
        </w:rPr>
        <w:t>s</w:t>
      </w:r>
      <w:r w:rsidR="006E45C0">
        <w:rPr>
          <w:b/>
          <w:bCs/>
          <w:sz w:val="14"/>
          <w:szCs w:val="16"/>
          <w:lang w:val="en-GB"/>
        </w:rPr>
        <w:t xml:space="preserve">. </w:t>
      </w:r>
      <w:r w:rsidR="00A744AC" w:rsidRPr="00A744AC">
        <w:rPr>
          <w:sz w:val="14"/>
          <w:lang w:val="en-GB"/>
        </w:rPr>
        <w:t>For more</w:t>
      </w:r>
      <w:r w:rsidR="00A744AC">
        <w:rPr>
          <w:sz w:val="14"/>
          <w:lang w:val="en-GB"/>
        </w:rPr>
        <w:t xml:space="preserve"> </w:t>
      </w:r>
      <w:r w:rsidR="00A744AC" w:rsidRPr="00A744AC">
        <w:rPr>
          <w:sz w:val="14"/>
          <w:lang w:val="en-GB"/>
        </w:rPr>
        <w:t xml:space="preserve">information on </w:t>
      </w:r>
      <w:r w:rsidR="00A744AC">
        <w:rPr>
          <w:sz w:val="14"/>
          <w:lang w:val="en-GB"/>
        </w:rPr>
        <w:t>digital</w:t>
      </w:r>
      <w:r w:rsidR="00A744AC" w:rsidRPr="00A744AC">
        <w:rPr>
          <w:sz w:val="14"/>
          <w:lang w:val="en-GB"/>
        </w:rPr>
        <w:t xml:space="preserve"> economy statisti</w:t>
      </w:r>
      <w:r w:rsidR="00A744AC">
        <w:rPr>
          <w:sz w:val="14"/>
          <w:lang w:val="en-GB"/>
        </w:rPr>
        <w:t>cs, visit our website</w:t>
      </w:r>
      <w:r w:rsidR="00CD3C09" w:rsidRPr="00A744AC">
        <w:rPr>
          <w:sz w:val="14"/>
          <w:lang w:val="en-GB"/>
        </w:rPr>
        <w:t>:</w:t>
      </w:r>
    </w:p>
    <w:p w14:paraId="2145BEEC" w14:textId="77777777" w:rsidR="00CD3C09" w:rsidRDefault="004D19FE" w:rsidP="009A4058">
      <w:pPr>
        <w:pStyle w:val="Zkladntext"/>
        <w:spacing w:before="0" w:line="252" w:lineRule="auto"/>
        <w:rPr>
          <w:rStyle w:val="Hypertextovodkaz"/>
          <w:sz w:val="14"/>
          <w:lang w:val="en-GB"/>
        </w:rPr>
      </w:pPr>
      <w:r w:rsidRPr="004D19FE">
        <w:rPr>
          <w:rStyle w:val="Hypertextovodkaz"/>
          <w:sz w:val="14"/>
          <w:lang w:val="en-GB"/>
        </w:rPr>
        <w:t>https://csu.gov.cz/digital-economy</w:t>
      </w:r>
      <w:r w:rsidR="00844BF4">
        <w:rPr>
          <w:rStyle w:val="Hypertextovodkaz"/>
          <w:sz w:val="14"/>
          <w:lang w:val="en-GB"/>
        </w:rPr>
        <w:t>.</w:t>
      </w:r>
      <w:r w:rsidR="00844BF4" w:rsidRPr="00A744AC">
        <w:rPr>
          <w:rStyle w:val="Hypertextovodkaz"/>
          <w:sz w:val="14"/>
          <w:lang w:val="en-GB"/>
        </w:rPr>
        <w:t xml:space="preserve"> </w:t>
      </w:r>
    </w:p>
    <w:p w14:paraId="0BBA3410" w14:textId="77777777" w:rsidR="00453FAF" w:rsidRDefault="004666E6" w:rsidP="00453FAF">
      <w:pPr>
        <w:pStyle w:val="Zkladntext"/>
        <w:spacing w:before="80" w:line="252" w:lineRule="auto"/>
        <w:rPr>
          <w:sz w:val="14"/>
          <w:szCs w:val="16"/>
          <w:lang w:val="en-GB"/>
        </w:rPr>
      </w:pPr>
      <w:r w:rsidRPr="004666E6">
        <w:rPr>
          <w:sz w:val="14"/>
          <w:szCs w:val="16"/>
          <w:lang w:val="en-GB"/>
        </w:rPr>
        <w:t xml:space="preserve">In addition to this publication, the Czech Statistical Office </w:t>
      </w:r>
      <w:r>
        <w:rPr>
          <w:sz w:val="14"/>
          <w:szCs w:val="16"/>
          <w:lang w:val="en-GB"/>
        </w:rPr>
        <w:t xml:space="preserve">also </w:t>
      </w:r>
      <w:r w:rsidRPr="004666E6">
        <w:rPr>
          <w:sz w:val="14"/>
          <w:szCs w:val="16"/>
          <w:lang w:val="en-GB"/>
        </w:rPr>
        <w:t xml:space="preserve">publishes an annual report on </w:t>
      </w:r>
      <w:r w:rsidRPr="004666E6">
        <w:rPr>
          <w:b/>
          <w:bCs/>
          <w:sz w:val="14"/>
          <w:szCs w:val="16"/>
          <w:lang w:val="en-GB"/>
        </w:rPr>
        <w:t>the development of the information society</w:t>
      </w:r>
      <w:r w:rsidRPr="004666E6">
        <w:rPr>
          <w:sz w:val="14"/>
          <w:szCs w:val="16"/>
          <w:lang w:val="en-GB"/>
        </w:rPr>
        <w:t xml:space="preserve"> in Czechia and other EU member states. Th</w:t>
      </w:r>
      <w:r>
        <w:rPr>
          <w:sz w:val="14"/>
          <w:szCs w:val="16"/>
          <w:lang w:val="en-GB"/>
        </w:rPr>
        <w:t xml:space="preserve">is brochure </w:t>
      </w:r>
      <w:r w:rsidRPr="004666E6">
        <w:rPr>
          <w:sz w:val="14"/>
          <w:szCs w:val="16"/>
          <w:lang w:val="en-GB"/>
        </w:rPr>
        <w:t>provides key indicators on the use of digital technologies across different sectors of society.</w:t>
      </w:r>
      <w:r w:rsidR="00453FAF" w:rsidRPr="00453FAF">
        <w:rPr>
          <w:sz w:val="14"/>
          <w:szCs w:val="16"/>
          <w:lang w:val="en-GB"/>
        </w:rPr>
        <w:br/>
      </w:r>
      <w:r w:rsidR="00453FAF">
        <w:rPr>
          <w:sz w:val="14"/>
          <w:szCs w:val="16"/>
          <w:lang w:val="en-GB"/>
        </w:rPr>
        <w:t xml:space="preserve">For more information see: </w:t>
      </w:r>
      <w:hyperlink r:id="rId7" w:history="1">
        <w:r w:rsidRPr="00AD0639">
          <w:rPr>
            <w:rStyle w:val="Hypertextovodkaz"/>
            <w:sz w:val="14"/>
            <w:szCs w:val="16"/>
            <w:lang w:val="en-GB"/>
          </w:rPr>
          <w:t>https://csu.gov.cz/produkty/information-society-in-figures-v5yawboq9v</w:t>
        </w:r>
      </w:hyperlink>
    </w:p>
    <w:p w14:paraId="016BF281" w14:textId="77777777" w:rsidR="00550B67" w:rsidRPr="00A744AC" w:rsidRDefault="00263CE4" w:rsidP="009A4058">
      <w:pPr>
        <w:pStyle w:val="Zkladntext"/>
        <w:spacing w:before="180" w:line="252" w:lineRule="auto"/>
        <w:jc w:val="right"/>
        <w:rPr>
          <w:sz w:val="14"/>
          <w:szCs w:val="16"/>
          <w:lang w:val="en-GB"/>
        </w:rPr>
      </w:pPr>
      <w:r w:rsidRPr="00A744AC">
        <w:rPr>
          <w:sz w:val="14"/>
          <w:szCs w:val="16"/>
          <w:lang w:val="en-GB"/>
        </w:rPr>
        <w:t>In Prague</w:t>
      </w:r>
      <w:r w:rsidR="009502D1" w:rsidRPr="00A744AC">
        <w:rPr>
          <w:sz w:val="14"/>
          <w:szCs w:val="16"/>
          <w:lang w:val="en-GB"/>
        </w:rPr>
        <w:t xml:space="preserve">, </w:t>
      </w:r>
      <w:r w:rsidR="005C7FA1">
        <w:rPr>
          <w:sz w:val="14"/>
          <w:szCs w:val="16"/>
          <w:lang w:val="en-GB"/>
        </w:rPr>
        <w:t>December</w:t>
      </w:r>
      <w:r w:rsidR="00380831" w:rsidRPr="00A744AC">
        <w:rPr>
          <w:sz w:val="14"/>
          <w:szCs w:val="16"/>
          <w:lang w:val="en-GB"/>
        </w:rPr>
        <w:t xml:space="preserve"> </w:t>
      </w:r>
      <w:r w:rsidR="00A605D7" w:rsidRPr="00A744AC">
        <w:rPr>
          <w:sz w:val="14"/>
          <w:szCs w:val="16"/>
          <w:lang w:val="en-GB"/>
        </w:rPr>
        <w:t>20</w:t>
      </w:r>
      <w:r w:rsidR="00CA50B1" w:rsidRPr="00A744AC">
        <w:rPr>
          <w:sz w:val="14"/>
          <w:szCs w:val="16"/>
          <w:lang w:val="en-GB"/>
        </w:rPr>
        <w:t>2</w:t>
      </w:r>
      <w:r w:rsidR="006B329B">
        <w:rPr>
          <w:sz w:val="14"/>
          <w:szCs w:val="16"/>
          <w:lang w:val="en-GB"/>
        </w:rPr>
        <w:t>5</w:t>
      </w:r>
    </w:p>
    <w:p w14:paraId="2542E42E" w14:textId="77777777" w:rsidR="00550B67" w:rsidRPr="00A744AC" w:rsidRDefault="00263CE4" w:rsidP="009A4058">
      <w:pPr>
        <w:pStyle w:val="Zkladntext"/>
        <w:spacing w:before="0" w:line="252" w:lineRule="auto"/>
        <w:jc w:val="left"/>
        <w:rPr>
          <w:sz w:val="14"/>
          <w:szCs w:val="16"/>
          <w:lang w:val="en-GB"/>
        </w:rPr>
      </w:pPr>
      <w:r w:rsidRPr="00A744AC">
        <w:rPr>
          <w:sz w:val="14"/>
          <w:szCs w:val="16"/>
          <w:lang w:val="en-GB"/>
        </w:rPr>
        <w:t>Contact</w:t>
      </w:r>
      <w:r w:rsidR="00550B67" w:rsidRPr="00A744AC">
        <w:rPr>
          <w:sz w:val="14"/>
          <w:szCs w:val="16"/>
          <w:lang w:val="en-GB"/>
        </w:rPr>
        <w:t>:</w:t>
      </w:r>
    </w:p>
    <w:p w14:paraId="12387DB9" w14:textId="77777777" w:rsidR="00550B67" w:rsidRPr="00A744AC" w:rsidRDefault="00550B67" w:rsidP="009A4058">
      <w:pPr>
        <w:pStyle w:val="Zkladntext"/>
        <w:spacing w:before="0" w:line="252" w:lineRule="auto"/>
        <w:rPr>
          <w:sz w:val="14"/>
          <w:szCs w:val="16"/>
          <w:lang w:val="en-GB"/>
        </w:rPr>
      </w:pPr>
      <w:r w:rsidRPr="00A744AC">
        <w:rPr>
          <w:sz w:val="14"/>
          <w:szCs w:val="16"/>
          <w:lang w:val="en-GB"/>
        </w:rPr>
        <w:t>Ing. Martin Mana</w:t>
      </w:r>
    </w:p>
    <w:p w14:paraId="1C3BEC5A" w14:textId="77777777" w:rsidR="00550B67" w:rsidRPr="00EB04D6" w:rsidRDefault="00844BF4" w:rsidP="00F964D6">
      <w:pPr>
        <w:pStyle w:val="Zkladntext"/>
        <w:spacing w:before="0" w:line="264" w:lineRule="auto"/>
        <w:rPr>
          <w:rStyle w:val="Hypertextovodkaz"/>
        </w:rPr>
      </w:pPr>
      <w:hyperlink r:id="rId8" w:history="1">
        <w:r w:rsidRPr="00495899">
          <w:rPr>
            <w:rStyle w:val="Hypertextovodkaz"/>
            <w:sz w:val="14"/>
            <w:lang w:val="en-GB"/>
          </w:rPr>
          <w:t>martin.mana@czso.gov.cz</w:t>
        </w:r>
      </w:hyperlink>
    </w:p>
    <w:p w14:paraId="41E6F520" w14:textId="77777777" w:rsidR="00263CE4" w:rsidRPr="00A744AC" w:rsidRDefault="00263CE4" w:rsidP="00A744AC">
      <w:pPr>
        <w:pStyle w:val="Zkladntext"/>
        <w:spacing w:before="0"/>
        <w:jc w:val="left"/>
        <w:rPr>
          <w:sz w:val="14"/>
          <w:lang w:val="en-GB"/>
        </w:rPr>
      </w:pPr>
      <w:r w:rsidRPr="00A744AC">
        <w:rPr>
          <w:sz w:val="14"/>
          <w:lang w:val="en-GB"/>
        </w:rPr>
        <w:t xml:space="preserve">Czech Statistical Office </w:t>
      </w:r>
    </w:p>
    <w:p w14:paraId="5456A633" w14:textId="77777777" w:rsidR="00263CE4" w:rsidRPr="00A744AC" w:rsidRDefault="00263CE4" w:rsidP="00A744AC">
      <w:pPr>
        <w:pStyle w:val="Zkladntext"/>
        <w:spacing w:before="0"/>
        <w:jc w:val="left"/>
        <w:rPr>
          <w:sz w:val="14"/>
          <w:lang w:val="en-GB"/>
        </w:rPr>
      </w:pPr>
      <w:r w:rsidRPr="00A744AC">
        <w:rPr>
          <w:sz w:val="14"/>
          <w:lang w:val="en-GB"/>
        </w:rPr>
        <w:t>Department of Research, Development and Information Society Statistics</w:t>
      </w:r>
    </w:p>
    <w:sectPr w:rsidR="00263CE4" w:rsidRPr="00A744AC" w:rsidSect="00DC6C2B">
      <w:pgSz w:w="11906" w:h="16838" w:code="9"/>
      <w:pgMar w:top="1134" w:right="851" w:bottom="1134" w:left="851" w:header="0" w:footer="113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17BE" w14:textId="77777777" w:rsidR="00185FB3" w:rsidRDefault="00185FB3">
      <w:r>
        <w:separator/>
      </w:r>
    </w:p>
  </w:endnote>
  <w:endnote w:type="continuationSeparator" w:id="0">
    <w:p w14:paraId="25DC32B7" w14:textId="77777777" w:rsidR="00185FB3" w:rsidRDefault="0018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38C2" w14:textId="77777777" w:rsidR="00185FB3" w:rsidRDefault="00185FB3">
      <w:r>
        <w:separator/>
      </w:r>
    </w:p>
  </w:footnote>
  <w:footnote w:type="continuationSeparator" w:id="0">
    <w:p w14:paraId="3192FCF5" w14:textId="77777777" w:rsidR="00185FB3" w:rsidRDefault="00185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845"/>
    <w:multiLevelType w:val="hybridMultilevel"/>
    <w:tmpl w:val="E66A1EE0"/>
    <w:lvl w:ilvl="0" w:tplc="E7343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8614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EAB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EA12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D4F7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9C2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9A57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2C8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4A4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F334E"/>
    <w:multiLevelType w:val="hybridMultilevel"/>
    <w:tmpl w:val="0F8CB914"/>
    <w:lvl w:ilvl="0" w:tplc="DCA8A5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66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4DAA"/>
    <w:multiLevelType w:val="hybridMultilevel"/>
    <w:tmpl w:val="4E103D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1C60"/>
    <w:multiLevelType w:val="hybridMultilevel"/>
    <w:tmpl w:val="9AD6B126"/>
    <w:lvl w:ilvl="0" w:tplc="7AC2D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D4C4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3822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00B9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166C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A6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6E75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10BF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A633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00766"/>
    <w:multiLevelType w:val="hybridMultilevel"/>
    <w:tmpl w:val="F6860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F029A"/>
    <w:multiLevelType w:val="hybridMultilevel"/>
    <w:tmpl w:val="11BA8A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A44C9"/>
    <w:multiLevelType w:val="hybridMultilevel"/>
    <w:tmpl w:val="0F8CB914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2092668">
    <w:abstractNumId w:val="3"/>
  </w:num>
  <w:num w:numId="2" w16cid:durableId="2016103712">
    <w:abstractNumId w:val="0"/>
  </w:num>
  <w:num w:numId="3" w16cid:durableId="70582959">
    <w:abstractNumId w:val="2"/>
  </w:num>
  <w:num w:numId="4" w16cid:durableId="887306406">
    <w:abstractNumId w:val="5"/>
  </w:num>
  <w:num w:numId="5" w16cid:durableId="1944265952">
    <w:abstractNumId w:val="1"/>
  </w:num>
  <w:num w:numId="6" w16cid:durableId="1623464025">
    <w:abstractNumId w:val="6"/>
  </w:num>
  <w:num w:numId="7" w16cid:durableId="1372531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5F6"/>
    <w:rsid w:val="00020B1F"/>
    <w:rsid w:val="00030B5E"/>
    <w:rsid w:val="000570D7"/>
    <w:rsid w:val="000C65B3"/>
    <w:rsid w:val="000F22C5"/>
    <w:rsid w:val="00105459"/>
    <w:rsid w:val="00151186"/>
    <w:rsid w:val="00185236"/>
    <w:rsid w:val="00185FB3"/>
    <w:rsid w:val="001C2E0A"/>
    <w:rsid w:val="001C4914"/>
    <w:rsid w:val="001D0262"/>
    <w:rsid w:val="001F5C8A"/>
    <w:rsid w:val="0020490B"/>
    <w:rsid w:val="00222A45"/>
    <w:rsid w:val="00252AF4"/>
    <w:rsid w:val="00254757"/>
    <w:rsid w:val="00256CD6"/>
    <w:rsid w:val="00263CE4"/>
    <w:rsid w:val="00282D5E"/>
    <w:rsid w:val="002F5323"/>
    <w:rsid w:val="002F767F"/>
    <w:rsid w:val="003257F0"/>
    <w:rsid w:val="00333A45"/>
    <w:rsid w:val="00380831"/>
    <w:rsid w:val="003A1B91"/>
    <w:rsid w:val="003A2690"/>
    <w:rsid w:val="003A3919"/>
    <w:rsid w:val="003C315E"/>
    <w:rsid w:val="00426123"/>
    <w:rsid w:val="00453FAF"/>
    <w:rsid w:val="004605E7"/>
    <w:rsid w:val="004666E6"/>
    <w:rsid w:val="00497B52"/>
    <w:rsid w:val="004D19FE"/>
    <w:rsid w:val="004E31D2"/>
    <w:rsid w:val="004F616C"/>
    <w:rsid w:val="004F76CF"/>
    <w:rsid w:val="00534418"/>
    <w:rsid w:val="00540F19"/>
    <w:rsid w:val="00550B67"/>
    <w:rsid w:val="00566CEC"/>
    <w:rsid w:val="00580F6D"/>
    <w:rsid w:val="00593B74"/>
    <w:rsid w:val="005B22A0"/>
    <w:rsid w:val="005C7FA1"/>
    <w:rsid w:val="005F58C9"/>
    <w:rsid w:val="00663262"/>
    <w:rsid w:val="00666AC6"/>
    <w:rsid w:val="00683B73"/>
    <w:rsid w:val="00684036"/>
    <w:rsid w:val="0068549B"/>
    <w:rsid w:val="006B329B"/>
    <w:rsid w:val="006E45C0"/>
    <w:rsid w:val="007125F4"/>
    <w:rsid w:val="007420E8"/>
    <w:rsid w:val="00750DE0"/>
    <w:rsid w:val="00756AE1"/>
    <w:rsid w:val="007668FD"/>
    <w:rsid w:val="00774A7B"/>
    <w:rsid w:val="00775A31"/>
    <w:rsid w:val="0079210E"/>
    <w:rsid w:val="008146C6"/>
    <w:rsid w:val="008230B4"/>
    <w:rsid w:val="00834B6E"/>
    <w:rsid w:val="00844BF4"/>
    <w:rsid w:val="00871A8E"/>
    <w:rsid w:val="00873335"/>
    <w:rsid w:val="008A0343"/>
    <w:rsid w:val="008C743C"/>
    <w:rsid w:val="009502D1"/>
    <w:rsid w:val="00954D0B"/>
    <w:rsid w:val="00976B9C"/>
    <w:rsid w:val="009775F6"/>
    <w:rsid w:val="009A4058"/>
    <w:rsid w:val="009B6039"/>
    <w:rsid w:val="009F73FB"/>
    <w:rsid w:val="00A0029E"/>
    <w:rsid w:val="00A172EC"/>
    <w:rsid w:val="00A24321"/>
    <w:rsid w:val="00A449F5"/>
    <w:rsid w:val="00A605D7"/>
    <w:rsid w:val="00A6404B"/>
    <w:rsid w:val="00A744AC"/>
    <w:rsid w:val="00AA5B48"/>
    <w:rsid w:val="00AD7DFA"/>
    <w:rsid w:val="00AF3FAD"/>
    <w:rsid w:val="00B04097"/>
    <w:rsid w:val="00B16A0C"/>
    <w:rsid w:val="00B30BBA"/>
    <w:rsid w:val="00B67F75"/>
    <w:rsid w:val="00B704FC"/>
    <w:rsid w:val="00BE469A"/>
    <w:rsid w:val="00C049D8"/>
    <w:rsid w:val="00C171EA"/>
    <w:rsid w:val="00C2785F"/>
    <w:rsid w:val="00C3202A"/>
    <w:rsid w:val="00C72FDA"/>
    <w:rsid w:val="00C87F3C"/>
    <w:rsid w:val="00CA50B1"/>
    <w:rsid w:val="00CA732B"/>
    <w:rsid w:val="00CA78C3"/>
    <w:rsid w:val="00CC3507"/>
    <w:rsid w:val="00CD3C09"/>
    <w:rsid w:val="00CE1E95"/>
    <w:rsid w:val="00CF6F88"/>
    <w:rsid w:val="00D20E97"/>
    <w:rsid w:val="00D23C07"/>
    <w:rsid w:val="00D330FA"/>
    <w:rsid w:val="00D425EA"/>
    <w:rsid w:val="00D55D7C"/>
    <w:rsid w:val="00D878AC"/>
    <w:rsid w:val="00DB4D13"/>
    <w:rsid w:val="00DB5CE1"/>
    <w:rsid w:val="00DC6C2B"/>
    <w:rsid w:val="00DD43B5"/>
    <w:rsid w:val="00DD5AC2"/>
    <w:rsid w:val="00DE12BC"/>
    <w:rsid w:val="00DE200E"/>
    <w:rsid w:val="00E32E87"/>
    <w:rsid w:val="00E50F55"/>
    <w:rsid w:val="00E72749"/>
    <w:rsid w:val="00E84203"/>
    <w:rsid w:val="00EA079D"/>
    <w:rsid w:val="00EA6E80"/>
    <w:rsid w:val="00EB04D6"/>
    <w:rsid w:val="00F22B3B"/>
    <w:rsid w:val="00F50EBE"/>
    <w:rsid w:val="00F5373C"/>
    <w:rsid w:val="00F964D6"/>
    <w:rsid w:val="00FC32AE"/>
    <w:rsid w:val="00FC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D92A83"/>
  <w15:chartTrackingRefBased/>
  <w15:docId w15:val="{765B563C-2923-44AA-B034-53310638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cs="Arial"/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cs="Arial"/>
      <w:b/>
      <w:bCs/>
      <w:color w:val="800000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cs="Arial"/>
      <w:b/>
      <w:bCs/>
      <w:color w:val="80000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spacing w:before="240"/>
      <w:jc w:val="both"/>
    </w:pPr>
    <w:rPr>
      <w:sz w:val="15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834B6E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466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mana@czso.g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u.gov.cz/produkty/information-society-in-figures-v5yawboq9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Definice a vymezení ICT sektoru</vt:lpstr>
    </vt:vector>
  </TitlesOfParts>
  <Company>CSU</Company>
  <LinksUpToDate>false</LinksUpToDate>
  <CharactersWithSpaces>3380</CharactersWithSpaces>
  <SharedDoc>false</SharedDoc>
  <HLinks>
    <vt:vector size="12" baseType="variant">
      <vt:variant>
        <vt:i4>4128789</vt:i4>
      </vt:variant>
      <vt:variant>
        <vt:i4>3</vt:i4>
      </vt:variant>
      <vt:variant>
        <vt:i4>0</vt:i4>
      </vt:variant>
      <vt:variant>
        <vt:i4>5</vt:i4>
      </vt:variant>
      <vt:variant>
        <vt:lpwstr>mailto:martin.mana@czso.gov.cz</vt:lpwstr>
      </vt:variant>
      <vt:variant>
        <vt:lpwstr/>
      </vt:variant>
      <vt:variant>
        <vt:i4>196687</vt:i4>
      </vt:variant>
      <vt:variant>
        <vt:i4>0</vt:i4>
      </vt:variant>
      <vt:variant>
        <vt:i4>0</vt:i4>
      </vt:variant>
      <vt:variant>
        <vt:i4>5</vt:i4>
      </vt:variant>
      <vt:variant>
        <vt:lpwstr>https://csu.gov.cz/produkty/information-society-in-figures-v5yawboq9v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Definice a vymezení ICT sektoru</dc:title>
  <dc:subject/>
  <dc:creator>Jan Pospíchal</dc:creator>
  <cp:keywords/>
  <cp:lastModifiedBy>Dohnal Martin</cp:lastModifiedBy>
  <cp:revision>2</cp:revision>
  <cp:lastPrinted>2018-11-26T07:46:00Z</cp:lastPrinted>
  <dcterms:created xsi:type="dcterms:W3CDTF">2025-12-16T09:00:00Z</dcterms:created>
  <dcterms:modified xsi:type="dcterms:W3CDTF">2025-12-16T09:00:00Z</dcterms:modified>
</cp:coreProperties>
</file>