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836FBD" w:rsidP="0097104F">
      <w:pPr>
        <w:pStyle w:val="Nadpis1"/>
      </w:pPr>
      <w:r w:rsidRPr="00836FBD">
        <w:t xml:space="preserve">Meziroční růst </w:t>
      </w:r>
      <w:r w:rsidR="00DE40E0">
        <w:t>spotřebitelských cen zrychlil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DE40E0">
        <w:t>listopad</w:t>
      </w:r>
      <w:r w:rsidR="00250429">
        <w:t> 2019</w:t>
      </w:r>
    </w:p>
    <w:p w:rsidR="00C031B4" w:rsidRPr="0072569E" w:rsidRDefault="00DE40E0" w:rsidP="00C031B4">
      <w:pPr>
        <w:pStyle w:val="Perex"/>
        <w:rPr>
          <w:b w:val="0"/>
        </w:rPr>
      </w:pPr>
      <w:r w:rsidRPr="002E7BAD">
        <w:t xml:space="preserve">Spotřebitelské ceny </w:t>
      </w:r>
      <w:r>
        <w:t>vzrostly</w:t>
      </w:r>
      <w:r w:rsidRPr="002E7BAD">
        <w:t xml:space="preserve"> v </w:t>
      </w:r>
      <w:r>
        <w:t>listopadu</w:t>
      </w:r>
      <w:r w:rsidRPr="002E7BAD">
        <w:t xml:space="preserve"> proti </w:t>
      </w:r>
      <w:r>
        <w:t>říjnu</w:t>
      </w:r>
      <w:r w:rsidRPr="002E7BAD">
        <w:t xml:space="preserve"> o 0,</w:t>
      </w:r>
      <w:r>
        <w:t>3</w:t>
      </w:r>
      <w:r w:rsidRPr="002E7BAD">
        <w:t> %</w:t>
      </w:r>
      <w:r>
        <w:t xml:space="preserve">. </w:t>
      </w:r>
      <w:r w:rsidRPr="005478A9">
        <w:t>Tento</w:t>
      </w:r>
      <w:r w:rsidRPr="00186648">
        <w:t xml:space="preserve"> </w:t>
      </w:r>
      <w:r>
        <w:t xml:space="preserve">vývoj </w:t>
      </w:r>
      <w:r w:rsidRPr="00186648">
        <w:t xml:space="preserve">ovlivnil </w:t>
      </w:r>
      <w:r>
        <w:t xml:space="preserve">zejména růst </w:t>
      </w:r>
      <w:r w:rsidRPr="00186648">
        <w:t>cen v</w:t>
      </w:r>
      <w:r>
        <w:t> </w:t>
      </w:r>
      <w:r w:rsidRPr="00186648">
        <w:t>oddíle</w:t>
      </w:r>
      <w:r>
        <w:t xml:space="preserve"> potraviny a nealkoholické nápoje a v oddíle bydlení.</w:t>
      </w:r>
      <w:r w:rsidRPr="00186648">
        <w:t xml:space="preserve"> </w:t>
      </w:r>
      <w:r w:rsidRPr="002E7BAD">
        <w:t>Meziročně vzrostly spotřebitelské ceny v </w:t>
      </w:r>
      <w:r>
        <w:t>listopadu</w:t>
      </w:r>
      <w:r w:rsidRPr="002E7BAD">
        <w:t xml:space="preserve"> o </w:t>
      </w:r>
      <w:r>
        <w:t>3,1</w:t>
      </w:r>
      <w:r w:rsidRPr="002E7BAD">
        <w:t> %</w:t>
      </w:r>
      <w:r>
        <w:t>, což bylo o 0,4</w:t>
      </w:r>
      <w:r w:rsidRPr="00895A77">
        <w:t xml:space="preserve"> procentního bodu </w:t>
      </w:r>
      <w:r>
        <w:t>více než </w:t>
      </w:r>
      <w:r w:rsidRPr="00895A77">
        <w:t>v</w:t>
      </w:r>
      <w:r>
        <w:t xml:space="preserve"> říjnu. </w:t>
      </w:r>
      <w:r w:rsidRPr="00FC7031">
        <w:t>Jednalo se o nejvyšší meziroční růst cen od října 2012.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DE40E0" w:rsidRDefault="00DE40E0" w:rsidP="00DE40E0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49363E">
        <w:rPr>
          <w:rFonts w:cs="Arial"/>
          <w:szCs w:val="20"/>
        </w:rPr>
        <w:t xml:space="preserve">Růst cen v oddíle </w:t>
      </w:r>
      <w:r w:rsidRPr="00136C16">
        <w:rPr>
          <w:rFonts w:cs="Arial"/>
          <w:szCs w:val="20"/>
        </w:rPr>
        <w:t>potraviny a nealkoholické nápoje</w:t>
      </w:r>
      <w:r>
        <w:rPr>
          <w:rFonts w:cs="Arial"/>
          <w:szCs w:val="20"/>
        </w:rPr>
        <w:t xml:space="preserve"> byl ovlivněn především vyššími cenami zeleniny o 4,5 %, ovoce o 3,4 %, vepřového masa o </w:t>
      </w:r>
      <w:r w:rsidRPr="00E841E7">
        <w:rPr>
          <w:rFonts w:cs="Arial"/>
          <w:szCs w:val="20"/>
        </w:rPr>
        <w:t>4,1</w:t>
      </w:r>
      <w:r>
        <w:rPr>
          <w:rFonts w:cs="Arial"/>
          <w:szCs w:val="20"/>
        </w:rPr>
        <w:t> %, sýrů a tvarohů o 2,0 %, uzenin o 1,4 % a cukru o 11,3 %. V oddíle bydlení vzrostly zejména ceny elektřiny o 1,4 %.</w:t>
      </w:r>
    </w:p>
    <w:p w:rsidR="00DE40E0" w:rsidRDefault="00DE40E0" w:rsidP="00DE40E0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2E7BAD">
        <w:rPr>
          <w:rFonts w:eastAsia="Calibri" w:cs="Arial"/>
          <w:szCs w:val="20"/>
        </w:rPr>
        <w:t>Na snižování celkové hladiny spotřebitelských cen působil v </w:t>
      </w:r>
      <w:r>
        <w:rPr>
          <w:rFonts w:eastAsia="Calibri" w:cs="Arial"/>
          <w:szCs w:val="20"/>
        </w:rPr>
        <w:t>listopadu</w:t>
      </w:r>
      <w:r w:rsidRPr="002E7BAD">
        <w:rPr>
          <w:rFonts w:eastAsia="Calibri" w:cs="Arial"/>
          <w:szCs w:val="20"/>
        </w:rPr>
        <w:t xml:space="preserve"> především pokles cen v oddíle </w:t>
      </w:r>
      <w:r>
        <w:rPr>
          <w:rFonts w:eastAsia="Calibri" w:cs="Arial"/>
          <w:szCs w:val="20"/>
        </w:rPr>
        <w:t>pošty a telekomunikace, kde byly nižší ceny telefonních a faxových služeb</w:t>
      </w:r>
      <w:r w:rsidRPr="00215B3B">
        <w:rPr>
          <w:rFonts w:eastAsia="Calibri" w:cs="Arial"/>
          <w:szCs w:val="20"/>
        </w:rPr>
        <w:t xml:space="preserve"> o</w:t>
      </w:r>
      <w:r>
        <w:rPr>
          <w:rFonts w:eastAsia="Calibri" w:cs="Arial"/>
          <w:szCs w:val="20"/>
        </w:rPr>
        <w:t> 2,2</w:t>
      </w:r>
      <w:r w:rsidRPr="00215B3B">
        <w:rPr>
          <w:rFonts w:eastAsia="Calibri" w:cs="Arial"/>
          <w:szCs w:val="20"/>
        </w:rPr>
        <w:t> %.</w:t>
      </w:r>
      <w:r>
        <w:rPr>
          <w:rFonts w:eastAsia="Calibri" w:cs="Arial"/>
          <w:szCs w:val="20"/>
        </w:rPr>
        <w:t xml:space="preserve"> V oddíle doprava se snížily ceny pohonných hmot a olejů o 0,6 %. Cena benzinu </w:t>
      </w:r>
      <w:proofErr w:type="spellStart"/>
      <w:r>
        <w:rPr>
          <w:rFonts w:eastAsia="Calibri" w:cs="Arial"/>
          <w:szCs w:val="20"/>
        </w:rPr>
        <w:t>Natural</w:t>
      </w:r>
      <w:proofErr w:type="spellEnd"/>
      <w:r>
        <w:rPr>
          <w:rFonts w:eastAsia="Calibri" w:cs="Arial"/>
          <w:szCs w:val="20"/>
        </w:rPr>
        <w:t> 95, po pěti měsících poklesu, dosáhla hodnoty 31,95 Kč/l a byla tak nejnižší od letošního března. Z potravin klesly zejména c</w:t>
      </w:r>
      <w:r w:rsidRPr="002E7BAD">
        <w:rPr>
          <w:rFonts w:eastAsia="Calibri" w:cs="Arial"/>
          <w:szCs w:val="20"/>
        </w:rPr>
        <w:t xml:space="preserve">eny </w:t>
      </w:r>
      <w:r>
        <w:rPr>
          <w:rFonts w:eastAsia="Calibri" w:cs="Arial"/>
          <w:szCs w:val="20"/>
        </w:rPr>
        <w:t>nealkoholických nápojů o 1,6 %, olejů a tuků o 3,3 %.</w:t>
      </w:r>
    </w:p>
    <w:p w:rsidR="0007482F" w:rsidRDefault="00DE40E0" w:rsidP="00DE40E0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0,4 % a </w:t>
      </w:r>
      <w:r w:rsidRPr="00D554D7">
        <w:rPr>
          <w:rFonts w:cs="Arial"/>
          <w:szCs w:val="20"/>
        </w:rPr>
        <w:t xml:space="preserve">ceny služeb </w:t>
      </w:r>
      <w:r>
        <w:rPr>
          <w:rFonts w:cs="Arial"/>
          <w:szCs w:val="20"/>
        </w:rPr>
        <w:t>zůstaly na úrovni měsíce října</w:t>
      </w:r>
      <w:r w:rsidRPr="00D554D7">
        <w:rPr>
          <w:rFonts w:cs="Arial"/>
          <w:szCs w:val="20"/>
        </w:rPr>
        <w:t>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DE40E0" w:rsidRPr="00DE40E0" w:rsidRDefault="00DE40E0" w:rsidP="00DE40E0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DE40E0">
        <w:rPr>
          <w:rFonts w:cs="Arial"/>
          <w:szCs w:val="20"/>
        </w:rPr>
        <w:t>Meziročně vzrostly spotřebitelské ceny v listopadu o 3,1 %, což bylo o 0,4 procentního bodu více než v říjnu. Toto zrychlení meziročního cenového růstu bylo ovlivněno především cenami v oddíle potraviny a nealkoholické nápoje, a to částečně i vlivem jejich meziměsíčního poklesu v listopadu 2018. U řady potravin došlo buď k přechodu v růst z jejich říjnového poklesu, nebo ke zrychlení cenového růstu. Ceny mouky byly vyšší o 7,1 % (v říjnu pokles o 0,2 %) a ceny cukru o 13,6 % (v říjnu pokles o 6,9 %). Ceny vepřového masa v listopadu vzrostly o 13,3 % (v říjnu o 5,7 %), uzenin o 10,2 % (v říjnu o 8,4 %), ovoce o 16,2 % (v říjnu o 5,3 %) a zeleniny o 11,8 % (v říjnu o 2,5 %). Ke zmírnění meziročního cenového růstu došlo v oddíle alkoholické nápoje, tabák, kde ceny lihovin vzrostly o 2,2 % (v říjnu o 4,1 %).</w:t>
      </w:r>
    </w:p>
    <w:p w:rsidR="00DE40E0" w:rsidRPr="00DE40E0" w:rsidRDefault="00DE40E0" w:rsidP="00DE40E0">
      <w:pPr>
        <w:jc w:val="both"/>
        <w:rPr>
          <w:rFonts w:cs="Arial"/>
          <w:szCs w:val="20"/>
        </w:rPr>
      </w:pPr>
      <w:r w:rsidRPr="00DE40E0">
        <w:rPr>
          <w:rFonts w:cs="Arial"/>
          <w:szCs w:val="20"/>
        </w:rPr>
        <w:t xml:space="preserve">Na meziroční zvyšování cenové hladiny měly v listopadu opět </w:t>
      </w:r>
      <w:r w:rsidRPr="00DE40E0">
        <w:rPr>
          <w:szCs w:val="20"/>
        </w:rPr>
        <w:t xml:space="preserve">největší vliv ceny v oddíle bydlení, kde se zvýšily ceny nájemného z bytu o 3,8 %, vodného a stočného shodně o 2,6 %, elektřiny o 11,5 %, zemního plynu o 3,4 %, tuhých paliv o 1,0 %, tepla a teplé vody o 4,0 %. Další v pořadí vlivu byly ceny v oddíle </w:t>
      </w:r>
      <w:r w:rsidRPr="00DE40E0">
        <w:rPr>
          <w:rFonts w:cs="Arial"/>
          <w:szCs w:val="20"/>
        </w:rPr>
        <w:t>potraviny a nealkoholické nápoje, kde vzrostly ceny masa o 7,8 %, jogurtů o 5,7 % a brambor o 23,5 %. Vliv na zvýšení celkové cenové hladiny měly také ceny</w:t>
      </w:r>
      <w:r w:rsidRPr="00DE40E0">
        <w:rPr>
          <w:szCs w:val="20"/>
        </w:rPr>
        <w:t xml:space="preserve"> v</w:t>
      </w:r>
      <w:r w:rsidRPr="00DE40E0">
        <w:rPr>
          <w:rFonts w:cs="Arial"/>
          <w:szCs w:val="20"/>
        </w:rPr>
        <w:t> oddíle stravování a ubytování, kde byly vyšší ceny stravovacích služeb o 4,8 % a ceny ubytovacích služeb o 3,3 %.</w:t>
      </w:r>
    </w:p>
    <w:p w:rsidR="00DE40E0" w:rsidRPr="00DE40E0" w:rsidRDefault="00DE40E0" w:rsidP="00DE40E0">
      <w:pPr>
        <w:pStyle w:val="Zkladntext"/>
        <w:tabs>
          <w:tab w:val="left" w:pos="4900"/>
        </w:tabs>
        <w:spacing w:after="240"/>
        <w:jc w:val="both"/>
        <w:rPr>
          <w:rFonts w:eastAsia="Calibri"/>
          <w:i/>
          <w:iCs/>
          <w:szCs w:val="20"/>
        </w:rPr>
      </w:pPr>
      <w:r w:rsidRPr="00DE40E0">
        <w:rPr>
          <w:rFonts w:eastAsia="Calibri"/>
          <w:szCs w:val="20"/>
        </w:rPr>
        <w:t>Na meziroční snižování celkové cenové hladiny v listopadu nadále působily ceny v oddíle pošty a telekomunikace především vlivem cen telefonních a faxových služeb, které byly nižší o 4,1 %. Ceny v oddíle odívání a obuv klesly o 0,8 % a ceny v oddíle doprava o 0,1 %.</w:t>
      </w:r>
    </w:p>
    <w:p w:rsidR="00DE40E0" w:rsidRPr="00DE40E0" w:rsidRDefault="00DE40E0" w:rsidP="00DE40E0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DE40E0">
        <w:rPr>
          <w:rFonts w:cs="Arial"/>
          <w:szCs w:val="20"/>
        </w:rPr>
        <w:t>Ceny zboží úhrnem vzrostly o 2,9 % a ceny služeb o 3,7 %. Úhrnný index spotřebitelských cen bez započtení imputovaného nájemného (nákladů vlastnického bydlení) byl meziročně 103,1 %.</w:t>
      </w:r>
    </w:p>
    <w:p w:rsidR="00DE40E0" w:rsidRPr="00DE40E0" w:rsidRDefault="00DE40E0" w:rsidP="00DE40E0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DE40E0">
        <w:rPr>
          <w:rFonts w:cs="Arial"/>
          <w:szCs w:val="20"/>
        </w:rPr>
        <w:t>Míra inflace vyjádřená přírůstkem průměrného indexu spotřebitelských cen za posledních 12 měsíců proti průměru předchozích 12 měsíců byla v listopadu 2,7 %.</w:t>
      </w:r>
    </w:p>
    <w:p w:rsidR="00DE40E0" w:rsidRPr="00DE40E0" w:rsidRDefault="00DE40E0" w:rsidP="00DE40E0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DE40E0">
        <w:rPr>
          <w:rFonts w:cs="Arial"/>
          <w:b/>
          <w:sz w:val="20"/>
          <w:szCs w:val="20"/>
        </w:rPr>
        <w:lastRenderedPageBreak/>
        <w:t>Meziroční</w:t>
      </w:r>
      <w:r w:rsidRPr="00DE40E0">
        <w:rPr>
          <w:rFonts w:cs="Arial"/>
          <w:sz w:val="20"/>
          <w:szCs w:val="20"/>
        </w:rPr>
        <w:t xml:space="preserve"> změna průměrného </w:t>
      </w:r>
      <w:r w:rsidRPr="00DE40E0">
        <w:rPr>
          <w:rFonts w:cs="Arial"/>
          <w:b/>
          <w:bCs/>
          <w:sz w:val="20"/>
          <w:szCs w:val="20"/>
        </w:rPr>
        <w:t>harmonizovaného indexu spotřebitelských cen</w:t>
      </w:r>
      <w:r w:rsidRPr="00DE40E0">
        <w:rPr>
          <w:rFonts w:cs="Arial"/>
          <w:sz w:val="20"/>
          <w:szCs w:val="20"/>
        </w:rPr>
        <w:t xml:space="preserve"> (HICP)</w:t>
      </w:r>
      <w:r w:rsidRPr="00DE40E0">
        <w:rPr>
          <w:rStyle w:val="Znakapoznpodarou"/>
          <w:rFonts w:cs="Arial"/>
          <w:sz w:val="20"/>
          <w:szCs w:val="20"/>
        </w:rPr>
        <w:footnoteReference w:id="1"/>
      </w:r>
      <w:r w:rsidRPr="00DE40E0">
        <w:rPr>
          <w:rFonts w:cs="Arial"/>
          <w:sz w:val="20"/>
          <w:szCs w:val="20"/>
          <w:vertAlign w:val="superscript"/>
        </w:rPr>
        <w:t>)</w:t>
      </w:r>
      <w:r w:rsidRPr="00DE40E0">
        <w:rPr>
          <w:rFonts w:cs="Arial"/>
          <w:sz w:val="20"/>
          <w:szCs w:val="20"/>
        </w:rPr>
        <w:t xml:space="preserve"> </w:t>
      </w:r>
      <w:r w:rsidRPr="00DE40E0">
        <w:rPr>
          <w:rFonts w:cs="Arial"/>
          <w:b/>
          <w:bCs/>
          <w:sz w:val="20"/>
          <w:szCs w:val="20"/>
        </w:rPr>
        <w:t>28 členských zemí EU</w:t>
      </w:r>
      <w:r w:rsidRPr="00DE40E0">
        <w:rPr>
          <w:rFonts w:cs="Arial"/>
          <w:sz w:val="20"/>
          <w:szCs w:val="20"/>
        </w:rPr>
        <w:t xml:space="preserve"> byla podle předběžných údajů Eurostatu </w:t>
      </w:r>
      <w:r w:rsidRPr="00DE40E0">
        <w:rPr>
          <w:rFonts w:cs="Arial"/>
          <w:b/>
          <w:sz w:val="20"/>
          <w:szCs w:val="20"/>
        </w:rPr>
        <w:t xml:space="preserve">v říjnu </w:t>
      </w:r>
      <w:r w:rsidRPr="00DE40E0">
        <w:rPr>
          <w:rFonts w:cs="Arial"/>
          <w:sz w:val="20"/>
          <w:szCs w:val="20"/>
        </w:rPr>
        <w:t xml:space="preserve">1,1 %, což bylo o 0,1 procentního bodu méně než v září. </w:t>
      </w:r>
      <w:r w:rsidRPr="00DE40E0">
        <w:rPr>
          <w:rFonts w:cs="Arial"/>
          <w:bCs/>
          <w:sz w:val="20"/>
          <w:szCs w:val="20"/>
        </w:rPr>
        <w:t xml:space="preserve">Nejvíce ceny vzrostly v Rumunsku (o 3,2 %). </w:t>
      </w:r>
      <w:r w:rsidRPr="00DE40E0">
        <w:rPr>
          <w:rFonts w:cs="Arial"/>
          <w:sz w:val="20"/>
          <w:szCs w:val="20"/>
        </w:rPr>
        <w:t>Naopak ve třech zemích EU ceny klesly, z toho nejvíce na Kypru (</w:t>
      </w:r>
      <w:r w:rsidRPr="00DE40E0">
        <w:rPr>
          <w:rFonts w:cs="Arial"/>
          <w:bCs/>
          <w:sz w:val="20"/>
          <w:szCs w:val="20"/>
        </w:rPr>
        <w:t>o 0,5 %). Na Slovensku</w:t>
      </w:r>
      <w:r w:rsidRPr="00DE40E0">
        <w:rPr>
          <w:rFonts w:cs="Arial"/>
          <w:sz w:val="20"/>
          <w:szCs w:val="20"/>
        </w:rPr>
        <w:t xml:space="preserve"> se ceny v říjnu zvýšily o 2,9 % (v září o 3,0 %). V Německu byly ceny v říjnu i v září vyšší o 0,9 %. Podle předběžných výpočtů vzrostl </w:t>
      </w:r>
      <w:r w:rsidRPr="00DE40E0">
        <w:rPr>
          <w:rFonts w:cs="Arial"/>
          <w:b/>
          <w:sz w:val="20"/>
          <w:szCs w:val="20"/>
        </w:rPr>
        <w:t xml:space="preserve">v listopadu </w:t>
      </w:r>
      <w:r w:rsidRPr="00DE40E0">
        <w:rPr>
          <w:rFonts w:cs="Arial"/>
          <w:sz w:val="20"/>
          <w:szCs w:val="20"/>
        </w:rPr>
        <w:t>HICP v ČR</w:t>
      </w:r>
      <w:r w:rsidRPr="00DE40E0">
        <w:rPr>
          <w:rFonts w:cs="Arial"/>
          <w:b/>
          <w:sz w:val="20"/>
          <w:szCs w:val="20"/>
        </w:rPr>
        <w:t xml:space="preserve"> meziměsíčně</w:t>
      </w:r>
      <w:r w:rsidRPr="00DE40E0">
        <w:rPr>
          <w:rFonts w:cs="Arial"/>
          <w:sz w:val="20"/>
          <w:szCs w:val="20"/>
        </w:rPr>
        <w:t xml:space="preserve"> o 0,1 % a </w:t>
      </w:r>
      <w:r w:rsidRPr="00DE40E0">
        <w:rPr>
          <w:rFonts w:cs="Arial"/>
          <w:b/>
          <w:sz w:val="20"/>
          <w:szCs w:val="20"/>
        </w:rPr>
        <w:t>meziročně</w:t>
      </w:r>
      <w:r w:rsidRPr="00DE40E0">
        <w:rPr>
          <w:rFonts w:cs="Arial"/>
          <w:sz w:val="20"/>
          <w:szCs w:val="20"/>
        </w:rPr>
        <w:t xml:space="preserve"> o 3,0 %. Bleskový odhad meziroční změny HICP </w:t>
      </w:r>
      <w:r w:rsidRPr="00DE40E0">
        <w:rPr>
          <w:rFonts w:cs="Arial"/>
          <w:b/>
          <w:sz w:val="20"/>
          <w:szCs w:val="20"/>
        </w:rPr>
        <w:t>pro</w:t>
      </w:r>
      <w:r w:rsidRPr="00DE40E0">
        <w:rPr>
          <w:rFonts w:cs="Arial"/>
          <w:b/>
          <w:bCs/>
          <w:sz w:val="20"/>
          <w:szCs w:val="20"/>
        </w:rPr>
        <w:t xml:space="preserve"> eurozónu </w:t>
      </w:r>
      <w:r w:rsidRPr="00DE40E0">
        <w:rPr>
          <w:rFonts w:cs="Arial"/>
          <w:b/>
          <w:sz w:val="20"/>
          <w:szCs w:val="20"/>
        </w:rPr>
        <w:t>za</w:t>
      </w:r>
      <w:r w:rsidRPr="00DE40E0">
        <w:rPr>
          <w:rFonts w:cs="Arial"/>
          <w:b/>
          <w:bCs/>
          <w:sz w:val="20"/>
          <w:szCs w:val="20"/>
        </w:rPr>
        <w:t> listopad 2019</w:t>
      </w:r>
      <w:r w:rsidRPr="00DE40E0">
        <w:rPr>
          <w:rFonts w:cs="Arial"/>
          <w:sz w:val="20"/>
          <w:szCs w:val="20"/>
        </w:rPr>
        <w:t xml:space="preserve"> je 1,0 %, jak uvedl Eurostat. (Více informací na internetových stránkách Eurostatu: </w:t>
      </w:r>
      <w:hyperlink r:id="rId8" w:history="1">
        <w:r w:rsidRPr="00DE40E0">
          <w:rPr>
            <w:rStyle w:val="Hypertextovodkaz"/>
            <w:sz w:val="20"/>
            <w:szCs w:val="20"/>
          </w:rPr>
          <w:t>HICP</w:t>
        </w:r>
      </w:hyperlink>
      <w:r w:rsidRPr="00DE40E0">
        <w:rPr>
          <w:sz w:val="20"/>
          <w:szCs w:val="20"/>
        </w:rPr>
        <w:t>.</w:t>
      </w:r>
      <w:r w:rsidRPr="00DE40E0">
        <w:rPr>
          <w:rFonts w:cs="Arial"/>
          <w:sz w:val="20"/>
          <w:szCs w:val="20"/>
        </w:rPr>
        <w:t>)</w:t>
      </w:r>
    </w:p>
    <w:p w:rsidR="00DE40E0" w:rsidRPr="00DE40E0" w:rsidRDefault="00DE40E0" w:rsidP="00DE40E0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DE40E0" w:rsidRPr="00DE40E0" w:rsidRDefault="00DE40E0" w:rsidP="00DE40E0">
      <w:pPr>
        <w:pStyle w:val="Zkladntextodsazen3"/>
        <w:spacing w:after="240" w:line="288" w:lineRule="auto"/>
        <w:ind w:left="0"/>
        <w:jc w:val="center"/>
        <w:rPr>
          <w:rFonts w:cs="Arial"/>
          <w:sz w:val="20"/>
          <w:szCs w:val="20"/>
        </w:rPr>
      </w:pPr>
      <w:r w:rsidRPr="00DE40E0">
        <w:rPr>
          <w:rFonts w:cs="Arial"/>
          <w:sz w:val="20"/>
          <w:szCs w:val="20"/>
        </w:rPr>
        <w:t>* * *</w:t>
      </w:r>
    </w:p>
    <w:p w:rsidR="00D20C94" w:rsidRPr="00DE40E0" w:rsidRDefault="00DE40E0" w:rsidP="00DE40E0">
      <w:pPr>
        <w:jc w:val="both"/>
        <w:rPr>
          <w:rFonts w:cs="Arial"/>
          <w:iCs/>
          <w:szCs w:val="20"/>
        </w:rPr>
      </w:pPr>
      <w:r w:rsidRPr="00DE40E0">
        <w:rPr>
          <w:rFonts w:cs="Arial"/>
          <w:iCs/>
          <w:szCs w:val="20"/>
        </w:rPr>
        <w:t>Od ledna 2020 budou indexy spotřebitelských cen počítány na aktualizovaných vahách, které budou vycházet z výdajů domácností v roce 2018. Nově vypočítávané indexy budou na všech úrovních spotřebního koše řetězeny k časové řadě indexů o základu průměr roku 2015 = 100. Tím bude zajištěno pokračování této časové řady, ze které budou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D20C94" w:rsidRPr="00DE40E0" w:rsidSect="00EF11F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2F0" w:rsidRDefault="00A462F0" w:rsidP="00E71A58">
      <w:r>
        <w:separator/>
      </w:r>
    </w:p>
  </w:endnote>
  <w:endnote w:type="continuationSeparator" w:id="0">
    <w:p w:rsidR="00A462F0" w:rsidRDefault="00A462F0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CA2A0E">
      <w:rPr>
        <w:szCs w:val="16"/>
      </w:rPr>
      <w:t>listopad</w:t>
    </w:r>
    <w:r>
      <w:rPr>
        <w:rStyle w:val="ZpatChar"/>
        <w:szCs w:val="16"/>
      </w:rPr>
      <w:t xml:space="preserve"> 201</w:t>
    </w:r>
    <w:r w:rsidR="00B15543">
      <w:rPr>
        <w:rStyle w:val="ZpatChar"/>
        <w:szCs w:val="16"/>
      </w:rPr>
      <w:t>9</w:t>
    </w:r>
    <w:r w:rsidRPr="00F1639F">
      <w:rPr>
        <w:rStyle w:val="ZpatChar"/>
        <w:szCs w:val="16"/>
      </w:rPr>
      <w:t xml:space="preserve"> / </w:t>
    </w:r>
    <w:r w:rsidR="00CA2A0E">
      <w:rPr>
        <w:rStyle w:val="ZpatChar"/>
        <w:i/>
        <w:szCs w:val="16"/>
      </w:rPr>
      <w:t>Novem</w:t>
    </w:r>
    <w:r w:rsidR="007A2B58">
      <w:rPr>
        <w:rStyle w:val="ZpatChar"/>
        <w:i/>
        <w:szCs w:val="16"/>
      </w:rPr>
      <w:t>ber</w:t>
    </w:r>
    <w:r>
      <w:rPr>
        <w:rStyle w:val="ZpatChar"/>
        <w:i/>
        <w:szCs w:val="16"/>
      </w:rPr>
      <w:t xml:space="preserve"> 201</w:t>
    </w:r>
    <w:r w:rsidR="00B15543">
      <w:rPr>
        <w:rStyle w:val="ZpatChar"/>
        <w:i/>
        <w:szCs w:val="16"/>
      </w:rPr>
      <w:t>9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2F0" w:rsidRDefault="00A462F0" w:rsidP="00E71A58">
      <w:r>
        <w:separator/>
      </w:r>
    </w:p>
  </w:footnote>
  <w:footnote w:type="continuationSeparator" w:id="0">
    <w:p w:rsidR="00A462F0" w:rsidRDefault="00A462F0" w:rsidP="00E71A58">
      <w:r>
        <w:continuationSeparator/>
      </w:r>
    </w:p>
  </w:footnote>
  <w:footnote w:id="1">
    <w:p w:rsidR="00DE40E0" w:rsidRDefault="00DE40E0" w:rsidP="00DE40E0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22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6C4F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39C1"/>
    <w:rsid w:val="000C55F1"/>
    <w:rsid w:val="000C6AFD"/>
    <w:rsid w:val="000D5637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405FA"/>
    <w:rsid w:val="00141E67"/>
    <w:rsid w:val="001425C3"/>
    <w:rsid w:val="00144715"/>
    <w:rsid w:val="00147D26"/>
    <w:rsid w:val="00155623"/>
    <w:rsid w:val="00157546"/>
    <w:rsid w:val="0016256B"/>
    <w:rsid w:val="00163793"/>
    <w:rsid w:val="001637B7"/>
    <w:rsid w:val="001706D6"/>
    <w:rsid w:val="001714F2"/>
    <w:rsid w:val="00176E2A"/>
    <w:rsid w:val="001778BB"/>
    <w:rsid w:val="001849F2"/>
    <w:rsid w:val="00184B08"/>
    <w:rsid w:val="00184B32"/>
    <w:rsid w:val="00185010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34DB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71465"/>
    <w:rsid w:val="00284581"/>
    <w:rsid w:val="00285412"/>
    <w:rsid w:val="002901CD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6920"/>
    <w:rsid w:val="003E0D5C"/>
    <w:rsid w:val="003E4C91"/>
    <w:rsid w:val="003F313C"/>
    <w:rsid w:val="003F551C"/>
    <w:rsid w:val="0040015F"/>
    <w:rsid w:val="00407C13"/>
    <w:rsid w:val="00410638"/>
    <w:rsid w:val="00410DDA"/>
    <w:rsid w:val="00432A58"/>
    <w:rsid w:val="00434617"/>
    <w:rsid w:val="00435DF6"/>
    <w:rsid w:val="00440900"/>
    <w:rsid w:val="004441A0"/>
    <w:rsid w:val="004472CA"/>
    <w:rsid w:val="00456343"/>
    <w:rsid w:val="00464079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5F1"/>
    <w:rsid w:val="004847E4"/>
    <w:rsid w:val="00484ECE"/>
    <w:rsid w:val="00486FFD"/>
    <w:rsid w:val="004915CB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B336F"/>
    <w:rsid w:val="005C06ED"/>
    <w:rsid w:val="005C2A6E"/>
    <w:rsid w:val="005D5802"/>
    <w:rsid w:val="005D7890"/>
    <w:rsid w:val="005D7D83"/>
    <w:rsid w:val="005E7C7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5ACC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8D8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F259A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53C"/>
    <w:rsid w:val="00794677"/>
    <w:rsid w:val="00795A42"/>
    <w:rsid w:val="007A2B58"/>
    <w:rsid w:val="007A55DC"/>
    <w:rsid w:val="007B6689"/>
    <w:rsid w:val="007B71A0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31FF"/>
    <w:rsid w:val="008E6F06"/>
    <w:rsid w:val="008F029B"/>
    <w:rsid w:val="008F09C3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050D2"/>
    <w:rsid w:val="00A10D66"/>
    <w:rsid w:val="00A14114"/>
    <w:rsid w:val="00A23E43"/>
    <w:rsid w:val="00A25225"/>
    <w:rsid w:val="00A30F65"/>
    <w:rsid w:val="00A33C97"/>
    <w:rsid w:val="00A418BC"/>
    <w:rsid w:val="00A4414A"/>
    <w:rsid w:val="00A457A9"/>
    <w:rsid w:val="00A462F0"/>
    <w:rsid w:val="00A46DE0"/>
    <w:rsid w:val="00A50D73"/>
    <w:rsid w:val="00A5135D"/>
    <w:rsid w:val="00A52CAD"/>
    <w:rsid w:val="00A53FC7"/>
    <w:rsid w:val="00A62CE1"/>
    <w:rsid w:val="00A66C37"/>
    <w:rsid w:val="00A6741E"/>
    <w:rsid w:val="00A75799"/>
    <w:rsid w:val="00A75E40"/>
    <w:rsid w:val="00A77D1D"/>
    <w:rsid w:val="00A857C0"/>
    <w:rsid w:val="00A87EBC"/>
    <w:rsid w:val="00A94D1E"/>
    <w:rsid w:val="00AA2996"/>
    <w:rsid w:val="00AA52BF"/>
    <w:rsid w:val="00AA559A"/>
    <w:rsid w:val="00AA765E"/>
    <w:rsid w:val="00AB24DE"/>
    <w:rsid w:val="00AB2AF1"/>
    <w:rsid w:val="00AC12B4"/>
    <w:rsid w:val="00AC1F42"/>
    <w:rsid w:val="00AD306C"/>
    <w:rsid w:val="00AE09B3"/>
    <w:rsid w:val="00AE1A83"/>
    <w:rsid w:val="00AE45C6"/>
    <w:rsid w:val="00AF7B3E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0E75"/>
    <w:rsid w:val="00B4155F"/>
    <w:rsid w:val="00B46604"/>
    <w:rsid w:val="00B47A70"/>
    <w:rsid w:val="00B51030"/>
    <w:rsid w:val="00B5316B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8B9"/>
    <w:rsid w:val="00BE239E"/>
    <w:rsid w:val="00BE2495"/>
    <w:rsid w:val="00BE3108"/>
    <w:rsid w:val="00BF1578"/>
    <w:rsid w:val="00C02ABF"/>
    <w:rsid w:val="00C031B4"/>
    <w:rsid w:val="00C03B89"/>
    <w:rsid w:val="00C21F94"/>
    <w:rsid w:val="00C25A18"/>
    <w:rsid w:val="00C27913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12A2B"/>
    <w:rsid w:val="00D13986"/>
    <w:rsid w:val="00D20C94"/>
    <w:rsid w:val="00D25F28"/>
    <w:rsid w:val="00D26279"/>
    <w:rsid w:val="00D27973"/>
    <w:rsid w:val="00D3124A"/>
    <w:rsid w:val="00D33DFB"/>
    <w:rsid w:val="00D50F46"/>
    <w:rsid w:val="00D559EE"/>
    <w:rsid w:val="00D66223"/>
    <w:rsid w:val="00D770D1"/>
    <w:rsid w:val="00D8084C"/>
    <w:rsid w:val="00D8694F"/>
    <w:rsid w:val="00DA41E3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E40E0"/>
    <w:rsid w:val="00DF42FF"/>
    <w:rsid w:val="00DF5285"/>
    <w:rsid w:val="00DF5B53"/>
    <w:rsid w:val="00DF5CA0"/>
    <w:rsid w:val="00E003DF"/>
    <w:rsid w:val="00E01C0E"/>
    <w:rsid w:val="00E03F9A"/>
    <w:rsid w:val="00E04694"/>
    <w:rsid w:val="00E061E4"/>
    <w:rsid w:val="00E12B1E"/>
    <w:rsid w:val="00E1438A"/>
    <w:rsid w:val="00E17262"/>
    <w:rsid w:val="00E17D21"/>
    <w:rsid w:val="00E253A2"/>
    <w:rsid w:val="00E2708E"/>
    <w:rsid w:val="00E3309D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907D8"/>
    <w:rsid w:val="00E93820"/>
    <w:rsid w:val="00E93F6D"/>
    <w:rsid w:val="00E96E34"/>
    <w:rsid w:val="00EA0C68"/>
    <w:rsid w:val="00EB68E4"/>
    <w:rsid w:val="00EC03D7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77CB6"/>
    <w:rsid w:val="00F85066"/>
    <w:rsid w:val="00F91B42"/>
    <w:rsid w:val="00F943EC"/>
    <w:rsid w:val="00F96717"/>
    <w:rsid w:val="00FA16F5"/>
    <w:rsid w:val="00FA1FD4"/>
    <w:rsid w:val="00FA5D4D"/>
    <w:rsid w:val="00FA6941"/>
    <w:rsid w:val="00FB1D79"/>
    <w:rsid w:val="00FC079A"/>
    <w:rsid w:val="00FC0E5F"/>
    <w:rsid w:val="00FC1A95"/>
    <w:rsid w:val="00FC56DE"/>
    <w:rsid w:val="00FC684B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FFE59-E59F-4EDF-AE71-99B9DFD4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179</TotalTime>
  <Pages>2</Pages>
  <Words>659</Words>
  <Characters>3890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106</cp:revision>
  <cp:lastPrinted>2017-01-18T13:33:00Z</cp:lastPrinted>
  <dcterms:created xsi:type="dcterms:W3CDTF">2017-02-09T16:27:00Z</dcterms:created>
  <dcterms:modified xsi:type="dcterms:W3CDTF">2019-12-10T09:04:00Z</dcterms:modified>
</cp:coreProperties>
</file>