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bookmarkStart w:id="0" w:name="_GoBack"/>
      <w:bookmarkEnd w:id="0"/>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and corre</w:t>
      </w:r>
      <w:r w:rsidR="00AE0B32">
        <w:rPr>
          <w:rFonts w:ascii="Arial" w:hAnsi="Arial"/>
          <w:sz w:val="20"/>
          <w:lang w:val="en-GB"/>
        </w:rPr>
        <w:t>sponds to Council Regulation (EU</w:t>
      </w:r>
      <w:r w:rsidRPr="00D22E3D">
        <w:rPr>
          <w:rFonts w:ascii="Arial" w:hAnsi="Arial"/>
          <w:sz w:val="20"/>
          <w:lang w:val="en-GB"/>
        </w:rPr>
        <w:t xml:space="preserve">).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D22E3D">
        <w:rPr>
          <w:rFonts w:ascii="Arial" w:hAnsi="Arial" w:cs="Arial"/>
          <w:lang w:val="en-GB"/>
        </w:rPr>
        <w:t>.</w:t>
      </w:r>
      <w:proofErr w:type="gramEnd"/>
      <w:r w:rsidRPr="00D22E3D">
        <w:rPr>
          <w:rFonts w:ascii="Arial" w:hAnsi="Arial" w:cs="Arial"/>
          <w:lang w:val="en-GB"/>
        </w:rPr>
        <w:t xml:space="preserve">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561710">
        <w:rPr>
          <w:rFonts w:ascii="Arial" w:hAnsi="Arial" w:cs="Arial"/>
          <w:lang w:val="en-GB"/>
        </w:rPr>
        <w:t>2</w:t>
      </w:r>
      <w:r w:rsidR="00A840FC">
        <w:rPr>
          <w:rFonts w:ascii="Arial" w:hAnsi="Arial" w:cs="Arial"/>
          <w:lang w:val="en-GB"/>
        </w:rPr>
        <w:t xml:space="preserve"> 2022</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3B0D7F">
        <w:rPr>
          <w:rFonts w:ascii="Arial" w:hAnsi="Arial" w:cs="Arial"/>
          <w:lang w:val="en-GB"/>
        </w:rPr>
        <w:t>over</w:t>
      </w:r>
      <w:r w:rsidRPr="00D22E3D">
        <w:rPr>
          <w:rFonts w:ascii="Arial" w:hAnsi="Arial" w:cs="Arial"/>
          <w:lang w:val="en-GB"/>
        </w:rPr>
        <w:t xml:space="preserve"> </w:t>
      </w:r>
      <w:r w:rsidR="00FE6185" w:rsidRPr="00D22E3D">
        <w:rPr>
          <w:rFonts w:ascii="Arial" w:hAnsi="Arial" w:cs="Arial"/>
          <w:b/>
          <w:lang w:val="en-GB"/>
        </w:rPr>
        <w:t>23</w:t>
      </w:r>
      <w:r w:rsidRPr="00D22E3D">
        <w:rPr>
          <w:rFonts w:ascii="Arial" w:hAnsi="Arial" w:cs="Arial"/>
          <w:b/>
          <w:lang w:val="en-GB"/>
        </w:rPr>
        <w:t> thousand dwellings</w:t>
      </w:r>
      <w:r w:rsidR="00E73094">
        <w:rPr>
          <w:rFonts w:ascii="Arial" w:hAnsi="Arial" w:cs="Arial"/>
          <w:lang w:val="en-GB"/>
        </w:rPr>
        <w:t xml:space="preserve"> on the territory of the whole </w:t>
      </w:r>
      <w:r w:rsidRPr="00D22E3D">
        <w:rPr>
          <w:rFonts w:ascii="Arial" w:hAnsi="Arial" w:cs="Arial"/>
          <w:lang w:val="en-GB"/>
        </w:rPr>
        <w:t xml:space="preserve">Czech Republic (0.6% of all permanently occupied dwellings), in which </w:t>
      </w:r>
      <w:r w:rsidR="00561710">
        <w:rPr>
          <w:rFonts w:ascii="Arial" w:hAnsi="Arial" w:cs="Arial"/>
          <w:lang w:val="en-GB"/>
        </w:rPr>
        <w:t>over</w:t>
      </w:r>
      <w:r w:rsidR="00A840FC">
        <w:rPr>
          <w:rFonts w:ascii="Arial" w:hAnsi="Arial" w:cs="Arial"/>
          <w:lang w:val="en-GB"/>
        </w:rPr>
        <w:t xml:space="preserve"> </w:t>
      </w:r>
      <w:r w:rsidR="00561710">
        <w:rPr>
          <w:rFonts w:ascii="Arial" w:hAnsi="Arial" w:cs="Arial"/>
          <w:b/>
          <w:bCs/>
          <w:lang w:val="en-GB"/>
        </w:rPr>
        <w:t>49</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561710">
        <w:rPr>
          <w:rFonts w:ascii="Arial" w:hAnsi="Arial" w:cs="Arial"/>
          <w:lang w:val="en-GB"/>
        </w:rPr>
        <w:t>more than</w:t>
      </w:r>
      <w:r w:rsidR="00E73094">
        <w:rPr>
          <w:rFonts w:ascii="Arial" w:hAnsi="Arial" w:cs="Arial"/>
          <w:lang w:val="en-GB"/>
        </w:rPr>
        <w:t xml:space="preserve"> </w:t>
      </w:r>
      <w:r w:rsidR="00E73094">
        <w:rPr>
          <w:rFonts w:ascii="Arial" w:hAnsi="Arial" w:cs="Arial"/>
          <w:b/>
          <w:bCs/>
          <w:lang w:val="en-GB"/>
        </w:rPr>
        <w:t>4</w:t>
      </w:r>
      <w:r w:rsidR="00561710">
        <w:rPr>
          <w:rFonts w:ascii="Arial" w:hAnsi="Arial" w:cs="Arial"/>
          <w:b/>
          <w:bCs/>
          <w:lang w:val="en-GB"/>
        </w:rPr>
        <w:t>2</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BA1244"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23088</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2016</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2856</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1732</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1541</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892</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1613</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1158</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1170</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1261</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1389</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2343</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1244</w:t>
            </w:r>
          </w:p>
        </w:tc>
        <w:tc>
          <w:tcPr>
            <w:tcW w:w="601" w:type="dxa"/>
            <w:tcBorders>
              <w:top w:val="dotted" w:sz="4" w:space="0" w:color="auto"/>
              <w:left w:val="dotted" w:sz="4" w:space="0" w:color="auto"/>
              <w:bottom w:val="dotted" w:sz="4" w:space="0" w:color="auto"/>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1278</w:t>
            </w:r>
          </w:p>
        </w:tc>
        <w:tc>
          <w:tcPr>
            <w:tcW w:w="601" w:type="dxa"/>
            <w:tcBorders>
              <w:top w:val="dotted" w:sz="4" w:space="0" w:color="auto"/>
              <w:left w:val="dotted" w:sz="4" w:space="0" w:color="auto"/>
              <w:bottom w:val="dotted" w:sz="4" w:space="0" w:color="auto"/>
              <w:right w:val="single" w:sz="12" w:space="0" w:color="000000"/>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2595</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BA1244" w:rsidRDefault="00961206" w:rsidP="001361AC">
            <w:pPr>
              <w:suppressAutoHyphens/>
              <w:spacing w:before="230" w:after="94"/>
              <w:jc w:val="center"/>
              <w:rPr>
                <w:rFonts w:ascii="Arial" w:hAnsi="Arial" w:cs="Arial"/>
                <w:sz w:val="18"/>
                <w:szCs w:val="18"/>
              </w:rPr>
            </w:pPr>
            <w:r w:rsidRPr="00BA1244">
              <w:rPr>
                <w:rFonts w:ascii="Arial" w:hAnsi="Arial" w:cs="Arial"/>
                <w:sz w:val="18"/>
                <w:szCs w:val="18"/>
                <w:lang w:val="en-GB"/>
              </w:rPr>
              <w:t>Number of persons aged 15 and over in the sample</w:t>
            </w:r>
          </w:p>
        </w:tc>
      </w:tr>
      <w:tr w:rsidR="00BA1244"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42252</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3229</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5261</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3113</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2967</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1601</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2846</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2099</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2165</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2379</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2692</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4576</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2251</w:t>
            </w:r>
          </w:p>
        </w:tc>
        <w:tc>
          <w:tcPr>
            <w:tcW w:w="601" w:type="dxa"/>
            <w:tcBorders>
              <w:top w:val="dotted" w:sz="4" w:space="0" w:color="auto"/>
              <w:left w:val="dotted" w:sz="4" w:space="0" w:color="auto"/>
              <w:bottom w:val="single" w:sz="12" w:space="0" w:color="000000"/>
              <w:right w:val="dotted" w:sz="4" w:space="0" w:color="auto"/>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2459</w:t>
            </w:r>
          </w:p>
        </w:tc>
        <w:tc>
          <w:tcPr>
            <w:tcW w:w="601" w:type="dxa"/>
            <w:tcBorders>
              <w:top w:val="dotted" w:sz="4" w:space="0" w:color="auto"/>
              <w:left w:val="dotted" w:sz="4" w:space="0" w:color="auto"/>
              <w:bottom w:val="single" w:sz="12" w:space="0" w:color="000000"/>
              <w:right w:val="single" w:sz="12" w:space="0" w:color="000000"/>
            </w:tcBorders>
            <w:vAlign w:val="bottom"/>
          </w:tcPr>
          <w:p w:rsidR="00BA1244" w:rsidRPr="00BA1244" w:rsidRDefault="00BA1244" w:rsidP="00BA1244">
            <w:pPr>
              <w:suppressAutoHyphens/>
              <w:spacing w:before="230" w:after="94"/>
              <w:jc w:val="center"/>
              <w:rPr>
                <w:rFonts w:ascii="Arial" w:hAnsi="Arial" w:cs="Arial"/>
                <w:sz w:val="18"/>
                <w:szCs w:val="18"/>
              </w:rPr>
            </w:pPr>
            <w:r w:rsidRPr="00BA1244">
              <w:rPr>
                <w:rFonts w:ascii="Arial" w:hAnsi="Arial" w:cs="Arial"/>
                <w:sz w:val="18"/>
                <w:szCs w:val="18"/>
              </w:rPr>
              <w:t>4614</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E21BD3"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6F1AA2" w:rsidRDefault="006F1AA2" w:rsidP="006F1AA2">
      <w:pPr>
        <w:pStyle w:val="Zkladntext3"/>
        <w:spacing w:after="0"/>
        <w:rPr>
          <w:b/>
          <w:lang w:val="en"/>
        </w:rPr>
      </w:pPr>
    </w:p>
    <w:p w:rsidR="006F1AA2" w:rsidRPr="006F1AA2" w:rsidRDefault="006F1AA2" w:rsidP="006F1AA2">
      <w:pPr>
        <w:pStyle w:val="Zkladntext3"/>
        <w:spacing w:after="0"/>
        <w:rPr>
          <w:lang w:val="en"/>
        </w:rPr>
      </w:pPr>
      <w:r w:rsidRPr="006F1AA2">
        <w:rPr>
          <w:b/>
          <w:lang w:val="en"/>
        </w:rPr>
        <w:t xml:space="preserve">Some indicators </w:t>
      </w:r>
      <w:r w:rsidRPr="006F1AA2">
        <w:rPr>
          <w:lang w:val="en"/>
        </w:rPr>
        <w:t>are surveyed</w:t>
      </w:r>
      <w:r w:rsidRPr="006F1AA2">
        <w:rPr>
          <w:b/>
          <w:lang w:val="en"/>
        </w:rPr>
        <w:t xml:space="preserve"> to a limited extent </w:t>
      </w:r>
      <w:r w:rsidRPr="006F1AA2">
        <w:rPr>
          <w:lang w:val="en"/>
        </w:rPr>
        <w:t>on a selected household visit (</w:t>
      </w:r>
      <w:r w:rsidR="004D3781" w:rsidRPr="006F1AA2">
        <w:rPr>
          <w:lang w:val="en"/>
        </w:rPr>
        <w:t>i.e.</w:t>
      </w:r>
      <w:r w:rsidRPr="006F1AA2">
        <w:rPr>
          <w:lang w:val="en"/>
        </w:rPr>
        <w:t xml:space="preserve"> not repeatedly every quarter). </w:t>
      </w:r>
      <w:r w:rsidR="004D3781">
        <w:rPr>
          <w:lang w:val="en"/>
        </w:rPr>
        <w:t>T</w:t>
      </w:r>
      <w:r w:rsidR="004D3781" w:rsidRPr="006F1AA2">
        <w:rPr>
          <w:lang w:val="en"/>
        </w:rPr>
        <w:t>herefore</w:t>
      </w:r>
      <w:r w:rsidR="004D3781">
        <w:rPr>
          <w:lang w:val="en"/>
        </w:rPr>
        <w:t xml:space="preserve"> they are </w:t>
      </w:r>
      <w:r w:rsidRPr="006F1AA2">
        <w:rPr>
          <w:lang w:val="en"/>
        </w:rPr>
        <w:t xml:space="preserve">not part of regular publications. Relevant data are available </w:t>
      </w:r>
      <w:r w:rsidRPr="006F1AA2">
        <w:rPr>
          <w:b/>
          <w:lang w:val="en"/>
        </w:rPr>
        <w:t>only as annual data</w:t>
      </w:r>
      <w:r w:rsidRPr="006F1AA2">
        <w:rPr>
          <w:lang w:val="en"/>
        </w:rPr>
        <w:t xml:space="preserve"> and can be requested through the CZSO information service. These are, for example, indicators:</w:t>
      </w:r>
    </w:p>
    <w:p w:rsidR="00942ABE" w:rsidRPr="00D22E3D" w:rsidRDefault="00A75BFB" w:rsidP="008A7EEA">
      <w:pPr>
        <w:pStyle w:val="Zkladntext3"/>
        <w:spacing w:after="0"/>
        <w:ind w:left="1276"/>
        <w:rPr>
          <w:lang w:val="en-GB"/>
        </w:rPr>
      </w:pPr>
      <w:r w:rsidRPr="00D22E3D">
        <w:rPr>
          <w:rStyle w:val="hps"/>
        </w:rPr>
        <w:t>- Persons</w:t>
      </w:r>
      <w:r w:rsidRPr="00D22E3D">
        <w:t xml:space="preserve"> </w:t>
      </w:r>
      <w:r w:rsidRPr="00D22E3D">
        <w:rPr>
          <w:rStyle w:val="hps"/>
        </w:rPr>
        <w:t>with disabilities</w:t>
      </w:r>
      <w:proofErr w:type="gramStart"/>
      <w:r w:rsidR="004D31BF">
        <w:rPr>
          <w:rStyle w:val="hps"/>
        </w:rPr>
        <w:t>;</w:t>
      </w:r>
      <w:proofErr w:type="gramEnd"/>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Saturday, Sunday</w:t>
      </w:r>
      <w:r w:rsidR="004D31BF">
        <w:rPr>
          <w:rStyle w:val="hps"/>
        </w:rPr>
        <w:t>.</w:t>
      </w:r>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D3" w:rsidRDefault="00E21BD3">
      <w:r>
        <w:separator/>
      </w:r>
    </w:p>
  </w:endnote>
  <w:endnote w:type="continuationSeparator" w:id="0">
    <w:p w:rsidR="00E21BD3" w:rsidRDefault="00E2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9472BF">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EB5183">
      <w:rPr>
        <w:rStyle w:val="slostrnky"/>
        <w:rFonts w:ascii="Arial" w:hAnsi="Arial" w:cs="Arial"/>
        <w:sz w:val="18"/>
      </w:rPr>
      <w:tab/>
      <w:t>Q2</w:t>
    </w:r>
    <w:r w:rsidR="0083240F">
      <w:rPr>
        <w:rStyle w:val="slostrnky"/>
        <w:rFonts w:ascii="Arial" w:hAnsi="Arial" w:cs="Arial"/>
        <w:sz w:val="18"/>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9472BF">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EB5183">
      <w:rPr>
        <w:rFonts w:ascii="Arial" w:hAnsi="Arial" w:cs="Arial"/>
        <w:sz w:val="18"/>
      </w:rPr>
      <w:t>Q2</w:t>
    </w:r>
    <w:r w:rsidR="0083240F">
      <w:rPr>
        <w:rFonts w:ascii="Arial" w:hAnsi="Arial" w:cs="Arial"/>
        <w:sz w:val="18"/>
      </w:rPr>
      <w:t xml:space="preserve"> 2022</w:t>
    </w:r>
    <w:r w:rsidR="0083240F">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D3" w:rsidRDefault="00E21BD3">
      <w:r>
        <w:separator/>
      </w:r>
    </w:p>
  </w:footnote>
  <w:footnote w:type="continuationSeparator" w:id="0">
    <w:p w:rsidR="00E21BD3" w:rsidRDefault="00E2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156A"/>
    <w:rsid w:val="00085566"/>
    <w:rsid w:val="00085A42"/>
    <w:rsid w:val="0009434B"/>
    <w:rsid w:val="00095F99"/>
    <w:rsid w:val="00096929"/>
    <w:rsid w:val="000A1B4B"/>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2F16"/>
    <w:rsid w:val="001B398B"/>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B2D69"/>
    <w:rsid w:val="002B3C79"/>
    <w:rsid w:val="002B5301"/>
    <w:rsid w:val="002C1B38"/>
    <w:rsid w:val="002C28AD"/>
    <w:rsid w:val="002C2CD9"/>
    <w:rsid w:val="002C7BA2"/>
    <w:rsid w:val="002D0343"/>
    <w:rsid w:val="002D0B8F"/>
    <w:rsid w:val="002D7B02"/>
    <w:rsid w:val="002E64BC"/>
    <w:rsid w:val="002E75CB"/>
    <w:rsid w:val="002F185A"/>
    <w:rsid w:val="002F2336"/>
    <w:rsid w:val="00302C58"/>
    <w:rsid w:val="003058D1"/>
    <w:rsid w:val="00306D4B"/>
    <w:rsid w:val="00312F68"/>
    <w:rsid w:val="003138E7"/>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6941"/>
    <w:rsid w:val="00346A14"/>
    <w:rsid w:val="00346B52"/>
    <w:rsid w:val="00347A1F"/>
    <w:rsid w:val="00347F7C"/>
    <w:rsid w:val="00351139"/>
    <w:rsid w:val="003558D4"/>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FDD"/>
    <w:rsid w:val="0040165D"/>
    <w:rsid w:val="00404208"/>
    <w:rsid w:val="004049FE"/>
    <w:rsid w:val="00405063"/>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5608"/>
    <w:rsid w:val="00496CA0"/>
    <w:rsid w:val="00496F3F"/>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7C2B"/>
    <w:rsid w:val="00514D92"/>
    <w:rsid w:val="00517FDC"/>
    <w:rsid w:val="0052194E"/>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A7EE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14CB7"/>
    <w:rsid w:val="00D15B9A"/>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650E"/>
    <w:rsid w:val="00DF3BBF"/>
    <w:rsid w:val="00DF56F0"/>
    <w:rsid w:val="00DF5FB6"/>
    <w:rsid w:val="00DF7DCA"/>
    <w:rsid w:val="00E01669"/>
    <w:rsid w:val="00E01C07"/>
    <w:rsid w:val="00E0314A"/>
    <w:rsid w:val="00E07BDC"/>
    <w:rsid w:val="00E10FDC"/>
    <w:rsid w:val="00E164B1"/>
    <w:rsid w:val="00E219E1"/>
    <w:rsid w:val="00E21BD3"/>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63F6"/>
    <w:rsid w:val="00E76858"/>
    <w:rsid w:val="00E82087"/>
    <w:rsid w:val="00E8599B"/>
    <w:rsid w:val="00E913BB"/>
    <w:rsid w:val="00E950F0"/>
    <w:rsid w:val="00E9610F"/>
    <w:rsid w:val="00E97724"/>
    <w:rsid w:val="00EA1F49"/>
    <w:rsid w:val="00EA25B6"/>
    <w:rsid w:val="00EA3F16"/>
    <w:rsid w:val="00EA594C"/>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80525"/>
    <w:rsid w:val="00F8293D"/>
    <w:rsid w:val="00F83009"/>
    <w:rsid w:val="00F847A1"/>
    <w:rsid w:val="00F90533"/>
    <w:rsid w:val="00F917DE"/>
    <w:rsid w:val="00F934B4"/>
    <w:rsid w:val="00F954C1"/>
    <w:rsid w:val="00FA0A64"/>
    <w:rsid w:val="00FA4582"/>
    <w:rsid w:val="00FB120B"/>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AA52E04"/>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90F9-B7E9-4058-973D-344CC1C7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4254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4965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2022-09-23T08:14:00Z</dcterms:created>
  <dcterms:modified xsi:type="dcterms:W3CDTF">2022-09-23T08:14:00Z</dcterms:modified>
</cp:coreProperties>
</file>