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FCB91" w14:textId="77777777" w:rsidR="00CA717C" w:rsidRDefault="00CA717C" w:rsidP="00AE6D5B">
      <w:pPr>
        <w:pStyle w:val="Datum"/>
      </w:pPr>
    </w:p>
    <w:p w14:paraId="2C5752BE" w14:textId="56D1B955" w:rsidR="00867569" w:rsidRPr="00AE6D5B" w:rsidRDefault="001057B1" w:rsidP="00AE6D5B">
      <w:pPr>
        <w:pStyle w:val="Datum"/>
      </w:pPr>
      <w:r>
        <w:t>16</w:t>
      </w:r>
      <w:r w:rsidR="0039142B">
        <w:t xml:space="preserve">. </w:t>
      </w:r>
      <w:r>
        <w:t>června</w:t>
      </w:r>
      <w:r w:rsidR="0039142B">
        <w:t xml:space="preserve"> 202</w:t>
      </w:r>
      <w:r w:rsidR="005D5D5B">
        <w:t>3</w:t>
      </w:r>
    </w:p>
    <w:p w14:paraId="2D0E0363" w14:textId="3952BCB8" w:rsidR="00867569" w:rsidRPr="00AE6D5B" w:rsidRDefault="00B60C78" w:rsidP="00AE6D5B">
      <w:pPr>
        <w:pStyle w:val="Nzev"/>
      </w:pPr>
      <w:r>
        <w:t xml:space="preserve">Domácí a zahraniční poptávka </w:t>
      </w:r>
      <w:r w:rsidR="00C0506B">
        <w:t xml:space="preserve">byly </w:t>
      </w:r>
      <w:r>
        <w:t>v protikladu</w:t>
      </w:r>
      <w:r w:rsidR="00BD7B35">
        <w:t xml:space="preserve"> </w:t>
      </w:r>
    </w:p>
    <w:p w14:paraId="0DA4C7EE" w14:textId="6E58F154" w:rsidR="00867569" w:rsidRPr="00AE6D5B" w:rsidRDefault="00414220" w:rsidP="00AE6D5B">
      <w:pPr>
        <w:pStyle w:val="Perex"/>
      </w:pPr>
      <w:r>
        <w:t xml:space="preserve">Česká ekonomika </w:t>
      </w:r>
      <w:r w:rsidR="00B60C78">
        <w:t>na začátku roku 2023 mezičtvrtletně stagnovala. Na hraně ji držel negativní vliv klesající domácí spotřeby i kapitálových výdajů kompenzovaný příznivým vývojem zahraniční poptávky.</w:t>
      </w:r>
      <w:r w:rsidR="002D413D">
        <w:t xml:space="preserve"> </w:t>
      </w:r>
      <w:r w:rsidR="00416780">
        <w:t xml:space="preserve"> </w:t>
      </w:r>
    </w:p>
    <w:p w14:paraId="0596BC92" w14:textId="1FDFB5A2" w:rsidR="00D6488E" w:rsidRPr="003D2DF2" w:rsidRDefault="00414220" w:rsidP="00D6488E">
      <w:pPr>
        <w:spacing w:after="240"/>
        <w:rPr>
          <w:i/>
        </w:rPr>
      </w:pPr>
      <w:r>
        <w:t xml:space="preserve">Hrubý domácí produkt </w:t>
      </w:r>
      <w:r w:rsidR="00B60C78">
        <w:t>v 1. čtvrtletí 2023 meziročně klesl o 0,4 % a mezičtvrtletně stagnoval.</w:t>
      </w:r>
      <w:r w:rsidR="00BF16DA">
        <w:t xml:space="preserve"> </w:t>
      </w:r>
      <w:r w:rsidR="007B5513">
        <w:rPr>
          <w:i/>
        </w:rPr>
        <w:t>„</w:t>
      </w:r>
      <w:r w:rsidR="00133BD7">
        <w:rPr>
          <w:i/>
        </w:rPr>
        <w:t xml:space="preserve">Pokračující reálný propad mezd nadále omezoval spotřebu domácností. Stále netypicky klesaly výdaje na netrvanlivé zboží a nižší byla i spotřeba služeb. Struktura investic ukázala také </w:t>
      </w:r>
      <w:r w:rsidR="00EB3EF5">
        <w:rPr>
          <w:i/>
        </w:rPr>
        <w:br/>
      </w:r>
      <w:r w:rsidR="00133BD7">
        <w:rPr>
          <w:i/>
        </w:rPr>
        <w:t>na pokles výdajů na obydlí, což je oblast, ve které se domácností realizují z naprosté většiny</w:t>
      </w:r>
      <w:r w:rsidR="00BA3777">
        <w:rPr>
          <w:i/>
        </w:rPr>
        <w:t>. Rostly investice do oblastí financovaných</w:t>
      </w:r>
      <w:r w:rsidR="00982ACD">
        <w:rPr>
          <w:i/>
        </w:rPr>
        <w:t xml:space="preserve"> primárně</w:t>
      </w:r>
      <w:r w:rsidR="00BA3777">
        <w:rPr>
          <w:i/>
        </w:rPr>
        <w:t xml:space="preserve"> podniky, jak</w:t>
      </w:r>
      <w:r w:rsidR="00FE33F6">
        <w:rPr>
          <w:i/>
        </w:rPr>
        <w:t>o</w:t>
      </w:r>
      <w:r w:rsidR="00BA3777">
        <w:rPr>
          <w:i/>
        </w:rPr>
        <w:t xml:space="preserve"> jsou dopravní prostředky, ICT a stroje a zařízení</w:t>
      </w:r>
      <w:r w:rsidR="00133BD7">
        <w:rPr>
          <w:i/>
        </w:rPr>
        <w:t>,</w:t>
      </w:r>
      <w:r w:rsidR="007B5513" w:rsidRPr="007776BD">
        <w:rPr>
          <w:i/>
        </w:rPr>
        <w:t>“</w:t>
      </w:r>
      <w:r w:rsidR="007B5513" w:rsidRPr="0028700A">
        <w:t xml:space="preserve"> říká </w:t>
      </w:r>
      <w:r w:rsidR="007B5513" w:rsidRPr="00DD0B86">
        <w:rPr>
          <w:rFonts w:cs="Arial"/>
          <w:szCs w:val="18"/>
        </w:rPr>
        <w:t>Marek Rojíček, předseda Českého statistického úřadu.</w:t>
      </w:r>
      <w:r w:rsidR="00FB6BFB">
        <w:rPr>
          <w:i/>
        </w:rPr>
        <w:t xml:space="preserve"> </w:t>
      </w:r>
      <w:bookmarkStart w:id="0" w:name="_GoBack"/>
      <w:bookmarkEnd w:id="0"/>
    </w:p>
    <w:p w14:paraId="2484DB89" w14:textId="21B95CCD" w:rsidR="001E459F" w:rsidRDefault="0028700A" w:rsidP="00543728">
      <w:pPr>
        <w:spacing w:after="240"/>
        <w:rPr>
          <w:spacing w:val="-6"/>
        </w:rPr>
      </w:pPr>
      <w:r>
        <w:t>Hrubá přidaná hodnota</w:t>
      </w:r>
      <w:r w:rsidR="005E2ACF">
        <w:t xml:space="preserve"> se v 1. čtvrtletí zvýšila</w:t>
      </w:r>
      <w:r w:rsidR="00FE33F6">
        <w:t xml:space="preserve"> meziročně</w:t>
      </w:r>
      <w:r w:rsidR="005E2ACF">
        <w:t xml:space="preserve"> o 1,1 % a mezičtvrtletně o 0,8 %. Meziročnímu navýšení HPH ve zpracovatelském průmyslu o 4,4 % napomohla loňská slabší srovnávací základna. </w:t>
      </w:r>
      <w:r w:rsidR="008B527A">
        <w:t xml:space="preserve">Oproti tomu se HPH v uskupení obchod, doprava, ubytování a pohostinství propadla o 2,8 %. </w:t>
      </w:r>
      <w:r w:rsidR="008B527A" w:rsidRPr="003A32DB">
        <w:rPr>
          <w:spacing w:val="-6"/>
        </w:rPr>
        <w:t xml:space="preserve">Mezičtvrtletní růst HPH byl </w:t>
      </w:r>
      <w:r w:rsidR="00FE33F6">
        <w:rPr>
          <w:spacing w:val="-6"/>
        </w:rPr>
        <w:t>nejvíce</w:t>
      </w:r>
      <w:r w:rsidR="008B527A" w:rsidRPr="003A32DB">
        <w:rPr>
          <w:spacing w:val="-6"/>
        </w:rPr>
        <w:t xml:space="preserve"> podpořen vývojem </w:t>
      </w:r>
      <w:r w:rsidR="00EB3EF5">
        <w:rPr>
          <w:spacing w:val="-6"/>
        </w:rPr>
        <w:br/>
      </w:r>
      <w:r w:rsidR="008B527A" w:rsidRPr="003A32DB">
        <w:rPr>
          <w:spacing w:val="-6"/>
        </w:rPr>
        <w:t>ve zpracovatelském průmyslu</w:t>
      </w:r>
      <w:r w:rsidR="008B527A">
        <w:rPr>
          <w:spacing w:val="-6"/>
        </w:rPr>
        <w:t>, který si připsal přírůstek HPH o 2,0 %. Průmyslu jako celku se ale dařilo méně, především energeticky náročnějším odvětvím.</w:t>
      </w:r>
      <w:r w:rsidR="008B527A" w:rsidRPr="003A32DB">
        <w:rPr>
          <w:spacing w:val="-6"/>
        </w:rPr>
        <w:t xml:space="preserve"> </w:t>
      </w:r>
      <w:r w:rsidR="00FE33F6">
        <w:rPr>
          <w:spacing w:val="-6"/>
        </w:rPr>
        <w:t>K růstu přispívala také velká většina služeb</w:t>
      </w:r>
      <w:r w:rsidR="00D806FE">
        <w:rPr>
          <w:spacing w:val="-6"/>
        </w:rPr>
        <w:t>. J</w:t>
      </w:r>
      <w:r w:rsidR="00FE33F6" w:rsidRPr="003A32DB">
        <w:rPr>
          <w:spacing w:val="-6"/>
        </w:rPr>
        <w:t xml:space="preserve">ediným </w:t>
      </w:r>
      <w:r w:rsidR="00FE33F6">
        <w:rPr>
          <w:spacing w:val="-6"/>
        </w:rPr>
        <w:t xml:space="preserve">významnějším </w:t>
      </w:r>
      <w:r w:rsidR="00FE33F6" w:rsidRPr="003A32DB">
        <w:rPr>
          <w:spacing w:val="-6"/>
        </w:rPr>
        <w:t>oborem, kde HPH mezičtvrtletně klesla, bylo peněžnictví a pojišťovnictví.</w:t>
      </w:r>
    </w:p>
    <w:p w14:paraId="228297A7" w14:textId="65929B31" w:rsidR="002D413D" w:rsidRDefault="002D413D" w:rsidP="002D413D">
      <w:pPr>
        <w:spacing w:after="240"/>
      </w:pPr>
      <w:r>
        <w:rPr>
          <w:spacing w:val="-6"/>
        </w:rPr>
        <w:t>K obratu došlo ve vývoji bilance zahraničního obchodu. Ta</w:t>
      </w:r>
      <w:r w:rsidRPr="002D413D">
        <w:t xml:space="preserve"> </w:t>
      </w:r>
      <w:r>
        <w:t>dosáhla v 1. čtvrtletí</w:t>
      </w:r>
      <w:r w:rsidR="001B3686">
        <w:t xml:space="preserve"> </w:t>
      </w:r>
      <w:r>
        <w:t xml:space="preserve">přebytku </w:t>
      </w:r>
      <w:r w:rsidRPr="002D413D">
        <w:rPr>
          <w:spacing w:val="-6"/>
        </w:rPr>
        <w:t>93,7 mld. korun</w:t>
      </w:r>
      <w:r>
        <w:rPr>
          <w:spacing w:val="-6"/>
        </w:rPr>
        <w:t xml:space="preserve">, což představovalo </w:t>
      </w:r>
      <w:r w:rsidRPr="002D413D">
        <w:rPr>
          <w:spacing w:val="-6"/>
        </w:rPr>
        <w:t>meziročn</w:t>
      </w:r>
      <w:r>
        <w:rPr>
          <w:spacing w:val="-6"/>
        </w:rPr>
        <w:t>í</w:t>
      </w:r>
      <w:r w:rsidRPr="002D413D">
        <w:rPr>
          <w:spacing w:val="-6"/>
        </w:rPr>
        <w:t xml:space="preserve"> zlepš</w:t>
      </w:r>
      <w:r>
        <w:rPr>
          <w:spacing w:val="-6"/>
        </w:rPr>
        <w:t xml:space="preserve">ení </w:t>
      </w:r>
      <w:r w:rsidRPr="002D413D">
        <w:rPr>
          <w:spacing w:val="-6"/>
        </w:rPr>
        <w:t>o 92,</w:t>
      </w:r>
      <w:r w:rsidR="00FE33F6">
        <w:rPr>
          <w:spacing w:val="-6"/>
        </w:rPr>
        <w:t>7</w:t>
      </w:r>
      <w:r w:rsidR="00DC3CD1">
        <w:rPr>
          <w:spacing w:val="-6"/>
        </w:rPr>
        <w:t xml:space="preserve"> </w:t>
      </w:r>
      <w:r w:rsidRPr="002D413D">
        <w:rPr>
          <w:spacing w:val="-6"/>
        </w:rPr>
        <w:t>mld.</w:t>
      </w:r>
      <w:r w:rsidR="003946D8">
        <w:rPr>
          <w:spacing w:val="-6"/>
        </w:rPr>
        <w:t xml:space="preserve"> Přebytek se zvyšoval i mezičtvrtletně.</w:t>
      </w:r>
      <w:r>
        <w:rPr>
          <w:spacing w:val="-6"/>
        </w:rPr>
        <w:t xml:space="preserve"> </w:t>
      </w:r>
      <w:r w:rsidR="003946D8">
        <w:rPr>
          <w:spacing w:val="-6"/>
        </w:rPr>
        <w:t>Zlepšovala se především b</w:t>
      </w:r>
      <w:r>
        <w:rPr>
          <w:spacing w:val="-6"/>
        </w:rPr>
        <w:t>ilance obchodu se zbožím</w:t>
      </w:r>
      <w:r w:rsidR="003946D8">
        <w:rPr>
          <w:spacing w:val="-6"/>
        </w:rPr>
        <w:t>. Meziročně výrazně vyšší byl přeby</w:t>
      </w:r>
      <w:r w:rsidRPr="002D413D">
        <w:rPr>
          <w:spacing w:val="-6"/>
        </w:rPr>
        <w:t>t</w:t>
      </w:r>
      <w:r>
        <w:rPr>
          <w:spacing w:val="-6"/>
        </w:rPr>
        <w:t>e</w:t>
      </w:r>
      <w:r w:rsidRPr="002D413D">
        <w:rPr>
          <w:spacing w:val="-6"/>
        </w:rPr>
        <w:t>k zahraničního obchodu s motorovými vozidly</w:t>
      </w:r>
      <w:r>
        <w:rPr>
          <w:spacing w:val="-6"/>
        </w:rPr>
        <w:t xml:space="preserve"> </w:t>
      </w:r>
      <w:r w:rsidRPr="002D413D">
        <w:rPr>
          <w:spacing w:val="-6"/>
        </w:rPr>
        <w:t xml:space="preserve">a </w:t>
      </w:r>
      <w:r>
        <w:rPr>
          <w:spacing w:val="-6"/>
        </w:rPr>
        <w:t xml:space="preserve">zároveň se značně </w:t>
      </w:r>
      <w:r w:rsidRPr="002D413D">
        <w:rPr>
          <w:spacing w:val="-6"/>
        </w:rPr>
        <w:t>zmírn</w:t>
      </w:r>
      <w:r>
        <w:rPr>
          <w:spacing w:val="-6"/>
        </w:rPr>
        <w:t>il</w:t>
      </w:r>
      <w:r w:rsidRPr="002D413D">
        <w:rPr>
          <w:spacing w:val="-6"/>
        </w:rPr>
        <w:t xml:space="preserve"> deficitu o</w:t>
      </w:r>
      <w:r>
        <w:rPr>
          <w:spacing w:val="-6"/>
        </w:rPr>
        <w:t xml:space="preserve">bchodu s ropou </w:t>
      </w:r>
      <w:r w:rsidR="00EB3EF5">
        <w:rPr>
          <w:spacing w:val="-6"/>
        </w:rPr>
        <w:br/>
      </w:r>
      <w:r>
        <w:rPr>
          <w:spacing w:val="-6"/>
        </w:rPr>
        <w:t xml:space="preserve">a zemním plynem. </w:t>
      </w:r>
    </w:p>
    <w:p w14:paraId="663DDA36" w14:textId="2635125E" w:rsidR="00C915BB" w:rsidRPr="00F40817" w:rsidRDefault="00FE33F6" w:rsidP="00A32F25">
      <w:pPr>
        <w:spacing w:after="240"/>
      </w:pPr>
      <w:r>
        <w:t xml:space="preserve">V 1. </w:t>
      </w:r>
      <w:r w:rsidR="00DC3CD1">
        <w:t>kvartálu</w:t>
      </w:r>
      <w:r>
        <w:t xml:space="preserve"> se zastavil mezičtvrtletní pokles zaměstnanosti patrný v loňském druhém pololetí </w:t>
      </w:r>
      <w:r w:rsidR="00EB3EF5">
        <w:br/>
      </w:r>
      <w:r>
        <w:t xml:space="preserve">a pracovníků přibylo o 0,4 %. Nabíral především sektor služeb, na trh práce se více zapojovaly ženy. Počet volných pracovních míst se meziročně snížil, obecná míra nezaměstnanosti se však stále držela pod 3 %. Nominální růst průměrné mzdy sice mírně zrychloval, kupní síla zaměstnaneckých výdělků ale meziročně klesla šestý kvartál v řadě, tentokrát o 6,7 %. </w:t>
      </w:r>
      <w:r w:rsidR="00A32F25">
        <w:rPr>
          <w:color w:val="0D0D0D" w:themeColor="text1" w:themeTint="F2"/>
          <w:spacing w:val="-6"/>
        </w:rPr>
        <w:t xml:space="preserve">Průměrná hrubá měsíční nominální mzda </w:t>
      </w:r>
      <w:r w:rsidR="002D413D">
        <w:rPr>
          <w:color w:val="0D0D0D" w:themeColor="text1" w:themeTint="F2"/>
          <w:spacing w:val="-6"/>
        </w:rPr>
        <w:t xml:space="preserve">v 1. čtvrtletí meziročně nominálně vzrostla o 8,6 % </w:t>
      </w:r>
      <w:r w:rsidR="00EB3EF5">
        <w:rPr>
          <w:color w:val="0D0D0D" w:themeColor="text1" w:themeTint="F2"/>
          <w:spacing w:val="-6"/>
        </w:rPr>
        <w:br/>
      </w:r>
      <w:r w:rsidR="002D413D">
        <w:rPr>
          <w:color w:val="0D0D0D" w:themeColor="text1" w:themeTint="F2"/>
          <w:spacing w:val="-6"/>
        </w:rPr>
        <w:t xml:space="preserve">na 41 265 korun. </w:t>
      </w:r>
    </w:p>
    <w:p w14:paraId="0D2130FF" w14:textId="66E09AF9" w:rsidR="00AE6D5B" w:rsidRDefault="00A26702" w:rsidP="00A26702">
      <w:r>
        <w:t xml:space="preserve">Další detaily přináší aktuální analýza: </w:t>
      </w:r>
      <w:hyperlink r:id="rId7" w:history="1">
        <w:r w:rsidR="00DC3CD1" w:rsidRPr="00DC3CD1">
          <w:rPr>
            <w:rStyle w:val="Hypertextovodkaz"/>
          </w:rPr>
          <w:t>Vývoj ekonomiky ČR v 1. čtvrtletí</w:t>
        </w:r>
      </w:hyperlink>
    </w:p>
    <w:p w14:paraId="4D615F5B" w14:textId="77777777" w:rsidR="00AE6D5B" w:rsidRDefault="00AE6D5B" w:rsidP="00AE6D5B"/>
    <w:p w14:paraId="2B941328" w14:textId="77777777" w:rsidR="00887217" w:rsidRDefault="00887217" w:rsidP="00887217">
      <w:pPr>
        <w:rPr>
          <w:b/>
        </w:rPr>
      </w:pPr>
      <w:r>
        <w:rPr>
          <w:b/>
        </w:rPr>
        <w:t>Kontakt:</w:t>
      </w:r>
    </w:p>
    <w:p w14:paraId="6AAFAAFD" w14:textId="77777777"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703F945C" w14:textId="77777777"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522B6F34" w14:textId="77777777"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684CCFC2" w14:textId="55238E75" w:rsidR="004920AD" w:rsidRPr="004920AD" w:rsidRDefault="00887217" w:rsidP="00D74A4C">
      <w:pPr>
        <w:spacing w:line="240" w:lineRule="auto"/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@statistickyurad</w:t>
      </w:r>
    </w:p>
    <w:sectPr w:rsidR="004920AD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EF53A" w16cex:dateUtc="2023-03-17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8A4883" w16cid:durableId="27BEF480"/>
  <w16cid:commentId w16cid:paraId="690AE467" w16cid:durableId="27BEF5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D8618" w14:textId="77777777" w:rsidR="00A90408" w:rsidRDefault="00A90408" w:rsidP="00BA6370">
      <w:r>
        <w:separator/>
      </w:r>
    </w:p>
  </w:endnote>
  <w:endnote w:type="continuationSeparator" w:id="0">
    <w:p w14:paraId="6D932B94" w14:textId="77777777" w:rsidR="00A90408" w:rsidRDefault="00A9040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41DF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851FC8" wp14:editId="7220FDE4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0F29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3ABD3CE9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8D68626" w14:textId="642FBF3D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274 052 765 e-mail: </w:t>
                          </w:r>
                          <w:hyperlink r:id="rId2" w:history="1">
                            <w:r w:rsidR="00D018F0" w:rsidRPr="0075210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A90408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51F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06670F29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3ABD3CE9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8D68626" w14:textId="642FBF3D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274 052 765 e-mail: </w:t>
                    </w:r>
                    <w:hyperlink r:id="rId4" w:history="1">
                      <w:r w:rsidR="00D018F0" w:rsidRPr="0075210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A90408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6B9038B" wp14:editId="32C9E51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CC2D4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0F9E7" w14:textId="77777777" w:rsidR="00A90408" w:rsidRDefault="00A90408" w:rsidP="00BA6370">
      <w:r>
        <w:separator/>
      </w:r>
    </w:p>
  </w:footnote>
  <w:footnote w:type="continuationSeparator" w:id="0">
    <w:p w14:paraId="317CCDBB" w14:textId="77777777" w:rsidR="00A90408" w:rsidRDefault="00A9040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195A4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E3AE5C3" wp14:editId="048D1C58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568C565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2B"/>
    <w:rsid w:val="00043BF4"/>
    <w:rsid w:val="000579BF"/>
    <w:rsid w:val="0006201B"/>
    <w:rsid w:val="00071F94"/>
    <w:rsid w:val="000842D2"/>
    <w:rsid w:val="000843A5"/>
    <w:rsid w:val="000A0B1F"/>
    <w:rsid w:val="000B5421"/>
    <w:rsid w:val="000B6F63"/>
    <w:rsid w:val="000C435D"/>
    <w:rsid w:val="000E53C9"/>
    <w:rsid w:val="000F0A9E"/>
    <w:rsid w:val="0010280E"/>
    <w:rsid w:val="001057B1"/>
    <w:rsid w:val="00133BD7"/>
    <w:rsid w:val="001404AB"/>
    <w:rsid w:val="00146745"/>
    <w:rsid w:val="00151104"/>
    <w:rsid w:val="001658A9"/>
    <w:rsid w:val="0017231D"/>
    <w:rsid w:val="001776E2"/>
    <w:rsid w:val="001810DC"/>
    <w:rsid w:val="00183C7E"/>
    <w:rsid w:val="001A214A"/>
    <w:rsid w:val="001A59BF"/>
    <w:rsid w:val="001B004D"/>
    <w:rsid w:val="001B3686"/>
    <w:rsid w:val="001B607F"/>
    <w:rsid w:val="001D369A"/>
    <w:rsid w:val="001E2519"/>
    <w:rsid w:val="001E459F"/>
    <w:rsid w:val="002070FB"/>
    <w:rsid w:val="00213729"/>
    <w:rsid w:val="00216EAD"/>
    <w:rsid w:val="002272A6"/>
    <w:rsid w:val="002344A9"/>
    <w:rsid w:val="002406FA"/>
    <w:rsid w:val="002460EA"/>
    <w:rsid w:val="0027458B"/>
    <w:rsid w:val="00282CF0"/>
    <w:rsid w:val="002848DA"/>
    <w:rsid w:val="0028700A"/>
    <w:rsid w:val="0028729A"/>
    <w:rsid w:val="002931CF"/>
    <w:rsid w:val="002A1D8A"/>
    <w:rsid w:val="002B1370"/>
    <w:rsid w:val="002B2E47"/>
    <w:rsid w:val="002D413D"/>
    <w:rsid w:val="002D6A6C"/>
    <w:rsid w:val="0031777A"/>
    <w:rsid w:val="00322412"/>
    <w:rsid w:val="003301A3"/>
    <w:rsid w:val="00335B66"/>
    <w:rsid w:val="0035578A"/>
    <w:rsid w:val="0036777B"/>
    <w:rsid w:val="0038282A"/>
    <w:rsid w:val="0039142B"/>
    <w:rsid w:val="003946D8"/>
    <w:rsid w:val="00397580"/>
    <w:rsid w:val="003A1794"/>
    <w:rsid w:val="003A45C8"/>
    <w:rsid w:val="003C2DCF"/>
    <w:rsid w:val="003C7FE7"/>
    <w:rsid w:val="003D02AA"/>
    <w:rsid w:val="003D0499"/>
    <w:rsid w:val="003D2DF2"/>
    <w:rsid w:val="003F526A"/>
    <w:rsid w:val="00405244"/>
    <w:rsid w:val="004074EB"/>
    <w:rsid w:val="00413A9D"/>
    <w:rsid w:val="00414220"/>
    <w:rsid w:val="00416780"/>
    <w:rsid w:val="004436EE"/>
    <w:rsid w:val="0044648F"/>
    <w:rsid w:val="0045547F"/>
    <w:rsid w:val="00464DB8"/>
    <w:rsid w:val="00466541"/>
    <w:rsid w:val="00472A65"/>
    <w:rsid w:val="004920AD"/>
    <w:rsid w:val="004B5EB9"/>
    <w:rsid w:val="004D05B3"/>
    <w:rsid w:val="004E0B58"/>
    <w:rsid w:val="004E479E"/>
    <w:rsid w:val="004E583B"/>
    <w:rsid w:val="004E72F0"/>
    <w:rsid w:val="004F78E6"/>
    <w:rsid w:val="00511E1F"/>
    <w:rsid w:val="00512D99"/>
    <w:rsid w:val="00513663"/>
    <w:rsid w:val="00522372"/>
    <w:rsid w:val="00531DBB"/>
    <w:rsid w:val="00543728"/>
    <w:rsid w:val="005440ED"/>
    <w:rsid w:val="00572954"/>
    <w:rsid w:val="00582A7F"/>
    <w:rsid w:val="005850B3"/>
    <w:rsid w:val="005A27DD"/>
    <w:rsid w:val="005D5D5B"/>
    <w:rsid w:val="005E07D0"/>
    <w:rsid w:val="005E2ACF"/>
    <w:rsid w:val="005F699D"/>
    <w:rsid w:val="005F79FB"/>
    <w:rsid w:val="00604406"/>
    <w:rsid w:val="00605F4A"/>
    <w:rsid w:val="00607822"/>
    <w:rsid w:val="006103AA"/>
    <w:rsid w:val="006113AB"/>
    <w:rsid w:val="00613BBF"/>
    <w:rsid w:val="00616FAA"/>
    <w:rsid w:val="00622B80"/>
    <w:rsid w:val="0064139A"/>
    <w:rsid w:val="00675D16"/>
    <w:rsid w:val="006828DE"/>
    <w:rsid w:val="00690EC2"/>
    <w:rsid w:val="00693B18"/>
    <w:rsid w:val="006B24DA"/>
    <w:rsid w:val="006D358A"/>
    <w:rsid w:val="006E024F"/>
    <w:rsid w:val="006E4E81"/>
    <w:rsid w:val="00707F7D"/>
    <w:rsid w:val="0071239A"/>
    <w:rsid w:val="00717EC5"/>
    <w:rsid w:val="0072254B"/>
    <w:rsid w:val="00727525"/>
    <w:rsid w:val="00737B80"/>
    <w:rsid w:val="00745A58"/>
    <w:rsid w:val="00752101"/>
    <w:rsid w:val="0075419E"/>
    <w:rsid w:val="0076005C"/>
    <w:rsid w:val="00771E0A"/>
    <w:rsid w:val="007776BD"/>
    <w:rsid w:val="00782E9C"/>
    <w:rsid w:val="007A57F2"/>
    <w:rsid w:val="007B1333"/>
    <w:rsid w:val="007B5513"/>
    <w:rsid w:val="007D4442"/>
    <w:rsid w:val="007F33AA"/>
    <w:rsid w:val="007F4AEB"/>
    <w:rsid w:val="007F75B2"/>
    <w:rsid w:val="008043C4"/>
    <w:rsid w:val="00831B1B"/>
    <w:rsid w:val="00853B34"/>
    <w:rsid w:val="00857483"/>
    <w:rsid w:val="00861D0E"/>
    <w:rsid w:val="00867569"/>
    <w:rsid w:val="00872D44"/>
    <w:rsid w:val="00887217"/>
    <w:rsid w:val="00891625"/>
    <w:rsid w:val="0089683A"/>
    <w:rsid w:val="008A750A"/>
    <w:rsid w:val="008B527A"/>
    <w:rsid w:val="008C384C"/>
    <w:rsid w:val="008D0F11"/>
    <w:rsid w:val="008D3341"/>
    <w:rsid w:val="008E000E"/>
    <w:rsid w:val="008E0B06"/>
    <w:rsid w:val="008F35B4"/>
    <w:rsid w:val="008F73B4"/>
    <w:rsid w:val="00904C20"/>
    <w:rsid w:val="009058FC"/>
    <w:rsid w:val="009215DC"/>
    <w:rsid w:val="0094402F"/>
    <w:rsid w:val="009461F0"/>
    <w:rsid w:val="00964C71"/>
    <w:rsid w:val="009668FF"/>
    <w:rsid w:val="009744FF"/>
    <w:rsid w:val="00981F5C"/>
    <w:rsid w:val="00982ACD"/>
    <w:rsid w:val="009B55B1"/>
    <w:rsid w:val="009D51D0"/>
    <w:rsid w:val="009F3BAF"/>
    <w:rsid w:val="00A00008"/>
    <w:rsid w:val="00A00672"/>
    <w:rsid w:val="00A03D36"/>
    <w:rsid w:val="00A26702"/>
    <w:rsid w:val="00A32F25"/>
    <w:rsid w:val="00A34CBF"/>
    <w:rsid w:val="00A365FE"/>
    <w:rsid w:val="00A4343D"/>
    <w:rsid w:val="00A502F1"/>
    <w:rsid w:val="00A70A83"/>
    <w:rsid w:val="00A81EB3"/>
    <w:rsid w:val="00A842CF"/>
    <w:rsid w:val="00A90408"/>
    <w:rsid w:val="00AE61C0"/>
    <w:rsid w:val="00AE6D5B"/>
    <w:rsid w:val="00AF0CD6"/>
    <w:rsid w:val="00B00C1D"/>
    <w:rsid w:val="00B03E21"/>
    <w:rsid w:val="00B565EB"/>
    <w:rsid w:val="00B60C78"/>
    <w:rsid w:val="00B85FB2"/>
    <w:rsid w:val="00BA3777"/>
    <w:rsid w:val="00BA439F"/>
    <w:rsid w:val="00BA6370"/>
    <w:rsid w:val="00BC0D01"/>
    <w:rsid w:val="00BD17BB"/>
    <w:rsid w:val="00BD7B35"/>
    <w:rsid w:val="00BF16DA"/>
    <w:rsid w:val="00BF3D8F"/>
    <w:rsid w:val="00C0506B"/>
    <w:rsid w:val="00C06E77"/>
    <w:rsid w:val="00C269D4"/>
    <w:rsid w:val="00C4160D"/>
    <w:rsid w:val="00C513E9"/>
    <w:rsid w:val="00C52466"/>
    <w:rsid w:val="00C674AC"/>
    <w:rsid w:val="00C7712B"/>
    <w:rsid w:val="00C8406E"/>
    <w:rsid w:val="00C84C63"/>
    <w:rsid w:val="00C915BB"/>
    <w:rsid w:val="00C93F5C"/>
    <w:rsid w:val="00C94B2C"/>
    <w:rsid w:val="00C97EAE"/>
    <w:rsid w:val="00CA717C"/>
    <w:rsid w:val="00CB2709"/>
    <w:rsid w:val="00CB6F89"/>
    <w:rsid w:val="00CD4431"/>
    <w:rsid w:val="00CE228C"/>
    <w:rsid w:val="00CF545B"/>
    <w:rsid w:val="00D018F0"/>
    <w:rsid w:val="00D01CF9"/>
    <w:rsid w:val="00D14EF9"/>
    <w:rsid w:val="00D27074"/>
    <w:rsid w:val="00D27D69"/>
    <w:rsid w:val="00D448C2"/>
    <w:rsid w:val="00D45202"/>
    <w:rsid w:val="00D54718"/>
    <w:rsid w:val="00D6488E"/>
    <w:rsid w:val="00D65FFC"/>
    <w:rsid w:val="00D666C3"/>
    <w:rsid w:val="00D74A4C"/>
    <w:rsid w:val="00D768E1"/>
    <w:rsid w:val="00D806FE"/>
    <w:rsid w:val="00D94266"/>
    <w:rsid w:val="00DB3587"/>
    <w:rsid w:val="00DC0D7B"/>
    <w:rsid w:val="00DC0FDD"/>
    <w:rsid w:val="00DC3CD1"/>
    <w:rsid w:val="00DD0B86"/>
    <w:rsid w:val="00DF47FE"/>
    <w:rsid w:val="00E069D1"/>
    <w:rsid w:val="00E15790"/>
    <w:rsid w:val="00E2374E"/>
    <w:rsid w:val="00E26704"/>
    <w:rsid w:val="00E27C40"/>
    <w:rsid w:val="00E31980"/>
    <w:rsid w:val="00E5686A"/>
    <w:rsid w:val="00E57646"/>
    <w:rsid w:val="00E6423C"/>
    <w:rsid w:val="00E93830"/>
    <w:rsid w:val="00E93E0E"/>
    <w:rsid w:val="00EB1ED3"/>
    <w:rsid w:val="00EB3EF5"/>
    <w:rsid w:val="00EC2D51"/>
    <w:rsid w:val="00EC37D2"/>
    <w:rsid w:val="00ED4ACB"/>
    <w:rsid w:val="00EE6470"/>
    <w:rsid w:val="00F15BF6"/>
    <w:rsid w:val="00F1759A"/>
    <w:rsid w:val="00F22918"/>
    <w:rsid w:val="00F26208"/>
    <w:rsid w:val="00F26395"/>
    <w:rsid w:val="00F40817"/>
    <w:rsid w:val="00F46D88"/>
    <w:rsid w:val="00F46F18"/>
    <w:rsid w:val="00F8298E"/>
    <w:rsid w:val="00F93669"/>
    <w:rsid w:val="00FB005B"/>
    <w:rsid w:val="00FB654A"/>
    <w:rsid w:val="00FB687C"/>
    <w:rsid w:val="00FB6BFB"/>
    <w:rsid w:val="00FB7243"/>
    <w:rsid w:val="00FE33F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66E0F2A"/>
  <w15:docId w15:val="{68B5E819-FB8E-44C3-BAFC-AB867F9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Revize">
    <w:name w:val="Revision"/>
    <w:hidden/>
    <w:uiPriority w:val="99"/>
    <w:semiHidden/>
    <w:rsid w:val="00511E1F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33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3A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3A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3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3A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1-ctvrtleti-2023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bojnikova31519\AppData\Local\Temp\Tiskov&#225;%20zpr&#225;va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813B-8F72-4A8E-8680-B2ECFB71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CZ_2022-02-08.dotx</Template>
  <TotalTime>2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2703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Karolína Zábojníková</dc:creator>
  <cp:lastModifiedBy>Cieslar Jan</cp:lastModifiedBy>
  <cp:revision>4</cp:revision>
  <dcterms:created xsi:type="dcterms:W3CDTF">2023-06-13T13:49:00Z</dcterms:created>
  <dcterms:modified xsi:type="dcterms:W3CDTF">2023-06-13T14:17:00Z</dcterms:modified>
</cp:coreProperties>
</file>