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2F" w:rsidRDefault="00B15C2F" w:rsidP="00B15C2F">
      <w:pPr>
        <w:pStyle w:val="Nadpis3"/>
      </w:pPr>
      <w:bookmarkStart w:id="0" w:name="_Toc52074255"/>
      <w:bookmarkStart w:id="1" w:name="_Toc88550363"/>
      <w:r w:rsidRPr="00CA00CE">
        <w:t>Metodické poznámky</w:t>
      </w:r>
      <w:bookmarkEnd w:id="0"/>
      <w:bookmarkEnd w:id="1"/>
    </w:p>
    <w:p w:rsidR="00B15C2F" w:rsidRDefault="00B15C2F" w:rsidP="00B15C2F">
      <w:pPr>
        <w:pStyle w:val="Nadpis3ENG"/>
      </w:pPr>
    </w:p>
    <w:p w:rsidR="00847DD9" w:rsidRPr="00CE54FF" w:rsidRDefault="00847DD9" w:rsidP="00175463">
      <w:pPr>
        <w:spacing w:after="0"/>
        <w:jc w:val="both"/>
        <w:rPr>
          <w:rFonts w:cs="Arial"/>
          <w:b/>
        </w:rPr>
      </w:pPr>
      <w:r>
        <w:rPr>
          <w:rFonts w:cs="Arial"/>
          <w:b/>
        </w:rPr>
        <w:t xml:space="preserve">I. </w:t>
      </w:r>
      <w:r w:rsidRPr="00CE54FF">
        <w:rPr>
          <w:rFonts w:cs="Arial"/>
          <w:b/>
        </w:rPr>
        <w:t>Z</w:t>
      </w:r>
      <w:r>
        <w:rPr>
          <w:rFonts w:cs="Arial"/>
          <w:b/>
        </w:rPr>
        <w:t>ákladní vymezení</w:t>
      </w:r>
    </w:p>
    <w:p w:rsidR="008009CA" w:rsidRPr="008009CA" w:rsidRDefault="008009CA" w:rsidP="008009CA">
      <w:pPr>
        <w:spacing w:after="0" w:line="240" w:lineRule="atLeast"/>
        <w:jc w:val="both"/>
        <w:rPr>
          <w:rFonts w:eastAsia="Calibri" w:cs="Arial"/>
          <w:szCs w:val="20"/>
        </w:rPr>
      </w:pPr>
      <w:r w:rsidRPr="008009CA">
        <w:rPr>
          <w:rFonts w:eastAsia="Calibri" w:cs="Arial"/>
          <w:szCs w:val="20"/>
        </w:rPr>
        <w:t>Český statistický úřad prováděl každoročně statistické zjišťování o produkci a nakládání s odpady již od roku 1992. Rozsah a způsob organizace tohoto zjišťování sloužil pro zajištění reportingových povinností ČR, které vyplývají z nařízení Evropského parlamentu a Rady 2150/2002/ES, o statistice odpadů. Od roku 2017 čerpá ČSÚ informace pro zajištění reportingových povinností z administrativního zdroje.</w:t>
      </w:r>
    </w:p>
    <w:p w:rsidR="00B15C2F" w:rsidRDefault="00B15C2F" w:rsidP="00837432">
      <w:pPr>
        <w:pStyle w:val="Zkladntext"/>
        <w:spacing w:line="240" w:lineRule="atLeast"/>
        <w:rPr>
          <w:rFonts w:ascii="Arial" w:hAnsi="Arial" w:cs="Arial"/>
          <w:sz w:val="20"/>
          <w:szCs w:val="20"/>
        </w:rPr>
      </w:pPr>
    </w:p>
    <w:p w:rsidR="00F464B5" w:rsidRDefault="00F464B5" w:rsidP="00837432">
      <w:pPr>
        <w:pStyle w:val="Zkladntext"/>
        <w:spacing w:line="240" w:lineRule="auto"/>
        <w:jc w:val="left"/>
        <w:rPr>
          <w:rFonts w:ascii="Arial" w:hAnsi="Arial" w:cs="Arial"/>
          <w:sz w:val="20"/>
        </w:rPr>
      </w:pPr>
    </w:p>
    <w:p w:rsidR="00F464B5" w:rsidRPr="00CE54FF" w:rsidRDefault="00F464B5" w:rsidP="00175463">
      <w:pPr>
        <w:spacing w:after="0"/>
        <w:jc w:val="both"/>
        <w:rPr>
          <w:rFonts w:cs="Arial"/>
          <w:b/>
        </w:rPr>
      </w:pPr>
      <w:r>
        <w:rPr>
          <w:rFonts w:cs="Arial"/>
          <w:b/>
        </w:rPr>
        <w:t>I</w:t>
      </w:r>
      <w:r w:rsidR="00847DD9">
        <w:rPr>
          <w:rFonts w:cs="Arial"/>
          <w:b/>
        </w:rPr>
        <w:t>I</w:t>
      </w:r>
      <w:r>
        <w:rPr>
          <w:rFonts w:cs="Arial"/>
          <w:b/>
        </w:rPr>
        <w:t xml:space="preserve">. </w:t>
      </w:r>
      <w:r w:rsidRPr="00CE54FF">
        <w:rPr>
          <w:rFonts w:cs="Arial"/>
          <w:b/>
        </w:rPr>
        <w:t>Zdroje dat</w:t>
      </w:r>
    </w:p>
    <w:p w:rsidR="00F464B5" w:rsidRDefault="00847DD9" w:rsidP="000A724B">
      <w:pPr>
        <w:pStyle w:val="Zkladntext"/>
        <w:spacing w:line="240" w:lineRule="atLeast"/>
        <w:rPr>
          <w:rFonts w:ascii="Arial" w:hAnsi="Arial" w:cs="Arial"/>
          <w:sz w:val="20"/>
          <w:szCs w:val="20"/>
        </w:rPr>
      </w:pPr>
      <w:r w:rsidRPr="00B33D63">
        <w:rPr>
          <w:rFonts w:ascii="Arial" w:hAnsi="Arial" w:cs="Arial"/>
          <w:sz w:val="20"/>
          <w:szCs w:val="20"/>
        </w:rPr>
        <w:t>Administrativní zdroj I</w:t>
      </w:r>
      <w:r w:rsidR="00F464B5" w:rsidRPr="00B33D63">
        <w:rPr>
          <w:rFonts w:ascii="Arial" w:hAnsi="Arial" w:cs="Arial"/>
          <w:sz w:val="20"/>
          <w:szCs w:val="20"/>
        </w:rPr>
        <w:t>SPOP (Informační systém plnění ohlašovacích povinností</w:t>
      </w:r>
      <w:r w:rsidR="00F93FC5">
        <w:rPr>
          <w:rFonts w:ascii="Arial" w:hAnsi="Arial" w:cs="Arial"/>
          <w:sz w:val="20"/>
          <w:szCs w:val="20"/>
        </w:rPr>
        <w:t xml:space="preserve"> -</w:t>
      </w:r>
      <w:r w:rsidR="00F464B5" w:rsidRPr="00B33D63">
        <w:rPr>
          <w:rFonts w:ascii="Arial" w:hAnsi="Arial" w:cs="Arial"/>
          <w:sz w:val="20"/>
          <w:szCs w:val="20"/>
        </w:rPr>
        <w:t xml:space="preserve"> MŽP a </w:t>
      </w:r>
      <w:proofErr w:type="spellStart"/>
      <w:r w:rsidR="00F464B5" w:rsidRPr="00B33D63">
        <w:rPr>
          <w:rFonts w:ascii="Arial" w:hAnsi="Arial" w:cs="Arial"/>
          <w:sz w:val="20"/>
          <w:szCs w:val="20"/>
        </w:rPr>
        <w:t>Cenia</w:t>
      </w:r>
      <w:proofErr w:type="spellEnd"/>
      <w:r w:rsidR="00F464B5" w:rsidRPr="00B33D63">
        <w:rPr>
          <w:rFonts w:ascii="Arial" w:hAnsi="Arial" w:cs="Arial"/>
          <w:sz w:val="20"/>
          <w:szCs w:val="20"/>
        </w:rPr>
        <w:t>)</w:t>
      </w:r>
      <w:r w:rsidRPr="00B33D63">
        <w:rPr>
          <w:rFonts w:ascii="Arial" w:hAnsi="Arial" w:cs="Arial"/>
          <w:sz w:val="20"/>
          <w:szCs w:val="20"/>
        </w:rPr>
        <w:t>.</w:t>
      </w:r>
      <w:bookmarkStart w:id="2" w:name="_GoBack"/>
      <w:bookmarkEnd w:id="2"/>
    </w:p>
    <w:p w:rsidR="00E5550C" w:rsidRDefault="00E5550C" w:rsidP="00837432">
      <w:pPr>
        <w:pStyle w:val="Zkladntext"/>
        <w:spacing w:line="240" w:lineRule="atLeast"/>
        <w:rPr>
          <w:rFonts w:ascii="Arial" w:hAnsi="Arial" w:cs="Arial"/>
          <w:sz w:val="20"/>
          <w:szCs w:val="20"/>
        </w:rPr>
      </w:pPr>
    </w:p>
    <w:p w:rsidR="00E5550C" w:rsidRPr="00B33D63" w:rsidRDefault="00E5550C" w:rsidP="00837432">
      <w:pPr>
        <w:pStyle w:val="Zkladntext"/>
        <w:spacing w:line="240" w:lineRule="atLeast"/>
        <w:rPr>
          <w:rFonts w:ascii="Arial" w:hAnsi="Arial" w:cs="Arial"/>
          <w:sz w:val="20"/>
          <w:szCs w:val="20"/>
        </w:rPr>
      </w:pPr>
    </w:p>
    <w:p w:rsidR="00F464B5" w:rsidRPr="00CE54FF" w:rsidRDefault="00F464B5" w:rsidP="00175463">
      <w:pPr>
        <w:spacing w:after="0"/>
        <w:jc w:val="both"/>
        <w:rPr>
          <w:rFonts w:cs="Arial"/>
          <w:b/>
        </w:rPr>
      </w:pPr>
      <w:r>
        <w:rPr>
          <w:rFonts w:cs="Arial"/>
          <w:b/>
        </w:rPr>
        <w:t>I</w:t>
      </w:r>
      <w:r w:rsidR="00847DD9">
        <w:rPr>
          <w:rFonts w:cs="Arial"/>
          <w:b/>
        </w:rPr>
        <w:t>I</w:t>
      </w:r>
      <w:r>
        <w:rPr>
          <w:rFonts w:cs="Arial"/>
          <w:b/>
        </w:rPr>
        <w:t xml:space="preserve">I. </w:t>
      </w:r>
      <w:r w:rsidRPr="00CE54FF">
        <w:rPr>
          <w:rFonts w:cs="Arial"/>
          <w:b/>
        </w:rPr>
        <w:t>Základní a výběrový soubor, dopočty a odhady</w:t>
      </w:r>
    </w:p>
    <w:p w:rsidR="00847DD9" w:rsidRDefault="00847DD9" w:rsidP="000A724B">
      <w:pPr>
        <w:pStyle w:val="Zkladntext"/>
        <w:spacing w:line="240" w:lineRule="atLeast"/>
        <w:ind w:left="0" w:firstLine="0"/>
        <w:rPr>
          <w:rFonts w:ascii="Arial" w:hAnsi="Arial" w:cs="Arial"/>
          <w:sz w:val="20"/>
          <w:szCs w:val="20"/>
        </w:rPr>
      </w:pPr>
      <w:bookmarkStart w:id="3" w:name="_Toc88550364"/>
      <w:r w:rsidRPr="00E5550C">
        <w:rPr>
          <w:rFonts w:ascii="Arial" w:hAnsi="Arial" w:cs="Arial"/>
          <w:sz w:val="20"/>
          <w:szCs w:val="20"/>
        </w:rPr>
        <w:t>Základní soubor je tvořen subjekty, které mají povinnost podat hlášení o produkci a nakládání s odpady, tj. vše</w:t>
      </w:r>
      <w:r w:rsidR="00746B6B" w:rsidRPr="00E5550C">
        <w:rPr>
          <w:rFonts w:ascii="Arial" w:hAnsi="Arial" w:cs="Arial"/>
          <w:sz w:val="20"/>
          <w:szCs w:val="20"/>
        </w:rPr>
        <w:t>m</w:t>
      </w:r>
      <w:r w:rsidR="00F90924" w:rsidRPr="00E5550C">
        <w:rPr>
          <w:rFonts w:ascii="Arial" w:hAnsi="Arial" w:cs="Arial"/>
          <w:sz w:val="20"/>
          <w:szCs w:val="20"/>
        </w:rPr>
        <w:t>i</w:t>
      </w:r>
      <w:r w:rsidRPr="00E5550C">
        <w:rPr>
          <w:rFonts w:ascii="Arial" w:hAnsi="Arial" w:cs="Arial"/>
          <w:sz w:val="20"/>
          <w:szCs w:val="20"/>
        </w:rPr>
        <w:t xml:space="preserve"> ekonomick</w:t>
      </w:r>
      <w:r w:rsidR="00746B6B" w:rsidRPr="00E5550C">
        <w:rPr>
          <w:rFonts w:ascii="Arial" w:hAnsi="Arial" w:cs="Arial"/>
          <w:sz w:val="20"/>
          <w:szCs w:val="20"/>
        </w:rPr>
        <w:t>ými</w:t>
      </w:r>
      <w:r w:rsidRPr="00E5550C">
        <w:rPr>
          <w:rFonts w:ascii="Arial" w:hAnsi="Arial" w:cs="Arial"/>
          <w:sz w:val="20"/>
          <w:szCs w:val="20"/>
        </w:rPr>
        <w:t xml:space="preserve"> subjekty, které ve sledovaném roce vyprodukovaly více než 100 tun odpadu nebo více než 600 kg nebezpečného odpadu (do roku 2020 více než 100 kg nebezpečného odpadu)</w:t>
      </w:r>
      <w:r w:rsidR="00746B6B" w:rsidRPr="00E5550C">
        <w:rPr>
          <w:rFonts w:ascii="Arial" w:hAnsi="Arial" w:cs="Arial"/>
          <w:sz w:val="20"/>
          <w:szCs w:val="20"/>
        </w:rPr>
        <w:t>,</w:t>
      </w:r>
      <w:r w:rsidRPr="00E5550C">
        <w:rPr>
          <w:rFonts w:ascii="Arial" w:hAnsi="Arial" w:cs="Arial"/>
          <w:sz w:val="20"/>
          <w:szCs w:val="20"/>
        </w:rPr>
        <w:t xml:space="preserve"> a jejich partnery, kteří </w:t>
      </w:r>
      <w:r w:rsidR="00746B6B" w:rsidRPr="00E5550C">
        <w:rPr>
          <w:rFonts w:ascii="Arial" w:hAnsi="Arial" w:cs="Arial"/>
          <w:sz w:val="20"/>
          <w:szCs w:val="20"/>
        </w:rPr>
        <w:t>nemají ohlašovací povinnost.</w:t>
      </w:r>
      <w:r w:rsidR="00FB7B09" w:rsidRPr="00E5550C">
        <w:rPr>
          <w:rFonts w:ascii="Arial" w:hAnsi="Arial" w:cs="Arial"/>
          <w:sz w:val="20"/>
          <w:szCs w:val="20"/>
        </w:rPr>
        <w:t xml:space="preserve"> Jelikož data</w:t>
      </w:r>
      <w:r w:rsidR="00B019FA" w:rsidRPr="00E5550C">
        <w:rPr>
          <w:rFonts w:ascii="Arial" w:hAnsi="Arial" w:cs="Arial"/>
          <w:sz w:val="20"/>
          <w:szCs w:val="20"/>
        </w:rPr>
        <w:t xml:space="preserve"> ze systému ISPOP</w:t>
      </w:r>
      <w:r w:rsidR="00FB7B09" w:rsidRPr="00E5550C">
        <w:rPr>
          <w:rFonts w:ascii="Arial" w:hAnsi="Arial" w:cs="Arial"/>
          <w:sz w:val="20"/>
          <w:szCs w:val="20"/>
        </w:rPr>
        <w:t xml:space="preserve"> pokrývají celý základní soubor, není tvořen soubor výběrový a ani se nezpracovávají dopočty či odhady.</w:t>
      </w:r>
    </w:p>
    <w:p w:rsidR="00E5550C" w:rsidRDefault="00E5550C" w:rsidP="00837432">
      <w:pPr>
        <w:pStyle w:val="Zkladntext"/>
        <w:spacing w:line="240" w:lineRule="atLeast"/>
        <w:rPr>
          <w:rFonts w:ascii="Arial" w:hAnsi="Arial" w:cs="Arial"/>
          <w:sz w:val="20"/>
          <w:szCs w:val="20"/>
        </w:rPr>
      </w:pPr>
    </w:p>
    <w:p w:rsidR="00E5550C" w:rsidRPr="00E5550C" w:rsidRDefault="00E5550C" w:rsidP="00837432">
      <w:pPr>
        <w:pStyle w:val="Zkladntext"/>
        <w:spacing w:line="240" w:lineRule="atLeast"/>
        <w:rPr>
          <w:rFonts w:ascii="Arial" w:hAnsi="Arial" w:cs="Arial"/>
          <w:sz w:val="20"/>
          <w:szCs w:val="20"/>
        </w:rPr>
      </w:pPr>
    </w:p>
    <w:p w:rsidR="00B15C2F" w:rsidRPr="00175463" w:rsidRDefault="00F464B5" w:rsidP="00175463">
      <w:pPr>
        <w:spacing w:after="0"/>
        <w:jc w:val="both"/>
        <w:rPr>
          <w:rFonts w:cs="Arial"/>
          <w:b/>
        </w:rPr>
      </w:pPr>
      <w:r w:rsidRPr="00175463">
        <w:rPr>
          <w:rFonts w:cs="Arial"/>
          <w:b/>
        </w:rPr>
        <w:t>I</w:t>
      </w:r>
      <w:r w:rsidR="00746B6B" w:rsidRPr="00175463">
        <w:rPr>
          <w:rFonts w:cs="Arial"/>
          <w:b/>
        </w:rPr>
        <w:t>V</w:t>
      </w:r>
      <w:r w:rsidRPr="00175463">
        <w:rPr>
          <w:rFonts w:cs="Arial"/>
          <w:b/>
        </w:rPr>
        <w:t xml:space="preserve">. </w:t>
      </w:r>
      <w:bookmarkEnd w:id="3"/>
      <w:r w:rsidR="00746B6B" w:rsidRPr="00175463">
        <w:rPr>
          <w:rFonts w:cs="Arial"/>
          <w:b/>
        </w:rPr>
        <w:t>Přehled základních publikovaných ukazatelů</w:t>
      </w: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r w:rsidRPr="0048146C">
        <w:rPr>
          <w:rFonts w:cs="Arial"/>
          <w:b/>
          <w:bCs/>
        </w:rPr>
        <w:t>Odpad</w:t>
      </w:r>
      <w:r w:rsidRPr="0048146C">
        <w:rPr>
          <w:rFonts w:cs="Arial"/>
        </w:rPr>
        <w:t xml:space="preserve"> je jakákoliv látka nebo předmět, kterých se držitel zbavuje nebo má v úmyslu se zbavit nebo se od něho požaduje, aby se jich zbavil.</w:t>
      </w: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r w:rsidRPr="0048146C">
        <w:rPr>
          <w:rFonts w:cs="Arial"/>
          <w:b/>
          <w:bCs/>
        </w:rPr>
        <w:t>Nebezpečný odpad</w:t>
      </w:r>
      <w:r w:rsidRPr="0048146C">
        <w:rPr>
          <w:rFonts w:cs="Arial"/>
        </w:rPr>
        <w:t xml:space="preserve"> je odpad vykazující jednu, nebo více nebezpečných vlastností uvedených v nařízení Komise (EU) č. 1357/2014 ze dne 18. prosince 2014, kterým se nahrazuje příloha III směrnice Evropského parlamentu a Rady 2008/98/ES o odpadech a o zrušení některých směrnic.</w:t>
      </w: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r w:rsidRPr="0048146C">
        <w:rPr>
          <w:rFonts w:cs="Arial"/>
          <w:b/>
        </w:rPr>
        <w:t xml:space="preserve">Produkce </w:t>
      </w:r>
      <w:r w:rsidRPr="0029264C">
        <w:rPr>
          <w:rFonts w:cs="Arial"/>
          <w:b/>
        </w:rPr>
        <w:t>odpadů</w:t>
      </w:r>
      <w:r w:rsidRPr="0048146C">
        <w:rPr>
          <w:rFonts w:cs="Arial"/>
        </w:rPr>
        <w:t xml:space="preserve"> představuje objem vlastní produkce odpadů, včetně produkce sekundárního odpadu (odpad ze zpracování odpadu). Nezahrnuje objem odpadu převzatého  ze skladu, dovoz odpadů ani odpad převzatý od jiného subjektu (s výjimkou odpadu od občanů</w:t>
      </w:r>
      <w:r w:rsidR="005A29C5">
        <w:rPr>
          <w:rFonts w:cs="Arial"/>
        </w:rPr>
        <w:t xml:space="preserve"> a odpadu od subjektů, které ISPOP nevyplňují</w:t>
      </w:r>
      <w:r w:rsidRPr="0048146C">
        <w:rPr>
          <w:rFonts w:cs="Arial"/>
        </w:rPr>
        <w:t>).</w:t>
      </w: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p>
    <w:p w:rsidR="003D73BF" w:rsidRPr="00E53CAF" w:rsidRDefault="00B15C2F" w:rsidP="003D73BF">
      <w:pPr>
        <w:autoSpaceDE w:val="0"/>
        <w:autoSpaceDN w:val="0"/>
        <w:adjustRightInd w:val="0"/>
        <w:spacing w:after="0" w:line="0" w:lineRule="atLeast"/>
        <w:jc w:val="both"/>
        <w:rPr>
          <w:rFonts w:cs="Arial"/>
        </w:rPr>
      </w:pPr>
      <w:r w:rsidRPr="0048146C">
        <w:rPr>
          <w:rFonts w:cs="Arial"/>
          <w:b/>
          <w:bCs/>
        </w:rPr>
        <w:t>Nakládáním s odpady</w:t>
      </w:r>
      <w:r w:rsidRPr="0048146C">
        <w:rPr>
          <w:rFonts w:cs="Arial"/>
        </w:rPr>
        <w:t xml:space="preserve"> se rozumí využití a odstraňování odpadů</w:t>
      </w:r>
      <w:r w:rsidR="003D73BF">
        <w:rPr>
          <w:rFonts w:cs="Arial"/>
        </w:rPr>
        <w:t xml:space="preserve">. </w:t>
      </w:r>
      <w:r w:rsidR="003D73BF" w:rsidRPr="0048146C">
        <w:rPr>
          <w:rFonts w:cs="Arial"/>
        </w:rPr>
        <w:t xml:space="preserve">Do nakládání se </w:t>
      </w:r>
      <w:r w:rsidR="003D73BF">
        <w:rPr>
          <w:rFonts w:cs="Arial"/>
        </w:rPr>
        <w:t xml:space="preserve">nezahrnují </w:t>
      </w:r>
      <w:r w:rsidR="003D73BF" w:rsidRPr="0048146C">
        <w:rPr>
          <w:rFonts w:cs="Arial"/>
        </w:rPr>
        <w:t xml:space="preserve">přípravné operace, vývoz odpadu, </w:t>
      </w:r>
      <w:r w:rsidR="003D73BF">
        <w:rPr>
          <w:rFonts w:cs="Arial"/>
        </w:rPr>
        <w:t>uskladnění</w:t>
      </w:r>
      <w:r w:rsidR="003D73BF" w:rsidRPr="0048146C">
        <w:rPr>
          <w:rFonts w:cs="Arial"/>
        </w:rPr>
        <w:t xml:space="preserve"> ani předání jiné osobě. Naopak</w:t>
      </w:r>
      <w:r w:rsidR="003D73BF">
        <w:rPr>
          <w:rFonts w:cs="Arial"/>
        </w:rPr>
        <w:t xml:space="preserve"> </w:t>
      </w:r>
      <w:r w:rsidR="003D73BF" w:rsidRPr="0048146C">
        <w:rPr>
          <w:rFonts w:cs="Arial"/>
        </w:rPr>
        <w:t xml:space="preserve">nakládání kromě vlastní produkce </w:t>
      </w:r>
      <w:r w:rsidR="003D73BF">
        <w:rPr>
          <w:rFonts w:cs="Arial"/>
        </w:rPr>
        <w:t xml:space="preserve">může zahrnovat i </w:t>
      </w:r>
      <w:r w:rsidR="003D73BF" w:rsidRPr="0048146C">
        <w:rPr>
          <w:rFonts w:cs="Arial"/>
        </w:rPr>
        <w:t>dovoz odpadů</w:t>
      </w:r>
      <w:r w:rsidR="003D73BF">
        <w:rPr>
          <w:rFonts w:cs="Arial"/>
        </w:rPr>
        <w:t xml:space="preserve"> </w:t>
      </w:r>
      <w:r w:rsidR="003D73BF" w:rsidRPr="0048146C">
        <w:rPr>
          <w:rFonts w:cs="Arial"/>
        </w:rPr>
        <w:t>nebo zůstatek na skladě z předchozí</w:t>
      </w:r>
      <w:r w:rsidR="003D73BF">
        <w:rPr>
          <w:rFonts w:cs="Arial"/>
        </w:rPr>
        <w:t>ch</w:t>
      </w:r>
      <w:r w:rsidR="003D73BF" w:rsidRPr="0048146C">
        <w:rPr>
          <w:rFonts w:cs="Arial"/>
        </w:rPr>
        <w:t xml:space="preserve"> období. </w:t>
      </w:r>
      <w:r w:rsidR="003D73BF" w:rsidRPr="00E53CAF">
        <w:rPr>
          <w:rFonts w:cs="Arial"/>
        </w:rPr>
        <w:t>Z těchto důvodů se objem produkce odpadu nerovná objemu odpadu, s kterým je nakládáno.</w:t>
      </w:r>
    </w:p>
    <w:p w:rsidR="00B15C2F" w:rsidRPr="0048146C" w:rsidRDefault="00B15C2F" w:rsidP="00B15C2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cs="Arial"/>
        </w:rPr>
      </w:pPr>
    </w:p>
    <w:p w:rsidR="00B15C2F" w:rsidRPr="00E5550C" w:rsidRDefault="00B15C2F" w:rsidP="00B15C2F">
      <w:pPr>
        <w:autoSpaceDE w:val="0"/>
        <w:autoSpaceDN w:val="0"/>
        <w:adjustRightInd w:val="0"/>
        <w:spacing w:after="0" w:line="0" w:lineRule="atLeast"/>
        <w:jc w:val="both"/>
        <w:rPr>
          <w:rFonts w:cs="Arial"/>
        </w:rPr>
      </w:pPr>
      <w:r w:rsidRPr="00E5550C">
        <w:rPr>
          <w:rFonts w:cs="Arial"/>
        </w:rPr>
        <w:t xml:space="preserve">Podle nařízení </w:t>
      </w:r>
      <w:r w:rsidR="005218D8" w:rsidRPr="00E5550C">
        <w:rPr>
          <w:rFonts w:cs="Arial"/>
        </w:rPr>
        <w:t xml:space="preserve">Evropského parlamentu a Rady (ES) č. </w:t>
      </w:r>
      <w:r w:rsidRPr="00E5550C">
        <w:rPr>
          <w:rFonts w:cs="Arial"/>
        </w:rPr>
        <w:t xml:space="preserve">2150/2002 </w:t>
      </w:r>
      <w:r w:rsidR="005218D8" w:rsidRPr="00E5550C">
        <w:rPr>
          <w:rFonts w:cs="Arial"/>
        </w:rPr>
        <w:t>o statistice odpadů ve znění pozdějších předpisů se za nakládání s odpady považuje:</w:t>
      </w:r>
    </w:p>
    <w:p w:rsidR="00B15C2F" w:rsidRPr="00E5550C" w:rsidRDefault="00B15C2F" w:rsidP="000A724B">
      <w:pPr>
        <w:pStyle w:val="Odstavecseseznamem"/>
        <w:numPr>
          <w:ilvl w:val="0"/>
          <w:numId w:val="4"/>
        </w:numPr>
        <w:autoSpaceDE w:val="0"/>
        <w:autoSpaceDN w:val="0"/>
        <w:adjustRightInd w:val="0"/>
        <w:spacing w:after="0" w:line="0" w:lineRule="atLeast"/>
        <w:jc w:val="both"/>
        <w:rPr>
          <w:rFonts w:cs="Arial"/>
        </w:rPr>
      </w:pPr>
      <w:r w:rsidRPr="00E5550C">
        <w:rPr>
          <w:rFonts w:cs="Arial"/>
        </w:rPr>
        <w:t>využívání odpadů – operace stanovené v příloze č. II výše uvedeného nařízení</w:t>
      </w:r>
      <w:r w:rsidR="000A724B">
        <w:rPr>
          <w:rFonts w:cs="Arial"/>
        </w:rPr>
        <w:t>,</w:t>
      </w:r>
    </w:p>
    <w:p w:rsidR="00B15C2F" w:rsidRPr="0048146C" w:rsidRDefault="00B15C2F"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odstraňování odpadů</w:t>
      </w:r>
      <w:r w:rsidRPr="0048146C">
        <w:rPr>
          <w:rFonts w:cs="Arial"/>
        </w:rPr>
        <w:t xml:space="preserve"> </w:t>
      </w:r>
      <w:r w:rsidR="003D73BF" w:rsidRPr="0048146C">
        <w:rPr>
          <w:rFonts w:cs="Arial"/>
        </w:rPr>
        <w:t>–</w:t>
      </w:r>
      <w:r w:rsidRPr="0048146C">
        <w:rPr>
          <w:rFonts w:cs="Arial"/>
        </w:rPr>
        <w:t xml:space="preserve"> operace stanovené v příloze č. II výše uvedeného nařízení.</w:t>
      </w:r>
    </w:p>
    <w:p w:rsidR="003D73BF" w:rsidRDefault="003D73BF" w:rsidP="00F464B5">
      <w:pPr>
        <w:spacing w:after="0" w:line="240" w:lineRule="auto"/>
        <w:rPr>
          <w:rFonts w:cs="Arial"/>
          <w:b/>
          <w:szCs w:val="20"/>
          <w:lang w:val="ru-RU"/>
        </w:rPr>
      </w:pPr>
    </w:p>
    <w:p w:rsidR="00B15C2F" w:rsidRPr="0048146C" w:rsidRDefault="00B15C2F" w:rsidP="00F464B5">
      <w:pPr>
        <w:spacing w:after="0" w:line="240" w:lineRule="auto"/>
        <w:rPr>
          <w:rFonts w:cs="Arial"/>
          <w:b/>
          <w:szCs w:val="20"/>
          <w:lang w:val="ru-RU"/>
        </w:rPr>
      </w:pPr>
      <w:r w:rsidRPr="0048146C">
        <w:rPr>
          <w:rFonts w:cs="Arial"/>
          <w:b/>
          <w:szCs w:val="20"/>
          <w:lang w:val="ru-RU"/>
        </w:rPr>
        <w:t>Komunální odpad je</w:t>
      </w:r>
    </w:p>
    <w:p w:rsidR="00B15C2F" w:rsidRPr="000A724B" w:rsidRDefault="00B15C2F"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směsný odpad a odděleně sbíraný odpad z domácností, včetně papíru a lepenky, sklo, kovy, plasty, biologický odpad, dřevo, textil, obaly, elektrický odpad a elektronická zařízení, použité baterie a akumulátory</w:t>
      </w:r>
      <w:r w:rsidR="005218D8" w:rsidRPr="000A724B">
        <w:rPr>
          <w:rFonts w:cs="Arial"/>
        </w:rPr>
        <w:t xml:space="preserve"> a objemný odpad, včetně matrací a nábytku</w:t>
      </w:r>
      <w:r w:rsidR="003D73BF" w:rsidRPr="000A724B">
        <w:rPr>
          <w:rFonts w:cs="Arial"/>
        </w:rPr>
        <w:t>,</w:t>
      </w:r>
    </w:p>
    <w:p w:rsidR="00B15C2F" w:rsidRPr="000A724B" w:rsidRDefault="00B15C2F"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 xml:space="preserve">směsný odpad a odděleně sbíraný odpad z ostatních zdrojů, pokud je povahou a složením podobný odpadu z domácnosti. </w:t>
      </w:r>
    </w:p>
    <w:p w:rsidR="00B15C2F" w:rsidRPr="0048146C" w:rsidRDefault="00B15C2F"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cs="Arial"/>
          <w:szCs w:val="20"/>
          <w:lang w:val="ru-RU"/>
        </w:rPr>
      </w:pPr>
    </w:p>
    <w:p w:rsidR="00B15C2F" w:rsidRPr="0048146C" w:rsidRDefault="00B15C2F"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szCs w:val="20"/>
          <w:lang w:val="ru-RU"/>
        </w:rPr>
      </w:pPr>
      <w:r w:rsidRPr="0048146C">
        <w:rPr>
          <w:rFonts w:cs="Arial"/>
          <w:szCs w:val="20"/>
          <w:lang w:val="ru-RU"/>
        </w:rPr>
        <w:t>Komunální odpad nezahrnuje odpad z výroby, zemědělství, lesnictví, rybolovu, septiků a čistíren odpadních vod a čištění, včetně čistírenských kalů, vozidel s ukončenou životností nebo stavební a demoliční odpad.</w:t>
      </w:r>
    </w:p>
    <w:p w:rsidR="00B15C2F" w:rsidRPr="0048146C" w:rsidRDefault="00B15C2F"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szCs w:val="20"/>
          <w:lang w:val="ru-RU"/>
        </w:rPr>
      </w:pPr>
    </w:p>
    <w:p w:rsidR="00B15C2F" w:rsidRPr="0048146C" w:rsidRDefault="00B15C2F"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Arial"/>
          <w:szCs w:val="20"/>
          <w:lang w:val="ru-RU"/>
        </w:rPr>
      </w:pPr>
      <w:r w:rsidRPr="0048146C">
        <w:rPr>
          <w:rFonts w:cs="Arial"/>
          <w:szCs w:val="20"/>
          <w:lang w:val="ru-RU"/>
        </w:rPr>
        <w:lastRenderedPageBreak/>
        <w:t>Definicí dále není dotčeno rozdělení odpovědnosti za nakládání s odpady mezi veřejnými a soukromými subjekty. Odpad z domácností a odpady podobné povahy a složení budou zahrnuty do komunálního odpadu, bez ohledu na to, kdo tento odpad sbírá.</w:t>
      </w:r>
    </w:p>
    <w:p w:rsidR="00B15C2F" w:rsidRPr="0048146C" w:rsidRDefault="00B15C2F"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Arial"/>
          <w:szCs w:val="20"/>
          <w:lang w:val="ru-RU"/>
        </w:rPr>
      </w:pPr>
    </w:p>
    <w:p w:rsidR="00B15C2F" w:rsidRPr="0048146C" w:rsidRDefault="00B15C2F" w:rsidP="00B15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rPr>
          <w:rFonts w:cs="Arial"/>
          <w:szCs w:val="20"/>
          <w:lang w:val="ru-RU"/>
        </w:rPr>
      </w:pPr>
      <w:r w:rsidRPr="0048146C">
        <w:rPr>
          <w:rFonts w:cs="Arial"/>
          <w:szCs w:val="20"/>
          <w:lang w:val="ru-RU"/>
        </w:rPr>
        <w:t>Komunální odpad zahrnuje odpad pocházející z:</w:t>
      </w:r>
    </w:p>
    <w:p w:rsidR="00B15C2F" w:rsidRPr="000A724B" w:rsidRDefault="00B15C2F"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domácností,</w:t>
      </w:r>
    </w:p>
    <w:p w:rsidR="00B15C2F" w:rsidRPr="000A724B" w:rsidRDefault="005218D8"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 xml:space="preserve">obchodů, </w:t>
      </w:r>
      <w:r w:rsidR="00B15C2F" w:rsidRPr="000A724B">
        <w:rPr>
          <w:rFonts w:cs="Arial"/>
        </w:rPr>
        <w:t>malých podniků, kancelářských budov a institucí (např. školy, nemocnice, vládní budovy),</w:t>
      </w:r>
    </w:p>
    <w:p w:rsidR="00B15C2F" w:rsidRPr="000A724B" w:rsidRDefault="00B15C2F"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podniků, pokud je druhem a složením podobný odpadu z domácnosti a nepochází z výroby,</w:t>
      </w:r>
    </w:p>
    <w:p w:rsidR="00B15C2F" w:rsidRPr="000A724B" w:rsidRDefault="00B15C2F" w:rsidP="000A724B">
      <w:pPr>
        <w:pStyle w:val="Odstavecseseznamem"/>
        <w:numPr>
          <w:ilvl w:val="0"/>
          <w:numId w:val="4"/>
        </w:numPr>
        <w:autoSpaceDE w:val="0"/>
        <w:autoSpaceDN w:val="0"/>
        <w:adjustRightInd w:val="0"/>
        <w:spacing w:after="0" w:line="0" w:lineRule="atLeast"/>
        <w:jc w:val="both"/>
        <w:rPr>
          <w:rFonts w:cs="Arial"/>
        </w:rPr>
      </w:pPr>
      <w:r w:rsidRPr="000A724B">
        <w:rPr>
          <w:rFonts w:cs="Arial"/>
        </w:rPr>
        <w:t>odpad z vybraných komunálních služeb, tj. odpad z údržby parků a zahrad, odpad ze služeb čištění ulic (např. zametání ulic, odpad z čištění tržišť),</w:t>
      </w:r>
    </w:p>
    <w:p w:rsidR="00B15C2F" w:rsidRPr="000A724B" w:rsidRDefault="00B15C2F" w:rsidP="000A724B">
      <w:pPr>
        <w:autoSpaceDE w:val="0"/>
        <w:autoSpaceDN w:val="0"/>
        <w:adjustRightInd w:val="0"/>
        <w:spacing w:after="0" w:line="0" w:lineRule="atLeast"/>
        <w:jc w:val="both"/>
        <w:rPr>
          <w:rFonts w:cs="Arial"/>
        </w:rPr>
      </w:pPr>
      <w:r w:rsidRPr="000A724B">
        <w:rPr>
          <w:rFonts w:cs="Arial"/>
        </w:rPr>
        <w:t>pokud je s ním nakládáno jako s odpadem.</w:t>
      </w:r>
    </w:p>
    <w:p w:rsidR="00B15C2F" w:rsidRPr="0048146C" w:rsidRDefault="00B15C2F" w:rsidP="00B15C2F">
      <w:pPr>
        <w:spacing w:after="0" w:line="240" w:lineRule="auto"/>
        <w:jc w:val="both"/>
        <w:rPr>
          <w:rFonts w:cs="Arial"/>
          <w:bCs/>
        </w:rPr>
      </w:pPr>
    </w:p>
    <w:p w:rsidR="00B15C2F" w:rsidRDefault="00B15C2F" w:rsidP="00B15C2F">
      <w:pPr>
        <w:autoSpaceDE w:val="0"/>
        <w:autoSpaceDN w:val="0"/>
        <w:adjustRightInd w:val="0"/>
        <w:spacing w:after="0" w:line="0" w:lineRule="atLeast"/>
        <w:jc w:val="both"/>
        <w:rPr>
          <w:rFonts w:cs="Arial"/>
          <w:bCs/>
        </w:rPr>
      </w:pPr>
      <w:r w:rsidRPr="0048146C">
        <w:rPr>
          <w:rFonts w:cs="Arial"/>
          <w:b/>
          <w:bCs/>
        </w:rPr>
        <w:t>EWC-STAT</w:t>
      </w:r>
      <w:r w:rsidRPr="0048146C">
        <w:rPr>
          <w:rFonts w:cs="Arial"/>
          <w:bCs/>
        </w:rPr>
        <w:t xml:space="preserve"> je klasifikace odpadů </w:t>
      </w:r>
      <w:r w:rsidR="005218D8">
        <w:rPr>
          <w:rFonts w:cs="Arial"/>
          <w:bCs/>
        </w:rPr>
        <w:t xml:space="preserve">dle nařízení </w:t>
      </w:r>
      <w:r w:rsidRPr="0048146C">
        <w:rPr>
          <w:rFonts w:cs="Arial"/>
          <w:bCs/>
        </w:rPr>
        <w:t xml:space="preserve">2150/2002. Na rozdíl od klasifikace používané v Katalogu odpadů nerozlišuje, kde odpad vznikl, kdo jej vyprodukoval, ale rozlišení je pouze podle druhu látky tvořící odpad. </w:t>
      </w:r>
    </w:p>
    <w:p w:rsidR="00B15C2F" w:rsidRDefault="00B15C2F" w:rsidP="00B15C2F">
      <w:pPr>
        <w:autoSpaceDE w:val="0"/>
        <w:autoSpaceDN w:val="0"/>
        <w:adjustRightInd w:val="0"/>
        <w:spacing w:after="0" w:line="0" w:lineRule="atLeast"/>
        <w:jc w:val="both"/>
        <w:rPr>
          <w:rFonts w:cs="Arial"/>
          <w:bCs/>
        </w:rPr>
      </w:pPr>
    </w:p>
    <w:p w:rsidR="00B15C2F" w:rsidRPr="0048146C" w:rsidRDefault="00B15C2F" w:rsidP="00B15C2F">
      <w:pPr>
        <w:autoSpaceDE w:val="0"/>
        <w:autoSpaceDN w:val="0"/>
        <w:adjustRightInd w:val="0"/>
        <w:spacing w:after="0" w:line="0" w:lineRule="atLeast"/>
        <w:jc w:val="both"/>
        <w:rPr>
          <w:rFonts w:cs="Arial"/>
          <w:bCs/>
        </w:rPr>
      </w:pPr>
      <w:r w:rsidRPr="00B33D63">
        <w:rPr>
          <w:rFonts w:cs="Arial"/>
          <w:b/>
          <w:bCs/>
        </w:rPr>
        <w:t>CZ NACE</w:t>
      </w:r>
      <w:r>
        <w:rPr>
          <w:rFonts w:cs="Arial"/>
          <w:bCs/>
        </w:rPr>
        <w:t xml:space="preserve"> je klasifikace ekonomických činností. Zařazení se provádí podle převažující činnosti subjektu.</w:t>
      </w:r>
    </w:p>
    <w:p w:rsidR="00B15C2F" w:rsidRPr="0048146C" w:rsidRDefault="00B15C2F" w:rsidP="00B15C2F">
      <w:pPr>
        <w:autoSpaceDE w:val="0"/>
        <w:autoSpaceDN w:val="0"/>
        <w:adjustRightInd w:val="0"/>
        <w:spacing w:after="0" w:line="0" w:lineRule="atLeast"/>
        <w:jc w:val="both"/>
        <w:rPr>
          <w:rFonts w:cs="Arial"/>
          <w:bCs/>
        </w:rPr>
      </w:pPr>
    </w:p>
    <w:p w:rsidR="00B15C2F" w:rsidRPr="0048146C" w:rsidRDefault="00B15C2F" w:rsidP="00B15C2F">
      <w:pPr>
        <w:autoSpaceDE w:val="0"/>
        <w:autoSpaceDN w:val="0"/>
        <w:adjustRightInd w:val="0"/>
        <w:spacing w:after="0" w:line="0" w:lineRule="atLeast"/>
        <w:jc w:val="both"/>
        <w:rPr>
          <w:rFonts w:cs="Arial"/>
          <w:bCs/>
        </w:rPr>
      </w:pPr>
      <w:r w:rsidRPr="0048146C">
        <w:rPr>
          <w:rFonts w:cs="Arial"/>
          <w:bCs/>
        </w:rPr>
        <w:t xml:space="preserve">Regionální (krajské) členění je prováděno </w:t>
      </w:r>
      <w:r w:rsidRPr="001826DA">
        <w:rPr>
          <w:rFonts w:cs="Arial"/>
          <w:bCs/>
        </w:rPr>
        <w:t>podle sídla provozovny</w:t>
      </w:r>
      <w:r w:rsidRPr="0048146C">
        <w:rPr>
          <w:rFonts w:cs="Arial"/>
          <w:bCs/>
        </w:rPr>
        <w:t xml:space="preserve"> (místní jednotky), nikoli podle sídla podniku</w:t>
      </w:r>
      <w:r>
        <w:rPr>
          <w:rFonts w:cs="Arial"/>
          <w:bCs/>
        </w:rPr>
        <w:t>.</w:t>
      </w:r>
    </w:p>
    <w:p w:rsidR="00847DD9" w:rsidRDefault="00847DD9" w:rsidP="00847DD9">
      <w:pPr>
        <w:pStyle w:val="Zkladntext"/>
        <w:spacing w:line="240" w:lineRule="auto"/>
        <w:ind w:left="0" w:firstLine="709"/>
        <w:rPr>
          <w:rFonts w:ascii="Arial" w:hAnsi="Arial" w:cs="Arial"/>
          <w:sz w:val="20"/>
        </w:rPr>
      </w:pPr>
    </w:p>
    <w:p w:rsidR="00847DD9" w:rsidRDefault="00847DD9" w:rsidP="000A724B">
      <w:pPr>
        <w:pStyle w:val="Zkladntext"/>
        <w:spacing w:line="240" w:lineRule="auto"/>
        <w:ind w:left="0" w:firstLine="0"/>
        <w:rPr>
          <w:rFonts w:ascii="Arial" w:hAnsi="Arial" w:cs="Arial"/>
          <w:sz w:val="20"/>
        </w:rPr>
      </w:pPr>
      <w:r w:rsidRPr="00444DEB">
        <w:rPr>
          <w:rFonts w:ascii="Arial" w:hAnsi="Arial" w:cs="Arial"/>
          <w:sz w:val="20"/>
        </w:rPr>
        <w:t xml:space="preserve">Z důvodu ochrany individuálních dat jsou v podrobných tabulkách publikovány pouze </w:t>
      </w:r>
      <w:r>
        <w:rPr>
          <w:rFonts w:ascii="Arial" w:hAnsi="Arial" w:cs="Arial"/>
          <w:sz w:val="20"/>
        </w:rPr>
        <w:t>agregace,</w:t>
      </w:r>
      <w:r w:rsidRPr="00444DEB">
        <w:rPr>
          <w:rFonts w:ascii="Arial" w:hAnsi="Arial" w:cs="Arial"/>
          <w:sz w:val="20"/>
        </w:rPr>
        <w:t xml:space="preserve"> které </w:t>
      </w:r>
      <w:r>
        <w:rPr>
          <w:rFonts w:ascii="Arial" w:hAnsi="Arial" w:cs="Arial"/>
          <w:sz w:val="20"/>
        </w:rPr>
        <w:t>jsou tvořeny</w:t>
      </w:r>
      <w:r w:rsidR="00494F0B">
        <w:rPr>
          <w:rFonts w:ascii="Arial" w:hAnsi="Arial" w:cs="Arial"/>
          <w:sz w:val="20"/>
        </w:rPr>
        <w:t xml:space="preserve"> třemi a více respondenty a zároveň jeden respondent netvoří více jak 85 % hodnoty agregace.</w:t>
      </w:r>
    </w:p>
    <w:p w:rsidR="00847DD9" w:rsidRPr="00837432" w:rsidRDefault="00847DD9" w:rsidP="00837432">
      <w:pPr>
        <w:pStyle w:val="Zkladntext"/>
        <w:spacing w:line="240" w:lineRule="atLeast"/>
        <w:ind w:left="0" w:firstLine="0"/>
        <w:rPr>
          <w:rFonts w:ascii="Arial" w:hAnsi="Arial" w:cs="Arial"/>
          <w:sz w:val="20"/>
        </w:rPr>
      </w:pPr>
    </w:p>
    <w:p w:rsidR="00837432" w:rsidRPr="00837432" w:rsidRDefault="00837432" w:rsidP="00837432">
      <w:pPr>
        <w:pStyle w:val="Zkladntext"/>
        <w:spacing w:line="240" w:lineRule="atLeast"/>
        <w:ind w:left="0" w:firstLine="0"/>
        <w:rPr>
          <w:rFonts w:ascii="Arial" w:hAnsi="Arial" w:cs="Arial"/>
          <w:sz w:val="20"/>
        </w:rPr>
      </w:pPr>
    </w:p>
    <w:p w:rsidR="006A21E6" w:rsidRPr="00CE54FF" w:rsidRDefault="00F464B5" w:rsidP="00175463">
      <w:pPr>
        <w:spacing w:after="0"/>
        <w:jc w:val="both"/>
        <w:rPr>
          <w:rFonts w:cs="Arial"/>
          <w:b/>
        </w:rPr>
      </w:pPr>
      <w:r>
        <w:rPr>
          <w:rFonts w:cs="Arial"/>
          <w:b/>
        </w:rPr>
        <w:t>V</w:t>
      </w:r>
      <w:r w:rsidR="00CE54FF">
        <w:rPr>
          <w:rFonts w:cs="Arial"/>
          <w:b/>
        </w:rPr>
        <w:t>. Z</w:t>
      </w:r>
      <w:r w:rsidR="006A21E6" w:rsidRPr="00CE54FF">
        <w:rPr>
          <w:rFonts w:cs="Arial"/>
          <w:b/>
        </w:rPr>
        <w:t>pětné opravy a revize</w:t>
      </w:r>
    </w:p>
    <w:p w:rsidR="00837432" w:rsidRDefault="00837432" w:rsidP="00837432">
      <w:pPr>
        <w:pStyle w:val="Zkladntext"/>
        <w:spacing w:line="240" w:lineRule="atLeast"/>
        <w:ind w:left="0" w:firstLine="0"/>
        <w:rPr>
          <w:rFonts w:ascii="Arial" w:hAnsi="Arial" w:cs="Arial"/>
          <w:sz w:val="20"/>
        </w:rPr>
      </w:pPr>
      <w:r>
        <w:rPr>
          <w:rFonts w:ascii="Arial" w:hAnsi="Arial" w:cs="Arial"/>
          <w:sz w:val="20"/>
          <w:szCs w:val="20"/>
        </w:rPr>
        <w:t xml:space="preserve">Od roku 2020 přistoupil ČSÚ k širšímu využívání administrativního zdroje Integrovaný systém plnění ohlašovacích povinností (ISPOP) jako náhrady statistického zjišťování ODP 5-01. </w:t>
      </w:r>
      <w:r>
        <w:rPr>
          <w:rFonts w:ascii="Arial" w:hAnsi="Arial" w:cs="Arial"/>
          <w:sz w:val="20"/>
        </w:rPr>
        <w:t xml:space="preserve">Využitím </w:t>
      </w:r>
      <w:r w:rsidRPr="004C3560">
        <w:rPr>
          <w:rFonts w:ascii="Arial" w:hAnsi="Arial" w:cs="Arial"/>
          <w:sz w:val="20"/>
        </w:rPr>
        <w:t xml:space="preserve">údajů zjištěných prostřednictvím </w:t>
      </w:r>
      <w:r>
        <w:rPr>
          <w:rFonts w:ascii="Arial" w:hAnsi="Arial" w:cs="Arial"/>
          <w:sz w:val="20"/>
        </w:rPr>
        <w:t>ISPOP</w:t>
      </w:r>
      <w:r w:rsidRPr="004C3560">
        <w:rPr>
          <w:rFonts w:ascii="Arial" w:hAnsi="Arial" w:cs="Arial"/>
          <w:sz w:val="20"/>
        </w:rPr>
        <w:t xml:space="preserve"> bylo umožněno zvýšit rozsah pokrytí dat o produkci odpadů a nakládání s odpady. </w:t>
      </w:r>
      <w:r w:rsidRPr="001C0A79">
        <w:rPr>
          <w:rFonts w:ascii="Arial" w:hAnsi="Arial" w:cs="Arial"/>
          <w:sz w:val="20"/>
        </w:rPr>
        <w:t>Systém ISPOP umožňuje také prostřednictvím informace o „partnerovi“ zjistit i produkci odpadů od subjektů, které sami přímo hlášení</w:t>
      </w:r>
      <w:r>
        <w:rPr>
          <w:rFonts w:ascii="Arial" w:hAnsi="Arial" w:cs="Arial"/>
          <w:sz w:val="20"/>
        </w:rPr>
        <w:t xml:space="preserve"> produkci a nakládání s odpady </w:t>
      </w:r>
      <w:r w:rsidRPr="001C0A79">
        <w:rPr>
          <w:rFonts w:ascii="Arial" w:hAnsi="Arial" w:cs="Arial"/>
          <w:sz w:val="20"/>
        </w:rPr>
        <w:t>nevyplňují, ale předávají odpad k dalšímu zpracování v rámci ISPOP</w:t>
      </w:r>
      <w:r>
        <w:rPr>
          <w:rFonts w:ascii="Arial" w:hAnsi="Arial" w:cs="Arial"/>
          <w:sz w:val="20"/>
        </w:rPr>
        <w:t>.</w:t>
      </w:r>
    </w:p>
    <w:p w:rsidR="00837432" w:rsidRDefault="00837432" w:rsidP="00837432">
      <w:pPr>
        <w:pStyle w:val="Zkladntext"/>
        <w:spacing w:line="240" w:lineRule="atLeast"/>
        <w:ind w:left="0" w:firstLine="0"/>
        <w:rPr>
          <w:rFonts w:ascii="Arial" w:hAnsi="Arial" w:cs="Arial"/>
          <w:sz w:val="20"/>
        </w:rPr>
      </w:pPr>
    </w:p>
    <w:p w:rsidR="00837432" w:rsidRDefault="00837432" w:rsidP="00837432">
      <w:pPr>
        <w:pStyle w:val="Zkladntext"/>
        <w:spacing w:line="240" w:lineRule="atLeast"/>
        <w:ind w:left="0" w:firstLine="0"/>
        <w:rPr>
          <w:rFonts w:ascii="Arial" w:hAnsi="Arial" w:cs="Arial"/>
          <w:sz w:val="20"/>
        </w:rPr>
      </w:pPr>
    </w:p>
    <w:p w:rsidR="006A21E6" w:rsidRPr="00CE54FF" w:rsidRDefault="006A21E6" w:rsidP="00175463">
      <w:pPr>
        <w:spacing w:after="0"/>
        <w:jc w:val="both"/>
        <w:rPr>
          <w:rFonts w:cs="Arial"/>
          <w:b/>
        </w:rPr>
      </w:pPr>
      <w:r w:rsidRPr="00CE54FF">
        <w:rPr>
          <w:rFonts w:cs="Arial"/>
          <w:b/>
        </w:rPr>
        <w:t>V</w:t>
      </w:r>
      <w:r w:rsidR="00B33D63">
        <w:rPr>
          <w:rFonts w:cs="Arial"/>
          <w:b/>
        </w:rPr>
        <w:t>I</w:t>
      </w:r>
      <w:r w:rsidR="00CE54FF">
        <w:rPr>
          <w:rFonts w:cs="Arial"/>
          <w:b/>
        </w:rPr>
        <w:t xml:space="preserve">. </w:t>
      </w:r>
      <w:r w:rsidR="00B33D63">
        <w:rPr>
          <w:rFonts w:cs="Arial"/>
          <w:b/>
        </w:rPr>
        <w:t>S</w:t>
      </w:r>
      <w:r w:rsidRPr="00CE54FF">
        <w:rPr>
          <w:rFonts w:cs="Arial"/>
          <w:b/>
        </w:rPr>
        <w:t>rovnatelnost</w:t>
      </w:r>
    </w:p>
    <w:p w:rsidR="006A21E6" w:rsidRDefault="00B33D63" w:rsidP="00837432">
      <w:pPr>
        <w:pStyle w:val="Odstavecseseznamem"/>
        <w:numPr>
          <w:ilvl w:val="0"/>
          <w:numId w:val="3"/>
        </w:numPr>
        <w:spacing w:after="0"/>
        <w:ind w:left="1077" w:hanging="357"/>
        <w:rPr>
          <w:rFonts w:cs="Arial"/>
        </w:rPr>
      </w:pPr>
      <w:r w:rsidRPr="00644E64">
        <w:rPr>
          <w:rFonts w:cs="Arial"/>
          <w:b/>
        </w:rPr>
        <w:t>Srovnatelnost v čase</w:t>
      </w:r>
      <w:r>
        <w:rPr>
          <w:rFonts w:cs="Arial"/>
        </w:rPr>
        <w:t xml:space="preserve"> - d</w:t>
      </w:r>
      <w:r w:rsidR="006A21E6" w:rsidRPr="00B33D63">
        <w:rPr>
          <w:rFonts w:cs="Arial"/>
        </w:rPr>
        <w:t>ata jsou me</w:t>
      </w:r>
      <w:r w:rsidRPr="00B33D63">
        <w:rPr>
          <w:rFonts w:cs="Arial"/>
        </w:rPr>
        <w:t>todicky srovnatelná od roku 2017.</w:t>
      </w:r>
    </w:p>
    <w:p w:rsidR="00B33D63" w:rsidRPr="00B33D63" w:rsidRDefault="00B33D63" w:rsidP="00837432">
      <w:pPr>
        <w:pStyle w:val="Odstavecseseznamem"/>
        <w:numPr>
          <w:ilvl w:val="0"/>
          <w:numId w:val="3"/>
        </w:numPr>
        <w:spacing w:after="0"/>
        <w:ind w:left="1077" w:hanging="357"/>
        <w:rPr>
          <w:rFonts w:cs="Arial"/>
        </w:rPr>
      </w:pPr>
      <w:r w:rsidRPr="00644E64">
        <w:rPr>
          <w:rFonts w:cs="Arial"/>
          <w:b/>
        </w:rPr>
        <w:t>Mezinárodní srovnatelnost</w:t>
      </w:r>
      <w:r>
        <w:rPr>
          <w:rFonts w:cs="Arial"/>
        </w:rPr>
        <w:t xml:space="preserve"> - d</w:t>
      </w:r>
      <w:r w:rsidRPr="00B33D63">
        <w:rPr>
          <w:rFonts w:cs="Arial"/>
        </w:rPr>
        <w:t>ata jsou mezinárodně plně metodicky srovnatelná</w:t>
      </w:r>
      <w:r>
        <w:rPr>
          <w:rFonts w:cs="Arial"/>
        </w:rPr>
        <w:t>.</w:t>
      </w:r>
    </w:p>
    <w:p w:rsidR="00644E64" w:rsidRPr="00837432" w:rsidRDefault="00644E64" w:rsidP="00837432">
      <w:pPr>
        <w:pStyle w:val="Zkladntext"/>
        <w:spacing w:line="240" w:lineRule="atLeast"/>
        <w:ind w:left="0" w:firstLine="0"/>
        <w:rPr>
          <w:rFonts w:ascii="Arial" w:hAnsi="Arial" w:cs="Arial"/>
          <w:sz w:val="20"/>
        </w:rPr>
      </w:pPr>
    </w:p>
    <w:p w:rsidR="00837432" w:rsidRPr="00837432" w:rsidRDefault="00837432" w:rsidP="00837432">
      <w:pPr>
        <w:pStyle w:val="Zkladntext"/>
        <w:spacing w:line="240" w:lineRule="atLeast"/>
        <w:ind w:left="0" w:firstLine="0"/>
        <w:rPr>
          <w:rFonts w:ascii="Arial" w:hAnsi="Arial" w:cs="Arial"/>
          <w:sz w:val="20"/>
        </w:rPr>
      </w:pPr>
    </w:p>
    <w:p w:rsidR="006A21E6" w:rsidRPr="00CE54FF" w:rsidRDefault="00F464B5" w:rsidP="00175463">
      <w:pPr>
        <w:spacing w:after="0"/>
        <w:jc w:val="both"/>
        <w:rPr>
          <w:rFonts w:cs="Arial"/>
          <w:b/>
        </w:rPr>
      </w:pPr>
      <w:r>
        <w:rPr>
          <w:rFonts w:cs="Arial"/>
          <w:b/>
        </w:rPr>
        <w:t>VII</w:t>
      </w:r>
      <w:r w:rsidR="00CE54FF">
        <w:rPr>
          <w:rFonts w:cs="Arial"/>
          <w:b/>
        </w:rPr>
        <w:t>. Z</w:t>
      </w:r>
      <w:r w:rsidR="006A21E6" w:rsidRPr="00CE54FF">
        <w:rPr>
          <w:rFonts w:cs="Arial"/>
          <w:b/>
        </w:rPr>
        <w:t>veřejňování údajů</w:t>
      </w:r>
    </w:p>
    <w:p w:rsidR="006A21E6" w:rsidRPr="00644E64" w:rsidRDefault="006A21E6" w:rsidP="00837432">
      <w:pPr>
        <w:pStyle w:val="Odstavecseseznamem"/>
        <w:numPr>
          <w:ilvl w:val="0"/>
          <w:numId w:val="4"/>
        </w:numPr>
        <w:spacing w:after="0"/>
        <w:ind w:left="1066" w:hanging="357"/>
        <w:rPr>
          <w:rFonts w:cs="Arial"/>
        </w:rPr>
      </w:pPr>
      <w:r w:rsidRPr="00644E64">
        <w:rPr>
          <w:rFonts w:cs="Arial"/>
        </w:rPr>
        <w:t xml:space="preserve">Roční publikace </w:t>
      </w:r>
      <w:r w:rsidR="00644E64" w:rsidRPr="00644E64">
        <w:rPr>
          <w:rFonts w:cs="Arial"/>
        </w:rPr>
        <w:t>„</w:t>
      </w:r>
      <w:r w:rsidRPr="00644E64">
        <w:rPr>
          <w:rFonts w:cs="Arial"/>
        </w:rPr>
        <w:t>Produk</w:t>
      </w:r>
      <w:r w:rsidR="00644E64" w:rsidRPr="00644E64">
        <w:rPr>
          <w:rFonts w:cs="Arial"/>
        </w:rPr>
        <w:t>ce, využití a odstranění odpadů„</w:t>
      </w:r>
    </w:p>
    <w:p w:rsidR="00644E64" w:rsidRPr="00CE54FF" w:rsidRDefault="00F93FC5" w:rsidP="00837432">
      <w:pPr>
        <w:spacing w:after="0"/>
        <w:ind w:left="361" w:firstLine="708"/>
        <w:rPr>
          <w:rFonts w:cs="Arial"/>
        </w:rPr>
      </w:pPr>
      <w:hyperlink r:id="rId5" w:history="1">
        <w:r w:rsidR="00644E64" w:rsidRPr="00FF4D29">
          <w:rPr>
            <w:rStyle w:val="Hypertextovodkaz"/>
            <w:rFonts w:cs="Arial"/>
          </w:rPr>
          <w:t>https://www.czso.cz/csu/czso/zivotni-prostredi</w:t>
        </w:r>
      </w:hyperlink>
    </w:p>
    <w:p w:rsidR="00644E64" w:rsidRDefault="00644E64" w:rsidP="00837432">
      <w:pPr>
        <w:pStyle w:val="Odstavecseseznamem"/>
        <w:numPr>
          <w:ilvl w:val="0"/>
          <w:numId w:val="4"/>
        </w:numPr>
        <w:spacing w:after="0"/>
        <w:ind w:left="1066" w:hanging="357"/>
        <w:rPr>
          <w:rFonts w:cs="Arial"/>
        </w:rPr>
      </w:pPr>
      <w:r>
        <w:rPr>
          <w:rFonts w:cs="Arial"/>
        </w:rPr>
        <w:t>Databáze Eurostatu</w:t>
      </w:r>
    </w:p>
    <w:p w:rsidR="006A21E6" w:rsidRPr="00644E64" w:rsidRDefault="00F93FC5" w:rsidP="00837432">
      <w:pPr>
        <w:spacing w:after="0"/>
        <w:ind w:left="361" w:firstLine="708"/>
        <w:rPr>
          <w:rFonts w:cs="Arial"/>
        </w:rPr>
      </w:pPr>
      <w:hyperlink r:id="rId6" w:history="1">
        <w:r w:rsidR="006A21E6" w:rsidRPr="00644E64">
          <w:rPr>
            <w:rStyle w:val="Hypertextovodkaz"/>
            <w:rFonts w:cs="Arial"/>
          </w:rPr>
          <w:t>https://ec.europa.eu/eurostat/databrowser/view/ten00106/default/table?lang=en</w:t>
        </w:r>
      </w:hyperlink>
    </w:p>
    <w:p w:rsidR="00175463" w:rsidRPr="00175463" w:rsidRDefault="00175463" w:rsidP="00175463">
      <w:pPr>
        <w:spacing w:after="0"/>
        <w:rPr>
          <w:rFonts w:cs="Arial"/>
          <w:b/>
        </w:rPr>
      </w:pPr>
    </w:p>
    <w:p w:rsidR="00175463" w:rsidRPr="00175463" w:rsidRDefault="00175463" w:rsidP="00175463">
      <w:pPr>
        <w:spacing w:after="0"/>
        <w:rPr>
          <w:rFonts w:cs="Arial"/>
          <w:b/>
        </w:rPr>
      </w:pPr>
    </w:p>
    <w:p w:rsidR="006A21E6" w:rsidRPr="00CE54FF" w:rsidRDefault="00F464B5" w:rsidP="00175463">
      <w:pPr>
        <w:spacing w:after="0"/>
        <w:jc w:val="both"/>
        <w:rPr>
          <w:rFonts w:cs="Arial"/>
          <w:b/>
        </w:rPr>
      </w:pPr>
      <w:r>
        <w:rPr>
          <w:rFonts w:cs="Arial"/>
          <w:b/>
        </w:rPr>
        <w:t>VIII</w:t>
      </w:r>
      <w:r w:rsidR="00CE54FF">
        <w:rPr>
          <w:rFonts w:cs="Arial"/>
          <w:b/>
        </w:rPr>
        <w:t>.</w:t>
      </w:r>
      <w:r w:rsidR="006A21E6" w:rsidRPr="00CE54FF">
        <w:rPr>
          <w:rFonts w:cs="Arial"/>
          <w:b/>
        </w:rPr>
        <w:t xml:space="preserve"> Doplňující metodické informace a externí odkazy</w:t>
      </w:r>
    </w:p>
    <w:p w:rsidR="006A21E6" w:rsidRPr="00837432" w:rsidRDefault="006A21E6" w:rsidP="00837432">
      <w:pPr>
        <w:pStyle w:val="Odstavecseseznamem"/>
        <w:numPr>
          <w:ilvl w:val="0"/>
          <w:numId w:val="4"/>
        </w:numPr>
        <w:rPr>
          <w:rFonts w:cs="Arial"/>
        </w:rPr>
      </w:pPr>
      <w:r w:rsidRPr="00837432">
        <w:rPr>
          <w:rFonts w:cs="Arial"/>
        </w:rPr>
        <w:t>Nařízení EP 2150/2002 o statistice odpadů</w:t>
      </w:r>
    </w:p>
    <w:p w:rsidR="006A21E6" w:rsidRPr="00837432" w:rsidRDefault="006A21E6" w:rsidP="00837432">
      <w:pPr>
        <w:pStyle w:val="Odstavecseseznamem"/>
        <w:numPr>
          <w:ilvl w:val="0"/>
          <w:numId w:val="4"/>
        </w:numPr>
        <w:rPr>
          <w:rFonts w:cs="Arial"/>
        </w:rPr>
      </w:pPr>
      <w:r w:rsidRPr="00837432">
        <w:rPr>
          <w:rFonts w:cs="Arial"/>
        </w:rPr>
        <w:t>Zákon 541/2020 Sb. – zákon o o</w:t>
      </w:r>
      <w:r w:rsidR="00225974">
        <w:rPr>
          <w:rFonts w:cs="Arial"/>
        </w:rPr>
        <w:t>dpadech</w:t>
      </w:r>
    </w:p>
    <w:sectPr w:rsidR="006A21E6" w:rsidRPr="00837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7551"/>
    <w:multiLevelType w:val="hybridMultilevel"/>
    <w:tmpl w:val="E0A25C6E"/>
    <w:lvl w:ilvl="0" w:tplc="EDAEE97C">
      <w:start w:val="2"/>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31C477AF"/>
    <w:multiLevelType w:val="hybridMultilevel"/>
    <w:tmpl w:val="44B08FFA"/>
    <w:lvl w:ilvl="0" w:tplc="DAEADCE2">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405706AF"/>
    <w:multiLevelType w:val="hybridMultilevel"/>
    <w:tmpl w:val="FF0AC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7397501"/>
    <w:multiLevelType w:val="hybridMultilevel"/>
    <w:tmpl w:val="578CFCFA"/>
    <w:lvl w:ilvl="0" w:tplc="25E63C44">
      <w:numFmt w:val="bullet"/>
      <w:lvlText w:val="-"/>
      <w:lvlJc w:val="left"/>
      <w:pPr>
        <w:ind w:left="720" w:hanging="360"/>
      </w:pPr>
      <w:rPr>
        <w:rFonts w:ascii="Courier New" w:eastAsia="Times New Roman"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C8"/>
    <w:rsid w:val="000A724B"/>
    <w:rsid w:val="00175463"/>
    <w:rsid w:val="00191350"/>
    <w:rsid w:val="002122C8"/>
    <w:rsid w:val="00225974"/>
    <w:rsid w:val="002746B1"/>
    <w:rsid w:val="003D73BF"/>
    <w:rsid w:val="004637E2"/>
    <w:rsid w:val="00494F0B"/>
    <w:rsid w:val="00500E63"/>
    <w:rsid w:val="005218D8"/>
    <w:rsid w:val="005A29C5"/>
    <w:rsid w:val="00644E64"/>
    <w:rsid w:val="00661980"/>
    <w:rsid w:val="00670953"/>
    <w:rsid w:val="006A21E6"/>
    <w:rsid w:val="00746B6B"/>
    <w:rsid w:val="008009CA"/>
    <w:rsid w:val="00837432"/>
    <w:rsid w:val="00847DD9"/>
    <w:rsid w:val="00B019FA"/>
    <w:rsid w:val="00B15C2F"/>
    <w:rsid w:val="00B20C17"/>
    <w:rsid w:val="00B33D63"/>
    <w:rsid w:val="00C13F37"/>
    <w:rsid w:val="00CE54FF"/>
    <w:rsid w:val="00E5550C"/>
    <w:rsid w:val="00F464B5"/>
    <w:rsid w:val="00F90924"/>
    <w:rsid w:val="00F93FC5"/>
    <w:rsid w:val="00F96BA3"/>
    <w:rsid w:val="00FB7B09"/>
    <w:rsid w:val="00FC563D"/>
    <w:rsid w:val="00FF1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451B"/>
  <w15:chartTrackingRefBased/>
  <w15:docId w15:val="{7B65325C-951A-44EA-81E3-FC5E21AF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122C8"/>
    <w:pPr>
      <w:spacing w:after="240" w:line="288" w:lineRule="auto"/>
    </w:pPr>
    <w:rPr>
      <w:rFonts w:ascii="Arial" w:eastAsia="Times New Roman" w:hAnsi="Arial" w:cs="Times New Roman"/>
      <w:sz w:val="20"/>
      <w:szCs w:val="24"/>
      <w:lang w:eastAsia="cs-CZ"/>
    </w:rPr>
  </w:style>
  <w:style w:type="paragraph" w:styleId="Nadpis3">
    <w:name w:val="heading 3"/>
    <w:next w:val="Normln"/>
    <w:link w:val="Nadpis3Char"/>
    <w:uiPriority w:val="9"/>
    <w:qFormat/>
    <w:rsid w:val="002122C8"/>
    <w:pPr>
      <w:keepNext/>
      <w:keepLines/>
      <w:spacing w:after="0" w:line="288" w:lineRule="auto"/>
      <w:outlineLvl w:val="2"/>
    </w:pPr>
    <w:rPr>
      <w:rFonts w:ascii="Arial" w:eastAsia="MS Gothic" w:hAnsi="Arial" w:cs="Times New Roman"/>
      <w:b/>
      <w:bCs/>
      <w:color w:val="0071BC"/>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2122C8"/>
    <w:rPr>
      <w:rFonts w:ascii="Arial" w:eastAsia="MS Gothic" w:hAnsi="Arial" w:cs="Times New Roman"/>
      <w:b/>
      <w:bCs/>
      <w:color w:val="0071BC"/>
      <w:sz w:val="24"/>
      <w:szCs w:val="24"/>
      <w:lang w:eastAsia="cs-CZ"/>
    </w:rPr>
  </w:style>
  <w:style w:type="paragraph" w:customStyle="1" w:styleId="Nadpis3ENG">
    <w:name w:val="Nadpis 3 ENG"/>
    <w:basedOn w:val="Nadpis3"/>
    <w:link w:val="Nadpis3ENGChar"/>
    <w:qFormat/>
    <w:rsid w:val="002122C8"/>
    <w:rPr>
      <w:i/>
    </w:rPr>
  </w:style>
  <w:style w:type="character" w:customStyle="1" w:styleId="Nadpis3ENGChar">
    <w:name w:val="Nadpis 3 ENG Char"/>
    <w:basedOn w:val="Nadpis3Char"/>
    <w:link w:val="Nadpis3ENG"/>
    <w:rsid w:val="002122C8"/>
    <w:rPr>
      <w:rFonts w:ascii="Arial" w:eastAsia="MS Gothic" w:hAnsi="Arial" w:cs="Times New Roman"/>
      <w:b/>
      <w:bCs/>
      <w:i/>
      <w:color w:val="0071BC"/>
      <w:sz w:val="24"/>
      <w:szCs w:val="24"/>
      <w:lang w:eastAsia="cs-CZ"/>
    </w:rPr>
  </w:style>
  <w:style w:type="paragraph" w:styleId="Zkladntext">
    <w:name w:val="Body Text"/>
    <w:basedOn w:val="Normln"/>
    <w:link w:val="ZkladntextChar"/>
    <w:semiHidden/>
    <w:rsid w:val="002122C8"/>
    <w:pPr>
      <w:tabs>
        <w:tab w:val="left" w:pos="684"/>
      </w:tabs>
      <w:spacing w:after="0" w:line="0" w:lineRule="atLeast"/>
      <w:ind w:left="851" w:hanging="851"/>
      <w:jc w:val="both"/>
    </w:pPr>
    <w:rPr>
      <w:rFonts w:ascii="Times New Roman" w:hAnsi="Times New Roman"/>
      <w:sz w:val="24"/>
    </w:rPr>
  </w:style>
  <w:style w:type="character" w:customStyle="1" w:styleId="ZkladntextChar">
    <w:name w:val="Základní text Char"/>
    <w:basedOn w:val="Standardnpsmoodstavce"/>
    <w:link w:val="Zkladntext"/>
    <w:semiHidden/>
    <w:rsid w:val="002122C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33D63"/>
    <w:pPr>
      <w:ind w:left="720"/>
      <w:contextualSpacing/>
    </w:pPr>
  </w:style>
  <w:style w:type="character" w:styleId="Hypertextovodkaz">
    <w:name w:val="Hyperlink"/>
    <w:basedOn w:val="Standardnpsmoodstavce"/>
    <w:uiPriority w:val="99"/>
    <w:unhideWhenUsed/>
    <w:rsid w:val="00644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rostat/databrowser/view/ten00106/default/table?lang=en" TargetMode="External"/><Relationship Id="rId5" Type="http://schemas.openxmlformats.org/officeDocument/2006/relationships/hyperlink" Target="https://www.czso.cz/csu/czso/zivotni-prostredi"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823</Words>
  <Characters>4862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dzurik37943</dc:creator>
  <cp:keywords/>
  <dc:description/>
  <cp:lastModifiedBy>Harák Tomáš</cp:lastModifiedBy>
  <cp:revision>19</cp:revision>
  <dcterms:created xsi:type="dcterms:W3CDTF">2022-09-06T09:09:00Z</dcterms:created>
  <dcterms:modified xsi:type="dcterms:W3CDTF">2022-10-19T06:46:00Z</dcterms:modified>
</cp:coreProperties>
</file>