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D59B4" w14:textId="77777777" w:rsidR="00A75E40" w:rsidRPr="009110F7" w:rsidRDefault="00BF4329" w:rsidP="006C3495">
      <w:pPr>
        <w:jc w:val="center"/>
        <w:rPr>
          <w:lang w:eastAsia="ar-SA"/>
        </w:rPr>
        <w:sectPr w:rsidR="00A75E40" w:rsidRPr="009110F7" w:rsidSect="0085114D">
          <w:pgSz w:w="11906" w:h="16838" w:code="9"/>
          <w:pgMar w:top="1134" w:right="1134" w:bottom="1418" w:left="1134" w:header="709" w:footer="709" w:gutter="0"/>
          <w:pgNumType w:start="1"/>
          <w:cols w:space="708"/>
          <w:docGrid w:linePitch="360"/>
        </w:sectPr>
      </w:pPr>
      <w:r>
        <w:rPr>
          <w:noProof/>
        </w:rPr>
        <mc:AlternateContent>
          <mc:Choice Requires="wpg">
            <w:drawing>
              <wp:anchor distT="0" distB="0" distL="114300" distR="114300" simplePos="0" relativeHeight="251657728" behindDoc="0" locked="1" layoutInCell="1" allowOverlap="1" wp14:anchorId="153790F7" wp14:editId="0FC115F8">
                <wp:simplePos x="0" y="0"/>
                <wp:positionH relativeFrom="page">
                  <wp:posOffset>571500</wp:posOffset>
                </wp:positionH>
                <wp:positionV relativeFrom="page">
                  <wp:posOffset>466725</wp:posOffset>
                </wp:positionV>
                <wp:extent cx="2249805" cy="554355"/>
                <wp:effectExtent l="0" t="0" r="0" b="0"/>
                <wp:wrapSquare wrapText="bothSides"/>
                <wp:docPr id="31"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49805" cy="554355"/>
                          <a:chOff x="567" y="851"/>
                          <a:chExt cx="2714" cy="667"/>
                        </a:xfrm>
                      </wpg:grpSpPr>
                      <wps:wsp>
                        <wps:cNvPr id="32" name="Rectangle 9"/>
                        <wps:cNvSpPr>
                          <a:spLocks noChangeAspect="1" noChangeArrowheads="1"/>
                        </wps:cNvSpPr>
                        <wps:spPr bwMode="auto">
                          <a:xfrm>
                            <a:off x="1215" y="901"/>
                            <a:ext cx="676" cy="154"/>
                          </a:xfrm>
                          <a:prstGeom prst="rect">
                            <a:avLst/>
                          </a:prstGeom>
                          <a:solidFill>
                            <a:srgbClr val="0071BC"/>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0"/>
                        <wps:cNvSpPr>
                          <a:spLocks noChangeAspect="1" noChangeArrowheads="1"/>
                        </wps:cNvSpPr>
                        <wps:spPr bwMode="auto">
                          <a:xfrm>
                            <a:off x="567" y="1131"/>
                            <a:ext cx="1324" cy="154"/>
                          </a:xfrm>
                          <a:prstGeom prst="rect">
                            <a:avLst/>
                          </a:prstGeom>
                          <a:solidFill>
                            <a:srgbClr val="0071BC"/>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1"/>
                        <wps:cNvSpPr>
                          <a:spLocks noChangeAspect="1" noChangeArrowheads="1"/>
                        </wps:cNvSpPr>
                        <wps:spPr bwMode="auto">
                          <a:xfrm>
                            <a:off x="1288" y="1361"/>
                            <a:ext cx="603" cy="153"/>
                          </a:xfrm>
                          <a:prstGeom prst="rect">
                            <a:avLst/>
                          </a:prstGeom>
                          <a:solidFill>
                            <a:srgbClr val="0071BC"/>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12"/>
                        <wps:cNvSpPr>
                          <a:spLocks noChangeAspect="1" noEditPoints="1"/>
                        </wps:cNvSpPr>
                        <wps:spPr bwMode="auto">
                          <a:xfrm>
                            <a:off x="1969" y="1311"/>
                            <a:ext cx="600" cy="207"/>
                          </a:xfrm>
                          <a:custGeom>
                            <a:avLst/>
                            <a:gdLst>
                              <a:gd name="T0" fmla="*/ 520 w 1200"/>
                              <a:gd name="T1" fmla="*/ 84 h 415"/>
                              <a:gd name="T2" fmla="*/ 537 w 1200"/>
                              <a:gd name="T3" fmla="*/ 88 h 415"/>
                              <a:gd name="T4" fmla="*/ 550 w 1200"/>
                              <a:gd name="T5" fmla="*/ 100 h 415"/>
                              <a:gd name="T6" fmla="*/ 557 w 1200"/>
                              <a:gd name="T7" fmla="*/ 114 h 415"/>
                              <a:gd name="T8" fmla="*/ 559 w 1200"/>
                              <a:gd name="T9" fmla="*/ 131 h 415"/>
                              <a:gd name="T10" fmla="*/ 554 w 1200"/>
                              <a:gd name="T11" fmla="*/ 147 h 415"/>
                              <a:gd name="T12" fmla="*/ 544 w 1200"/>
                              <a:gd name="T13" fmla="*/ 160 h 415"/>
                              <a:gd name="T14" fmla="*/ 530 w 1200"/>
                              <a:gd name="T15" fmla="*/ 168 h 415"/>
                              <a:gd name="T16" fmla="*/ 506 w 1200"/>
                              <a:gd name="T17" fmla="*/ 170 h 415"/>
                              <a:gd name="T18" fmla="*/ 540 w 1200"/>
                              <a:gd name="T19" fmla="*/ 202 h 415"/>
                              <a:gd name="T20" fmla="*/ 567 w 1200"/>
                              <a:gd name="T21" fmla="*/ 190 h 415"/>
                              <a:gd name="T22" fmla="*/ 587 w 1200"/>
                              <a:gd name="T23" fmla="*/ 169 h 415"/>
                              <a:gd name="T24" fmla="*/ 599 w 1200"/>
                              <a:gd name="T25" fmla="*/ 142 h 415"/>
                              <a:gd name="T26" fmla="*/ 599 w 1200"/>
                              <a:gd name="T27" fmla="*/ 111 h 415"/>
                              <a:gd name="T28" fmla="*/ 587 w 1200"/>
                              <a:gd name="T29" fmla="*/ 84 h 415"/>
                              <a:gd name="T30" fmla="*/ 567 w 1200"/>
                              <a:gd name="T31" fmla="*/ 63 h 415"/>
                              <a:gd name="T32" fmla="*/ 540 w 1200"/>
                              <a:gd name="T33" fmla="*/ 51 h 415"/>
                              <a:gd name="T34" fmla="*/ 466 w 1200"/>
                              <a:gd name="T35" fmla="*/ 204 h 415"/>
                              <a:gd name="T36" fmla="*/ 388 w 1200"/>
                              <a:gd name="T37" fmla="*/ 146 h 415"/>
                              <a:gd name="T38" fmla="*/ 393 w 1200"/>
                              <a:gd name="T39" fmla="*/ 50 h 415"/>
                              <a:gd name="T40" fmla="*/ 343 w 1200"/>
                              <a:gd name="T41" fmla="*/ 177 h 415"/>
                              <a:gd name="T42" fmla="*/ 257 w 1200"/>
                              <a:gd name="T43" fmla="*/ 18 h 415"/>
                              <a:gd name="T44" fmla="*/ 174 w 1200"/>
                              <a:gd name="T45" fmla="*/ 18 h 415"/>
                              <a:gd name="T46" fmla="*/ 216 w 1200"/>
                              <a:gd name="T47" fmla="*/ 81 h 415"/>
                              <a:gd name="T48" fmla="*/ 231 w 1200"/>
                              <a:gd name="T49" fmla="*/ 88 h 415"/>
                              <a:gd name="T50" fmla="*/ 235 w 1200"/>
                              <a:gd name="T51" fmla="*/ 104 h 415"/>
                              <a:gd name="T52" fmla="*/ 225 w 1200"/>
                              <a:gd name="T53" fmla="*/ 116 h 415"/>
                              <a:gd name="T54" fmla="*/ 204 w 1200"/>
                              <a:gd name="T55" fmla="*/ 119 h 415"/>
                              <a:gd name="T56" fmla="*/ 258 w 1200"/>
                              <a:gd name="T57" fmla="*/ 135 h 415"/>
                              <a:gd name="T58" fmla="*/ 271 w 1200"/>
                              <a:gd name="T59" fmla="*/ 121 h 415"/>
                              <a:gd name="T60" fmla="*/ 276 w 1200"/>
                              <a:gd name="T61" fmla="*/ 102 h 415"/>
                              <a:gd name="T62" fmla="*/ 275 w 1200"/>
                              <a:gd name="T63" fmla="*/ 83 h 415"/>
                              <a:gd name="T64" fmla="*/ 266 w 1200"/>
                              <a:gd name="T65" fmla="*/ 67 h 415"/>
                              <a:gd name="T66" fmla="*/ 252 w 1200"/>
                              <a:gd name="T67" fmla="*/ 55 h 415"/>
                              <a:gd name="T68" fmla="*/ 232 w 1200"/>
                              <a:gd name="T69" fmla="*/ 50 h 415"/>
                              <a:gd name="T70" fmla="*/ 204 w 1200"/>
                              <a:gd name="T71" fmla="*/ 204 h 415"/>
                              <a:gd name="T72" fmla="*/ 243 w 1200"/>
                              <a:gd name="T73" fmla="*/ 141 h 415"/>
                              <a:gd name="T74" fmla="*/ 67 w 1200"/>
                              <a:gd name="T75" fmla="*/ 42 h 415"/>
                              <a:gd name="T76" fmla="*/ 0 w 1200"/>
                              <a:gd name="T77" fmla="*/ 139 h 415"/>
                              <a:gd name="T78" fmla="*/ 3 w 1200"/>
                              <a:gd name="T79" fmla="*/ 166 h 415"/>
                              <a:gd name="T80" fmla="*/ 12 w 1200"/>
                              <a:gd name="T81" fmla="*/ 184 h 415"/>
                              <a:gd name="T82" fmla="*/ 34 w 1200"/>
                              <a:gd name="T83" fmla="*/ 201 h 415"/>
                              <a:gd name="T84" fmla="*/ 67 w 1200"/>
                              <a:gd name="T85" fmla="*/ 207 h 415"/>
                              <a:gd name="T86" fmla="*/ 96 w 1200"/>
                              <a:gd name="T87" fmla="*/ 202 h 415"/>
                              <a:gd name="T88" fmla="*/ 119 w 1200"/>
                              <a:gd name="T89" fmla="*/ 186 h 415"/>
                              <a:gd name="T90" fmla="*/ 131 w 1200"/>
                              <a:gd name="T91" fmla="*/ 166 h 415"/>
                              <a:gd name="T92" fmla="*/ 134 w 1200"/>
                              <a:gd name="T93" fmla="*/ 139 h 415"/>
                              <a:gd name="T94" fmla="*/ 95 w 1200"/>
                              <a:gd name="T95" fmla="*/ 143 h 415"/>
                              <a:gd name="T96" fmla="*/ 89 w 1200"/>
                              <a:gd name="T97" fmla="*/ 163 h 415"/>
                              <a:gd name="T98" fmla="*/ 78 w 1200"/>
                              <a:gd name="T99" fmla="*/ 170 h 415"/>
                              <a:gd name="T100" fmla="*/ 63 w 1200"/>
                              <a:gd name="T101" fmla="*/ 172 h 415"/>
                              <a:gd name="T102" fmla="*/ 52 w 1200"/>
                              <a:gd name="T103" fmla="*/ 168 h 415"/>
                              <a:gd name="T104" fmla="*/ 42 w 1200"/>
                              <a:gd name="T105" fmla="*/ 156 h 415"/>
                              <a:gd name="T106" fmla="*/ 40 w 1200"/>
                              <a:gd name="T107" fmla="*/ 50 h 41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40" name="Freeform 13"/>
                        <wps:cNvSpPr>
                          <a:spLocks noChangeAspect="1" noEditPoints="1"/>
                        </wps:cNvSpPr>
                        <wps:spPr bwMode="auto">
                          <a:xfrm>
                            <a:off x="1962" y="1081"/>
                            <a:ext cx="1319" cy="208"/>
                          </a:xfrm>
                          <a:custGeom>
                            <a:avLst/>
                            <a:gdLst>
                              <a:gd name="T0" fmla="*/ 1221 w 2637"/>
                              <a:gd name="T1" fmla="*/ 204 h 416"/>
                              <a:gd name="T2" fmla="*/ 1166 w 2637"/>
                              <a:gd name="T3" fmla="*/ 50 h 416"/>
                              <a:gd name="T4" fmla="*/ 1072 w 2637"/>
                              <a:gd name="T5" fmla="*/ 137 h 416"/>
                              <a:gd name="T6" fmla="*/ 1004 w 2637"/>
                              <a:gd name="T7" fmla="*/ 54 h 416"/>
                              <a:gd name="T8" fmla="*/ 943 w 2637"/>
                              <a:gd name="T9" fmla="*/ 51 h 416"/>
                              <a:gd name="T10" fmla="*/ 900 w 2637"/>
                              <a:gd name="T11" fmla="*/ 82 h 416"/>
                              <a:gd name="T12" fmla="*/ 887 w 2637"/>
                              <a:gd name="T13" fmla="*/ 136 h 416"/>
                              <a:gd name="T14" fmla="*/ 907 w 2637"/>
                              <a:gd name="T15" fmla="*/ 181 h 416"/>
                              <a:gd name="T16" fmla="*/ 959 w 2637"/>
                              <a:gd name="T17" fmla="*/ 208 h 416"/>
                              <a:gd name="T18" fmla="*/ 1000 w 2637"/>
                              <a:gd name="T19" fmla="*/ 157 h 416"/>
                              <a:gd name="T20" fmla="*/ 969 w 2637"/>
                              <a:gd name="T21" fmla="*/ 169 h 416"/>
                              <a:gd name="T22" fmla="*/ 945 w 2637"/>
                              <a:gd name="T23" fmla="*/ 161 h 416"/>
                              <a:gd name="T24" fmla="*/ 929 w 2637"/>
                              <a:gd name="T25" fmla="*/ 137 h 416"/>
                              <a:gd name="T26" fmla="*/ 933 w 2637"/>
                              <a:gd name="T27" fmla="*/ 107 h 416"/>
                              <a:gd name="T28" fmla="*/ 953 w 2637"/>
                              <a:gd name="T29" fmla="*/ 89 h 416"/>
                              <a:gd name="T30" fmla="*/ 984 w 2637"/>
                              <a:gd name="T31" fmla="*/ 88 h 416"/>
                              <a:gd name="T32" fmla="*/ 864 w 2637"/>
                              <a:gd name="T33" fmla="*/ 50 h 416"/>
                              <a:gd name="T34" fmla="*/ 802 w 2637"/>
                              <a:gd name="T35" fmla="*/ 50 h 416"/>
                              <a:gd name="T36" fmla="*/ 680 w 2637"/>
                              <a:gd name="T37" fmla="*/ 59 h 416"/>
                              <a:gd name="T38" fmla="*/ 638 w 2637"/>
                              <a:gd name="T39" fmla="*/ 46 h 416"/>
                              <a:gd name="T40" fmla="*/ 602 w 2637"/>
                              <a:gd name="T41" fmla="*/ 54 h 416"/>
                              <a:gd name="T42" fmla="*/ 581 w 2637"/>
                              <a:gd name="T43" fmla="*/ 82 h 416"/>
                              <a:gd name="T44" fmla="*/ 583 w 2637"/>
                              <a:gd name="T45" fmla="*/ 116 h 416"/>
                              <a:gd name="T46" fmla="*/ 610 w 2637"/>
                              <a:gd name="T47" fmla="*/ 138 h 416"/>
                              <a:gd name="T48" fmla="*/ 644 w 2637"/>
                              <a:gd name="T49" fmla="*/ 153 h 416"/>
                              <a:gd name="T50" fmla="*/ 637 w 2637"/>
                              <a:gd name="T51" fmla="*/ 171 h 416"/>
                              <a:gd name="T52" fmla="*/ 608 w 2637"/>
                              <a:gd name="T53" fmla="*/ 170 h 416"/>
                              <a:gd name="T54" fmla="*/ 586 w 2637"/>
                              <a:gd name="T55" fmla="*/ 198 h 416"/>
                              <a:gd name="T56" fmla="*/ 633 w 2637"/>
                              <a:gd name="T57" fmla="*/ 208 h 416"/>
                              <a:gd name="T58" fmla="*/ 671 w 2637"/>
                              <a:gd name="T59" fmla="*/ 193 h 416"/>
                              <a:gd name="T60" fmla="*/ 687 w 2637"/>
                              <a:gd name="T61" fmla="*/ 160 h 416"/>
                              <a:gd name="T62" fmla="*/ 678 w 2637"/>
                              <a:gd name="T63" fmla="*/ 126 h 416"/>
                              <a:gd name="T64" fmla="*/ 638 w 2637"/>
                              <a:gd name="T65" fmla="*/ 107 h 416"/>
                              <a:gd name="T66" fmla="*/ 621 w 2637"/>
                              <a:gd name="T67" fmla="*/ 93 h 416"/>
                              <a:gd name="T68" fmla="*/ 635 w 2637"/>
                              <a:gd name="T69" fmla="*/ 80 h 416"/>
                              <a:gd name="T70" fmla="*/ 665 w 2637"/>
                              <a:gd name="T71" fmla="*/ 90 h 416"/>
                              <a:gd name="T72" fmla="*/ 452 w 2637"/>
                              <a:gd name="T73" fmla="*/ 84 h 416"/>
                              <a:gd name="T74" fmla="*/ 452 w 2637"/>
                              <a:gd name="T75" fmla="*/ 204 h 416"/>
                              <a:gd name="T76" fmla="*/ 343 w 2637"/>
                              <a:gd name="T77" fmla="*/ 204 h 416"/>
                              <a:gd name="T78" fmla="*/ 333 w 2637"/>
                              <a:gd name="T79" fmla="*/ 177 h 416"/>
                              <a:gd name="T80" fmla="*/ 158 w 2637"/>
                              <a:gd name="T81" fmla="*/ 204 h 416"/>
                              <a:gd name="T82" fmla="*/ 84 w 2637"/>
                              <a:gd name="T83" fmla="*/ 49 h 416"/>
                              <a:gd name="T84" fmla="*/ 42 w 2637"/>
                              <a:gd name="T85" fmla="*/ 48 h 416"/>
                              <a:gd name="T86" fmla="*/ 14 w 2637"/>
                              <a:gd name="T87" fmla="*/ 68 h 416"/>
                              <a:gd name="T88" fmla="*/ 6 w 2637"/>
                              <a:gd name="T89" fmla="*/ 103 h 416"/>
                              <a:gd name="T90" fmla="*/ 19 w 2637"/>
                              <a:gd name="T91" fmla="*/ 128 h 416"/>
                              <a:gd name="T92" fmla="*/ 64 w 2637"/>
                              <a:gd name="T93" fmla="*/ 147 h 416"/>
                              <a:gd name="T94" fmla="*/ 71 w 2637"/>
                              <a:gd name="T95" fmla="*/ 165 h 416"/>
                              <a:gd name="T96" fmla="*/ 48 w 2637"/>
                              <a:gd name="T97" fmla="*/ 174 h 416"/>
                              <a:gd name="T98" fmla="*/ 17 w 2637"/>
                              <a:gd name="T99" fmla="*/ 158 h 416"/>
                              <a:gd name="T100" fmla="*/ 40 w 2637"/>
                              <a:gd name="T101" fmla="*/ 207 h 416"/>
                              <a:gd name="T102" fmla="*/ 84 w 2637"/>
                              <a:gd name="T103" fmla="*/ 202 h 416"/>
                              <a:gd name="T104" fmla="*/ 110 w 2637"/>
                              <a:gd name="T105" fmla="*/ 176 h 416"/>
                              <a:gd name="T106" fmla="*/ 110 w 2637"/>
                              <a:gd name="T107" fmla="*/ 135 h 416"/>
                              <a:gd name="T108" fmla="*/ 93 w 2637"/>
                              <a:gd name="T109" fmla="*/ 117 h 416"/>
                              <a:gd name="T110" fmla="*/ 50 w 2637"/>
                              <a:gd name="T111" fmla="*/ 99 h 416"/>
                              <a:gd name="T112" fmla="*/ 53 w 2637"/>
                              <a:gd name="T113" fmla="*/ 84 h 416"/>
                              <a:gd name="T114" fmla="*/ 76 w 2637"/>
                              <a:gd name="T115" fmla="*/ 81 h 41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41" name="Freeform 14"/>
                        <wps:cNvSpPr>
                          <a:spLocks noChangeAspect="1" noEditPoints="1"/>
                        </wps:cNvSpPr>
                        <wps:spPr bwMode="auto">
                          <a:xfrm>
                            <a:off x="1962" y="851"/>
                            <a:ext cx="679" cy="208"/>
                          </a:xfrm>
                          <a:custGeom>
                            <a:avLst/>
                            <a:gdLst>
                              <a:gd name="T0" fmla="*/ 641 w 1358"/>
                              <a:gd name="T1" fmla="*/ 18 h 416"/>
                              <a:gd name="T2" fmla="*/ 679 w 1358"/>
                              <a:gd name="T3" fmla="*/ 50 h 416"/>
                              <a:gd name="T4" fmla="*/ 581 w 1358"/>
                              <a:gd name="T5" fmla="*/ 130 h 416"/>
                              <a:gd name="T6" fmla="*/ 432 w 1358"/>
                              <a:gd name="T7" fmla="*/ 204 h 416"/>
                              <a:gd name="T8" fmla="*/ 530 w 1358"/>
                              <a:gd name="T9" fmla="*/ 50 h 416"/>
                              <a:gd name="T10" fmla="*/ 349 w 1358"/>
                              <a:gd name="T11" fmla="*/ 54 h 416"/>
                              <a:gd name="T12" fmla="*/ 318 w 1358"/>
                              <a:gd name="T13" fmla="*/ 46 h 416"/>
                              <a:gd name="T14" fmla="*/ 290 w 1358"/>
                              <a:gd name="T15" fmla="*/ 50 h 416"/>
                              <a:gd name="T16" fmla="*/ 271 w 1358"/>
                              <a:gd name="T17" fmla="*/ 64 h 416"/>
                              <a:gd name="T18" fmla="*/ 261 w 1358"/>
                              <a:gd name="T19" fmla="*/ 87 h 416"/>
                              <a:gd name="T20" fmla="*/ 261 w 1358"/>
                              <a:gd name="T21" fmla="*/ 112 h 416"/>
                              <a:gd name="T22" fmla="*/ 272 w 1358"/>
                              <a:gd name="T23" fmla="*/ 129 h 416"/>
                              <a:gd name="T24" fmla="*/ 307 w 1358"/>
                              <a:gd name="T25" fmla="*/ 144 h 416"/>
                              <a:gd name="T26" fmla="*/ 324 w 1358"/>
                              <a:gd name="T27" fmla="*/ 153 h 416"/>
                              <a:gd name="T28" fmla="*/ 322 w 1358"/>
                              <a:gd name="T29" fmla="*/ 168 h 416"/>
                              <a:gd name="T30" fmla="*/ 306 w 1358"/>
                              <a:gd name="T31" fmla="*/ 174 h 416"/>
                              <a:gd name="T32" fmla="*/ 284 w 1358"/>
                              <a:gd name="T33" fmla="*/ 168 h 416"/>
                              <a:gd name="T34" fmla="*/ 260 w 1358"/>
                              <a:gd name="T35" fmla="*/ 195 h 416"/>
                              <a:gd name="T36" fmla="*/ 293 w 1358"/>
                              <a:gd name="T37" fmla="*/ 207 h 416"/>
                              <a:gd name="T38" fmla="*/ 326 w 1358"/>
                              <a:gd name="T39" fmla="*/ 206 h 416"/>
                              <a:gd name="T40" fmla="*/ 351 w 1358"/>
                              <a:gd name="T41" fmla="*/ 193 h 416"/>
                              <a:gd name="T42" fmla="*/ 365 w 1358"/>
                              <a:gd name="T43" fmla="*/ 172 h 416"/>
                              <a:gd name="T44" fmla="*/ 365 w 1358"/>
                              <a:gd name="T45" fmla="*/ 138 h 416"/>
                              <a:gd name="T46" fmla="*/ 356 w 1358"/>
                              <a:gd name="T47" fmla="*/ 124 h 416"/>
                              <a:gd name="T48" fmla="*/ 329 w 1358"/>
                              <a:gd name="T49" fmla="*/ 111 h 416"/>
                              <a:gd name="T50" fmla="*/ 304 w 1358"/>
                              <a:gd name="T51" fmla="*/ 99 h 416"/>
                              <a:gd name="T52" fmla="*/ 303 w 1358"/>
                              <a:gd name="T53" fmla="*/ 87 h 416"/>
                              <a:gd name="T54" fmla="*/ 315 w 1358"/>
                              <a:gd name="T55" fmla="*/ 80 h 416"/>
                              <a:gd name="T56" fmla="*/ 332 w 1358"/>
                              <a:gd name="T57" fmla="*/ 82 h 416"/>
                              <a:gd name="T58" fmla="*/ 232 w 1358"/>
                              <a:gd name="T59" fmla="*/ 50 h 416"/>
                              <a:gd name="T60" fmla="*/ 185 w 1358"/>
                              <a:gd name="T61" fmla="*/ 170 h 416"/>
                              <a:gd name="T62" fmla="*/ 185 w 1358"/>
                              <a:gd name="T63" fmla="*/ 84 h 416"/>
                              <a:gd name="T64" fmla="*/ 105 w 1358"/>
                              <a:gd name="T65" fmla="*/ 1 h 416"/>
                              <a:gd name="T66" fmla="*/ 108 w 1358"/>
                              <a:gd name="T67" fmla="*/ 51 h 416"/>
                              <a:gd name="T68" fmla="*/ 65 w 1358"/>
                              <a:gd name="T69" fmla="*/ 48 h 416"/>
                              <a:gd name="T70" fmla="*/ 29 w 1358"/>
                              <a:gd name="T71" fmla="*/ 65 h 416"/>
                              <a:gd name="T72" fmla="*/ 6 w 1358"/>
                              <a:gd name="T73" fmla="*/ 96 h 416"/>
                              <a:gd name="T74" fmla="*/ 0 w 1358"/>
                              <a:gd name="T75" fmla="*/ 136 h 416"/>
                              <a:gd name="T76" fmla="*/ 11 w 1358"/>
                              <a:gd name="T77" fmla="*/ 170 h 416"/>
                              <a:gd name="T78" fmla="*/ 41 w 1358"/>
                              <a:gd name="T79" fmla="*/ 197 h 416"/>
                              <a:gd name="T80" fmla="*/ 82 w 1358"/>
                              <a:gd name="T81" fmla="*/ 208 h 416"/>
                              <a:gd name="T82" fmla="*/ 118 w 1358"/>
                              <a:gd name="T83" fmla="*/ 153 h 416"/>
                              <a:gd name="T84" fmla="*/ 97 w 1358"/>
                              <a:gd name="T85" fmla="*/ 167 h 416"/>
                              <a:gd name="T86" fmla="*/ 76 w 1358"/>
                              <a:gd name="T87" fmla="*/ 168 h 416"/>
                              <a:gd name="T88" fmla="*/ 59 w 1358"/>
                              <a:gd name="T89" fmla="*/ 162 h 416"/>
                              <a:gd name="T90" fmla="*/ 45 w 1358"/>
                              <a:gd name="T91" fmla="*/ 146 h 416"/>
                              <a:gd name="T92" fmla="*/ 42 w 1358"/>
                              <a:gd name="T93" fmla="*/ 124 h 416"/>
                              <a:gd name="T94" fmla="*/ 49 w 1358"/>
                              <a:gd name="T95" fmla="*/ 104 h 416"/>
                              <a:gd name="T96" fmla="*/ 63 w 1358"/>
                              <a:gd name="T97" fmla="*/ 91 h 416"/>
                              <a:gd name="T98" fmla="*/ 83 w 1358"/>
                              <a:gd name="T99" fmla="*/ 86 h 416"/>
                              <a:gd name="T100" fmla="*/ 107 w 1358"/>
                              <a:gd name="T101" fmla="*/ 92 h 41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3D550F9" id="Group 24" o:spid="_x0000_s1026" style="position:absolute;margin-left:45pt;margin-top:36.75pt;width:177.15pt;height:43.65pt;z-index:251657728;mso-position-horizontal-relative:page;mso-position-vertical-relative:page" coordorigin="567,851" coordsize="27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">
                <o:lock v:ext="edit" aspectratio="t"/>
                <v:rect id="Rectangle 9" o:spid="_x0000_s1027" style="position:absolute;left:1215;top:901;width:67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" fillcolor="#0071bc" stroked="f">
                  <o:lock v:ext="edit" aspectratio="t"/>
                </v:rect>
                <v:rect id="Rectangle 10" o:spid="_x0000_s1028" style="position:absolute;left:567;top:1131;width:132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" fillcolor="#0071bc" stroked="f">
                  <o:lock v:ext="edit" aspectratio="t"/>
                </v:rect>
                <v:rect id="Rectangle 11" o:spid="_x0000_s1029" style="position:absolute;left:1288;top:1361;width:60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" fillcolor="#0071bc" stroked="f">
                  <o:lock v:ext="edit" aspectratio="t"/>
                </v:rect>
                <v:shape id="Freeform 12" o:spid="_x0000_s1030" style="position:absolute;left:1969;top:1311;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260,42;269,44;275,50;279,57;280,65;277,73;272,80;265,84;253,85;270,101;284,95;294,84;300,71;300,55;294,42;284,31;270,25;233,102;194,73;197,25;172,88;129,9;87,9;108,40;116,44;118,52;113,58;102,59;129,67;136,60;138,51;138,41;133,33;126,27;116,25;102,102;122,70;34,21;0,69;2,83;6,92;17,100;34,103;48,101;60,93;66,83;67,69;48,71;45,81;39,85;32,86;26,84;21,78;20,25" o:connectangles="0,0,0,0,0,0,0,0,0,0,0,0,0,0,0,0,0,0,0,0,0,0,0,0,0,0,0,0,0,0,0,0,0,0,0,0,0,0,0,0,0,0,0,0,0,0,0,0,0,0,0,0,0,0"/>
                  <o:lock v:ext="edit" aspectratio="t" verticies="t"/>
                </v:shape>
                <v:shape id="Freeform 13" o:spid="_x0000_s1031" style="position:absolute;left:1962;top:1081;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611,102;583,25;536,69;502,27;472,26;450,41;444,68;454,91;480,104;500,79;485,85;473,81;465,69;467,54;477,45;492,44;432,25;401,25;340,30;319,23;301,27;291,41;292,58;305,69;322,77;319,86;304,85;293,99;317,104;336,97;344,80;339,63;319,54;311,47;318,40;333,45;226,42;226,102;172,102;167,89;79,102;42,25;21,24;7,34;3,52;10,64;32,74;36,83;24,87;9,79;20,104;42,101;55,88;55,68;47,59;25,50;27,42;38,41" o:connectangles="0,0,0,0,0,0,0,0,0,0,0,0,0,0,0,0,0,0,0,0,0,0,0,0,0,0,0,0,0,0,0,0,0,0,0,0,0,0,0,0,0,0,0,0,0,0,0,0,0,0,0,0,0,0,0,0,0,0"/>
                  <o:lock v:ext="edit" aspectratio="t" verticies="t"/>
                </v:shape>
                <v:shape id="Freeform 14" o:spid="_x0000_s1032" style="position:absolute;left:1962;top:851;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321,9;340,25;291,65;216,102;265,25;175,27;159,23;145,25;136,32;131,44;131,56;136,65;154,72;162,77;161,84;153,87;142,84;130,98;147,104;163,103;176,97;183,86;183,69;178,62;165,56;152,50;152,44;158,40;166,41;116,25;93,85;93,42;53,1;54,26;33,24;15,33;3,48;0,68;6,85;21,99;41,104;59,77;49,84;38,84;30,81;23,73;21,62;25,52;32,46;42,43;54,46" o:connectangles="0,0,0,0,0,0,0,0,0,0,0,0,0,0,0,0,0,0,0,0,0,0,0,0,0,0,0,0,0,0,0,0,0,0,0,0,0,0,0,0,0,0,0,0,0,0,0,0,0,0,0"/>
                  <o:lock v:ext="edit" aspectratio="t" verticies="t"/>
                </v:shape>
                <w10:wrap type="square" anchorx="page" anchory="page"/>
                <w10:anchorlock/>
              </v:group>
            </w:pict>
          </mc:Fallback>
        </mc:AlternateContent>
      </w:r>
      <w:r>
        <w:rPr>
          <w:noProof/>
        </w:rPr>
        <mc:AlternateContent>
          <mc:Choice Requires="wps">
            <w:drawing>
              <wp:anchor distT="0" distB="0" distL="114300" distR="114300" simplePos="0" relativeHeight="251656704" behindDoc="0" locked="1" layoutInCell="1" allowOverlap="1" wp14:anchorId="7D749472" wp14:editId="7C6FD2F2">
                <wp:simplePos x="0" y="0"/>
                <wp:positionH relativeFrom="page">
                  <wp:posOffset>1705610</wp:posOffset>
                </wp:positionH>
                <wp:positionV relativeFrom="page">
                  <wp:posOffset>8173085</wp:posOffset>
                </wp:positionV>
                <wp:extent cx="5130165" cy="925195"/>
                <wp:effectExtent l="0" t="0" r="0" b="0"/>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92519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E9AC955" w14:textId="1A430DC1" w:rsidR="006F6FF2" w:rsidRDefault="006F6FF2" w:rsidP="004924DC">
                            <w:r>
                              <w:t>Z</w:t>
                            </w:r>
                            <w:r w:rsidRPr="006C5577">
                              <w:t xml:space="preserve">pracoval: </w:t>
                            </w:r>
                            <w:r>
                              <w:t>o</w:t>
                            </w:r>
                            <w:r w:rsidRPr="006C5577">
                              <w:t>dbor</w:t>
                            </w:r>
                            <w:r>
                              <w:t xml:space="preserve"> Kancelář předsedy</w:t>
                            </w:r>
                          </w:p>
                          <w:p w14:paraId="132AD0FF" w14:textId="77777777" w:rsidR="006F6FF2" w:rsidRPr="006C5577" w:rsidRDefault="006F6FF2" w:rsidP="004924DC">
                            <w:r w:rsidRPr="006C5577">
                              <w:t xml:space="preserve">Ředitel odboru: </w:t>
                            </w:r>
                            <w:proofErr w:type="spellStart"/>
                            <w:r>
                              <w:t>Egor</w:t>
                            </w:r>
                            <w:proofErr w:type="spellEnd"/>
                            <w:r>
                              <w:t xml:space="preserve"> </w:t>
                            </w:r>
                            <w:proofErr w:type="spellStart"/>
                            <w:r>
                              <w:t>Sidorov</w:t>
                            </w:r>
                            <w:proofErr w:type="spellEnd"/>
                            <w:r>
                              <w:t>, Ph.D.</w:t>
                            </w:r>
                          </w:p>
                          <w:p w14:paraId="6CA077B6" w14:textId="77777777" w:rsidR="006F6FF2" w:rsidRPr="006C5577" w:rsidRDefault="006F6FF2" w:rsidP="004924DC">
                            <w:r w:rsidRPr="006C5577">
                              <w:t xml:space="preserve">Kontaktní osoba: </w:t>
                            </w:r>
                            <w:r>
                              <w:t>Karolína Zábojníková</w:t>
                            </w:r>
                            <w:r w:rsidRPr="006C5577">
                              <w:t>,</w:t>
                            </w:r>
                            <w:r>
                              <w:t xml:space="preserve"> e-mail: karolina.zabojnikova@czso.cz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749472" id="_x0000_t202" coordsize="21600,21600" o:spt="202" path="m,l,21600r21600,l21600,xe">
                <v:stroke joinstyle="miter"/>
                <v:path gradientshapeok="t" o:connecttype="rect"/>
              </v:shapetype>
              <v:shape id="Textové pole 2" o:spid="_x0000_s1026" type="#_x0000_t202" style="position:absolute;left:0;text-align:left;margin-left:134.3pt;margin-top:643.55pt;width:403.95pt;height:7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" filled="f" stroked="f">
                <v:textbox inset="0,0,0,0">
                  <w:txbxContent>
                    <w:p w14:paraId="7E9AC955" w14:textId="1A430DC1" w:rsidR="006F6FF2" w:rsidRDefault="006F6FF2" w:rsidP="004924DC">
                      <w:r>
                        <w:t>Z</w:t>
                      </w:r>
                      <w:r w:rsidRPr="006C5577">
                        <w:t xml:space="preserve">pracoval: </w:t>
                      </w:r>
                      <w:r>
                        <w:t>o</w:t>
                      </w:r>
                      <w:r w:rsidRPr="006C5577">
                        <w:t>dbor</w:t>
                      </w:r>
                      <w:r>
                        <w:t xml:space="preserve"> Kancelář předsedy</w:t>
                      </w:r>
                    </w:p>
                    <w:p w14:paraId="132AD0FF" w14:textId="77777777" w:rsidR="006F6FF2" w:rsidRPr="006C5577" w:rsidRDefault="006F6FF2" w:rsidP="004924DC">
                      <w:r w:rsidRPr="006C5577">
                        <w:t xml:space="preserve">Ředitel odboru: </w:t>
                      </w:r>
                      <w:proofErr w:type="spellStart"/>
                      <w:r>
                        <w:t>Egor</w:t>
                      </w:r>
                      <w:proofErr w:type="spellEnd"/>
                      <w:r>
                        <w:t xml:space="preserve"> </w:t>
                      </w:r>
                      <w:proofErr w:type="spellStart"/>
                      <w:r>
                        <w:t>Sidorov</w:t>
                      </w:r>
                      <w:proofErr w:type="spellEnd"/>
                      <w:r>
                        <w:t>, Ph.D.</w:t>
                      </w:r>
                    </w:p>
                    <w:p w14:paraId="6CA077B6" w14:textId="77777777" w:rsidR="006F6FF2" w:rsidRPr="006C5577" w:rsidRDefault="006F6FF2" w:rsidP="004924DC">
                      <w:r w:rsidRPr="006C5577">
                        <w:t xml:space="preserve">Kontaktní osoba: </w:t>
                      </w:r>
                      <w:r>
                        <w:t>Karolína Zábojníková</w:t>
                      </w:r>
                      <w:r w:rsidRPr="006C5577">
                        <w:t>,</w:t>
                      </w:r>
                      <w:r>
                        <w:t xml:space="preserve"> e-mail: karolina.zabojnikova@czso.cz</w:t>
                      </w: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68FC7FBA" wp14:editId="39BCFF7A">
                <wp:simplePos x="0" y="0"/>
                <wp:positionH relativeFrom="page">
                  <wp:posOffset>1710055</wp:posOffset>
                </wp:positionH>
                <wp:positionV relativeFrom="page">
                  <wp:posOffset>4680585</wp:posOffset>
                </wp:positionV>
                <wp:extent cx="5129530" cy="1686560"/>
                <wp:effectExtent l="0" t="0" r="0" b="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68656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DD19A4A" w14:textId="77777777" w:rsidR="006F6FF2" w:rsidRPr="004924DC" w:rsidRDefault="006F6FF2" w:rsidP="004924DC">
                            <w:pPr>
                              <w:pStyle w:val="TLIdentifikace-sted"/>
                            </w:pPr>
                            <w:r>
                              <w:t>souhrnná data o České republice</w:t>
                            </w:r>
                          </w:p>
                          <w:p w14:paraId="6D18FF6B" w14:textId="245C7779" w:rsidR="006F6FF2" w:rsidRPr="004924DC" w:rsidRDefault="006F6FF2" w:rsidP="004924DC">
                            <w:pPr>
                              <w:pStyle w:val="TLIdentifikace-sted"/>
                            </w:pPr>
                            <w:r>
                              <w:t>Praha, 16. 6. 2021</w:t>
                            </w:r>
                          </w:p>
                          <w:p w14:paraId="730B937E" w14:textId="5BAE155C" w:rsidR="006F6FF2" w:rsidRPr="00B23E6E" w:rsidRDefault="006F6FF2" w:rsidP="004924DC">
                            <w:pPr>
                              <w:pStyle w:val="TLIdentifikace-sted"/>
                            </w:pPr>
                            <w:r w:rsidRPr="00B23E6E">
                              <w:t>Kód publikace: 320193-2</w:t>
                            </w:r>
                            <w:r>
                              <w:t>1</w:t>
                            </w:r>
                          </w:p>
                          <w:p w14:paraId="1E265112" w14:textId="22E31AE5" w:rsidR="006F6FF2" w:rsidRPr="00474646" w:rsidRDefault="006F6FF2" w:rsidP="004924DC">
                            <w:pPr>
                              <w:pStyle w:val="TLIdentifikace-sted"/>
                              <w:rPr>
                                <w:rFonts w:cs="Arial"/>
                              </w:rPr>
                            </w:pPr>
                            <w:r w:rsidRPr="00474646">
                              <w:rPr>
                                <w:rFonts w:cs="Arial"/>
                              </w:rPr>
                              <w:t xml:space="preserve">Č. j.: </w:t>
                            </w:r>
                            <w:r w:rsidRPr="00474646">
                              <w:rPr>
                                <w:rFonts w:eastAsia="Calibri" w:cs="Arial"/>
                                <w:lang w:eastAsia="en-US"/>
                              </w:rPr>
                              <w:t xml:space="preserve">CSU: </w:t>
                            </w:r>
                            <w:r w:rsidR="00474646" w:rsidRPr="00474646">
                              <w:rPr>
                                <w:rFonts w:eastAsia="Calibri" w:cs="Arial"/>
                                <w:lang w:eastAsia="en-US"/>
                              </w:rPr>
                              <w:t>005980/2021</w:t>
                            </w:r>
                          </w:p>
                          <w:p w14:paraId="3F00E29A" w14:textId="1199C98B" w:rsidR="006F6FF2" w:rsidRPr="004924DC" w:rsidRDefault="006F6FF2" w:rsidP="004924DC">
                            <w:pPr>
                              <w:pStyle w:val="TLIdentifikace-sted"/>
                            </w:pPr>
                            <w:r w:rsidRPr="004924DC">
                              <w:t>Pořadové číslo v</w:t>
                            </w:r>
                            <w:r>
                              <w:t> </w:t>
                            </w:r>
                            <w:r w:rsidRPr="004924DC">
                              <w:t xml:space="preserve">roce: </w:t>
                            </w:r>
                            <w:r>
                              <w:t>1</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8FC7FBA" id="_x0000_s1027" type="#_x0000_t202" style="position:absolute;left:0;text-align:left;margin-left:134.65pt;margin-top:368.55pt;width:403.9pt;height:132.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" filled="f" stroked="f">
                <v:textbox style="mso-fit-shape-to-text:t" inset="0,0,0,0">
                  <w:txbxContent>
                    <w:p w14:paraId="7DD19A4A" w14:textId="77777777" w:rsidR="006F6FF2" w:rsidRPr="004924DC" w:rsidRDefault="006F6FF2" w:rsidP="004924DC">
                      <w:pPr>
                        <w:pStyle w:val="TLIdentifikace-sted"/>
                      </w:pPr>
                      <w:r>
                        <w:t>souhrnná data o České republice</w:t>
                      </w:r>
                    </w:p>
                    <w:p w14:paraId="6D18FF6B" w14:textId="245C7779" w:rsidR="006F6FF2" w:rsidRPr="004924DC" w:rsidRDefault="006F6FF2" w:rsidP="004924DC">
                      <w:pPr>
                        <w:pStyle w:val="TLIdentifikace-sted"/>
                      </w:pPr>
                      <w:r>
                        <w:t>Praha, 16. 6. 2021</w:t>
                      </w:r>
                    </w:p>
                    <w:p w14:paraId="730B937E" w14:textId="5BAE155C" w:rsidR="006F6FF2" w:rsidRPr="00B23E6E" w:rsidRDefault="006F6FF2" w:rsidP="004924DC">
                      <w:pPr>
                        <w:pStyle w:val="TLIdentifikace-sted"/>
                      </w:pPr>
                      <w:r w:rsidRPr="00B23E6E">
                        <w:t>Kód publikace: 320193-2</w:t>
                      </w:r>
                      <w:r>
                        <w:t>1</w:t>
                      </w:r>
                    </w:p>
                    <w:p w14:paraId="1E265112" w14:textId="22E31AE5" w:rsidR="006F6FF2" w:rsidRPr="00474646" w:rsidRDefault="006F6FF2" w:rsidP="004924DC">
                      <w:pPr>
                        <w:pStyle w:val="TLIdentifikace-sted"/>
                        <w:rPr>
                          <w:rFonts w:cs="Arial"/>
                        </w:rPr>
                      </w:pPr>
                      <w:r w:rsidRPr="00474646">
                        <w:rPr>
                          <w:rFonts w:cs="Arial"/>
                        </w:rPr>
                        <w:t xml:space="preserve">Č. j.: </w:t>
                      </w:r>
                      <w:r w:rsidRPr="00474646">
                        <w:rPr>
                          <w:rFonts w:eastAsia="Calibri" w:cs="Arial"/>
                          <w:lang w:eastAsia="en-US"/>
                        </w:rPr>
                        <w:t xml:space="preserve">CSU: </w:t>
                      </w:r>
                      <w:r w:rsidR="00474646" w:rsidRPr="00474646">
                        <w:rPr>
                          <w:rFonts w:eastAsia="Calibri" w:cs="Arial"/>
                          <w:lang w:eastAsia="en-US"/>
                        </w:rPr>
                        <w:t>005980/2021</w:t>
                      </w:r>
                    </w:p>
                    <w:p w14:paraId="3F00E29A" w14:textId="1199C98B" w:rsidR="006F6FF2" w:rsidRPr="004924DC" w:rsidRDefault="006F6FF2" w:rsidP="004924DC">
                      <w:pPr>
                        <w:pStyle w:val="TLIdentifikace-sted"/>
                      </w:pPr>
                      <w:r w:rsidRPr="004924DC">
                        <w:t>Pořadové číslo v</w:t>
                      </w:r>
                      <w:r>
                        <w:t> </w:t>
                      </w:r>
                      <w:r w:rsidRPr="004924DC">
                        <w:t xml:space="preserve">roce: </w:t>
                      </w:r>
                      <w:r>
                        <w:t>1</w:t>
                      </w:r>
                    </w:p>
                  </w:txbxContent>
                </v:textbox>
                <w10:wrap anchorx="page" anchory="page"/>
                <w10:anchorlock/>
              </v:shape>
            </w:pict>
          </mc:Fallback>
        </mc:AlternateContent>
      </w:r>
      <w:r>
        <w:rPr>
          <w:noProof/>
        </w:rPr>
        <mc:AlternateContent>
          <mc:Choice Requires="wps">
            <w:drawing>
              <wp:anchor distT="0" distB="0" distL="114300" distR="114300" simplePos="0" relativeHeight="251654656" behindDoc="0" locked="1" layoutInCell="1" allowOverlap="1" wp14:anchorId="22A1BD4B" wp14:editId="31E7B526">
                <wp:simplePos x="0" y="0"/>
                <wp:positionH relativeFrom="page">
                  <wp:posOffset>1710055</wp:posOffset>
                </wp:positionH>
                <wp:positionV relativeFrom="page">
                  <wp:posOffset>1476375</wp:posOffset>
                </wp:positionV>
                <wp:extent cx="5129530" cy="1471930"/>
                <wp:effectExtent l="0" t="0" r="0" b="0"/>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47193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06763847" w14:textId="77777777" w:rsidR="006F6FF2" w:rsidRPr="000E6FBD" w:rsidRDefault="006F6FF2" w:rsidP="000E6FBD">
                            <w:pPr>
                              <w:pStyle w:val="Nzev"/>
                            </w:pPr>
                            <w:r>
                              <w:t>Vývoj ekonomiky české republiky</w:t>
                            </w:r>
                          </w:p>
                          <w:p w14:paraId="0059A4DC" w14:textId="77777777" w:rsidR="006F6FF2" w:rsidRPr="0012192F" w:rsidRDefault="006F6FF2" w:rsidP="0012192F">
                            <w:pPr>
                              <w:pStyle w:val="Podnadpis"/>
                            </w:pPr>
                          </w:p>
                          <w:p w14:paraId="0A162DB8" w14:textId="548C6266" w:rsidR="006F6FF2" w:rsidRPr="0012192F" w:rsidRDefault="006F6FF2" w:rsidP="00720310">
                            <w:pPr>
                              <w:pStyle w:val="Podnadpis"/>
                            </w:pPr>
                            <w:r>
                              <w:t>1. čtvrtletí 2021</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A1BD4B" id="_x0000_s1028" type="#_x0000_t202" style="position:absolute;left:0;text-align:left;margin-left:134.65pt;margin-top:116.25pt;width:403.9pt;height:115.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" filled="f" stroked="f">
                <v:textbox style="mso-fit-shape-to-text:t" inset="0,0,0,0">
                  <w:txbxContent>
                    <w:p w14:paraId="06763847" w14:textId="77777777" w:rsidR="006F6FF2" w:rsidRPr="000E6FBD" w:rsidRDefault="006F6FF2" w:rsidP="000E6FBD">
                      <w:pPr>
                        <w:pStyle w:val="Nzev"/>
                      </w:pPr>
                      <w:r>
                        <w:t>Vývoj ekonomiky české republiky</w:t>
                      </w:r>
                    </w:p>
                    <w:p w14:paraId="0059A4DC" w14:textId="77777777" w:rsidR="006F6FF2" w:rsidRPr="0012192F" w:rsidRDefault="006F6FF2" w:rsidP="0012192F">
                      <w:pPr>
                        <w:pStyle w:val="Podnadpis"/>
                      </w:pPr>
                    </w:p>
                    <w:p w14:paraId="0A162DB8" w14:textId="548C6266" w:rsidR="006F6FF2" w:rsidRPr="0012192F" w:rsidRDefault="006F6FF2" w:rsidP="00720310">
                      <w:pPr>
                        <w:pStyle w:val="Podnadpis"/>
                      </w:pPr>
                      <w:r>
                        <w:t>1. čtvrtletí 2021</w:t>
                      </w:r>
                    </w:p>
                  </w:txbxContent>
                </v:textbox>
                <w10:wrap anchorx="page" anchory="page"/>
                <w10:anchorlock/>
              </v:shape>
            </w:pict>
          </mc:Fallback>
        </mc:AlternateContent>
      </w:r>
      <w:r>
        <w:rPr>
          <w:noProof/>
        </w:rPr>
        <mc:AlternateContent>
          <mc:Choice Requires="wps">
            <w:drawing>
              <wp:anchor distT="0" distB="0" distL="114300" distR="114300" simplePos="0" relativeHeight="251658752" behindDoc="0" locked="1" layoutInCell="1" allowOverlap="1" wp14:anchorId="211D308C" wp14:editId="77DC381B">
                <wp:simplePos x="0" y="0"/>
                <wp:positionH relativeFrom="page">
                  <wp:posOffset>1710055</wp:posOffset>
                </wp:positionH>
                <wp:positionV relativeFrom="page">
                  <wp:posOffset>9649460</wp:posOffset>
                </wp:positionV>
                <wp:extent cx="5130165" cy="179705"/>
                <wp:effectExtent l="0" t="0" r="0" b="0"/>
                <wp:wrapNone/>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7970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04B1224" w14:textId="3919AAF8" w:rsidR="006F6FF2" w:rsidRPr="004924DC" w:rsidRDefault="006F6FF2" w:rsidP="004924DC">
                            <w:r w:rsidRPr="004924DC">
                              <w:t xml:space="preserve">© Český statistický úřad, </w:t>
                            </w:r>
                            <w:r>
                              <w:t>Praha</w:t>
                            </w:r>
                            <w:r w:rsidRPr="004924DC">
                              <w:t xml:space="preserve">, </w:t>
                            </w:r>
                            <w:r>
                              <w:t>2021</w:t>
                            </w:r>
                          </w:p>
                          <w:p w14:paraId="6B03C3EF" w14:textId="77777777" w:rsidR="006F6FF2" w:rsidRPr="005251DD" w:rsidRDefault="006F6FF2" w:rsidP="00665BA4"/>
                          <w:p w14:paraId="0A8089AF" w14:textId="77777777" w:rsidR="006F6FF2" w:rsidRPr="005251DD" w:rsidRDefault="006F6FF2" w:rsidP="00FC684B"/>
                          <w:p w14:paraId="002EBABF" w14:textId="77777777" w:rsidR="006F6FF2" w:rsidRDefault="006F6FF2"/>
                          <w:p w14:paraId="1BBEDF65" w14:textId="77777777" w:rsidR="006F6FF2" w:rsidRPr="00097407" w:rsidRDefault="006F6FF2"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14:paraId="048CED67" w14:textId="77777777" w:rsidR="006F6FF2" w:rsidRPr="005251DD" w:rsidRDefault="006F6FF2" w:rsidP="00665BA4"/>
                          <w:p w14:paraId="2D7C43C3" w14:textId="77777777" w:rsidR="006F6FF2" w:rsidRPr="005251DD" w:rsidRDefault="006F6FF2" w:rsidP="00FC684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1D308C" id="_x0000_s1029" type="#_x0000_t202" style="position:absolute;left:0;text-align:left;margin-left:134.65pt;margin-top:759.8pt;width:403.9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" filled="f" stroked="f">
                <v:textbox inset="0,0,0,0">
                  <w:txbxContent>
                    <w:p w14:paraId="504B1224" w14:textId="3919AAF8" w:rsidR="006F6FF2" w:rsidRPr="004924DC" w:rsidRDefault="006F6FF2" w:rsidP="004924DC">
                      <w:r w:rsidRPr="004924DC">
                        <w:t xml:space="preserve">© Český statistický úřad, </w:t>
                      </w:r>
                      <w:r>
                        <w:t>Praha</w:t>
                      </w:r>
                      <w:r w:rsidRPr="004924DC">
                        <w:t xml:space="preserve">, </w:t>
                      </w:r>
                      <w:r>
                        <w:t>2021</w:t>
                      </w:r>
                    </w:p>
                    <w:p w14:paraId="6B03C3EF" w14:textId="77777777" w:rsidR="006F6FF2" w:rsidRPr="005251DD" w:rsidRDefault="006F6FF2" w:rsidP="00665BA4"/>
                    <w:p w14:paraId="0A8089AF" w14:textId="77777777" w:rsidR="006F6FF2" w:rsidRPr="005251DD" w:rsidRDefault="006F6FF2" w:rsidP="00FC684B"/>
                    <w:p w14:paraId="002EBABF" w14:textId="77777777" w:rsidR="006F6FF2" w:rsidRDefault="006F6FF2"/>
                    <w:p w14:paraId="1BBEDF65" w14:textId="77777777" w:rsidR="006F6FF2" w:rsidRPr="00097407" w:rsidRDefault="006F6FF2"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14:paraId="048CED67" w14:textId="77777777" w:rsidR="006F6FF2" w:rsidRPr="005251DD" w:rsidRDefault="006F6FF2" w:rsidP="00665BA4"/>
                    <w:p w14:paraId="2D7C43C3" w14:textId="77777777" w:rsidR="006F6FF2" w:rsidRPr="005251DD" w:rsidRDefault="006F6FF2" w:rsidP="00FC684B"/>
                  </w:txbxContent>
                </v:textbox>
                <w10:wrap anchorx="page" anchory="page"/>
                <w10:anchorlock/>
              </v:shape>
            </w:pict>
          </mc:Fallback>
        </mc:AlternateContent>
      </w:r>
      <w:r>
        <w:rPr>
          <w:noProof/>
        </w:rPr>
        <mc:AlternateContent>
          <mc:Choice Requires="wps">
            <w:drawing>
              <wp:anchor distT="4294967293" distB="4294967293" distL="114300" distR="114300" simplePos="0" relativeHeight="251653632" behindDoc="0" locked="1" layoutInCell="0" allowOverlap="1" wp14:anchorId="56616E6D" wp14:editId="72D626EF">
                <wp:simplePos x="0" y="0"/>
                <wp:positionH relativeFrom="page">
                  <wp:posOffset>1710055</wp:posOffset>
                </wp:positionH>
                <wp:positionV relativeFrom="page">
                  <wp:posOffset>9361169</wp:posOffset>
                </wp:positionV>
                <wp:extent cx="5130165" cy="0"/>
                <wp:effectExtent l="0" t="0" r="13335" b="0"/>
                <wp:wrapNone/>
                <wp:docPr id="17" name="Přímá spojnic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16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CF06386" id="Přímá spojnice 33" o:spid="_x0000_s1026" style="position:absolute;z-index:25165363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BwZiEp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mc:Fallback>
        </mc:AlternateContent>
      </w:r>
      <w:r w:rsidR="00F63FB7" w:rsidRPr="009110F7">
        <w:br w:type="page"/>
      </w:r>
      <w:r w:rsidR="00D57677" w:rsidRPr="009110F7">
        <w:lastRenderedPageBreak/>
        <w:br w:type="page"/>
      </w:r>
      <w:r>
        <w:rPr>
          <w:noProof/>
        </w:rPr>
        <mc:AlternateContent>
          <mc:Choice Requires="wps">
            <w:drawing>
              <wp:anchor distT="0" distB="0" distL="114300" distR="114300" simplePos="0" relativeHeight="251659776" behindDoc="0" locked="1" layoutInCell="1" allowOverlap="1" wp14:anchorId="1CA088C6" wp14:editId="054DEB49">
                <wp:simplePos x="0" y="0"/>
                <wp:positionH relativeFrom="page">
                  <wp:posOffset>723900</wp:posOffset>
                </wp:positionH>
                <wp:positionV relativeFrom="page">
                  <wp:posOffset>1440180</wp:posOffset>
                </wp:positionV>
                <wp:extent cx="6119495" cy="7673340"/>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767334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8541332" w14:textId="77777777" w:rsidR="006F6FF2" w:rsidRPr="006F5416" w:rsidRDefault="006F6FF2" w:rsidP="006F5416">
                            <w:pPr>
                              <w:pStyle w:val="TLKontaktyerven"/>
                            </w:pPr>
                            <w:r w:rsidRPr="006F5416">
                              <w:t>KONTAKTY V ÚSTŘEDÍ</w:t>
                            </w:r>
                          </w:p>
                          <w:p w14:paraId="3C71345D" w14:textId="77777777" w:rsidR="006F6FF2" w:rsidRPr="007D40DF" w:rsidRDefault="006F6FF2"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14:paraId="5DF2AD66" w14:textId="77777777" w:rsidR="006F6FF2" w:rsidRPr="00D235B7" w:rsidRDefault="006F6FF2"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304, 274</w:t>
                            </w:r>
                            <w:r>
                              <w:rPr>
                                <w:b w:val="0"/>
                                <w:color w:val="auto"/>
                              </w:rPr>
                              <w:t> </w:t>
                            </w:r>
                            <w:r w:rsidRPr="00D235B7">
                              <w:rPr>
                                <w:b w:val="0"/>
                                <w:color w:val="auto"/>
                              </w:rPr>
                              <w:t>052 451 | e-mail: infoservis@czso.cz</w:t>
                            </w:r>
                          </w:p>
                          <w:p w14:paraId="41F3052F" w14:textId="77777777" w:rsidR="006F6FF2" w:rsidRPr="00D235B7" w:rsidRDefault="006F6FF2"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w:t>
                            </w:r>
                            <w:r>
                              <w:rPr>
                                <w:b w:val="0"/>
                                <w:color w:val="auto"/>
                              </w:rPr>
                              <w:t> </w:t>
                            </w:r>
                            <w:r w:rsidRPr="00D235B7">
                              <w:rPr>
                                <w:b w:val="0"/>
                                <w:color w:val="auto"/>
                              </w:rPr>
                              <w:t>052 361 | e-mail: prodejna@czso.cz</w:t>
                            </w:r>
                          </w:p>
                          <w:p w14:paraId="231AC1D4" w14:textId="77777777" w:rsidR="006F6FF2" w:rsidRPr="00D235B7" w:rsidRDefault="006F6FF2"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347 | e-mail: esds@czso.cz</w:t>
                            </w:r>
                          </w:p>
                          <w:p w14:paraId="548AAF1E" w14:textId="77777777" w:rsidR="006F6FF2" w:rsidRPr="00D235B7" w:rsidRDefault="006F6FF2"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w:t>
                            </w:r>
                            <w:r>
                              <w:rPr>
                                <w:b w:val="0"/>
                                <w:color w:val="auto"/>
                              </w:rPr>
                              <w:t> </w:t>
                            </w:r>
                            <w:r w:rsidRPr="00D235B7">
                              <w:rPr>
                                <w:b w:val="0"/>
                                <w:color w:val="auto"/>
                              </w:rPr>
                              <w:t>052 361 | e-mail: knihovna@czso.cz</w:t>
                            </w:r>
                          </w:p>
                          <w:p w14:paraId="676CE837" w14:textId="77777777" w:rsidR="006F6FF2" w:rsidRPr="004A61C5" w:rsidRDefault="006F6FF2" w:rsidP="00825C4D">
                            <w:pPr>
                              <w:pStyle w:val="TLKontakty"/>
                              <w:spacing w:after="80" w:line="240" w:lineRule="auto"/>
                              <w:contextualSpacing w:val="0"/>
                              <w:rPr>
                                <w:color w:val="auto"/>
                              </w:rPr>
                            </w:pPr>
                          </w:p>
                          <w:p w14:paraId="58156969" w14:textId="77777777" w:rsidR="006F6FF2" w:rsidRPr="00D66223" w:rsidRDefault="006F6FF2" w:rsidP="00D66223">
                            <w:pPr>
                              <w:pStyle w:val="TLKontaktyerven"/>
                            </w:pPr>
                            <w:r w:rsidRPr="00D66223">
                              <w:t>INFORMAČNÍ SLUŽBY V REGIONECH</w:t>
                            </w:r>
                          </w:p>
                          <w:p w14:paraId="4879BC68" w14:textId="77777777" w:rsidR="006F6FF2" w:rsidRPr="00992CF3" w:rsidRDefault="006F6FF2"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14:paraId="013DC4C4" w14:textId="77777777" w:rsidR="006F6FF2" w:rsidRPr="00992CF3" w:rsidRDefault="006F6FF2"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39B244A8" w14:textId="77777777" w:rsidR="006F6FF2" w:rsidRPr="004A61C5" w:rsidRDefault="006F6FF2" w:rsidP="00825C4D">
                            <w:pPr>
                              <w:pStyle w:val="TLKontakty"/>
                              <w:spacing w:after="80" w:line="240" w:lineRule="auto"/>
                              <w:rPr>
                                <w:color w:val="auto"/>
                              </w:rPr>
                            </w:pPr>
                          </w:p>
                          <w:p w14:paraId="0700B661" w14:textId="77777777" w:rsidR="006F6FF2" w:rsidRPr="00992CF3" w:rsidRDefault="006F6FF2" w:rsidP="00825C4D">
                            <w:pPr>
                              <w:pStyle w:val="TLKontakty"/>
                              <w:spacing w:after="80" w:line="240" w:lineRule="auto"/>
                              <w:rPr>
                                <w:b w:val="0"/>
                                <w:color w:val="auto"/>
                              </w:rPr>
                            </w:pPr>
                            <w:r w:rsidRPr="00D66223">
                              <w:t>Středočeský kraj</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10, tel.</w:t>
                            </w:r>
                            <w:r>
                              <w:rPr>
                                <w:b w:val="0"/>
                                <w:color w:val="auto"/>
                              </w:rPr>
                              <w:t xml:space="preserve">: </w:t>
                            </w:r>
                            <w:r w:rsidRPr="00992CF3">
                              <w:rPr>
                                <w:b w:val="0"/>
                                <w:color w:val="auto"/>
                              </w:rPr>
                              <w:t>274</w:t>
                            </w:r>
                            <w:r>
                              <w:rPr>
                                <w:b w:val="0"/>
                                <w:color w:val="auto"/>
                              </w:rPr>
                              <w:t> </w:t>
                            </w:r>
                            <w:r w:rsidRPr="00992CF3">
                              <w:rPr>
                                <w:b w:val="0"/>
                                <w:color w:val="auto"/>
                              </w:rPr>
                              <w:t>054 175</w:t>
                            </w:r>
                          </w:p>
                          <w:p w14:paraId="416161E8" w14:textId="77777777" w:rsidR="006F6FF2" w:rsidRPr="00992CF3" w:rsidRDefault="006F6FF2"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4FF5E3BD" w14:textId="77777777" w:rsidR="006F6FF2" w:rsidRPr="004A61C5" w:rsidRDefault="006F6FF2" w:rsidP="00825C4D">
                            <w:pPr>
                              <w:pStyle w:val="TLKontakty"/>
                              <w:spacing w:after="80" w:line="240" w:lineRule="auto"/>
                              <w:rPr>
                                <w:color w:val="auto"/>
                              </w:rPr>
                            </w:pPr>
                          </w:p>
                          <w:p w14:paraId="272E9710" w14:textId="77777777" w:rsidR="006F6FF2" w:rsidRPr="00992CF3" w:rsidRDefault="006F6FF2"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w:t>
                            </w:r>
                            <w:r>
                              <w:rPr>
                                <w:b w:val="0"/>
                                <w:color w:val="auto"/>
                              </w:rPr>
                              <w:t> </w:t>
                            </w:r>
                            <w:r w:rsidRPr="00992CF3">
                              <w:rPr>
                                <w:b w:val="0"/>
                                <w:color w:val="auto"/>
                              </w:rPr>
                              <w:t>718 440</w:t>
                            </w:r>
                          </w:p>
                          <w:p w14:paraId="41660CA4" w14:textId="77777777" w:rsidR="006F6FF2" w:rsidRPr="00992CF3" w:rsidRDefault="006F6FF2"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02FFC287" w14:textId="77777777" w:rsidR="006F6FF2" w:rsidRPr="004A61C5" w:rsidRDefault="006F6FF2" w:rsidP="00825C4D">
                            <w:pPr>
                              <w:pStyle w:val="TLKontakty"/>
                              <w:spacing w:after="80" w:line="240" w:lineRule="auto"/>
                              <w:rPr>
                                <w:color w:val="auto"/>
                              </w:rPr>
                            </w:pPr>
                          </w:p>
                          <w:p w14:paraId="28D66B71" w14:textId="77777777" w:rsidR="006F6FF2" w:rsidRPr="00BC731E" w:rsidRDefault="006F6FF2"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xml:space="preserve">, </w:t>
                            </w:r>
                            <w:r w:rsidRPr="004A61C5">
                              <w:rPr>
                                <w:b w:val="0"/>
                                <w:color w:val="auto"/>
                              </w:rPr>
                              <w:t>tel.</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14:paraId="44E4A2F2" w14:textId="77777777" w:rsidR="006F6FF2" w:rsidRPr="004A61C5" w:rsidRDefault="006F6FF2"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124C070B" w14:textId="77777777" w:rsidR="006F6FF2" w:rsidRPr="004A61C5" w:rsidRDefault="006F6FF2" w:rsidP="00825C4D">
                            <w:pPr>
                              <w:pStyle w:val="TLKontakty"/>
                              <w:spacing w:after="80" w:line="240" w:lineRule="auto"/>
                              <w:rPr>
                                <w:color w:val="auto"/>
                              </w:rPr>
                            </w:pPr>
                          </w:p>
                          <w:p w14:paraId="09B6DE68" w14:textId="77777777" w:rsidR="006F6FF2" w:rsidRPr="004A61C5" w:rsidRDefault="006F6FF2"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tel.</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14:paraId="477EF21B" w14:textId="77777777" w:rsidR="006F6FF2" w:rsidRPr="004A61C5" w:rsidRDefault="006F6FF2"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6C1AC3BB" w14:textId="77777777" w:rsidR="006F6FF2" w:rsidRPr="004A61C5" w:rsidRDefault="006F6FF2" w:rsidP="00825C4D">
                            <w:pPr>
                              <w:pStyle w:val="TLKontakty"/>
                              <w:spacing w:after="80" w:line="240" w:lineRule="auto"/>
                              <w:rPr>
                                <w:color w:val="auto"/>
                              </w:rPr>
                            </w:pPr>
                          </w:p>
                          <w:p w14:paraId="59D3D98A" w14:textId="77777777" w:rsidR="006F6FF2" w:rsidRPr="004A61C5" w:rsidRDefault="006F6FF2"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xml:space="preserve">, </w:t>
                            </w:r>
                            <w:r w:rsidRPr="004A61C5">
                              <w:rPr>
                                <w:b w:val="0"/>
                                <w:color w:val="auto"/>
                              </w:rPr>
                              <w:t>tel.</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14:paraId="2F4D5FAC" w14:textId="77777777" w:rsidR="006F6FF2" w:rsidRPr="004A61C5" w:rsidRDefault="006F6FF2"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465C0979" w14:textId="77777777" w:rsidR="006F6FF2" w:rsidRPr="004A61C5" w:rsidRDefault="006F6FF2" w:rsidP="00825C4D">
                            <w:pPr>
                              <w:pStyle w:val="TLKontakty"/>
                              <w:spacing w:after="80" w:line="240" w:lineRule="auto"/>
                              <w:rPr>
                                <w:color w:val="auto"/>
                              </w:rPr>
                            </w:pPr>
                          </w:p>
                          <w:p w14:paraId="53E44571" w14:textId="77777777" w:rsidR="006F6FF2" w:rsidRPr="004A61C5" w:rsidRDefault="006F6FF2"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1, tel.</w:t>
                            </w:r>
                            <w:r>
                              <w:rPr>
                                <w:b w:val="0"/>
                                <w:color w:val="auto"/>
                              </w:rPr>
                              <w:t xml:space="preserve">: </w:t>
                            </w:r>
                            <w:r w:rsidRPr="004A61C5">
                              <w:rPr>
                                <w:b w:val="0"/>
                                <w:color w:val="auto"/>
                              </w:rPr>
                              <w:t>485</w:t>
                            </w:r>
                            <w:r>
                              <w:rPr>
                                <w:b w:val="0"/>
                                <w:color w:val="auto"/>
                              </w:rPr>
                              <w:t> </w:t>
                            </w:r>
                            <w:r w:rsidRPr="004A61C5">
                              <w:rPr>
                                <w:b w:val="0"/>
                                <w:color w:val="auto"/>
                              </w:rPr>
                              <w:t>238 811</w:t>
                            </w:r>
                          </w:p>
                          <w:p w14:paraId="7748DBC3" w14:textId="77777777" w:rsidR="006F6FF2" w:rsidRPr="004A61C5" w:rsidRDefault="006F6FF2"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4123AE44" w14:textId="77777777" w:rsidR="006F6FF2" w:rsidRPr="004A61C5" w:rsidRDefault="006F6FF2" w:rsidP="00825C4D">
                            <w:pPr>
                              <w:pStyle w:val="TLKontakty"/>
                              <w:spacing w:after="80" w:line="240" w:lineRule="auto"/>
                              <w:rPr>
                                <w:b w:val="0"/>
                                <w:color w:val="auto"/>
                              </w:rPr>
                            </w:pPr>
                          </w:p>
                          <w:p w14:paraId="10E14C3C" w14:textId="77777777" w:rsidR="006F6FF2" w:rsidRPr="004A61C5" w:rsidRDefault="006F6FF2"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tel.</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14:paraId="2E3651FF" w14:textId="77777777" w:rsidR="006F6FF2" w:rsidRPr="004A61C5" w:rsidRDefault="006F6FF2"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74F45FF3" w14:textId="77777777" w:rsidR="006F6FF2" w:rsidRPr="004A61C5" w:rsidRDefault="006F6FF2" w:rsidP="00825C4D">
                            <w:pPr>
                              <w:pStyle w:val="TLKontakty"/>
                              <w:spacing w:after="80" w:line="240" w:lineRule="auto"/>
                              <w:rPr>
                                <w:color w:val="auto"/>
                              </w:rPr>
                            </w:pPr>
                          </w:p>
                          <w:p w14:paraId="5E11F5F2" w14:textId="77777777" w:rsidR="006F6FF2" w:rsidRPr="004A61C5" w:rsidRDefault="006F6FF2"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xml:space="preserve">, </w:t>
                            </w:r>
                            <w:r w:rsidRPr="004A61C5">
                              <w:rPr>
                                <w:b w:val="0"/>
                                <w:color w:val="auto"/>
                              </w:rPr>
                              <w:t>tel.</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14:paraId="72152ABD" w14:textId="77777777" w:rsidR="006F6FF2" w:rsidRPr="004A61C5" w:rsidRDefault="006F6FF2"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31158F18" w14:textId="77777777" w:rsidR="006F6FF2" w:rsidRPr="004A61C5" w:rsidRDefault="006F6FF2" w:rsidP="00825C4D">
                            <w:pPr>
                              <w:pStyle w:val="TLKontakty"/>
                              <w:spacing w:after="80" w:line="240" w:lineRule="auto"/>
                              <w:rPr>
                                <w:b w:val="0"/>
                                <w:color w:val="auto"/>
                              </w:rPr>
                            </w:pPr>
                          </w:p>
                          <w:p w14:paraId="231F5E11" w14:textId="77777777" w:rsidR="006F6FF2" w:rsidRPr="004A61C5" w:rsidRDefault="006F6FF2"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tel.: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14:paraId="05687D8F" w14:textId="77777777" w:rsidR="006F6FF2" w:rsidRPr="004A61C5" w:rsidRDefault="006F6FF2"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14A58016" w14:textId="77777777" w:rsidR="006F6FF2" w:rsidRDefault="006F6FF2" w:rsidP="00825C4D">
                            <w:pPr>
                              <w:pStyle w:val="TLKontakty"/>
                              <w:spacing w:after="80" w:line="240" w:lineRule="auto"/>
                            </w:pPr>
                          </w:p>
                          <w:p w14:paraId="2C2F9B1E" w14:textId="455F4613" w:rsidR="006F6FF2" w:rsidRPr="00BC731E" w:rsidRDefault="006F6FF2"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tel.: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14:paraId="395EA08C" w14:textId="77777777" w:rsidR="006F6FF2" w:rsidRPr="004A61C5" w:rsidRDefault="006F6FF2"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7E41DBBE" w14:textId="77777777" w:rsidR="006F6FF2" w:rsidRPr="004A61C5" w:rsidRDefault="006F6FF2" w:rsidP="00825C4D">
                            <w:pPr>
                              <w:pStyle w:val="TLKontakty"/>
                              <w:spacing w:after="80" w:line="240" w:lineRule="auto"/>
                              <w:rPr>
                                <w:b w:val="0"/>
                                <w:color w:val="auto"/>
                              </w:rPr>
                            </w:pPr>
                          </w:p>
                          <w:p w14:paraId="3F9813C4" w14:textId="77777777" w:rsidR="006F6FF2" w:rsidRPr="005E7C78" w:rsidRDefault="006F6FF2"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tel.: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14:paraId="483B16E7" w14:textId="77777777" w:rsidR="006F6FF2" w:rsidRPr="005E7C78" w:rsidRDefault="006F6FF2"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1DEA6773" w14:textId="77777777" w:rsidR="006F6FF2" w:rsidRPr="005E7C78" w:rsidRDefault="006F6FF2" w:rsidP="00825C4D">
                            <w:pPr>
                              <w:pStyle w:val="TLKontakty"/>
                              <w:spacing w:after="80" w:line="240" w:lineRule="auto"/>
                              <w:rPr>
                                <w:b w:val="0"/>
                                <w:color w:val="auto"/>
                              </w:rPr>
                            </w:pPr>
                          </w:p>
                          <w:p w14:paraId="448F5DDA" w14:textId="77777777" w:rsidR="006F6FF2" w:rsidRPr="005E7C78" w:rsidRDefault="006F6FF2"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sidRPr="00BC731E">
                              <w:rPr>
                                <w:b w:val="0"/>
                                <w:color w:val="auto"/>
                              </w:rPr>
                              <w:t>tel.: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14:paraId="4B103B14" w14:textId="77777777" w:rsidR="006F6FF2" w:rsidRDefault="006F6FF2"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48B741A9" w14:textId="77777777" w:rsidR="006F6FF2" w:rsidRPr="005E7C78" w:rsidRDefault="006F6FF2" w:rsidP="00095135">
                            <w:pPr>
                              <w:pStyle w:val="TLKontakty"/>
                              <w:spacing w:after="80" w:line="240" w:lineRule="auto"/>
                              <w:rPr>
                                <w:b w:val="0"/>
                                <w:color w:val="auto"/>
                              </w:rPr>
                            </w:pPr>
                          </w:p>
                          <w:p w14:paraId="395ED09A" w14:textId="77777777" w:rsidR="006F6FF2" w:rsidRPr="005E7C78" w:rsidRDefault="006F6FF2"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tel.: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14:paraId="0575867B" w14:textId="77777777" w:rsidR="006F6FF2" w:rsidRPr="00095135" w:rsidRDefault="006F6FF2"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CA088C6" id="_x0000_s1030" type="#_x0000_t202" style="position:absolute;left:0;text-align:left;margin-left:57pt;margin-top:113.4pt;width:481.85pt;height:60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" filled="f" stroked="f">
                <v:textbox style="mso-fit-shape-to-text:t" inset="0,0,0,0">
                  <w:txbxContent>
                    <w:p w14:paraId="28541332" w14:textId="77777777" w:rsidR="006F6FF2" w:rsidRPr="006F5416" w:rsidRDefault="006F6FF2" w:rsidP="006F5416">
                      <w:pPr>
                        <w:pStyle w:val="TLKontaktyerven"/>
                      </w:pPr>
                      <w:r w:rsidRPr="006F5416">
                        <w:t>KONTAKTY V ÚSTŘEDÍ</w:t>
                      </w:r>
                    </w:p>
                    <w:p w14:paraId="3C71345D" w14:textId="77777777" w:rsidR="006F6FF2" w:rsidRPr="007D40DF" w:rsidRDefault="006F6FF2"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14:paraId="5DF2AD66" w14:textId="77777777" w:rsidR="006F6FF2" w:rsidRPr="00D235B7" w:rsidRDefault="006F6FF2"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304, 274</w:t>
                      </w:r>
                      <w:r>
                        <w:rPr>
                          <w:b w:val="0"/>
                          <w:color w:val="auto"/>
                        </w:rPr>
                        <w:t> </w:t>
                      </w:r>
                      <w:r w:rsidRPr="00D235B7">
                        <w:rPr>
                          <w:b w:val="0"/>
                          <w:color w:val="auto"/>
                        </w:rPr>
                        <w:t>052 451 | e-mail: infoservis@czso.cz</w:t>
                      </w:r>
                    </w:p>
                    <w:p w14:paraId="41F3052F" w14:textId="77777777" w:rsidR="006F6FF2" w:rsidRPr="00D235B7" w:rsidRDefault="006F6FF2"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w:t>
                      </w:r>
                      <w:r>
                        <w:rPr>
                          <w:b w:val="0"/>
                          <w:color w:val="auto"/>
                        </w:rPr>
                        <w:t> </w:t>
                      </w:r>
                      <w:r w:rsidRPr="00D235B7">
                        <w:rPr>
                          <w:b w:val="0"/>
                          <w:color w:val="auto"/>
                        </w:rPr>
                        <w:t>052 361 | e-mail: prodejna@czso.cz</w:t>
                      </w:r>
                    </w:p>
                    <w:p w14:paraId="231AC1D4" w14:textId="77777777" w:rsidR="006F6FF2" w:rsidRPr="00D235B7" w:rsidRDefault="006F6FF2"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347 | e-mail: esds@czso.cz</w:t>
                      </w:r>
                    </w:p>
                    <w:p w14:paraId="548AAF1E" w14:textId="77777777" w:rsidR="006F6FF2" w:rsidRPr="00D235B7" w:rsidRDefault="006F6FF2"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w:t>
                      </w:r>
                      <w:r>
                        <w:rPr>
                          <w:b w:val="0"/>
                          <w:color w:val="auto"/>
                        </w:rPr>
                        <w:t> </w:t>
                      </w:r>
                      <w:r w:rsidRPr="00D235B7">
                        <w:rPr>
                          <w:b w:val="0"/>
                          <w:color w:val="auto"/>
                        </w:rPr>
                        <w:t>052 361 | e-mail: knihovna@czso.cz</w:t>
                      </w:r>
                    </w:p>
                    <w:p w14:paraId="676CE837" w14:textId="77777777" w:rsidR="006F6FF2" w:rsidRPr="004A61C5" w:rsidRDefault="006F6FF2" w:rsidP="00825C4D">
                      <w:pPr>
                        <w:pStyle w:val="TLKontakty"/>
                        <w:spacing w:after="80" w:line="240" w:lineRule="auto"/>
                        <w:contextualSpacing w:val="0"/>
                        <w:rPr>
                          <w:color w:val="auto"/>
                        </w:rPr>
                      </w:pPr>
                    </w:p>
                    <w:p w14:paraId="58156969" w14:textId="77777777" w:rsidR="006F6FF2" w:rsidRPr="00D66223" w:rsidRDefault="006F6FF2" w:rsidP="00D66223">
                      <w:pPr>
                        <w:pStyle w:val="TLKontaktyerven"/>
                      </w:pPr>
                      <w:r w:rsidRPr="00D66223">
                        <w:t>INFORMAČNÍ SLUŽBY V REGIONECH</w:t>
                      </w:r>
                    </w:p>
                    <w:p w14:paraId="4879BC68" w14:textId="77777777" w:rsidR="006F6FF2" w:rsidRPr="00992CF3" w:rsidRDefault="006F6FF2"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14:paraId="013DC4C4" w14:textId="77777777" w:rsidR="006F6FF2" w:rsidRPr="00992CF3" w:rsidRDefault="006F6FF2"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39B244A8" w14:textId="77777777" w:rsidR="006F6FF2" w:rsidRPr="004A61C5" w:rsidRDefault="006F6FF2" w:rsidP="00825C4D">
                      <w:pPr>
                        <w:pStyle w:val="TLKontakty"/>
                        <w:spacing w:after="80" w:line="240" w:lineRule="auto"/>
                        <w:rPr>
                          <w:color w:val="auto"/>
                        </w:rPr>
                      </w:pPr>
                    </w:p>
                    <w:p w14:paraId="0700B661" w14:textId="77777777" w:rsidR="006F6FF2" w:rsidRPr="00992CF3" w:rsidRDefault="006F6FF2" w:rsidP="00825C4D">
                      <w:pPr>
                        <w:pStyle w:val="TLKontakty"/>
                        <w:spacing w:after="80" w:line="240" w:lineRule="auto"/>
                        <w:rPr>
                          <w:b w:val="0"/>
                          <w:color w:val="auto"/>
                        </w:rPr>
                      </w:pPr>
                      <w:r w:rsidRPr="00D66223">
                        <w:t>Středočeský kraj</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10, tel.</w:t>
                      </w:r>
                      <w:r>
                        <w:rPr>
                          <w:b w:val="0"/>
                          <w:color w:val="auto"/>
                        </w:rPr>
                        <w:t xml:space="preserve">: </w:t>
                      </w:r>
                      <w:r w:rsidRPr="00992CF3">
                        <w:rPr>
                          <w:b w:val="0"/>
                          <w:color w:val="auto"/>
                        </w:rPr>
                        <w:t>274</w:t>
                      </w:r>
                      <w:r>
                        <w:rPr>
                          <w:b w:val="0"/>
                          <w:color w:val="auto"/>
                        </w:rPr>
                        <w:t> </w:t>
                      </w:r>
                      <w:r w:rsidRPr="00992CF3">
                        <w:rPr>
                          <w:b w:val="0"/>
                          <w:color w:val="auto"/>
                        </w:rPr>
                        <w:t>054 175</w:t>
                      </w:r>
                    </w:p>
                    <w:p w14:paraId="416161E8" w14:textId="77777777" w:rsidR="006F6FF2" w:rsidRPr="00992CF3" w:rsidRDefault="006F6FF2"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4FF5E3BD" w14:textId="77777777" w:rsidR="006F6FF2" w:rsidRPr="004A61C5" w:rsidRDefault="006F6FF2" w:rsidP="00825C4D">
                      <w:pPr>
                        <w:pStyle w:val="TLKontakty"/>
                        <w:spacing w:after="80" w:line="240" w:lineRule="auto"/>
                        <w:rPr>
                          <w:color w:val="auto"/>
                        </w:rPr>
                      </w:pPr>
                    </w:p>
                    <w:p w14:paraId="272E9710" w14:textId="77777777" w:rsidR="006F6FF2" w:rsidRPr="00992CF3" w:rsidRDefault="006F6FF2"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w:t>
                      </w:r>
                      <w:r>
                        <w:rPr>
                          <w:b w:val="0"/>
                          <w:color w:val="auto"/>
                        </w:rPr>
                        <w:t> </w:t>
                      </w:r>
                      <w:r w:rsidRPr="00992CF3">
                        <w:rPr>
                          <w:b w:val="0"/>
                          <w:color w:val="auto"/>
                        </w:rPr>
                        <w:t>718 440</w:t>
                      </w:r>
                    </w:p>
                    <w:p w14:paraId="41660CA4" w14:textId="77777777" w:rsidR="006F6FF2" w:rsidRPr="00992CF3" w:rsidRDefault="006F6FF2"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02FFC287" w14:textId="77777777" w:rsidR="006F6FF2" w:rsidRPr="004A61C5" w:rsidRDefault="006F6FF2" w:rsidP="00825C4D">
                      <w:pPr>
                        <w:pStyle w:val="TLKontakty"/>
                        <w:spacing w:after="80" w:line="240" w:lineRule="auto"/>
                        <w:rPr>
                          <w:color w:val="auto"/>
                        </w:rPr>
                      </w:pPr>
                    </w:p>
                    <w:p w14:paraId="28D66B71" w14:textId="77777777" w:rsidR="006F6FF2" w:rsidRPr="00BC731E" w:rsidRDefault="006F6FF2"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xml:space="preserve">, </w:t>
                      </w:r>
                      <w:r w:rsidRPr="004A61C5">
                        <w:rPr>
                          <w:b w:val="0"/>
                          <w:color w:val="auto"/>
                        </w:rPr>
                        <w:t>tel.</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14:paraId="44E4A2F2" w14:textId="77777777" w:rsidR="006F6FF2" w:rsidRPr="004A61C5" w:rsidRDefault="006F6FF2"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124C070B" w14:textId="77777777" w:rsidR="006F6FF2" w:rsidRPr="004A61C5" w:rsidRDefault="006F6FF2" w:rsidP="00825C4D">
                      <w:pPr>
                        <w:pStyle w:val="TLKontakty"/>
                        <w:spacing w:after="80" w:line="240" w:lineRule="auto"/>
                        <w:rPr>
                          <w:color w:val="auto"/>
                        </w:rPr>
                      </w:pPr>
                    </w:p>
                    <w:p w14:paraId="09B6DE68" w14:textId="77777777" w:rsidR="006F6FF2" w:rsidRPr="004A61C5" w:rsidRDefault="006F6FF2"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tel.</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14:paraId="477EF21B" w14:textId="77777777" w:rsidR="006F6FF2" w:rsidRPr="004A61C5" w:rsidRDefault="006F6FF2"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6C1AC3BB" w14:textId="77777777" w:rsidR="006F6FF2" w:rsidRPr="004A61C5" w:rsidRDefault="006F6FF2" w:rsidP="00825C4D">
                      <w:pPr>
                        <w:pStyle w:val="TLKontakty"/>
                        <w:spacing w:after="80" w:line="240" w:lineRule="auto"/>
                        <w:rPr>
                          <w:color w:val="auto"/>
                        </w:rPr>
                      </w:pPr>
                    </w:p>
                    <w:p w14:paraId="59D3D98A" w14:textId="77777777" w:rsidR="006F6FF2" w:rsidRPr="004A61C5" w:rsidRDefault="006F6FF2"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xml:space="preserve">, </w:t>
                      </w:r>
                      <w:r w:rsidRPr="004A61C5">
                        <w:rPr>
                          <w:b w:val="0"/>
                          <w:color w:val="auto"/>
                        </w:rPr>
                        <w:t>tel.</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14:paraId="2F4D5FAC" w14:textId="77777777" w:rsidR="006F6FF2" w:rsidRPr="004A61C5" w:rsidRDefault="006F6FF2"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465C0979" w14:textId="77777777" w:rsidR="006F6FF2" w:rsidRPr="004A61C5" w:rsidRDefault="006F6FF2" w:rsidP="00825C4D">
                      <w:pPr>
                        <w:pStyle w:val="TLKontakty"/>
                        <w:spacing w:after="80" w:line="240" w:lineRule="auto"/>
                        <w:rPr>
                          <w:color w:val="auto"/>
                        </w:rPr>
                      </w:pPr>
                    </w:p>
                    <w:p w14:paraId="53E44571" w14:textId="77777777" w:rsidR="006F6FF2" w:rsidRPr="004A61C5" w:rsidRDefault="006F6FF2"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1, tel.</w:t>
                      </w:r>
                      <w:r>
                        <w:rPr>
                          <w:b w:val="0"/>
                          <w:color w:val="auto"/>
                        </w:rPr>
                        <w:t xml:space="preserve">: </w:t>
                      </w:r>
                      <w:r w:rsidRPr="004A61C5">
                        <w:rPr>
                          <w:b w:val="0"/>
                          <w:color w:val="auto"/>
                        </w:rPr>
                        <w:t>485</w:t>
                      </w:r>
                      <w:r>
                        <w:rPr>
                          <w:b w:val="0"/>
                          <w:color w:val="auto"/>
                        </w:rPr>
                        <w:t> </w:t>
                      </w:r>
                      <w:r w:rsidRPr="004A61C5">
                        <w:rPr>
                          <w:b w:val="0"/>
                          <w:color w:val="auto"/>
                        </w:rPr>
                        <w:t>238 811</w:t>
                      </w:r>
                    </w:p>
                    <w:p w14:paraId="7748DBC3" w14:textId="77777777" w:rsidR="006F6FF2" w:rsidRPr="004A61C5" w:rsidRDefault="006F6FF2"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4123AE44" w14:textId="77777777" w:rsidR="006F6FF2" w:rsidRPr="004A61C5" w:rsidRDefault="006F6FF2" w:rsidP="00825C4D">
                      <w:pPr>
                        <w:pStyle w:val="TLKontakty"/>
                        <w:spacing w:after="80" w:line="240" w:lineRule="auto"/>
                        <w:rPr>
                          <w:b w:val="0"/>
                          <w:color w:val="auto"/>
                        </w:rPr>
                      </w:pPr>
                    </w:p>
                    <w:p w14:paraId="10E14C3C" w14:textId="77777777" w:rsidR="006F6FF2" w:rsidRPr="004A61C5" w:rsidRDefault="006F6FF2"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tel.</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14:paraId="2E3651FF" w14:textId="77777777" w:rsidR="006F6FF2" w:rsidRPr="004A61C5" w:rsidRDefault="006F6FF2"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74F45FF3" w14:textId="77777777" w:rsidR="006F6FF2" w:rsidRPr="004A61C5" w:rsidRDefault="006F6FF2" w:rsidP="00825C4D">
                      <w:pPr>
                        <w:pStyle w:val="TLKontakty"/>
                        <w:spacing w:after="80" w:line="240" w:lineRule="auto"/>
                        <w:rPr>
                          <w:color w:val="auto"/>
                        </w:rPr>
                      </w:pPr>
                    </w:p>
                    <w:p w14:paraId="5E11F5F2" w14:textId="77777777" w:rsidR="006F6FF2" w:rsidRPr="004A61C5" w:rsidRDefault="006F6FF2"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xml:space="preserve">, </w:t>
                      </w:r>
                      <w:r w:rsidRPr="004A61C5">
                        <w:rPr>
                          <w:b w:val="0"/>
                          <w:color w:val="auto"/>
                        </w:rPr>
                        <w:t>tel.</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14:paraId="72152ABD" w14:textId="77777777" w:rsidR="006F6FF2" w:rsidRPr="004A61C5" w:rsidRDefault="006F6FF2"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31158F18" w14:textId="77777777" w:rsidR="006F6FF2" w:rsidRPr="004A61C5" w:rsidRDefault="006F6FF2" w:rsidP="00825C4D">
                      <w:pPr>
                        <w:pStyle w:val="TLKontakty"/>
                        <w:spacing w:after="80" w:line="240" w:lineRule="auto"/>
                        <w:rPr>
                          <w:b w:val="0"/>
                          <w:color w:val="auto"/>
                        </w:rPr>
                      </w:pPr>
                    </w:p>
                    <w:p w14:paraId="231F5E11" w14:textId="77777777" w:rsidR="006F6FF2" w:rsidRPr="004A61C5" w:rsidRDefault="006F6FF2"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tel.: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14:paraId="05687D8F" w14:textId="77777777" w:rsidR="006F6FF2" w:rsidRPr="004A61C5" w:rsidRDefault="006F6FF2"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14A58016" w14:textId="77777777" w:rsidR="006F6FF2" w:rsidRDefault="006F6FF2" w:rsidP="00825C4D">
                      <w:pPr>
                        <w:pStyle w:val="TLKontakty"/>
                        <w:spacing w:after="80" w:line="240" w:lineRule="auto"/>
                      </w:pPr>
                    </w:p>
                    <w:p w14:paraId="2C2F9B1E" w14:textId="455F4613" w:rsidR="006F6FF2" w:rsidRPr="00BC731E" w:rsidRDefault="006F6FF2"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tel.: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14:paraId="395EA08C" w14:textId="77777777" w:rsidR="006F6FF2" w:rsidRPr="004A61C5" w:rsidRDefault="006F6FF2"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7E41DBBE" w14:textId="77777777" w:rsidR="006F6FF2" w:rsidRPr="004A61C5" w:rsidRDefault="006F6FF2" w:rsidP="00825C4D">
                      <w:pPr>
                        <w:pStyle w:val="TLKontakty"/>
                        <w:spacing w:after="80" w:line="240" w:lineRule="auto"/>
                        <w:rPr>
                          <w:b w:val="0"/>
                          <w:color w:val="auto"/>
                        </w:rPr>
                      </w:pPr>
                    </w:p>
                    <w:p w14:paraId="3F9813C4" w14:textId="77777777" w:rsidR="006F6FF2" w:rsidRPr="005E7C78" w:rsidRDefault="006F6FF2"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tel.: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14:paraId="483B16E7" w14:textId="77777777" w:rsidR="006F6FF2" w:rsidRPr="005E7C78" w:rsidRDefault="006F6FF2"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1DEA6773" w14:textId="77777777" w:rsidR="006F6FF2" w:rsidRPr="005E7C78" w:rsidRDefault="006F6FF2" w:rsidP="00825C4D">
                      <w:pPr>
                        <w:pStyle w:val="TLKontakty"/>
                        <w:spacing w:after="80" w:line="240" w:lineRule="auto"/>
                        <w:rPr>
                          <w:b w:val="0"/>
                          <w:color w:val="auto"/>
                        </w:rPr>
                      </w:pPr>
                    </w:p>
                    <w:p w14:paraId="448F5DDA" w14:textId="77777777" w:rsidR="006F6FF2" w:rsidRPr="005E7C78" w:rsidRDefault="006F6FF2"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sidRPr="00BC731E">
                        <w:rPr>
                          <w:b w:val="0"/>
                          <w:color w:val="auto"/>
                        </w:rPr>
                        <w:t>tel.: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14:paraId="4B103B14" w14:textId="77777777" w:rsidR="006F6FF2" w:rsidRDefault="006F6FF2"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48B741A9" w14:textId="77777777" w:rsidR="006F6FF2" w:rsidRPr="005E7C78" w:rsidRDefault="006F6FF2" w:rsidP="00095135">
                      <w:pPr>
                        <w:pStyle w:val="TLKontakty"/>
                        <w:spacing w:after="80" w:line="240" w:lineRule="auto"/>
                        <w:rPr>
                          <w:b w:val="0"/>
                          <w:color w:val="auto"/>
                        </w:rPr>
                      </w:pPr>
                    </w:p>
                    <w:p w14:paraId="395ED09A" w14:textId="77777777" w:rsidR="006F6FF2" w:rsidRPr="005E7C78" w:rsidRDefault="006F6FF2"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tel.: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14:paraId="0575867B" w14:textId="77777777" w:rsidR="006F6FF2" w:rsidRPr="00095135" w:rsidRDefault="006F6FF2"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v:textbox>
                <w10:wrap anchorx="page" anchory="page"/>
                <w10:anchorlock/>
              </v:shape>
            </w:pict>
          </mc:Fallback>
        </mc:AlternateContent>
      </w:r>
      <w:r>
        <w:rPr>
          <w:noProof/>
        </w:rPr>
        <mc:AlternateContent>
          <mc:Choice Requires="wps">
            <w:drawing>
              <wp:anchor distT="0" distB="0" distL="114300" distR="114300" simplePos="0" relativeHeight="251661824" behindDoc="0" locked="1" layoutInCell="1" allowOverlap="1" wp14:anchorId="3EE77A96" wp14:editId="5156964C">
                <wp:simplePos x="0" y="0"/>
                <wp:positionH relativeFrom="page">
                  <wp:posOffset>720090</wp:posOffset>
                </wp:positionH>
                <wp:positionV relativeFrom="page">
                  <wp:posOffset>9486900</wp:posOffset>
                </wp:positionV>
                <wp:extent cx="6120130" cy="360045"/>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AD0B002" w14:textId="051D4305" w:rsidR="006F6FF2" w:rsidRPr="00321924" w:rsidRDefault="006F6FF2" w:rsidP="00A16E1D">
                            <w:pPr>
                              <w:jc w:val="left"/>
                            </w:pPr>
                            <w:r w:rsidRPr="00321924">
                              <w:br/>
                              <w:t xml:space="preserve">© Český statistický úřad, </w:t>
                            </w:r>
                            <w:r>
                              <w:t>Praha, 2021</w:t>
                            </w:r>
                          </w:p>
                          <w:p w14:paraId="52FD100C" w14:textId="77777777" w:rsidR="006F6FF2" w:rsidRDefault="006F6FF2"/>
                          <w:p w14:paraId="515D7599" w14:textId="0789EE63" w:rsidR="006F6FF2" w:rsidRPr="00841D9F" w:rsidRDefault="006F6FF2"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14:paraId="0975553D" w14:textId="77777777" w:rsidR="006F6FF2" w:rsidRPr="00AF2852" w:rsidRDefault="006F6FF2" w:rsidP="000A3A2C">
                            <w:r w:rsidRPr="00841D9F">
                              <w:t>© Český sta</w:t>
                            </w:r>
                            <w:r>
                              <w:t xml:space="preserve">tistický úřad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77A96" id="_x0000_s1031" type="#_x0000_t202" style="position:absolute;left:0;text-align:left;margin-left:56.7pt;margin-top:747pt;width:481.9pt;height:28.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" filled="f" stroked="f">
                <v:textbox inset="0,0,0,0">
                  <w:txbxContent>
                    <w:p w14:paraId="1AD0B002" w14:textId="051D4305" w:rsidR="006F6FF2" w:rsidRPr="00321924" w:rsidRDefault="006F6FF2" w:rsidP="00A16E1D">
                      <w:pPr>
                        <w:jc w:val="left"/>
                      </w:pPr>
                      <w:r w:rsidRPr="00321924">
                        <w:br/>
                        <w:t xml:space="preserve">© Český statistický úřad, </w:t>
                      </w:r>
                      <w:r>
                        <w:t>Praha, 2021</w:t>
                      </w:r>
                    </w:p>
                    <w:p w14:paraId="52FD100C" w14:textId="77777777" w:rsidR="006F6FF2" w:rsidRDefault="006F6FF2"/>
                    <w:p w14:paraId="515D7599" w14:textId="0789EE63" w:rsidR="006F6FF2" w:rsidRPr="00841D9F" w:rsidRDefault="006F6FF2"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14:paraId="0975553D" w14:textId="77777777" w:rsidR="006F6FF2" w:rsidRPr="00AF2852" w:rsidRDefault="006F6FF2" w:rsidP="000A3A2C">
                      <w:r w:rsidRPr="00841D9F">
                        <w:t>© Český sta</w:t>
                      </w:r>
                      <w:r>
                        <w:t xml:space="preserve">tistický úřad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v:textbox>
                <w10:wrap anchorx="page" anchory="page"/>
                <w10:anchorlock/>
              </v:shape>
            </w:pict>
          </mc:Fallback>
        </mc:AlternateContent>
      </w:r>
      <w:r>
        <w:rPr>
          <w:noProof/>
        </w:rPr>
        <mc:AlternateContent>
          <mc:Choice Requires="wps">
            <w:drawing>
              <wp:anchor distT="0" distB="0" distL="114300" distR="114300" simplePos="0" relativeHeight="251660800" behindDoc="0" locked="1" layoutInCell="1" allowOverlap="1" wp14:anchorId="01D0B83B" wp14:editId="3F386203">
                <wp:simplePos x="0" y="0"/>
                <wp:positionH relativeFrom="page">
                  <wp:posOffset>723265</wp:posOffset>
                </wp:positionH>
                <wp:positionV relativeFrom="page">
                  <wp:posOffset>723265</wp:posOffset>
                </wp:positionV>
                <wp:extent cx="6119495" cy="555625"/>
                <wp:effectExtent l="0" t="0" r="0" b="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556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6FEE0FA" w14:textId="77777777" w:rsidR="006F6FF2" w:rsidRPr="009A1902" w:rsidRDefault="006F6FF2" w:rsidP="000A3A2C">
                            <w:pPr>
                              <w:rPr>
                                <w:b/>
                                <w:bCs/>
                                <w:i/>
                                <w:sz w:val="24"/>
                              </w:rPr>
                            </w:pPr>
                            <w:r w:rsidRPr="00B95F50">
                              <w:rPr>
                                <w:b/>
                                <w:color w:val="0071BC"/>
                                <w:sz w:val="24"/>
                              </w:rPr>
                              <w:t xml:space="preserve">Zajímají </w:t>
                            </w:r>
                            <w:r>
                              <w:rPr>
                                <w:b/>
                                <w:color w:val="0071BC"/>
                                <w:sz w:val="24"/>
                              </w:rPr>
                              <w:t>v</w:t>
                            </w:r>
                            <w:r w:rsidRPr="00B95F50">
                              <w:rPr>
                                <w:b/>
                                <w:color w:val="0071BC"/>
                                <w:sz w:val="24"/>
                              </w:rPr>
                              <w:t>ás nejnovější údaje o</w:t>
                            </w:r>
                            <w:r>
                              <w:rPr>
                                <w:b/>
                                <w:color w:val="0071BC"/>
                                <w:sz w:val="24"/>
                              </w:rPr>
                              <w:t> </w:t>
                            </w:r>
                            <w:r w:rsidRPr="00B95F50">
                              <w:rPr>
                                <w:b/>
                                <w:color w:val="0071BC"/>
                                <w:sz w:val="24"/>
                              </w:rPr>
                              <w:t xml:space="preserve">inflaci, HDP, obyvatelstvu, průměrných mzdách </w:t>
                            </w:r>
                            <w:r>
                              <w:rPr>
                                <w:b/>
                                <w:color w:val="0071BC"/>
                                <w:sz w:val="24"/>
                              </w:rPr>
                              <w:br/>
                            </w:r>
                            <w:r w:rsidRPr="00B95F50">
                              <w:rPr>
                                <w:b/>
                                <w:color w:val="0071BC"/>
                                <w:sz w:val="24"/>
                              </w:rPr>
                              <w:t>a</w:t>
                            </w:r>
                            <w:r>
                              <w:rPr>
                                <w:b/>
                                <w:color w:val="0071BC"/>
                                <w:sz w:val="24"/>
                              </w:rPr>
                              <w:t> </w:t>
                            </w:r>
                            <w:r w:rsidRPr="00B95F50">
                              <w:rPr>
                                <w:b/>
                                <w:color w:val="0071BC"/>
                                <w:sz w:val="24"/>
                              </w:rPr>
                              <w:t xml:space="preserve">mnohé další? Najdete je na stránkách ČSÚ na internetu: </w:t>
                            </w:r>
                            <w:r>
                              <w:rPr>
                                <w:b/>
                                <w:bCs/>
                                <w:sz w:val="24"/>
                              </w:rPr>
                              <w:t>www.czso.cz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D0B83B" id="_x0000_s1032" type="#_x0000_t202" style="position:absolute;left:0;text-align:left;margin-left:56.95pt;margin-top:56.95pt;width:481.85pt;height:43.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" filled="f" stroked="f">
                <v:textbox style="mso-fit-shape-to-text:t" inset="0,0,0,0">
                  <w:txbxContent>
                    <w:p w14:paraId="26FEE0FA" w14:textId="77777777" w:rsidR="006F6FF2" w:rsidRPr="009A1902" w:rsidRDefault="006F6FF2" w:rsidP="000A3A2C">
                      <w:pPr>
                        <w:rPr>
                          <w:b/>
                          <w:bCs/>
                          <w:i/>
                          <w:sz w:val="24"/>
                        </w:rPr>
                      </w:pPr>
                      <w:r w:rsidRPr="00B95F50">
                        <w:rPr>
                          <w:b/>
                          <w:color w:val="0071BC"/>
                          <w:sz w:val="24"/>
                        </w:rPr>
                        <w:t xml:space="preserve">Zajímají </w:t>
                      </w:r>
                      <w:r>
                        <w:rPr>
                          <w:b/>
                          <w:color w:val="0071BC"/>
                          <w:sz w:val="24"/>
                        </w:rPr>
                        <w:t>v</w:t>
                      </w:r>
                      <w:r w:rsidRPr="00B95F50">
                        <w:rPr>
                          <w:b/>
                          <w:color w:val="0071BC"/>
                          <w:sz w:val="24"/>
                        </w:rPr>
                        <w:t>ás nejnovější údaje o</w:t>
                      </w:r>
                      <w:r>
                        <w:rPr>
                          <w:b/>
                          <w:color w:val="0071BC"/>
                          <w:sz w:val="24"/>
                        </w:rPr>
                        <w:t> </w:t>
                      </w:r>
                      <w:r w:rsidRPr="00B95F50">
                        <w:rPr>
                          <w:b/>
                          <w:color w:val="0071BC"/>
                          <w:sz w:val="24"/>
                        </w:rPr>
                        <w:t xml:space="preserve">inflaci, HDP, obyvatelstvu, průměrných mzdách </w:t>
                      </w:r>
                      <w:r>
                        <w:rPr>
                          <w:b/>
                          <w:color w:val="0071BC"/>
                          <w:sz w:val="24"/>
                        </w:rPr>
                        <w:br/>
                      </w:r>
                      <w:r w:rsidRPr="00B95F50">
                        <w:rPr>
                          <w:b/>
                          <w:color w:val="0071BC"/>
                          <w:sz w:val="24"/>
                        </w:rPr>
                        <w:t>a</w:t>
                      </w:r>
                      <w:r>
                        <w:rPr>
                          <w:b/>
                          <w:color w:val="0071BC"/>
                          <w:sz w:val="24"/>
                        </w:rPr>
                        <w:t> </w:t>
                      </w:r>
                      <w:r w:rsidRPr="00B95F50">
                        <w:rPr>
                          <w:b/>
                          <w:color w:val="0071BC"/>
                          <w:sz w:val="24"/>
                        </w:rPr>
                        <w:t xml:space="preserve">mnohé další? Najdete je na stránkách ČSÚ na internetu: </w:t>
                      </w:r>
                      <w:r>
                        <w:rPr>
                          <w:b/>
                          <w:bCs/>
                          <w:sz w:val="24"/>
                        </w:rPr>
                        <w:t>www.czso.cz</w:t>
                      </w:r>
                    </w:p>
                  </w:txbxContent>
                </v:textbox>
                <w10:wrap anchorx="page" anchory="page"/>
                <w10:anchorlock/>
              </v:shape>
            </w:pict>
          </mc:Fallback>
        </mc:AlternateContent>
      </w:r>
    </w:p>
    <w:sdt>
      <w:sdtPr>
        <w:rPr>
          <w:b w:val="0"/>
          <w:color w:val="auto"/>
          <w:sz w:val="20"/>
        </w:rPr>
        <w:id w:val="5357999"/>
        <w:docPartObj>
          <w:docPartGallery w:val="Table of Contents"/>
          <w:docPartUnique/>
        </w:docPartObj>
      </w:sdtPr>
      <w:sdtEndPr/>
      <w:sdtContent>
        <w:p w14:paraId="74D73AA9" w14:textId="77777777" w:rsidR="00867DAB" w:rsidRPr="009110F7" w:rsidRDefault="00867DAB" w:rsidP="00867DAB">
          <w:pPr>
            <w:pStyle w:val="Obsah"/>
          </w:pPr>
          <w:r w:rsidRPr="009110F7">
            <w:t>Obsah</w:t>
          </w:r>
        </w:p>
        <w:p w14:paraId="652D7D9F" w14:textId="5817E077" w:rsidR="00474646" w:rsidRDefault="007D42E5">
          <w:pPr>
            <w:pStyle w:val="Obsah1"/>
            <w:rPr>
              <w:rFonts w:asciiTheme="minorHAnsi" w:eastAsiaTheme="minorEastAsia" w:hAnsiTheme="minorHAnsi" w:cstheme="minorBidi"/>
              <w:noProof/>
              <w:sz w:val="22"/>
              <w:szCs w:val="22"/>
            </w:rPr>
          </w:pPr>
          <w:r w:rsidRPr="009110F7">
            <w:fldChar w:fldCharType="begin"/>
          </w:r>
          <w:r w:rsidR="00867DAB" w:rsidRPr="009110F7">
            <w:instrText xml:space="preserve"> TOC \o "1-3" \h \z \u </w:instrText>
          </w:r>
          <w:r w:rsidRPr="009110F7">
            <w:fldChar w:fldCharType="separate"/>
          </w:r>
          <w:hyperlink w:anchor="_Toc74643853" w:history="1">
            <w:r w:rsidR="00474646" w:rsidRPr="006D3A46">
              <w:rPr>
                <w:rStyle w:val="Hypertextovodkaz"/>
                <w:noProof/>
              </w:rPr>
              <w:t>1. Shrnutí</w:t>
            </w:r>
            <w:r w:rsidR="00474646">
              <w:rPr>
                <w:noProof/>
                <w:webHidden/>
              </w:rPr>
              <w:tab/>
            </w:r>
            <w:r w:rsidR="00474646">
              <w:rPr>
                <w:noProof/>
                <w:webHidden/>
              </w:rPr>
              <w:fldChar w:fldCharType="begin"/>
            </w:r>
            <w:r w:rsidR="00474646">
              <w:rPr>
                <w:noProof/>
                <w:webHidden/>
              </w:rPr>
              <w:instrText xml:space="preserve"> PAGEREF _Toc74643853 \h </w:instrText>
            </w:r>
            <w:r w:rsidR="00474646">
              <w:rPr>
                <w:noProof/>
                <w:webHidden/>
              </w:rPr>
            </w:r>
            <w:r w:rsidR="00474646">
              <w:rPr>
                <w:noProof/>
                <w:webHidden/>
              </w:rPr>
              <w:fldChar w:fldCharType="separate"/>
            </w:r>
            <w:r w:rsidR="00474646">
              <w:rPr>
                <w:noProof/>
                <w:webHidden/>
              </w:rPr>
              <w:t>4</w:t>
            </w:r>
            <w:r w:rsidR="00474646">
              <w:rPr>
                <w:noProof/>
                <w:webHidden/>
              </w:rPr>
              <w:fldChar w:fldCharType="end"/>
            </w:r>
          </w:hyperlink>
        </w:p>
        <w:p w14:paraId="1D391AA6" w14:textId="1F9FA595" w:rsidR="00474646" w:rsidRDefault="00474646">
          <w:pPr>
            <w:pStyle w:val="Obsah1"/>
            <w:rPr>
              <w:rFonts w:asciiTheme="minorHAnsi" w:eastAsiaTheme="minorEastAsia" w:hAnsiTheme="minorHAnsi" w:cstheme="minorBidi"/>
              <w:noProof/>
              <w:sz w:val="22"/>
              <w:szCs w:val="22"/>
            </w:rPr>
          </w:pPr>
          <w:hyperlink w:anchor="_Toc74643854" w:history="1">
            <w:r w:rsidRPr="006D3A46">
              <w:rPr>
                <w:rStyle w:val="Hypertextovodkaz"/>
                <w:noProof/>
              </w:rPr>
              <w:t>2. Souhrnná výkonnost</w:t>
            </w:r>
            <w:r>
              <w:rPr>
                <w:noProof/>
                <w:webHidden/>
              </w:rPr>
              <w:tab/>
            </w:r>
            <w:r>
              <w:rPr>
                <w:noProof/>
                <w:webHidden/>
              </w:rPr>
              <w:fldChar w:fldCharType="begin"/>
            </w:r>
            <w:r>
              <w:rPr>
                <w:noProof/>
                <w:webHidden/>
              </w:rPr>
              <w:instrText xml:space="preserve"> PAGEREF _Toc74643854 \h </w:instrText>
            </w:r>
            <w:r>
              <w:rPr>
                <w:noProof/>
                <w:webHidden/>
              </w:rPr>
            </w:r>
            <w:r>
              <w:rPr>
                <w:noProof/>
                <w:webHidden/>
              </w:rPr>
              <w:fldChar w:fldCharType="separate"/>
            </w:r>
            <w:r>
              <w:rPr>
                <w:noProof/>
                <w:webHidden/>
              </w:rPr>
              <w:t>5</w:t>
            </w:r>
            <w:r>
              <w:rPr>
                <w:noProof/>
                <w:webHidden/>
              </w:rPr>
              <w:fldChar w:fldCharType="end"/>
            </w:r>
          </w:hyperlink>
        </w:p>
        <w:p w14:paraId="32C01CA2" w14:textId="151FEBCE" w:rsidR="00474646" w:rsidRDefault="00474646">
          <w:pPr>
            <w:pStyle w:val="Obsah1"/>
            <w:rPr>
              <w:rFonts w:asciiTheme="minorHAnsi" w:eastAsiaTheme="minorEastAsia" w:hAnsiTheme="minorHAnsi" w:cstheme="minorBidi"/>
              <w:noProof/>
              <w:sz w:val="22"/>
              <w:szCs w:val="22"/>
            </w:rPr>
          </w:pPr>
          <w:hyperlink w:anchor="_Toc74643855" w:history="1">
            <w:r w:rsidRPr="006D3A46">
              <w:rPr>
                <w:rStyle w:val="Hypertextovodkaz"/>
                <w:noProof/>
              </w:rPr>
              <w:t>3. Výkonnost odvětví</w:t>
            </w:r>
            <w:r>
              <w:rPr>
                <w:noProof/>
                <w:webHidden/>
              </w:rPr>
              <w:tab/>
            </w:r>
            <w:r>
              <w:rPr>
                <w:noProof/>
                <w:webHidden/>
              </w:rPr>
              <w:fldChar w:fldCharType="begin"/>
            </w:r>
            <w:r>
              <w:rPr>
                <w:noProof/>
                <w:webHidden/>
              </w:rPr>
              <w:instrText xml:space="preserve"> PAGEREF _Toc74643855 \h </w:instrText>
            </w:r>
            <w:r>
              <w:rPr>
                <w:noProof/>
                <w:webHidden/>
              </w:rPr>
            </w:r>
            <w:r>
              <w:rPr>
                <w:noProof/>
                <w:webHidden/>
              </w:rPr>
              <w:fldChar w:fldCharType="separate"/>
            </w:r>
            <w:r>
              <w:rPr>
                <w:noProof/>
                <w:webHidden/>
              </w:rPr>
              <w:t>9</w:t>
            </w:r>
            <w:r>
              <w:rPr>
                <w:noProof/>
                <w:webHidden/>
              </w:rPr>
              <w:fldChar w:fldCharType="end"/>
            </w:r>
          </w:hyperlink>
        </w:p>
        <w:p w14:paraId="0F1753E3" w14:textId="216D5D37" w:rsidR="00474646" w:rsidRDefault="00474646">
          <w:pPr>
            <w:pStyle w:val="Obsah1"/>
            <w:rPr>
              <w:rFonts w:asciiTheme="minorHAnsi" w:eastAsiaTheme="minorEastAsia" w:hAnsiTheme="minorHAnsi" w:cstheme="minorBidi"/>
              <w:noProof/>
              <w:sz w:val="22"/>
              <w:szCs w:val="22"/>
            </w:rPr>
          </w:pPr>
          <w:hyperlink w:anchor="_Toc74643856" w:history="1">
            <w:r w:rsidRPr="006D3A46">
              <w:rPr>
                <w:rStyle w:val="Hypertextovodkaz"/>
                <w:noProof/>
              </w:rPr>
              <w:t>4. Vnější vztahy</w:t>
            </w:r>
            <w:r>
              <w:rPr>
                <w:noProof/>
                <w:webHidden/>
              </w:rPr>
              <w:tab/>
            </w:r>
            <w:r>
              <w:rPr>
                <w:noProof/>
                <w:webHidden/>
              </w:rPr>
              <w:fldChar w:fldCharType="begin"/>
            </w:r>
            <w:r>
              <w:rPr>
                <w:noProof/>
                <w:webHidden/>
              </w:rPr>
              <w:instrText xml:space="preserve"> PAGEREF _Toc74643856 \h </w:instrText>
            </w:r>
            <w:r>
              <w:rPr>
                <w:noProof/>
                <w:webHidden/>
              </w:rPr>
            </w:r>
            <w:r>
              <w:rPr>
                <w:noProof/>
                <w:webHidden/>
              </w:rPr>
              <w:fldChar w:fldCharType="separate"/>
            </w:r>
            <w:r>
              <w:rPr>
                <w:noProof/>
                <w:webHidden/>
              </w:rPr>
              <w:t>16</w:t>
            </w:r>
            <w:r>
              <w:rPr>
                <w:noProof/>
                <w:webHidden/>
              </w:rPr>
              <w:fldChar w:fldCharType="end"/>
            </w:r>
          </w:hyperlink>
        </w:p>
        <w:p w14:paraId="0CF9E790" w14:textId="5308749E" w:rsidR="00474646" w:rsidRDefault="00474646">
          <w:pPr>
            <w:pStyle w:val="Obsah1"/>
            <w:rPr>
              <w:rFonts w:asciiTheme="minorHAnsi" w:eastAsiaTheme="minorEastAsia" w:hAnsiTheme="minorHAnsi" w:cstheme="minorBidi"/>
              <w:noProof/>
              <w:sz w:val="22"/>
              <w:szCs w:val="22"/>
            </w:rPr>
          </w:pPr>
          <w:hyperlink w:anchor="_Toc74643857" w:history="1">
            <w:r w:rsidRPr="006D3A46">
              <w:rPr>
                <w:rStyle w:val="Hypertextovodkaz"/>
                <w:noProof/>
              </w:rPr>
              <w:t>5. Ceny</w:t>
            </w:r>
            <w:r>
              <w:rPr>
                <w:noProof/>
                <w:webHidden/>
              </w:rPr>
              <w:tab/>
            </w:r>
            <w:r>
              <w:rPr>
                <w:noProof/>
                <w:webHidden/>
              </w:rPr>
              <w:fldChar w:fldCharType="begin"/>
            </w:r>
            <w:r>
              <w:rPr>
                <w:noProof/>
                <w:webHidden/>
              </w:rPr>
              <w:instrText xml:space="preserve"> PAGEREF _Toc74643857 \h </w:instrText>
            </w:r>
            <w:r>
              <w:rPr>
                <w:noProof/>
                <w:webHidden/>
              </w:rPr>
            </w:r>
            <w:r>
              <w:rPr>
                <w:noProof/>
                <w:webHidden/>
              </w:rPr>
              <w:fldChar w:fldCharType="separate"/>
            </w:r>
            <w:r>
              <w:rPr>
                <w:noProof/>
                <w:webHidden/>
              </w:rPr>
              <w:t>18</w:t>
            </w:r>
            <w:r>
              <w:rPr>
                <w:noProof/>
                <w:webHidden/>
              </w:rPr>
              <w:fldChar w:fldCharType="end"/>
            </w:r>
          </w:hyperlink>
        </w:p>
        <w:p w14:paraId="6A352659" w14:textId="32A87EDB" w:rsidR="00474646" w:rsidRDefault="00474646">
          <w:pPr>
            <w:pStyle w:val="Obsah1"/>
            <w:rPr>
              <w:rFonts w:asciiTheme="minorHAnsi" w:eastAsiaTheme="minorEastAsia" w:hAnsiTheme="minorHAnsi" w:cstheme="minorBidi"/>
              <w:noProof/>
              <w:sz w:val="22"/>
              <w:szCs w:val="22"/>
            </w:rPr>
          </w:pPr>
          <w:hyperlink w:anchor="_Toc74643858" w:history="1">
            <w:r w:rsidRPr="006D3A46">
              <w:rPr>
                <w:rStyle w:val="Hypertextovodkaz"/>
                <w:noProof/>
              </w:rPr>
              <w:t>6. Trh práce</w:t>
            </w:r>
            <w:r>
              <w:rPr>
                <w:noProof/>
                <w:webHidden/>
              </w:rPr>
              <w:tab/>
            </w:r>
            <w:r>
              <w:rPr>
                <w:noProof/>
                <w:webHidden/>
              </w:rPr>
              <w:fldChar w:fldCharType="begin"/>
            </w:r>
            <w:r>
              <w:rPr>
                <w:noProof/>
                <w:webHidden/>
              </w:rPr>
              <w:instrText xml:space="preserve"> PAGEREF _Toc74643858 \h </w:instrText>
            </w:r>
            <w:r>
              <w:rPr>
                <w:noProof/>
                <w:webHidden/>
              </w:rPr>
            </w:r>
            <w:r>
              <w:rPr>
                <w:noProof/>
                <w:webHidden/>
              </w:rPr>
              <w:fldChar w:fldCharType="separate"/>
            </w:r>
            <w:r>
              <w:rPr>
                <w:noProof/>
                <w:webHidden/>
              </w:rPr>
              <w:t>23</w:t>
            </w:r>
            <w:r>
              <w:rPr>
                <w:noProof/>
                <w:webHidden/>
              </w:rPr>
              <w:fldChar w:fldCharType="end"/>
            </w:r>
          </w:hyperlink>
        </w:p>
        <w:p w14:paraId="140D1687" w14:textId="566F1D9C" w:rsidR="00474646" w:rsidRDefault="00474646">
          <w:pPr>
            <w:pStyle w:val="Obsah1"/>
            <w:rPr>
              <w:rFonts w:asciiTheme="minorHAnsi" w:eastAsiaTheme="minorEastAsia" w:hAnsiTheme="minorHAnsi" w:cstheme="minorBidi"/>
              <w:noProof/>
              <w:sz w:val="22"/>
              <w:szCs w:val="22"/>
            </w:rPr>
          </w:pPr>
          <w:hyperlink w:anchor="_Toc74643859" w:history="1">
            <w:r w:rsidRPr="006D3A46">
              <w:rPr>
                <w:rStyle w:val="Hypertextovodkaz"/>
                <w:noProof/>
              </w:rPr>
              <w:t>7. Měnové podmínky</w:t>
            </w:r>
            <w:r>
              <w:rPr>
                <w:noProof/>
                <w:webHidden/>
              </w:rPr>
              <w:tab/>
            </w:r>
            <w:r>
              <w:rPr>
                <w:noProof/>
                <w:webHidden/>
              </w:rPr>
              <w:fldChar w:fldCharType="begin"/>
            </w:r>
            <w:r>
              <w:rPr>
                <w:noProof/>
                <w:webHidden/>
              </w:rPr>
              <w:instrText xml:space="preserve"> PAGEREF _Toc74643859 \h </w:instrText>
            </w:r>
            <w:r>
              <w:rPr>
                <w:noProof/>
                <w:webHidden/>
              </w:rPr>
            </w:r>
            <w:r>
              <w:rPr>
                <w:noProof/>
                <w:webHidden/>
              </w:rPr>
              <w:fldChar w:fldCharType="separate"/>
            </w:r>
            <w:r>
              <w:rPr>
                <w:noProof/>
                <w:webHidden/>
              </w:rPr>
              <w:t>28</w:t>
            </w:r>
            <w:r>
              <w:rPr>
                <w:noProof/>
                <w:webHidden/>
              </w:rPr>
              <w:fldChar w:fldCharType="end"/>
            </w:r>
          </w:hyperlink>
        </w:p>
        <w:p w14:paraId="5525E5A0" w14:textId="21829A91" w:rsidR="00474646" w:rsidRDefault="00474646">
          <w:pPr>
            <w:pStyle w:val="Obsah1"/>
            <w:rPr>
              <w:rFonts w:asciiTheme="minorHAnsi" w:eastAsiaTheme="minorEastAsia" w:hAnsiTheme="minorHAnsi" w:cstheme="minorBidi"/>
              <w:noProof/>
              <w:sz w:val="22"/>
              <w:szCs w:val="22"/>
            </w:rPr>
          </w:pPr>
          <w:hyperlink w:anchor="_Toc74643860" w:history="1">
            <w:r w:rsidRPr="006D3A46">
              <w:rPr>
                <w:rStyle w:val="Hypertextovodkaz"/>
                <w:noProof/>
              </w:rPr>
              <w:t>8. Státní rozpočet</w:t>
            </w:r>
            <w:r>
              <w:rPr>
                <w:noProof/>
                <w:webHidden/>
              </w:rPr>
              <w:tab/>
            </w:r>
            <w:r>
              <w:rPr>
                <w:noProof/>
                <w:webHidden/>
              </w:rPr>
              <w:fldChar w:fldCharType="begin"/>
            </w:r>
            <w:r>
              <w:rPr>
                <w:noProof/>
                <w:webHidden/>
              </w:rPr>
              <w:instrText xml:space="preserve"> PAGEREF _Toc74643860 \h </w:instrText>
            </w:r>
            <w:r>
              <w:rPr>
                <w:noProof/>
                <w:webHidden/>
              </w:rPr>
            </w:r>
            <w:r>
              <w:rPr>
                <w:noProof/>
                <w:webHidden/>
              </w:rPr>
              <w:fldChar w:fldCharType="separate"/>
            </w:r>
            <w:r>
              <w:rPr>
                <w:noProof/>
                <w:webHidden/>
              </w:rPr>
              <w:t>30</w:t>
            </w:r>
            <w:r>
              <w:rPr>
                <w:noProof/>
                <w:webHidden/>
              </w:rPr>
              <w:fldChar w:fldCharType="end"/>
            </w:r>
          </w:hyperlink>
        </w:p>
        <w:p w14:paraId="75243E96" w14:textId="490BCFBE" w:rsidR="00867DAB" w:rsidRPr="009110F7" w:rsidRDefault="007D42E5">
          <w:r w:rsidRPr="009110F7">
            <w:fldChar w:fldCharType="end"/>
          </w:r>
        </w:p>
      </w:sdtContent>
    </w:sdt>
    <w:p w14:paraId="0A820079" w14:textId="77777777" w:rsidR="00003F5C" w:rsidRPr="009110F7" w:rsidRDefault="00003F5C" w:rsidP="00003F5C">
      <w:pPr>
        <w:pStyle w:val="Textpoznpodarou"/>
        <w:jc w:val="both"/>
        <w:rPr>
          <w:rFonts w:cs="Arial"/>
          <w:color w:val="000000"/>
        </w:rPr>
      </w:pPr>
    </w:p>
    <w:p w14:paraId="3858DEBA" w14:textId="77777777" w:rsidR="00003F5C" w:rsidRPr="009110F7" w:rsidRDefault="00003F5C" w:rsidP="00003F5C">
      <w:pPr>
        <w:pStyle w:val="Textpoznpodarou"/>
        <w:jc w:val="both"/>
        <w:rPr>
          <w:rFonts w:cs="Arial"/>
          <w:color w:val="000000"/>
        </w:rPr>
      </w:pPr>
    </w:p>
    <w:p w14:paraId="446544F6" w14:textId="77777777" w:rsidR="00003F5C" w:rsidRPr="009110F7" w:rsidRDefault="00003F5C" w:rsidP="00003F5C">
      <w:pPr>
        <w:pStyle w:val="Textpoznpodarou"/>
        <w:jc w:val="both"/>
        <w:rPr>
          <w:rFonts w:cs="Arial"/>
          <w:color w:val="000000"/>
        </w:rPr>
      </w:pPr>
    </w:p>
    <w:p w14:paraId="7C135E77" w14:textId="77777777" w:rsidR="00003F5C" w:rsidRPr="009110F7" w:rsidRDefault="00003F5C" w:rsidP="00003F5C">
      <w:pPr>
        <w:pStyle w:val="Textpoznpodarou"/>
        <w:jc w:val="both"/>
        <w:rPr>
          <w:rFonts w:cs="Arial"/>
          <w:color w:val="000000"/>
        </w:rPr>
      </w:pPr>
    </w:p>
    <w:p w14:paraId="0E1BF7EA" w14:textId="77777777" w:rsidR="00003F5C" w:rsidRPr="009110F7" w:rsidRDefault="00003F5C" w:rsidP="00003F5C">
      <w:pPr>
        <w:pStyle w:val="Textpoznpodarou"/>
        <w:jc w:val="both"/>
        <w:rPr>
          <w:rFonts w:cs="Arial"/>
          <w:color w:val="000000"/>
        </w:rPr>
      </w:pPr>
    </w:p>
    <w:p w14:paraId="62028913" w14:textId="77777777" w:rsidR="00003F5C" w:rsidRPr="009110F7" w:rsidRDefault="00003F5C" w:rsidP="00003F5C">
      <w:pPr>
        <w:pStyle w:val="Textpoznpodarou"/>
        <w:jc w:val="both"/>
        <w:rPr>
          <w:rFonts w:cs="Arial"/>
          <w:color w:val="000000"/>
        </w:rPr>
      </w:pPr>
    </w:p>
    <w:p w14:paraId="1651792B" w14:textId="77777777" w:rsidR="00003F5C" w:rsidRPr="009110F7" w:rsidRDefault="00003F5C" w:rsidP="00003F5C">
      <w:pPr>
        <w:pStyle w:val="Textpoznpodarou"/>
        <w:jc w:val="both"/>
        <w:rPr>
          <w:rFonts w:cs="Arial"/>
          <w:color w:val="000000"/>
        </w:rPr>
      </w:pPr>
      <w:r w:rsidRPr="009110F7">
        <w:rPr>
          <w:rFonts w:cs="Arial"/>
          <w:color w:val="000000"/>
        </w:rPr>
        <w:t>Zdroje dat v celé analýze: ČSÚ, MF</w:t>
      </w:r>
      <w:r w:rsidR="00A45489" w:rsidRPr="009110F7">
        <w:rPr>
          <w:rFonts w:cs="Arial"/>
          <w:color w:val="000000"/>
        </w:rPr>
        <w:t> </w:t>
      </w:r>
      <w:r w:rsidRPr="009110F7">
        <w:rPr>
          <w:rFonts w:cs="Arial"/>
          <w:color w:val="000000"/>
        </w:rPr>
        <w:t xml:space="preserve">ČR, ČNB, MPSV, ČSSZ, </w:t>
      </w:r>
      <w:proofErr w:type="spellStart"/>
      <w:r w:rsidRPr="009110F7">
        <w:rPr>
          <w:rFonts w:cs="Arial"/>
          <w:color w:val="000000"/>
        </w:rPr>
        <w:t>Eurostat</w:t>
      </w:r>
      <w:proofErr w:type="spellEnd"/>
      <w:r w:rsidRPr="009110F7">
        <w:rPr>
          <w:rFonts w:cs="Arial"/>
          <w:color w:val="000000"/>
        </w:rPr>
        <w:t>, propočty ČSÚ.</w:t>
      </w:r>
    </w:p>
    <w:p w14:paraId="4EA2233D" w14:textId="6C259C43" w:rsidR="00003F5C" w:rsidRDefault="00003F5C" w:rsidP="00003F5C">
      <w:pPr>
        <w:pStyle w:val="Textpoznpodarou"/>
        <w:jc w:val="both"/>
        <w:rPr>
          <w:rFonts w:cs="Arial"/>
          <w:color w:val="000000"/>
        </w:rPr>
      </w:pPr>
      <w:r w:rsidRPr="009110F7">
        <w:rPr>
          <w:rFonts w:cs="Arial"/>
          <w:color w:val="000000"/>
        </w:rPr>
        <w:t xml:space="preserve">Poslední informace uváděné v této publikaci </w:t>
      </w:r>
      <w:r w:rsidR="00FA6CB6" w:rsidRPr="009110F7">
        <w:rPr>
          <w:rFonts w:cs="Arial"/>
          <w:color w:val="000000"/>
        </w:rPr>
        <w:t xml:space="preserve">pocházejí </w:t>
      </w:r>
      <w:r w:rsidR="00283F7B" w:rsidRPr="009110F7">
        <w:rPr>
          <w:rFonts w:cs="Arial"/>
          <w:color w:val="000000"/>
        </w:rPr>
        <w:t>z</w:t>
      </w:r>
      <w:r w:rsidR="00283F7B">
        <w:rPr>
          <w:rFonts w:cs="Arial"/>
          <w:color w:val="000000"/>
        </w:rPr>
        <w:t> </w:t>
      </w:r>
      <w:r w:rsidR="00EA0E39">
        <w:rPr>
          <w:rFonts w:cs="Arial"/>
          <w:color w:val="000000"/>
        </w:rPr>
        <w:t>1</w:t>
      </w:r>
      <w:r w:rsidR="00DF57D6">
        <w:rPr>
          <w:rFonts w:cs="Arial"/>
          <w:color w:val="000000"/>
        </w:rPr>
        <w:t>4</w:t>
      </w:r>
      <w:r w:rsidR="00971710">
        <w:rPr>
          <w:rFonts w:cs="Arial"/>
          <w:color w:val="000000"/>
        </w:rPr>
        <w:t>.</w:t>
      </w:r>
      <w:r w:rsidR="003A7373">
        <w:rPr>
          <w:rFonts w:cs="Arial"/>
          <w:color w:val="000000"/>
        </w:rPr>
        <w:t> </w:t>
      </w:r>
      <w:r w:rsidR="00DF57D6">
        <w:rPr>
          <w:rFonts w:cs="Arial"/>
          <w:color w:val="000000"/>
        </w:rPr>
        <w:t>června</w:t>
      </w:r>
      <w:r w:rsidRPr="009110F7">
        <w:rPr>
          <w:rFonts w:cs="Arial"/>
          <w:color w:val="000000"/>
        </w:rPr>
        <w:t xml:space="preserve"> </w:t>
      </w:r>
      <w:r w:rsidR="00F37EDC">
        <w:rPr>
          <w:rFonts w:cs="Arial"/>
          <w:color w:val="000000"/>
        </w:rPr>
        <w:t>20</w:t>
      </w:r>
      <w:r w:rsidR="005C216C">
        <w:rPr>
          <w:rFonts w:cs="Arial"/>
          <w:color w:val="000000"/>
        </w:rPr>
        <w:t>2</w:t>
      </w:r>
      <w:r w:rsidR="00EA0E39">
        <w:rPr>
          <w:rFonts w:cs="Arial"/>
          <w:color w:val="000000"/>
        </w:rPr>
        <w:t>1</w:t>
      </w:r>
      <w:r w:rsidRPr="009110F7">
        <w:rPr>
          <w:rFonts w:cs="Arial"/>
          <w:color w:val="000000"/>
        </w:rPr>
        <w:t>.</w:t>
      </w:r>
    </w:p>
    <w:p w14:paraId="56EC82D9" w14:textId="0A5866B3" w:rsidR="002F1D56" w:rsidRDefault="002F1D56" w:rsidP="00003F5C">
      <w:pPr>
        <w:pStyle w:val="Textpoznpodarou"/>
        <w:jc w:val="both"/>
        <w:rPr>
          <w:rFonts w:cs="Arial"/>
          <w:color w:val="000000"/>
        </w:rPr>
      </w:pPr>
    </w:p>
    <w:p w14:paraId="7C689972" w14:textId="443C9781" w:rsidR="002F1D56" w:rsidRPr="002F1D56" w:rsidRDefault="002F1D56" w:rsidP="00003F5C">
      <w:pPr>
        <w:pStyle w:val="Textpoznpodarou"/>
        <w:jc w:val="both"/>
        <w:rPr>
          <w:rFonts w:cs="Arial"/>
        </w:rPr>
      </w:pPr>
    </w:p>
    <w:p w14:paraId="39260F22" w14:textId="77777777" w:rsidR="006C3495" w:rsidRPr="00584252" w:rsidRDefault="00087F2B" w:rsidP="006C3495">
      <w:pPr>
        <w:pStyle w:val="Nadpis1"/>
      </w:pPr>
      <w:bookmarkStart w:id="0" w:name="_GoBack"/>
      <w:bookmarkEnd w:id="0"/>
      <w:r w:rsidRPr="002F1D56">
        <w:rPr>
          <w:color w:val="auto"/>
        </w:rPr>
        <w:br w:type="page"/>
      </w:r>
      <w:bookmarkStart w:id="1" w:name="_Toc444112494"/>
      <w:bookmarkStart w:id="2" w:name="_Toc511215208"/>
      <w:bookmarkStart w:id="3" w:name="_Toc26865017"/>
      <w:bookmarkStart w:id="4" w:name="_Toc66719928"/>
      <w:bookmarkStart w:id="5" w:name="_Toc19090676"/>
      <w:bookmarkStart w:id="6" w:name="_Toc58605372"/>
      <w:bookmarkStart w:id="7" w:name="_Toc74643853"/>
      <w:r w:rsidR="006C3495" w:rsidRPr="00584252">
        <w:lastRenderedPageBreak/>
        <w:t>1. Shrnutí</w:t>
      </w:r>
      <w:bookmarkEnd w:id="7"/>
    </w:p>
    <w:bookmarkEnd w:id="1"/>
    <w:bookmarkEnd w:id="2"/>
    <w:p w14:paraId="041F5B4E" w14:textId="77777777" w:rsidR="006C3495" w:rsidRDefault="006C3495" w:rsidP="006C3495">
      <w:pPr>
        <w:pStyle w:val="Normalodrka"/>
        <w:spacing w:after="100"/>
        <w:rPr>
          <w:spacing w:val="-4"/>
        </w:rPr>
      </w:pPr>
      <w:r>
        <w:rPr>
          <w:spacing w:val="-4"/>
        </w:rPr>
        <w:t>V 1. čtvrtletí 2021 byl hrubý domácí produkt (HDP) meziročně nižší o 2,1 %</w:t>
      </w:r>
      <w:r w:rsidRPr="00123204">
        <w:rPr>
          <w:rStyle w:val="Znakapoznpodarou"/>
          <w:spacing w:val="-4"/>
          <w:szCs w:val="20"/>
        </w:rPr>
        <w:footnoteReference w:id="1"/>
      </w:r>
      <w:r>
        <w:rPr>
          <w:spacing w:val="-4"/>
        </w:rPr>
        <w:t xml:space="preserve">. Pokles nejvíce ovlivnila spotřeba domácností, která pod vlivem omezení maloobchodu i služeb nadále zaostávala za úrovní loňského roku. Meziročně nižší byla také investiční aktivita. Naopak bilance zahraničního obchodu k růstu HDP mírně přispěla. Zmírnění meziročního poklesu lze přičíst nízké základně loňského roku – 1. čtvrtletí 2020 již bylo zasaženo krizí. Ve srovnání se 4. čtvrtletím 2020 klesl HDP o 0,3 %. Opět se snižovala domácí spotřeba, k propadu HDP ale tentokrát přispívala i zahraniční poptávka. V rámci EU také došlo k mezičtvrtletnímu poklesu </w:t>
      </w:r>
      <w:proofErr w:type="gramStart"/>
      <w:r>
        <w:rPr>
          <w:spacing w:val="-4"/>
        </w:rPr>
        <w:t>HDP (–0,1</w:t>
      </w:r>
      <w:proofErr w:type="gramEnd"/>
      <w:r>
        <w:rPr>
          <w:spacing w:val="-4"/>
        </w:rPr>
        <w:t> %). Podobně jako v ČR se meziroční propad HDP v EU zmírnil na 1,2 %. Část zemí Unie vykázala meziroční růst.</w:t>
      </w:r>
    </w:p>
    <w:p w14:paraId="41FE6B8B" w14:textId="77777777" w:rsidR="006C3495" w:rsidRPr="00303BB4" w:rsidRDefault="006C3495" w:rsidP="006C3495">
      <w:pPr>
        <w:pStyle w:val="Normalodrka"/>
        <w:spacing w:after="100"/>
        <w:rPr>
          <w:spacing w:val="-4"/>
        </w:rPr>
      </w:pPr>
      <w:r>
        <w:rPr>
          <w:spacing w:val="-4"/>
        </w:rPr>
        <w:t xml:space="preserve">Hrubá přidaná hodnota (HPH) v 1. čtvrtletí meziročně klesla o 2,1 %. Klesala zejména odvětví služeb, nejvíce ostatní </w:t>
      </w:r>
      <w:proofErr w:type="gramStart"/>
      <w:r>
        <w:rPr>
          <w:spacing w:val="-4"/>
        </w:rPr>
        <w:t>činnosti (–23,0</w:t>
      </w:r>
      <w:proofErr w:type="gramEnd"/>
      <w:r>
        <w:rPr>
          <w:spacing w:val="-4"/>
        </w:rPr>
        <w:t xml:space="preserve"> %, uskupení zahrnuje </w:t>
      </w:r>
      <w:r>
        <w:t>služby osobní péče i kulturní, zábavní a rekreační služby</w:t>
      </w:r>
      <w:r>
        <w:rPr>
          <w:spacing w:val="-4"/>
        </w:rPr>
        <w:t xml:space="preserve">) a obchod, doprava, ubytování a pohostinství (–12,2 %). </w:t>
      </w:r>
      <w:r>
        <w:t xml:space="preserve">Propad přetrvával u profesních, vědeckých, technických a administrativních </w:t>
      </w:r>
      <w:proofErr w:type="gramStart"/>
      <w:r>
        <w:t>činností (–9,0</w:t>
      </w:r>
      <w:proofErr w:type="gramEnd"/>
      <w:r>
        <w:t> %), jejichž prosperita je těsně navázána na činnost v průmyslu, stavebnictví a v dalších oblastech ekonomiky. Naopak meziroční přírůstek vykázala HPH zpracovatelského průmyslu (3,0 %). Dařilo se také peněžnictví a pojišťovnictví (6,1 %), veřejné správě a obraně, vzdělávání, zdravotní a sociální péči (2,5 %) a informačním a komunikačním činnostem (1,9 %). Mezičtvrtletně se HPH zvýšila o 0,1 %.</w:t>
      </w:r>
    </w:p>
    <w:p w14:paraId="587093C7" w14:textId="77777777" w:rsidR="006C3495" w:rsidRPr="00016BDB" w:rsidRDefault="006C3495" w:rsidP="006C3495">
      <w:pPr>
        <w:pStyle w:val="Normalodrka"/>
        <w:spacing w:after="100"/>
        <w:rPr>
          <w:spacing w:val="-4"/>
        </w:rPr>
      </w:pPr>
      <w:r>
        <w:t>Vývoz zboží a služeb v 1. čtvrtletí reálně meziročně vzrostl o 4,3 %</w:t>
      </w:r>
      <w:r w:rsidRPr="005848DD">
        <w:rPr>
          <w:rStyle w:val="Znakapoznpodarou"/>
        </w:rPr>
        <w:footnoteReference w:id="2"/>
      </w:r>
      <w:r>
        <w:t xml:space="preserve">, z toho export zboží o 7,9 %. Ve srovnání se 4. čtvrtletím 2020 ale vývoz klesl o 2,2 %, protože vývozci nedokázali udržet krok s rekordním tempem konce loňského roku. Bilance zahraničního obchodu dosáhla 93,2 mld. korun. To znamenalo mezičtvrtletní zhoršení. V meziročním srovnání už bilance nepůsobila tak silně </w:t>
      </w:r>
      <w:proofErr w:type="spellStart"/>
      <w:r>
        <w:t>prorůstově</w:t>
      </w:r>
      <w:proofErr w:type="spellEnd"/>
      <w:r>
        <w:t xml:space="preserve"> jako v předchozím kvartálu. Nejvíce ke zlepšení bilance přispíval obchod s motorovými vozidly.</w:t>
      </w:r>
    </w:p>
    <w:p w14:paraId="71E222CA" w14:textId="77777777" w:rsidR="006C3495" w:rsidRDefault="006C3495" w:rsidP="006C3495">
      <w:pPr>
        <w:pStyle w:val="Normalodrka"/>
        <w:spacing w:after="100"/>
        <w:rPr>
          <w:spacing w:val="-4"/>
        </w:rPr>
      </w:pPr>
      <w:r>
        <w:rPr>
          <w:spacing w:val="-4"/>
        </w:rPr>
        <w:t>Podle deflátoru HDP v 1. čtvrtletí cenová hladina vzrostla o 3,5 %, což je nejméně od konce roku 2018. Zmírnil růst cen spotřebních i kapitálových statků. Spotřebitelské ceny se meziročně zvýšily o 2,2 %. Nejvíce k tomu přispěly ceny alkoholu a tabáku a dále doprava. V průběhu čtvrtletí posiloval meziroční nárůst cen ropy, což ovlivnilo spotřebitelské ceny prostřednictvím cen pohonných hmot, ale také další indexy v domácí ekonomice i v zemích EU. Ceny průmyslových výrobců tak byly meziročně vyšší o 1,5 % a ceny dovozu vzrostly o 1,4 %, poprvé od 2. čtvrtletí 2019. Naopak růst cen tržních služeb pod vlivem celkového propadu ekonomiky zpomaloval.</w:t>
      </w:r>
    </w:p>
    <w:p w14:paraId="0B5D95FF" w14:textId="77777777" w:rsidR="006C3495" w:rsidRDefault="006C3495" w:rsidP="006C3495">
      <w:pPr>
        <w:pStyle w:val="Normalodrka"/>
        <w:spacing w:after="100"/>
        <w:rPr>
          <w:spacing w:val="-4"/>
        </w:rPr>
      </w:pPr>
      <w:r>
        <w:rPr>
          <w:spacing w:val="-4"/>
        </w:rPr>
        <w:t xml:space="preserve">V průběhu 1. čtvrtletí nedošlo ke změně </w:t>
      </w:r>
      <w:proofErr w:type="spellStart"/>
      <w:r>
        <w:rPr>
          <w:spacing w:val="-4"/>
        </w:rPr>
        <w:t>měnověpolitických</w:t>
      </w:r>
      <w:proofErr w:type="spellEnd"/>
      <w:r>
        <w:rPr>
          <w:spacing w:val="-4"/>
        </w:rPr>
        <w:t xml:space="preserve"> sazeb, zvyšovaly se ale výnosy na vládních dluhopisech. I v 1. čtvrtletí snížená spotřeba domácností ovlivňovala propad dynamiky úvěrů na spotřebu. Naopak objem poskytnutých úvěrů na bydlení prudce rostl.</w:t>
      </w:r>
    </w:p>
    <w:p w14:paraId="20501FCC" w14:textId="77777777" w:rsidR="006C3495" w:rsidRDefault="006C3495" w:rsidP="006C3495">
      <w:pPr>
        <w:pStyle w:val="Normalodrka"/>
        <w:spacing w:after="100"/>
        <w:rPr>
          <w:spacing w:val="-4"/>
        </w:rPr>
      </w:pPr>
      <w:r>
        <w:rPr>
          <w:spacing w:val="-4"/>
        </w:rPr>
        <w:t>Celková zaměstnanost v 1. čtvrtletí meziročně klesla o 1,6 %</w:t>
      </w:r>
      <w:r w:rsidRPr="00183BCF">
        <w:rPr>
          <w:rStyle w:val="Znakapoznpodarou"/>
          <w:spacing w:val="-4"/>
        </w:rPr>
        <w:footnoteReference w:id="3"/>
      </w:r>
      <w:r>
        <w:rPr>
          <w:spacing w:val="-4"/>
        </w:rPr>
        <w:t>, což odpovídá 88 tisícům osob. Oproti 4. čtvrtletí 2020 se ale zaměstnanost zvýšila o 0,3 %. Hlavní tíhu meziročního poklesu nesly služby, především obchod, doprava, ubytování a pohostinství, kde počet pracovníků klesl o více než 5 %. V průmyslu byla zaměstnanost nižší o 2 %, mezičtvrtletně ale rostla. Zaměstnanost rostla v informačních a komunikačních službách a také ve vzdělávání. Obecná míra nezaměstnanosti dosáhla v dubnu 3,4 %, což je nejvíce za poslední čtyři roky. Narůstala především nezaměstnanost žen a mladých, což souvisí i s propadem služeb. Průměrná mzda se mezičtvrtletně zvýšila o 0,6 % a dosáhla 35 285 korun.</w:t>
      </w:r>
    </w:p>
    <w:p w14:paraId="3CE08583" w14:textId="77777777" w:rsidR="006C3495" w:rsidRPr="00D95889" w:rsidRDefault="006C3495" w:rsidP="006C3495">
      <w:pPr>
        <w:pStyle w:val="Normalodrka"/>
        <w:spacing w:after="100"/>
        <w:rPr>
          <w:spacing w:val="-4"/>
        </w:rPr>
      </w:pPr>
      <w:r>
        <w:rPr>
          <w:spacing w:val="-4"/>
        </w:rPr>
        <w:t xml:space="preserve">Hospodaření státního rozpočtu v 1. čtvrtletí skončilo v deficitu 125,2 mld. korun, což je meziročně o více než 80 mld. horší výsledek. Na prohloubení deficitu se projevil dopad </w:t>
      </w:r>
      <w:proofErr w:type="spellStart"/>
      <w:r>
        <w:rPr>
          <w:spacing w:val="-4"/>
        </w:rPr>
        <w:t>protipandemických</w:t>
      </w:r>
      <w:proofErr w:type="spellEnd"/>
      <w:r>
        <w:rPr>
          <w:spacing w:val="-4"/>
        </w:rPr>
        <w:t xml:space="preserve"> opatření, která omezují ekonomickou aktivitu, což spolu s úlevami </w:t>
      </w:r>
      <w:r w:rsidRPr="00EA32C7">
        <w:rPr>
          <w:spacing w:val="-4"/>
        </w:rPr>
        <w:t>podnikatelským subjektům</w:t>
      </w:r>
      <w:r>
        <w:rPr>
          <w:spacing w:val="-4"/>
        </w:rPr>
        <w:t xml:space="preserve"> a letošním snížením daňového zatížení (především zrušení </w:t>
      </w:r>
      <w:proofErr w:type="spellStart"/>
      <w:r>
        <w:rPr>
          <w:spacing w:val="-4"/>
        </w:rPr>
        <w:t>superhrubé</w:t>
      </w:r>
      <w:proofErr w:type="spellEnd"/>
      <w:r>
        <w:rPr>
          <w:spacing w:val="-4"/>
        </w:rPr>
        <w:t xml:space="preserve"> mzdy) vyústilo ve významný pokles daňového inkasa. Celkově rozpočtové příjmy klesly o desetinu. Zároveň vyvstala akutní potřeba posílení výdajových transferů na podporu zasažených odvětví i samotných pracovníků, ale také na kompenzaci zvýšených nároků zejména v oblasti zdravotní péče. To způsobilo nárůst výdajů o 10,2 %.</w:t>
      </w:r>
    </w:p>
    <w:p w14:paraId="469EA3F7" w14:textId="05AE3E38" w:rsidR="00DF57D6" w:rsidRPr="009110F7" w:rsidRDefault="00DF57D6" w:rsidP="006C3495">
      <w:pPr>
        <w:pStyle w:val="Nadpis1"/>
      </w:pPr>
      <w:bookmarkStart w:id="8" w:name="_Toc74643854"/>
      <w:bookmarkEnd w:id="3"/>
      <w:r w:rsidRPr="0077605B">
        <w:lastRenderedPageBreak/>
        <w:t>2</w:t>
      </w:r>
      <w:r>
        <w:t>. </w:t>
      </w:r>
      <w:r w:rsidRPr="0077605B">
        <w:t>Souhrnná výkonnost</w:t>
      </w:r>
      <w:bookmarkEnd w:id="4"/>
      <w:bookmarkEnd w:id="8"/>
    </w:p>
    <w:tbl>
      <w:tblPr>
        <w:tblW w:w="9639" w:type="dxa"/>
        <w:tblInd w:w="-20" w:type="dxa"/>
        <w:tblCellMar>
          <w:left w:w="0" w:type="dxa"/>
          <w:right w:w="0" w:type="dxa"/>
        </w:tblCellMar>
        <w:tblLook w:val="00A0" w:firstRow="1" w:lastRow="0" w:firstColumn="1" w:lastColumn="0" w:noHBand="0" w:noVBand="0"/>
      </w:tblPr>
      <w:tblGrid>
        <w:gridCol w:w="1806"/>
        <w:gridCol w:w="223"/>
        <w:gridCol w:w="7610"/>
      </w:tblGrid>
      <w:tr w:rsidR="00DF57D6" w:rsidRPr="009110F7" w14:paraId="09405072" w14:textId="77777777" w:rsidTr="00D67D55">
        <w:trPr>
          <w:trHeight w:val="145"/>
        </w:trPr>
        <w:tc>
          <w:tcPr>
            <w:tcW w:w="1806" w:type="dxa"/>
            <w:shd w:val="clear" w:color="auto" w:fill="auto"/>
            <w:tcMar>
              <w:left w:w="0" w:type="dxa"/>
            </w:tcMar>
          </w:tcPr>
          <w:p w14:paraId="4F0519BD" w14:textId="3C5B6F64" w:rsidR="00DF57D6" w:rsidRDefault="00DF57D6" w:rsidP="00D67D55">
            <w:pPr>
              <w:pStyle w:val="Marginlie"/>
            </w:pPr>
            <w:r>
              <w:t>V 1. čtvrtletí 2021 se zmírnil meziroční propad HDP, mezičtvrtletně ale česká ekonomika klesala.</w:t>
            </w:r>
          </w:p>
        </w:tc>
        <w:tc>
          <w:tcPr>
            <w:tcW w:w="223" w:type="dxa"/>
            <w:shd w:val="clear" w:color="auto" w:fill="auto"/>
            <w:tcMar>
              <w:left w:w="0" w:type="dxa"/>
            </w:tcMar>
          </w:tcPr>
          <w:p w14:paraId="11B94DCA" w14:textId="77777777" w:rsidR="00DF57D6" w:rsidRDefault="00DF57D6" w:rsidP="00D67D55">
            <w:pPr>
              <w:pStyle w:val="Textpoznpodarou"/>
              <w:jc w:val="both"/>
              <w:rPr>
                <w:spacing w:val="-4"/>
              </w:rPr>
            </w:pPr>
          </w:p>
        </w:tc>
        <w:tc>
          <w:tcPr>
            <w:tcW w:w="7610" w:type="dxa"/>
            <w:shd w:val="clear" w:color="auto" w:fill="auto"/>
            <w:tcMar>
              <w:left w:w="0" w:type="dxa"/>
            </w:tcMar>
          </w:tcPr>
          <w:p w14:paraId="0CEA07F7" w14:textId="77777777" w:rsidR="00DF57D6" w:rsidRPr="00014ED0" w:rsidRDefault="00DF57D6" w:rsidP="00D67D55">
            <w:pPr>
              <w:rPr>
                <w:spacing w:val="-2"/>
              </w:rPr>
            </w:pPr>
            <w:r>
              <w:rPr>
                <w:spacing w:val="-2"/>
              </w:rPr>
              <w:t>Hrubý domácí produkt (HDP) v 1. čtvrtletí 2021 zaostával za úrovní loňského 1. kvartálu o 2,1 %</w:t>
            </w:r>
            <w:r w:rsidRPr="00014ED0">
              <w:rPr>
                <w:rStyle w:val="Znakapoznpodarou"/>
                <w:rFonts w:cs="Arial"/>
                <w:spacing w:val="-2"/>
              </w:rPr>
              <w:footnoteReference w:id="4"/>
            </w:r>
            <w:r>
              <w:rPr>
                <w:spacing w:val="-2"/>
              </w:rPr>
              <w:t xml:space="preserve">. V průběhu celého 1. čtvrtletí dále platila poměrně přísná omezení provozu velké části obchodu a služeb, ke kterým se přidalo také omezení pohybu mezi okresy. K meziročnímu poklesu HDP tak nadále přispívala zejména domácí poptávka. Meziročně nižší byla spotřeba domácností a rovněž investice. Po mohutném závěru loňského roku ale oslabil i příznivý vliv bilance zahraničního obchodu. Zmírnění meziročního poklesu oproti předcházejícím třem čtvrtletím lze zčásti přičíst srovnání s prvním kvartálem 2020, který už zasáhla reakce na covid-19. Také ve srovnání se 4. čtvrtletím 2020 HDP </w:t>
            </w:r>
            <w:proofErr w:type="gramStart"/>
            <w:r>
              <w:rPr>
                <w:spacing w:val="-2"/>
              </w:rPr>
              <w:t>klesl</w:t>
            </w:r>
            <w:r>
              <w:rPr>
                <w:spacing w:val="-2"/>
              </w:rPr>
              <w:br/>
              <w:t>(–0,3</w:t>
            </w:r>
            <w:proofErr w:type="gramEnd"/>
            <w:r>
              <w:rPr>
                <w:spacing w:val="-2"/>
              </w:rPr>
              <w:t> %). Mezičtvrtletně klesla domácí spotřeba a negativně na vývoj HDP působila také bilance zahraničního obchodu. Mírné mezičtvrtletní oživení naopak vykázala investiční aktivita.</w:t>
            </w:r>
          </w:p>
        </w:tc>
      </w:tr>
      <w:tr w:rsidR="00DF57D6" w:rsidRPr="009110F7" w14:paraId="4CED8713" w14:textId="77777777" w:rsidTr="00D67D55">
        <w:trPr>
          <w:trHeight w:val="170"/>
        </w:trPr>
        <w:tc>
          <w:tcPr>
            <w:tcW w:w="1806" w:type="dxa"/>
            <w:vMerge w:val="restart"/>
            <w:shd w:val="clear" w:color="auto" w:fill="auto"/>
            <w:tcMar>
              <w:left w:w="0" w:type="dxa"/>
            </w:tcMar>
          </w:tcPr>
          <w:p w14:paraId="035AE45C" w14:textId="77777777" w:rsidR="00DF57D6" w:rsidRDefault="00DF57D6" w:rsidP="00D67D55">
            <w:pPr>
              <w:pStyle w:val="Marginlie"/>
            </w:pPr>
          </w:p>
        </w:tc>
        <w:tc>
          <w:tcPr>
            <w:tcW w:w="223" w:type="dxa"/>
            <w:vMerge w:val="restart"/>
            <w:shd w:val="clear" w:color="auto" w:fill="auto"/>
            <w:tcMar>
              <w:left w:w="0" w:type="dxa"/>
            </w:tcMar>
          </w:tcPr>
          <w:p w14:paraId="50F740B6" w14:textId="77777777" w:rsidR="00DF57D6" w:rsidRDefault="00DF57D6" w:rsidP="00D67D55">
            <w:pPr>
              <w:pStyle w:val="Textpoznpodarou"/>
              <w:jc w:val="both"/>
              <w:rPr>
                <w:spacing w:val="-4"/>
              </w:rPr>
            </w:pPr>
          </w:p>
        </w:tc>
        <w:tc>
          <w:tcPr>
            <w:tcW w:w="7610" w:type="dxa"/>
            <w:shd w:val="clear" w:color="auto" w:fill="auto"/>
            <w:tcMar>
              <w:left w:w="0" w:type="dxa"/>
            </w:tcMar>
          </w:tcPr>
          <w:p w14:paraId="387A7529" w14:textId="77777777" w:rsidR="00DF57D6" w:rsidRPr="00D721B4" w:rsidRDefault="00DF57D6" w:rsidP="00D67D55">
            <w:pPr>
              <w:spacing w:after="0"/>
              <w:rPr>
                <w:b/>
                <w:szCs w:val="20"/>
              </w:rPr>
            </w:pPr>
            <w:r w:rsidRPr="00D721B4">
              <w:rPr>
                <w:rFonts w:cs="Arial"/>
                <w:b/>
                <w:bCs/>
                <w:color w:val="000000"/>
                <w:szCs w:val="20"/>
              </w:rPr>
              <w:t>Graf č. 1</w:t>
            </w:r>
            <w:r>
              <w:rPr>
                <w:rFonts w:cs="Arial"/>
                <w:b/>
                <w:bCs/>
                <w:color w:val="000000"/>
                <w:szCs w:val="20"/>
              </w:rPr>
              <w:t xml:space="preserve"> </w:t>
            </w:r>
            <w:r w:rsidRPr="00D721B4">
              <w:rPr>
                <w:rFonts w:cs="Arial"/>
                <w:b/>
                <w:bCs/>
                <w:color w:val="000000"/>
                <w:szCs w:val="20"/>
              </w:rPr>
              <w:t xml:space="preserve"> </w:t>
            </w:r>
            <w:r w:rsidRPr="00D721B4">
              <w:rPr>
                <w:rFonts w:cs="Arial"/>
                <w:b/>
                <w:szCs w:val="20"/>
                <w:lang w:eastAsia="en-US"/>
              </w:rPr>
              <w:t xml:space="preserve">HDP </w:t>
            </w:r>
            <w:r w:rsidRPr="00D721B4">
              <w:rPr>
                <w:rFonts w:cs="Arial"/>
                <w:bCs/>
                <w:szCs w:val="20"/>
                <w:lang w:eastAsia="en-US"/>
              </w:rPr>
              <w:t>(objemové indexy, očištěno o sezónní a kalendářní vlivy, v %)</w:t>
            </w:r>
          </w:p>
        </w:tc>
      </w:tr>
      <w:tr w:rsidR="00DF57D6" w:rsidRPr="009110F7" w14:paraId="7BB0AD57" w14:textId="77777777" w:rsidTr="00D67D55">
        <w:tblPrEx>
          <w:tblCellMar>
            <w:left w:w="70" w:type="dxa"/>
            <w:right w:w="70" w:type="dxa"/>
          </w:tblCellMar>
        </w:tblPrEx>
        <w:trPr>
          <w:trHeight w:val="170"/>
        </w:trPr>
        <w:tc>
          <w:tcPr>
            <w:tcW w:w="1806" w:type="dxa"/>
            <w:vMerge/>
            <w:shd w:val="clear" w:color="auto" w:fill="auto"/>
          </w:tcPr>
          <w:p w14:paraId="4F63D44B" w14:textId="77777777" w:rsidR="00DF57D6" w:rsidRPr="009110F7" w:rsidRDefault="00DF57D6" w:rsidP="00D67D55">
            <w:pPr>
              <w:pStyle w:val="Marginlie"/>
            </w:pPr>
          </w:p>
        </w:tc>
        <w:tc>
          <w:tcPr>
            <w:tcW w:w="223" w:type="dxa"/>
            <w:vMerge/>
            <w:shd w:val="clear" w:color="auto" w:fill="auto"/>
          </w:tcPr>
          <w:p w14:paraId="43D42CC5" w14:textId="77777777" w:rsidR="00DF57D6" w:rsidRPr="009110F7" w:rsidRDefault="00DF57D6" w:rsidP="00D67D55">
            <w:pPr>
              <w:pStyle w:val="Textpoznpodarou"/>
              <w:jc w:val="both"/>
              <w:rPr>
                <w:spacing w:val="-4"/>
              </w:rPr>
            </w:pPr>
          </w:p>
        </w:tc>
        <w:tc>
          <w:tcPr>
            <w:tcW w:w="7610" w:type="dxa"/>
            <w:shd w:val="clear" w:color="auto" w:fill="auto"/>
          </w:tcPr>
          <w:p w14:paraId="3DC64E25" w14:textId="77777777" w:rsidR="00DF57D6" w:rsidRPr="009110F7" w:rsidRDefault="00DF57D6" w:rsidP="00D67D55">
            <w:pPr>
              <w:spacing w:after="0"/>
            </w:pPr>
            <w:r>
              <w:rPr>
                <w:noProof/>
              </w:rPr>
              <w:drawing>
                <wp:inline distT="0" distB="0" distL="0" distR="0" wp14:anchorId="38C97577" wp14:editId="23AC1552">
                  <wp:extent cx="4737600" cy="3553200"/>
                  <wp:effectExtent l="0" t="0" r="6350" b="0"/>
                  <wp:docPr id="15" name="Graf 1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DF57D6" w:rsidRPr="009110F7" w14:paraId="331AB1FF" w14:textId="77777777" w:rsidTr="00D67D55">
        <w:trPr>
          <w:trHeight w:val="170"/>
        </w:trPr>
        <w:tc>
          <w:tcPr>
            <w:tcW w:w="1806" w:type="dxa"/>
            <w:vMerge/>
            <w:shd w:val="clear" w:color="auto" w:fill="auto"/>
            <w:tcMar>
              <w:left w:w="0" w:type="dxa"/>
            </w:tcMar>
          </w:tcPr>
          <w:p w14:paraId="43F6E2E2" w14:textId="77777777" w:rsidR="00DF57D6" w:rsidRPr="009110F7" w:rsidRDefault="00DF57D6" w:rsidP="00D67D55">
            <w:pPr>
              <w:pStyle w:val="Marginlie"/>
            </w:pPr>
          </w:p>
        </w:tc>
        <w:tc>
          <w:tcPr>
            <w:tcW w:w="223" w:type="dxa"/>
            <w:vMerge/>
            <w:shd w:val="clear" w:color="auto" w:fill="auto"/>
            <w:tcMar>
              <w:left w:w="0" w:type="dxa"/>
            </w:tcMar>
          </w:tcPr>
          <w:p w14:paraId="716AD0BD" w14:textId="77777777" w:rsidR="00DF57D6" w:rsidRPr="009110F7" w:rsidRDefault="00DF57D6" w:rsidP="00D67D55">
            <w:pPr>
              <w:pStyle w:val="Textpoznpodarou"/>
              <w:jc w:val="both"/>
              <w:rPr>
                <w:spacing w:val="-4"/>
              </w:rPr>
            </w:pPr>
          </w:p>
        </w:tc>
        <w:tc>
          <w:tcPr>
            <w:tcW w:w="7610" w:type="dxa"/>
            <w:shd w:val="clear" w:color="auto" w:fill="auto"/>
            <w:tcMar>
              <w:left w:w="0" w:type="dxa"/>
            </w:tcMar>
          </w:tcPr>
          <w:p w14:paraId="29D6DE4B" w14:textId="77777777" w:rsidR="00DF57D6" w:rsidRPr="009110F7" w:rsidRDefault="00DF57D6" w:rsidP="00D67D55">
            <w:pPr>
              <w:spacing w:after="220"/>
              <w:rPr>
                <w:sz w:val="14"/>
                <w:szCs w:val="14"/>
              </w:rPr>
            </w:pPr>
            <w:r>
              <w:rPr>
                <w:sz w:val="14"/>
                <w:szCs w:val="14"/>
              </w:rPr>
              <w:t xml:space="preserve">Zdroj: ČSÚ, </w:t>
            </w:r>
            <w:proofErr w:type="spellStart"/>
            <w:r>
              <w:rPr>
                <w:sz w:val="14"/>
                <w:szCs w:val="14"/>
              </w:rPr>
              <w:t>Eurostat</w:t>
            </w:r>
            <w:proofErr w:type="spellEnd"/>
          </w:p>
        </w:tc>
      </w:tr>
      <w:tr w:rsidR="00DF57D6" w:rsidRPr="009110F7" w14:paraId="0400050D" w14:textId="77777777" w:rsidTr="00D67D55">
        <w:trPr>
          <w:trHeight w:val="145"/>
        </w:trPr>
        <w:tc>
          <w:tcPr>
            <w:tcW w:w="1806" w:type="dxa"/>
            <w:shd w:val="clear" w:color="auto" w:fill="auto"/>
            <w:tcMar>
              <w:left w:w="0" w:type="dxa"/>
            </w:tcMar>
          </w:tcPr>
          <w:p w14:paraId="222B59CE" w14:textId="77777777" w:rsidR="00DF57D6" w:rsidRDefault="00DF57D6" w:rsidP="00D67D55">
            <w:pPr>
              <w:pStyle w:val="Marginlie"/>
            </w:pPr>
            <w:r>
              <w:t>Také v EU hrubý domácí produkt meziročně i mezičtvrtletně klesal.</w:t>
            </w:r>
          </w:p>
        </w:tc>
        <w:tc>
          <w:tcPr>
            <w:tcW w:w="223" w:type="dxa"/>
            <w:shd w:val="clear" w:color="auto" w:fill="auto"/>
            <w:tcMar>
              <w:left w:w="0" w:type="dxa"/>
            </w:tcMar>
          </w:tcPr>
          <w:p w14:paraId="74210954" w14:textId="77777777" w:rsidR="00DF57D6" w:rsidRDefault="00DF57D6" w:rsidP="00D67D55">
            <w:pPr>
              <w:pStyle w:val="Textpoznpodarou"/>
              <w:jc w:val="both"/>
              <w:rPr>
                <w:spacing w:val="-4"/>
              </w:rPr>
            </w:pPr>
          </w:p>
        </w:tc>
        <w:tc>
          <w:tcPr>
            <w:tcW w:w="7610" w:type="dxa"/>
            <w:shd w:val="clear" w:color="auto" w:fill="auto"/>
            <w:tcMar>
              <w:left w:w="0" w:type="dxa"/>
            </w:tcMar>
          </w:tcPr>
          <w:p w14:paraId="326FBF06" w14:textId="1DF09016" w:rsidR="00DF57D6" w:rsidRDefault="00DF57D6" w:rsidP="00D84CC9">
            <w:r>
              <w:t>Vývoj HDP v Evropské unii byl podobný jako v Česku. Meziroční propad se tak v 1. čtvrtletí zmírnil na 1,</w:t>
            </w:r>
            <w:r w:rsidR="00D84CC9">
              <w:t>2</w:t>
            </w:r>
            <w:r>
              <w:t> %, zatímco ve srovnání se 4. čtvrtletím 2020 HDP v Unii klesl o 0,</w:t>
            </w:r>
            <w:r w:rsidR="00D84CC9">
              <w:t>1</w:t>
            </w:r>
            <w:r>
              <w:t xml:space="preserve"> %. Meziročního přírůstku v 1. čtvrtletí dosáhly </w:t>
            </w:r>
            <w:r w:rsidR="00D84CC9">
              <w:t xml:space="preserve">Irsko (12,8 %), </w:t>
            </w:r>
            <w:r>
              <w:t>Estonsko (5,0 %), Lucembursko (4,9 %), Slovinsko (2,3 %), Francie (1,2 %), Litva (1,2 %) a Slovensko (0,</w:t>
            </w:r>
            <w:r w:rsidR="00D84CC9">
              <w:t>3</w:t>
            </w:r>
            <w:r>
              <w:t xml:space="preserve"> %). Nejvíce za úrovní 1. čtvrtletí 2020 zaostávaly ekonomiky </w:t>
            </w:r>
            <w:proofErr w:type="gramStart"/>
            <w:r>
              <w:t>Portugalska (–5,4</w:t>
            </w:r>
            <w:proofErr w:type="gramEnd"/>
            <w:r>
              <w:t> %), Rakouska (–4,5 %) a Španělska (–4,3 %). Podle dostupných údajů v 1</w:t>
            </w:r>
            <w:r w:rsidR="00D84CC9">
              <w:t>6</w:t>
            </w:r>
            <w:r>
              <w:t> zemích EU HDP mezičtvrtletně rostl, nejvýrazněji v</w:t>
            </w:r>
            <w:r w:rsidR="00D84CC9">
              <w:t xml:space="preserve"> Irsku (7,8 %), </w:t>
            </w:r>
            <w:r>
              <w:t>Chorvatsku (5,8 %), Estonsku (4,8 %) a </w:t>
            </w:r>
            <w:r w:rsidR="00D84CC9">
              <w:t xml:space="preserve">Řecku (4,4 %). </w:t>
            </w:r>
            <w:r>
              <w:t xml:space="preserve">V celkovém výsledku za EU ale převážil mezičtvrtletní pokles v některých velkých ekonomikách. Největší pokles HDP v 1. čtvrtletí vykázaly </w:t>
            </w:r>
            <w:proofErr w:type="gramStart"/>
            <w:r>
              <w:t>Portugalsko (–3,3</w:t>
            </w:r>
            <w:proofErr w:type="gramEnd"/>
            <w:r>
              <w:t> %), Slovensko (–</w:t>
            </w:r>
            <w:r w:rsidR="00D84CC9">
              <w:t>2</w:t>
            </w:r>
            <w:r>
              <w:t>,</w:t>
            </w:r>
            <w:r w:rsidR="00D84CC9">
              <w:t>0</w:t>
            </w:r>
            <w:r>
              <w:t> %) a Německo (–1,8 %).</w:t>
            </w:r>
          </w:p>
        </w:tc>
      </w:tr>
      <w:tr w:rsidR="00DF57D6" w:rsidRPr="009110F7" w14:paraId="7257652E" w14:textId="77777777" w:rsidTr="00D67D55">
        <w:trPr>
          <w:trHeight w:val="145"/>
        </w:trPr>
        <w:tc>
          <w:tcPr>
            <w:tcW w:w="1806" w:type="dxa"/>
            <w:shd w:val="clear" w:color="auto" w:fill="auto"/>
            <w:tcMar>
              <w:left w:w="0" w:type="dxa"/>
            </w:tcMar>
          </w:tcPr>
          <w:p w14:paraId="0FCE7C39" w14:textId="77777777" w:rsidR="00DF57D6" w:rsidRDefault="00DF57D6" w:rsidP="00D67D55">
            <w:pPr>
              <w:pStyle w:val="Marginlie"/>
            </w:pPr>
            <w:r>
              <w:t xml:space="preserve">V odvětvích nejvíce zasažených restrikcemi </w:t>
            </w:r>
            <w:r>
              <w:lastRenderedPageBreak/>
              <w:t>výrazně klesal počet odpracovaných hodin.</w:t>
            </w:r>
          </w:p>
        </w:tc>
        <w:tc>
          <w:tcPr>
            <w:tcW w:w="223" w:type="dxa"/>
            <w:shd w:val="clear" w:color="auto" w:fill="auto"/>
            <w:tcMar>
              <w:left w:w="0" w:type="dxa"/>
            </w:tcMar>
          </w:tcPr>
          <w:p w14:paraId="7F804888" w14:textId="77777777" w:rsidR="00DF57D6" w:rsidRDefault="00DF57D6" w:rsidP="00D67D55">
            <w:pPr>
              <w:pStyle w:val="Textpoznpodarou"/>
              <w:jc w:val="both"/>
              <w:rPr>
                <w:spacing w:val="-4"/>
              </w:rPr>
            </w:pPr>
          </w:p>
        </w:tc>
        <w:tc>
          <w:tcPr>
            <w:tcW w:w="7610" w:type="dxa"/>
            <w:shd w:val="clear" w:color="auto" w:fill="auto"/>
            <w:tcMar>
              <w:left w:w="0" w:type="dxa"/>
            </w:tcMar>
          </w:tcPr>
          <w:p w14:paraId="776B8197" w14:textId="77777777" w:rsidR="00DF57D6" w:rsidRPr="00014ED0" w:rsidRDefault="00DF57D6" w:rsidP="00D67D55">
            <w:pPr>
              <w:rPr>
                <w:spacing w:val="-2"/>
              </w:rPr>
            </w:pPr>
            <w:r>
              <w:rPr>
                <w:spacing w:val="-2"/>
              </w:rPr>
              <w:t xml:space="preserve">Objem vyplacených mezd a platů v 1. čtvrtletí klesl meziročně o 1,0 %, což je ovlivněno i srovnáním s 1. kvartálem 2020, kdy ještě doznívala silná mzdová dynamika </w:t>
            </w:r>
            <w:r>
              <w:rPr>
                <w:spacing w:val="-2"/>
              </w:rPr>
              <w:lastRenderedPageBreak/>
              <w:t>předchozích let. Celková zaměstnanost ve stejném období meziročně klesla o 1,6 %</w:t>
            </w:r>
            <w:r w:rsidRPr="00014ED0">
              <w:rPr>
                <w:rStyle w:val="Znakapoznpodarou"/>
                <w:spacing w:val="-2"/>
              </w:rPr>
              <w:footnoteReference w:id="5"/>
            </w:r>
            <w:r>
              <w:rPr>
                <w:spacing w:val="-2"/>
              </w:rPr>
              <w:t>. Růst cen se v 1. čtvrtletí zmírnil, ale stále z výdělků v reálném vyjádření ukrajoval (reálný pokles vyplacených mezd a platů dosáhl 2,2 %)</w:t>
            </w:r>
            <w:r>
              <w:rPr>
                <w:rStyle w:val="Znakapoznpodarou"/>
                <w:spacing w:val="-2"/>
              </w:rPr>
              <w:footnoteReference w:id="6"/>
            </w:r>
            <w:r>
              <w:rPr>
                <w:spacing w:val="-2"/>
              </w:rPr>
              <w:t xml:space="preserve">. Největší pokles objemu vyplacených mzdových prostředků proběhl u ostatních </w:t>
            </w:r>
            <w:proofErr w:type="gramStart"/>
            <w:r>
              <w:rPr>
                <w:spacing w:val="-2"/>
              </w:rPr>
              <w:t>činností (–16,1</w:t>
            </w:r>
            <w:proofErr w:type="gramEnd"/>
            <w:r>
              <w:rPr>
                <w:spacing w:val="-2"/>
              </w:rPr>
              <w:t> %), kde přitom pokles celkové zaměstnanosti (v osobách) činil „jen“ 2,1 %, ale trval zde propad odpracovaných hodin, což přímo souvisí s restrikcemi, které ostatní činnosti zasáhly (ostatní činnosti</w:t>
            </w:r>
            <w:r>
              <w:t xml:space="preserve"> zahrnují služby osobní péče i kulturní, zábavní a rekreační služby</w:t>
            </w:r>
            <w:r>
              <w:rPr>
                <w:spacing w:val="-2"/>
              </w:rPr>
              <w:t xml:space="preserve">). Podobně byl objem mezd v obchodě, dopravě, ubytování a pohostinství meziročně nižší o 10,5 % při celkovém poklesu zaměstnanosti o 5,1 % (odpracované hodiny se snížily o 12,5 %). V peněžnictví a pojišťovnictví mzdy a platy spíše </w:t>
            </w:r>
            <w:proofErr w:type="gramStart"/>
            <w:r>
              <w:rPr>
                <w:spacing w:val="-2"/>
              </w:rPr>
              <w:t>stagnovaly (–0,2</w:t>
            </w:r>
            <w:proofErr w:type="gramEnd"/>
            <w:r>
              <w:rPr>
                <w:spacing w:val="-2"/>
              </w:rPr>
              <w:t xml:space="preserve"> %), zatímco zaměstnanost výrazněji klesla (–1,5 %), a podobně se vyvíjely profesní, vědecké, technické a administrativní činnosti (pokles mzdových prostředků –0,2 % a pokles zaměstnanosti –2,2 %). Nižší objem platů přibližně korespondující s poklesem zaměstnanosti zaznamenaly zpracovatelský </w:t>
            </w:r>
            <w:proofErr w:type="gramStart"/>
            <w:r>
              <w:rPr>
                <w:spacing w:val="-2"/>
              </w:rPr>
              <w:t>průmysl (–2,0</w:t>
            </w:r>
            <w:proofErr w:type="gramEnd"/>
            <w:r>
              <w:rPr>
                <w:spacing w:val="-2"/>
              </w:rPr>
              <w:t> %) a stavebnictví (–1,0 %). Nárůst objemu vyplacených mezd a platů tak trval pouze u informačních a komunikačních činností (4,6 %) a v odvětvích s převahou vládního sektoru</w:t>
            </w:r>
            <w:r>
              <w:rPr>
                <w:rStyle w:val="Znakapoznpodarou"/>
                <w:spacing w:val="-2"/>
              </w:rPr>
              <w:footnoteReference w:id="7"/>
            </w:r>
            <w:r>
              <w:rPr>
                <w:spacing w:val="-2"/>
              </w:rPr>
              <w:t xml:space="preserve"> (6,7 %), kde se projevilo zvýšení prostředků pro zdravotníky.</w:t>
            </w:r>
          </w:p>
        </w:tc>
      </w:tr>
      <w:tr w:rsidR="00DF57D6" w:rsidRPr="009110F7" w14:paraId="37D5AD88" w14:textId="77777777" w:rsidTr="00D67D55">
        <w:trPr>
          <w:trHeight w:val="170"/>
        </w:trPr>
        <w:tc>
          <w:tcPr>
            <w:tcW w:w="1806" w:type="dxa"/>
            <w:vMerge w:val="restart"/>
            <w:shd w:val="clear" w:color="auto" w:fill="auto"/>
            <w:tcMar>
              <w:left w:w="0" w:type="dxa"/>
            </w:tcMar>
          </w:tcPr>
          <w:p w14:paraId="1DD18222" w14:textId="77777777" w:rsidR="00DF57D6" w:rsidRDefault="00DF57D6" w:rsidP="00D67D55">
            <w:pPr>
              <w:pStyle w:val="Marginlie"/>
            </w:pPr>
          </w:p>
        </w:tc>
        <w:tc>
          <w:tcPr>
            <w:tcW w:w="223" w:type="dxa"/>
            <w:vMerge w:val="restart"/>
            <w:shd w:val="clear" w:color="auto" w:fill="auto"/>
            <w:tcMar>
              <w:left w:w="0" w:type="dxa"/>
            </w:tcMar>
          </w:tcPr>
          <w:p w14:paraId="097A25E6" w14:textId="77777777" w:rsidR="00DF57D6" w:rsidRDefault="00DF57D6" w:rsidP="00D67D55">
            <w:pPr>
              <w:pStyle w:val="Textpoznpodarou"/>
              <w:jc w:val="both"/>
              <w:rPr>
                <w:spacing w:val="-4"/>
              </w:rPr>
            </w:pPr>
          </w:p>
        </w:tc>
        <w:tc>
          <w:tcPr>
            <w:tcW w:w="7610" w:type="dxa"/>
            <w:shd w:val="clear" w:color="auto" w:fill="auto"/>
            <w:tcMar>
              <w:left w:w="0" w:type="dxa"/>
            </w:tcMar>
          </w:tcPr>
          <w:p w14:paraId="2E0CB056" w14:textId="77777777" w:rsidR="00DF57D6" w:rsidRPr="00D721B4" w:rsidRDefault="00DF57D6" w:rsidP="00D67D55">
            <w:pPr>
              <w:spacing w:after="0"/>
              <w:rPr>
                <w:szCs w:val="20"/>
              </w:rPr>
            </w:pPr>
            <w:r w:rsidRPr="00D721B4">
              <w:rPr>
                <w:b/>
                <w:szCs w:val="20"/>
              </w:rPr>
              <w:t>Graf č. 2</w:t>
            </w:r>
            <w:r>
              <w:rPr>
                <w:b/>
                <w:szCs w:val="20"/>
              </w:rPr>
              <w:t xml:space="preserve"> </w:t>
            </w:r>
            <w:r w:rsidRPr="00D721B4">
              <w:rPr>
                <w:b/>
                <w:szCs w:val="20"/>
              </w:rPr>
              <w:t xml:space="preserve"> </w:t>
            </w:r>
            <w:r w:rsidRPr="00D721B4">
              <w:rPr>
                <w:rFonts w:cs="Arial"/>
                <w:b/>
                <w:szCs w:val="20"/>
                <w:lang w:eastAsia="en-US"/>
              </w:rPr>
              <w:t xml:space="preserve">Příspěvky výdajových složek k reálné změně HDP* </w:t>
            </w:r>
            <w:r w:rsidRPr="00D721B4">
              <w:rPr>
                <w:rFonts w:cs="Arial"/>
                <w:bCs/>
                <w:szCs w:val="20"/>
                <w:lang w:eastAsia="en-US"/>
              </w:rPr>
              <w:t>(objemové indexy, meziroční růst, příspěvky v p. b., HDP v %)</w:t>
            </w:r>
          </w:p>
        </w:tc>
      </w:tr>
      <w:tr w:rsidR="00DF57D6" w:rsidRPr="009110F7" w14:paraId="7B4F1C0E" w14:textId="77777777" w:rsidTr="00D67D55">
        <w:tblPrEx>
          <w:tblCellMar>
            <w:left w:w="70" w:type="dxa"/>
            <w:right w:w="70" w:type="dxa"/>
          </w:tblCellMar>
        </w:tblPrEx>
        <w:trPr>
          <w:trHeight w:val="170"/>
        </w:trPr>
        <w:tc>
          <w:tcPr>
            <w:tcW w:w="1806" w:type="dxa"/>
            <w:vMerge/>
            <w:shd w:val="clear" w:color="auto" w:fill="auto"/>
          </w:tcPr>
          <w:p w14:paraId="1B6F0F87" w14:textId="77777777" w:rsidR="00DF57D6" w:rsidRDefault="00DF57D6" w:rsidP="00D67D55">
            <w:pPr>
              <w:pStyle w:val="Marginlie"/>
            </w:pPr>
          </w:p>
        </w:tc>
        <w:tc>
          <w:tcPr>
            <w:tcW w:w="223" w:type="dxa"/>
            <w:vMerge/>
            <w:shd w:val="clear" w:color="auto" w:fill="auto"/>
          </w:tcPr>
          <w:p w14:paraId="0EB36EB6" w14:textId="77777777" w:rsidR="00DF57D6" w:rsidRDefault="00DF57D6" w:rsidP="00D67D55">
            <w:pPr>
              <w:pStyle w:val="Textpoznpodarou"/>
              <w:jc w:val="both"/>
              <w:rPr>
                <w:spacing w:val="-4"/>
              </w:rPr>
            </w:pPr>
          </w:p>
        </w:tc>
        <w:tc>
          <w:tcPr>
            <w:tcW w:w="7610" w:type="dxa"/>
            <w:shd w:val="clear" w:color="auto" w:fill="auto"/>
          </w:tcPr>
          <w:p w14:paraId="14AAE63B" w14:textId="77777777" w:rsidR="00DF57D6" w:rsidRDefault="00DF57D6" w:rsidP="00D67D55">
            <w:pPr>
              <w:spacing w:after="0"/>
            </w:pPr>
            <w:r>
              <w:rPr>
                <w:noProof/>
              </w:rPr>
              <w:drawing>
                <wp:inline distT="0" distB="0" distL="0" distR="0" wp14:anchorId="1BBAC262" wp14:editId="66BFEA0A">
                  <wp:extent cx="4737600" cy="3553200"/>
                  <wp:effectExtent l="0" t="0" r="6350" b="0"/>
                  <wp:docPr id="16" name="Graf 16">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DF57D6" w:rsidRPr="009110F7" w14:paraId="14061AC9" w14:textId="77777777" w:rsidTr="00D67D55">
        <w:trPr>
          <w:trHeight w:val="170"/>
        </w:trPr>
        <w:tc>
          <w:tcPr>
            <w:tcW w:w="1806" w:type="dxa"/>
            <w:vMerge/>
            <w:shd w:val="clear" w:color="auto" w:fill="auto"/>
            <w:tcMar>
              <w:left w:w="0" w:type="dxa"/>
            </w:tcMar>
          </w:tcPr>
          <w:p w14:paraId="24F42EE3" w14:textId="77777777" w:rsidR="00DF57D6" w:rsidRDefault="00DF57D6" w:rsidP="00D67D55">
            <w:pPr>
              <w:pStyle w:val="Marginlie"/>
            </w:pPr>
          </w:p>
        </w:tc>
        <w:tc>
          <w:tcPr>
            <w:tcW w:w="223" w:type="dxa"/>
            <w:vMerge/>
            <w:shd w:val="clear" w:color="auto" w:fill="auto"/>
            <w:tcMar>
              <w:left w:w="0" w:type="dxa"/>
            </w:tcMar>
          </w:tcPr>
          <w:p w14:paraId="46B78039" w14:textId="77777777" w:rsidR="00DF57D6" w:rsidRDefault="00DF57D6" w:rsidP="00D67D55">
            <w:pPr>
              <w:pStyle w:val="Textpoznpodarou"/>
              <w:jc w:val="both"/>
              <w:rPr>
                <w:spacing w:val="-4"/>
              </w:rPr>
            </w:pPr>
          </w:p>
        </w:tc>
        <w:tc>
          <w:tcPr>
            <w:tcW w:w="7610" w:type="dxa"/>
            <w:shd w:val="clear" w:color="auto" w:fill="auto"/>
            <w:tcMar>
              <w:left w:w="0" w:type="dxa"/>
            </w:tcMar>
          </w:tcPr>
          <w:p w14:paraId="08BEE8AC" w14:textId="77777777" w:rsidR="00DF57D6" w:rsidRDefault="00DF57D6" w:rsidP="00D67D55">
            <w:pPr>
              <w:spacing w:after="0"/>
              <w:rPr>
                <w:sz w:val="14"/>
                <w:szCs w:val="14"/>
              </w:rPr>
            </w:pPr>
            <w:r>
              <w:rPr>
                <w:sz w:val="14"/>
                <w:szCs w:val="14"/>
              </w:rPr>
              <w:t>Zdroj: ČSÚ</w:t>
            </w:r>
          </w:p>
          <w:p w14:paraId="1EF0B96C" w14:textId="77777777" w:rsidR="00DF57D6" w:rsidRDefault="00DF57D6" w:rsidP="00D67D55">
            <w:r>
              <w:rPr>
                <w:sz w:val="14"/>
                <w:szCs w:val="14"/>
              </w:rPr>
              <w:t>*po vyloučení dovozu pro konečné užití</w:t>
            </w:r>
          </w:p>
        </w:tc>
      </w:tr>
      <w:tr w:rsidR="00DF57D6" w:rsidRPr="009110F7" w14:paraId="5E5A627C" w14:textId="77777777" w:rsidTr="00D67D55">
        <w:trPr>
          <w:trHeight w:val="145"/>
        </w:trPr>
        <w:tc>
          <w:tcPr>
            <w:tcW w:w="1806" w:type="dxa"/>
            <w:shd w:val="clear" w:color="auto" w:fill="auto"/>
            <w:tcMar>
              <w:left w:w="0" w:type="dxa"/>
            </w:tcMar>
          </w:tcPr>
          <w:p w14:paraId="493E4D7D" w14:textId="77777777" w:rsidR="00DF57D6" w:rsidRDefault="00DF57D6" w:rsidP="00D67D55">
            <w:pPr>
              <w:pStyle w:val="Marginlie"/>
            </w:pPr>
            <w:r>
              <w:t>Meziročně dál výrazně klesala spotřeba.</w:t>
            </w:r>
          </w:p>
        </w:tc>
        <w:tc>
          <w:tcPr>
            <w:tcW w:w="223" w:type="dxa"/>
            <w:shd w:val="clear" w:color="auto" w:fill="auto"/>
            <w:tcMar>
              <w:left w:w="0" w:type="dxa"/>
            </w:tcMar>
          </w:tcPr>
          <w:p w14:paraId="762F7E49" w14:textId="77777777" w:rsidR="00DF57D6" w:rsidRDefault="00DF57D6" w:rsidP="00D67D55">
            <w:pPr>
              <w:pStyle w:val="Textpoznpodarou"/>
              <w:jc w:val="both"/>
              <w:rPr>
                <w:spacing w:val="-4"/>
              </w:rPr>
            </w:pPr>
          </w:p>
        </w:tc>
        <w:tc>
          <w:tcPr>
            <w:tcW w:w="7610" w:type="dxa"/>
            <w:shd w:val="clear" w:color="auto" w:fill="auto"/>
            <w:tcMar>
              <w:left w:w="0" w:type="dxa"/>
            </w:tcMar>
          </w:tcPr>
          <w:p w14:paraId="170CBA79" w14:textId="77777777" w:rsidR="00DF57D6" w:rsidRDefault="00DF57D6" w:rsidP="00D67D55">
            <w:r>
              <w:rPr>
                <w:spacing w:val="-2"/>
              </w:rPr>
              <w:t>Výdaje na konečnou spotřebu v 1. čtvrtletí 2021 meziročně klesly o 3,7 %. Mezičtvrtletní pokles činil 1,3 %. Meziročně zaostávala především spotřeba domácností, kterou nadále tlumilo omezení obchodu a </w:t>
            </w:r>
            <w:proofErr w:type="gramStart"/>
            <w:r>
              <w:rPr>
                <w:spacing w:val="-2"/>
              </w:rPr>
              <w:t>služeb (–6,1</w:t>
            </w:r>
            <w:proofErr w:type="gramEnd"/>
            <w:r>
              <w:rPr>
                <w:spacing w:val="-2"/>
              </w:rPr>
              <w:t xml:space="preserve"> %). Spotřeba domácností také nejvíce přispívala k meziročnímu poklesu </w:t>
            </w:r>
            <w:proofErr w:type="gramStart"/>
            <w:r>
              <w:rPr>
                <w:spacing w:val="-2"/>
              </w:rPr>
              <w:t>HDP (–3,2</w:t>
            </w:r>
            <w:proofErr w:type="gramEnd"/>
            <w:r>
              <w:rPr>
                <w:spacing w:val="-2"/>
              </w:rPr>
              <w:t> p. b.)</w:t>
            </w:r>
            <w:r w:rsidRPr="00014ED0">
              <w:rPr>
                <w:rStyle w:val="Znakapoznpodarou"/>
                <w:spacing w:val="-2"/>
              </w:rPr>
              <w:footnoteReference w:id="8"/>
            </w:r>
            <w:r>
              <w:rPr>
                <w:spacing w:val="-2"/>
              </w:rPr>
              <w:t>. Ve srovnání se 4. čtvrtletím 2020 spotřeba domácností klesla o 0,2 %. Struktura spotřeby odpovídala pokračujícím omezením. Spotřeba předmětů krátkodobé spotřeby meziročně vzrostla o 2,0 %</w:t>
            </w:r>
            <w:r>
              <w:rPr>
                <w:rStyle w:val="Znakapoznpodarou"/>
              </w:rPr>
              <w:footnoteReference w:id="9"/>
            </w:r>
            <w:r>
              <w:rPr>
                <w:spacing w:val="-2"/>
              </w:rPr>
              <w:t xml:space="preserve">. Pokles </w:t>
            </w:r>
            <w:r>
              <w:rPr>
                <w:spacing w:val="-2"/>
              </w:rPr>
              <w:lastRenderedPageBreak/>
              <w:t>u předmětů dlouhodobé spotřeby se zmírnil na 3,1 % a u střednědobé spotřeby zůstal velmi hluboký, a </w:t>
            </w:r>
            <w:proofErr w:type="gramStart"/>
            <w:r>
              <w:rPr>
                <w:spacing w:val="-2"/>
              </w:rPr>
              <w:t>sice</w:t>
            </w:r>
            <w:proofErr w:type="gramEnd"/>
            <w:r>
              <w:rPr>
                <w:spacing w:val="-2"/>
              </w:rPr>
              <w:t xml:space="preserve"> –</w:t>
            </w:r>
            <w:proofErr w:type="gramStart"/>
            <w:r>
              <w:rPr>
                <w:spacing w:val="-2"/>
              </w:rPr>
              <w:t>25,6</w:t>
            </w:r>
            <w:proofErr w:type="gramEnd"/>
            <w:r>
              <w:rPr>
                <w:spacing w:val="-2"/>
              </w:rPr>
              <w:t> %</w:t>
            </w:r>
            <w:r>
              <w:rPr>
                <w:rStyle w:val="Znakapoznpodarou"/>
                <w:spacing w:val="-2"/>
              </w:rPr>
              <w:footnoteReference w:id="10"/>
            </w:r>
            <w:r>
              <w:rPr>
                <w:spacing w:val="-2"/>
              </w:rPr>
              <w:t>. Meziroční pokles spotřeby služeb dosáhl 12,7 %. Vládní spotřeba meziročně vzrostla o 1,3 %. Mezičtvrtletně ale klesla o 3,6 %, což lze přičíst srovnání se závěrem roku 2020, kdy výdaje prudce narostly.</w:t>
            </w:r>
          </w:p>
        </w:tc>
      </w:tr>
      <w:tr w:rsidR="00DF57D6" w:rsidRPr="009110F7" w14:paraId="5FA8E2F7" w14:textId="77777777" w:rsidTr="00D67D55">
        <w:trPr>
          <w:trHeight w:val="145"/>
        </w:trPr>
        <w:tc>
          <w:tcPr>
            <w:tcW w:w="1806" w:type="dxa"/>
            <w:shd w:val="clear" w:color="auto" w:fill="auto"/>
            <w:tcMar>
              <w:left w:w="0" w:type="dxa"/>
            </w:tcMar>
          </w:tcPr>
          <w:p w14:paraId="4C812788" w14:textId="77777777" w:rsidR="00DF57D6" w:rsidRDefault="00DF57D6" w:rsidP="00D67D55">
            <w:pPr>
              <w:pStyle w:val="Marginlie"/>
            </w:pPr>
            <w:r>
              <w:lastRenderedPageBreak/>
              <w:t>Nadále nižší byla také investiční aktivita.</w:t>
            </w:r>
          </w:p>
        </w:tc>
        <w:tc>
          <w:tcPr>
            <w:tcW w:w="223" w:type="dxa"/>
            <w:shd w:val="clear" w:color="auto" w:fill="auto"/>
            <w:tcMar>
              <w:left w:w="0" w:type="dxa"/>
            </w:tcMar>
          </w:tcPr>
          <w:p w14:paraId="11D6693F" w14:textId="77777777" w:rsidR="00DF57D6" w:rsidRDefault="00DF57D6" w:rsidP="00D67D55">
            <w:pPr>
              <w:pStyle w:val="Textpoznpodarou"/>
              <w:jc w:val="both"/>
              <w:rPr>
                <w:spacing w:val="-4"/>
              </w:rPr>
            </w:pPr>
          </w:p>
        </w:tc>
        <w:tc>
          <w:tcPr>
            <w:tcW w:w="7610" w:type="dxa"/>
            <w:shd w:val="clear" w:color="auto" w:fill="auto"/>
            <w:tcMar>
              <w:left w:w="0" w:type="dxa"/>
            </w:tcMar>
          </w:tcPr>
          <w:p w14:paraId="69904B62" w14:textId="77777777" w:rsidR="00DF57D6" w:rsidRDefault="00DF57D6" w:rsidP="00D67D55">
            <w:r>
              <w:t>Pokračující omezení příliš nepřála investiční aktivitě. Celkové výdaje na tvorbu hrubého kapitálu meziročně vzrostly o 3,8 %, šlo ale zejména o efekt zvýšených zásob. Tvorba hrubého fixního kapitálu totiž meziročně klesla o 3,6 %. Mezičtvrtletně se výdaje na tvorbu hrubého fixního kapitálu zvýšily o 1,6 %. Věcné členění tvorby hrubého fixního kapitálu</w:t>
            </w:r>
            <w:r w:rsidRPr="009110F7">
              <w:rPr>
                <w:rStyle w:val="Znakapoznpodarou"/>
              </w:rPr>
              <w:footnoteReference w:id="11"/>
            </w:r>
            <w:r>
              <w:t xml:space="preserve"> ukázalo na trvající meziroční pokles u většiny investičních kategorií. Nejvíce se propadly investice do ICT a ostatních strojů a </w:t>
            </w:r>
            <w:proofErr w:type="gramStart"/>
            <w:r>
              <w:t>zařízení (–8,7</w:t>
            </w:r>
            <w:proofErr w:type="gramEnd"/>
            <w:r>
              <w:t xml:space="preserve"> %) a dále do dopravních prostředků a zařízení (–8,3 %). To nepřímo ukazuje na trvající investiční zdrženlivost nefinančních podniků. Mírně klesaly také investice do </w:t>
            </w:r>
            <w:proofErr w:type="gramStart"/>
            <w:r>
              <w:t>obydlí (–2,0</w:t>
            </w:r>
            <w:proofErr w:type="gramEnd"/>
            <w:r>
              <w:t> %), kterým dominují domácnosti. Snižovaly se také investice do ostatních budov a </w:t>
            </w:r>
            <w:proofErr w:type="gramStart"/>
            <w:r>
              <w:t>staveb (–2,9</w:t>
            </w:r>
            <w:proofErr w:type="gramEnd"/>
            <w:r>
              <w:t> %). Meziroční růst vykázaly výdaje na produkty duševního vlastnictví (1,5 %).</w:t>
            </w:r>
          </w:p>
        </w:tc>
      </w:tr>
      <w:tr w:rsidR="00DF57D6" w:rsidRPr="009110F7" w14:paraId="2AD21A73" w14:textId="77777777" w:rsidTr="00D67D55">
        <w:trPr>
          <w:trHeight w:val="145"/>
        </w:trPr>
        <w:tc>
          <w:tcPr>
            <w:tcW w:w="1806" w:type="dxa"/>
            <w:shd w:val="clear" w:color="auto" w:fill="auto"/>
            <w:tcMar>
              <w:left w:w="0" w:type="dxa"/>
            </w:tcMar>
          </w:tcPr>
          <w:p w14:paraId="6D17FAF0" w14:textId="77777777" w:rsidR="00DF57D6" w:rsidRDefault="00DF57D6" w:rsidP="00D67D55">
            <w:pPr>
              <w:pStyle w:val="Marginlie"/>
            </w:pPr>
            <w:r>
              <w:t>Bilance zahraničního obchodu přispívala k meziročnímu růstu HDP. Oproti předchozímu čtvrtletí se ale zhoršila.</w:t>
            </w:r>
          </w:p>
        </w:tc>
        <w:tc>
          <w:tcPr>
            <w:tcW w:w="223" w:type="dxa"/>
            <w:shd w:val="clear" w:color="auto" w:fill="auto"/>
            <w:tcMar>
              <w:left w:w="0" w:type="dxa"/>
            </w:tcMar>
          </w:tcPr>
          <w:p w14:paraId="4C02C7E4" w14:textId="77777777" w:rsidR="00DF57D6" w:rsidRDefault="00DF57D6" w:rsidP="00D67D55">
            <w:pPr>
              <w:pStyle w:val="Textpoznpodarou"/>
              <w:jc w:val="both"/>
              <w:rPr>
                <w:spacing w:val="-4"/>
              </w:rPr>
            </w:pPr>
          </w:p>
        </w:tc>
        <w:tc>
          <w:tcPr>
            <w:tcW w:w="7610" w:type="dxa"/>
            <w:shd w:val="clear" w:color="auto" w:fill="auto"/>
            <w:tcMar>
              <w:left w:w="0" w:type="dxa"/>
            </w:tcMar>
          </w:tcPr>
          <w:p w14:paraId="21BB55AA" w14:textId="77777777" w:rsidR="00DF57D6" w:rsidRDefault="00DF57D6" w:rsidP="00D67D55">
            <w:r>
              <w:t>Konec roku 2020 přinesl velké vzedmutí exportu zboží ve snaze zčásti kompenzovat jarní ztráty. V 1. čtvrtletí se ale silná dynamika neudržela. Celkově vývoz reálně meziročně vzrostl o 4,3 %</w:t>
            </w:r>
            <w:r w:rsidRPr="009110F7">
              <w:rPr>
                <w:rStyle w:val="Znakapoznpodarou"/>
              </w:rPr>
              <w:footnoteReference w:id="12"/>
            </w:r>
            <w:r>
              <w:t xml:space="preserve">, z toho export zboží o 7,9 %. Vývoz služeb se nadále </w:t>
            </w:r>
            <w:proofErr w:type="gramStart"/>
            <w:r>
              <w:t>propadal (–13,5</w:t>
            </w:r>
            <w:proofErr w:type="gramEnd"/>
            <w:r>
              <w:t> %). Ve srovnání se 4. čtvrtletím 2020 ale export klesl o 2,2 %. Dynamika vývozu tentokrát zaostávala za dovozem (růst o 5,6 % meziročně, 4,0 % mezičtvrtletně). Výsledná bilance zahraničního obchodu stále dosahovala přebytku 93,2 mld. korun, což je meziročně o 17,0 mld. více. Ve srovnání s rekordním 4. kvartálem 2020 (145,8 mld. korun byl nejvyšší zaznamenaný přebytek) se ale bilance zhoršila, což také negativně působilo na mezičtvrtletní růst HDP.</w:t>
            </w:r>
          </w:p>
        </w:tc>
      </w:tr>
      <w:tr w:rsidR="00DF57D6" w:rsidRPr="009110F7" w14:paraId="577532D4" w14:textId="77777777" w:rsidTr="00D67D55">
        <w:trPr>
          <w:trHeight w:val="145"/>
        </w:trPr>
        <w:tc>
          <w:tcPr>
            <w:tcW w:w="1806" w:type="dxa"/>
            <w:shd w:val="clear" w:color="auto" w:fill="auto"/>
            <w:tcMar>
              <w:left w:w="0" w:type="dxa"/>
            </w:tcMar>
          </w:tcPr>
          <w:p w14:paraId="594D7063" w14:textId="77777777" w:rsidR="00DF57D6" w:rsidRDefault="00DF57D6" w:rsidP="00D67D55">
            <w:pPr>
              <w:pStyle w:val="Marginlie"/>
            </w:pPr>
            <w:r>
              <w:t>Zejména odvětví služeb působila na meziroční propad HPH.</w:t>
            </w:r>
          </w:p>
        </w:tc>
        <w:tc>
          <w:tcPr>
            <w:tcW w:w="223" w:type="dxa"/>
            <w:shd w:val="clear" w:color="auto" w:fill="auto"/>
            <w:tcMar>
              <w:left w:w="0" w:type="dxa"/>
            </w:tcMar>
          </w:tcPr>
          <w:p w14:paraId="0ADD722A" w14:textId="77777777" w:rsidR="00DF57D6" w:rsidRDefault="00DF57D6" w:rsidP="00D67D55">
            <w:pPr>
              <w:pStyle w:val="Textpoznpodarou"/>
              <w:jc w:val="both"/>
              <w:rPr>
                <w:spacing w:val="-4"/>
              </w:rPr>
            </w:pPr>
          </w:p>
        </w:tc>
        <w:tc>
          <w:tcPr>
            <w:tcW w:w="7610" w:type="dxa"/>
            <w:shd w:val="clear" w:color="auto" w:fill="auto"/>
            <w:tcMar>
              <w:left w:w="0" w:type="dxa"/>
            </w:tcMar>
          </w:tcPr>
          <w:p w14:paraId="6C7173D2" w14:textId="77777777" w:rsidR="00DF57D6" w:rsidRPr="00F93F2C" w:rsidRDefault="00DF57D6" w:rsidP="00D67D55">
            <w:r>
              <w:t>Hrubá přidaná hodnota (HPH) byla meziročně nižší o 2,1 %. Stejně jako u HDP zmírnění meziročního poklesu ovlivnilo srovnání s kvartálem, který už byl zasažen pandemií. Trvající opatření zasahovala především do chodu odvětví obchodu a služeb. To se projevilo na meziročním propadu HPH významného uskupení obchod, doprava, ubytování a </w:t>
            </w:r>
            <w:proofErr w:type="gramStart"/>
            <w:r>
              <w:t>pohostinství (–12,2</w:t>
            </w:r>
            <w:proofErr w:type="gramEnd"/>
            <w:r>
              <w:t xml:space="preserve"> %), které na meziročním propadu HPH měly největší podíl. O 23,0 % nižší byla HPH v ostatních činnostech. Propad přetrvával u profesních, vědeckých, technických a administrativních </w:t>
            </w:r>
            <w:proofErr w:type="gramStart"/>
            <w:r>
              <w:t>činností (–9,0</w:t>
            </w:r>
            <w:proofErr w:type="gramEnd"/>
            <w:r>
              <w:t xml:space="preserve"> %), jejichž prosperita je těsně navázána na činnost v průmyslu, stavebnictví a v dalších oblastech ekonomiky. Mírně klesala i HPH v činnostech v oblasti </w:t>
            </w:r>
            <w:proofErr w:type="gramStart"/>
            <w:r>
              <w:t>nemovitostí (–0,9</w:t>
            </w:r>
            <w:proofErr w:type="gramEnd"/>
            <w:r>
              <w:t xml:space="preserve"> %). Meziroční propad přetrvával ve </w:t>
            </w:r>
            <w:proofErr w:type="gramStart"/>
            <w:r>
              <w:t>stavebnictví (–4,8</w:t>
            </w:r>
            <w:proofErr w:type="gramEnd"/>
            <w:r>
              <w:t> %). Příznivě se naopak vyvíjel zpracovatelský průmysl, kde HPH meziročně vzrostla o 3,0 %, poprvé od konce roku 2019. Výrazný byl přírůstek v zemědělství (6,1 %). Meziročně vyšší byla HPH v peněžnictví a pojišťovnictví (6,1 %), odvětvích s převahou vládního sektoru (2,5 %) a v informačních a komunikačních činnostech (1,9 %).</w:t>
            </w:r>
          </w:p>
        </w:tc>
      </w:tr>
      <w:tr w:rsidR="00DF57D6" w:rsidRPr="009110F7" w14:paraId="58C3499C" w14:textId="77777777" w:rsidTr="00D67D55">
        <w:trPr>
          <w:trHeight w:val="145"/>
        </w:trPr>
        <w:tc>
          <w:tcPr>
            <w:tcW w:w="1806" w:type="dxa"/>
            <w:shd w:val="clear" w:color="auto" w:fill="auto"/>
            <w:tcMar>
              <w:left w:w="0" w:type="dxa"/>
            </w:tcMar>
          </w:tcPr>
          <w:p w14:paraId="462BCC73" w14:textId="77777777" w:rsidR="00DF57D6" w:rsidRDefault="00DF57D6" w:rsidP="00D67D55">
            <w:pPr>
              <w:pStyle w:val="Marginlie"/>
            </w:pPr>
            <w:r>
              <w:t>Hrubá přidaná hodnota se mezičtvrtletně mírně zvýšila.</w:t>
            </w:r>
          </w:p>
        </w:tc>
        <w:tc>
          <w:tcPr>
            <w:tcW w:w="223" w:type="dxa"/>
            <w:shd w:val="clear" w:color="auto" w:fill="auto"/>
            <w:tcMar>
              <w:left w:w="0" w:type="dxa"/>
            </w:tcMar>
          </w:tcPr>
          <w:p w14:paraId="194F4507" w14:textId="77777777" w:rsidR="00DF57D6" w:rsidRDefault="00DF57D6" w:rsidP="00D67D55">
            <w:pPr>
              <w:pStyle w:val="Textpoznpodarou"/>
              <w:jc w:val="both"/>
              <w:rPr>
                <w:spacing w:val="-4"/>
              </w:rPr>
            </w:pPr>
          </w:p>
        </w:tc>
        <w:tc>
          <w:tcPr>
            <w:tcW w:w="7610" w:type="dxa"/>
            <w:shd w:val="clear" w:color="auto" w:fill="auto"/>
            <w:tcMar>
              <w:left w:w="0" w:type="dxa"/>
            </w:tcMar>
          </w:tcPr>
          <w:p w14:paraId="1117CA94" w14:textId="77777777" w:rsidR="00DF57D6" w:rsidRDefault="00DF57D6" w:rsidP="00D67D55">
            <w:r>
              <w:t xml:space="preserve">Mezičtvrtletně HPH vzrostla o 0,1 %. Ve směru nárůstu působil zpracovatelský průmysl (mezičtvrtletní přírůstek HPH 1,0 %) i stavebnictví (2,6 %). Mezi odvětvími služeb mezičtvrtletní přírůstky vykázalo především peněžnictví a pojišťovnictví (5,4 %), mírněji rostly informační a komunikační činnosti (1,8 %). Hluboký mezičtvrtletní pokles se dotýkal ostatních </w:t>
            </w:r>
            <w:proofErr w:type="gramStart"/>
            <w:r>
              <w:t>činností (–4,5</w:t>
            </w:r>
            <w:proofErr w:type="gramEnd"/>
            <w:r>
              <w:t xml:space="preserve"> %). Mírněji se HPH snižovala u veřejné správy a obrany, vzdělávání, zdravotní a sociální </w:t>
            </w:r>
            <w:proofErr w:type="gramStart"/>
            <w:r>
              <w:t>péče (–1,5</w:t>
            </w:r>
            <w:proofErr w:type="gramEnd"/>
            <w:r>
              <w:t xml:space="preserve"> %) a profesních, vědeckých, technických a administrativních činností (–0,5 %). Obchod, doprava, ubytování a pohostinství ve srovnání se 4. čtvrtletím 2020 </w:t>
            </w:r>
            <w:proofErr w:type="gramStart"/>
            <w:r>
              <w:t>stagnovaly (–0,1</w:t>
            </w:r>
            <w:proofErr w:type="gramEnd"/>
            <w:r>
              <w:t> %).</w:t>
            </w:r>
          </w:p>
        </w:tc>
      </w:tr>
      <w:tr w:rsidR="00DF57D6" w:rsidRPr="009110F7" w14:paraId="31F3A8AE" w14:textId="77777777" w:rsidTr="00D67D55">
        <w:trPr>
          <w:trHeight w:val="170"/>
        </w:trPr>
        <w:tc>
          <w:tcPr>
            <w:tcW w:w="1806" w:type="dxa"/>
            <w:vMerge w:val="restart"/>
            <w:shd w:val="clear" w:color="auto" w:fill="auto"/>
            <w:tcMar>
              <w:left w:w="0" w:type="dxa"/>
            </w:tcMar>
          </w:tcPr>
          <w:p w14:paraId="56EBC834" w14:textId="77777777" w:rsidR="00DF57D6" w:rsidRDefault="00DF57D6" w:rsidP="00D67D55">
            <w:pPr>
              <w:pStyle w:val="Marginlie"/>
            </w:pPr>
          </w:p>
        </w:tc>
        <w:tc>
          <w:tcPr>
            <w:tcW w:w="223" w:type="dxa"/>
            <w:vMerge w:val="restart"/>
            <w:shd w:val="clear" w:color="auto" w:fill="auto"/>
            <w:tcMar>
              <w:left w:w="0" w:type="dxa"/>
            </w:tcMar>
          </w:tcPr>
          <w:p w14:paraId="2E6C4743" w14:textId="77777777" w:rsidR="00DF57D6" w:rsidRDefault="00DF57D6" w:rsidP="00D67D55">
            <w:pPr>
              <w:pStyle w:val="Textpoznpodarou"/>
              <w:jc w:val="both"/>
              <w:rPr>
                <w:spacing w:val="-4"/>
              </w:rPr>
            </w:pPr>
          </w:p>
        </w:tc>
        <w:tc>
          <w:tcPr>
            <w:tcW w:w="7610" w:type="dxa"/>
            <w:shd w:val="clear" w:color="auto" w:fill="auto"/>
            <w:tcMar>
              <w:left w:w="0" w:type="dxa"/>
            </w:tcMar>
          </w:tcPr>
          <w:p w14:paraId="0AF69D0D" w14:textId="77777777" w:rsidR="00DF57D6" w:rsidRPr="00D721B4" w:rsidRDefault="00DF57D6" w:rsidP="00D67D55">
            <w:pPr>
              <w:spacing w:after="0"/>
              <w:rPr>
                <w:szCs w:val="20"/>
              </w:rPr>
            </w:pPr>
            <w:r w:rsidRPr="00D721B4">
              <w:rPr>
                <w:b/>
                <w:szCs w:val="20"/>
              </w:rPr>
              <w:t>Graf č. 3</w:t>
            </w:r>
            <w:r>
              <w:rPr>
                <w:b/>
                <w:szCs w:val="20"/>
              </w:rPr>
              <w:t xml:space="preserve"> </w:t>
            </w:r>
            <w:r w:rsidRPr="00D721B4">
              <w:rPr>
                <w:b/>
                <w:szCs w:val="20"/>
              </w:rPr>
              <w:t xml:space="preserve"> </w:t>
            </w:r>
            <w:r w:rsidRPr="00D721B4">
              <w:rPr>
                <w:rFonts w:cs="Arial"/>
                <w:b/>
                <w:szCs w:val="20"/>
                <w:lang w:eastAsia="en-US"/>
              </w:rPr>
              <w:t xml:space="preserve">Příspěvky odvětví k reálné změně HPH </w:t>
            </w:r>
            <w:r w:rsidRPr="00D721B4">
              <w:rPr>
                <w:rFonts w:cs="Arial"/>
                <w:bCs/>
                <w:szCs w:val="20"/>
                <w:lang w:eastAsia="en-US"/>
              </w:rPr>
              <w:t>(objemové indexy, meziroční příspěvky v p. b., HPH v %)</w:t>
            </w:r>
          </w:p>
        </w:tc>
      </w:tr>
      <w:tr w:rsidR="00DF57D6" w:rsidRPr="009110F7" w14:paraId="7B006AF8" w14:textId="77777777" w:rsidTr="00D67D55">
        <w:tblPrEx>
          <w:tblCellMar>
            <w:left w:w="70" w:type="dxa"/>
            <w:right w:w="70" w:type="dxa"/>
          </w:tblCellMar>
        </w:tblPrEx>
        <w:trPr>
          <w:trHeight w:val="170"/>
        </w:trPr>
        <w:tc>
          <w:tcPr>
            <w:tcW w:w="1806" w:type="dxa"/>
            <w:vMerge/>
            <w:shd w:val="clear" w:color="auto" w:fill="auto"/>
          </w:tcPr>
          <w:p w14:paraId="6B9AF473" w14:textId="77777777" w:rsidR="00DF57D6" w:rsidRPr="009110F7" w:rsidRDefault="00DF57D6" w:rsidP="00D67D55">
            <w:pPr>
              <w:pStyle w:val="Marginlie"/>
            </w:pPr>
          </w:p>
        </w:tc>
        <w:tc>
          <w:tcPr>
            <w:tcW w:w="223" w:type="dxa"/>
            <w:vMerge/>
            <w:shd w:val="clear" w:color="auto" w:fill="auto"/>
          </w:tcPr>
          <w:p w14:paraId="32A0C66E" w14:textId="77777777" w:rsidR="00DF57D6" w:rsidRPr="009110F7" w:rsidRDefault="00DF57D6" w:rsidP="00D67D55">
            <w:pPr>
              <w:pStyle w:val="Textpoznpodarou"/>
              <w:jc w:val="both"/>
              <w:rPr>
                <w:spacing w:val="-4"/>
              </w:rPr>
            </w:pPr>
          </w:p>
        </w:tc>
        <w:tc>
          <w:tcPr>
            <w:tcW w:w="7610" w:type="dxa"/>
            <w:shd w:val="clear" w:color="auto" w:fill="auto"/>
          </w:tcPr>
          <w:p w14:paraId="5CE93E1B" w14:textId="77777777" w:rsidR="00DF57D6" w:rsidRPr="009110F7" w:rsidRDefault="00DF57D6" w:rsidP="00D67D55">
            <w:pPr>
              <w:spacing w:after="0"/>
            </w:pPr>
            <w:r>
              <w:rPr>
                <w:noProof/>
              </w:rPr>
              <w:drawing>
                <wp:inline distT="0" distB="0" distL="0" distR="0" wp14:anchorId="6B826390" wp14:editId="043274AA">
                  <wp:extent cx="4737600" cy="3486525"/>
                  <wp:effectExtent l="0" t="0" r="6350" b="0"/>
                  <wp:docPr id="20" name="Graf 20">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DF57D6" w:rsidRPr="009110F7" w14:paraId="415AD2CB" w14:textId="77777777" w:rsidTr="00D67D55">
        <w:trPr>
          <w:trHeight w:val="170"/>
        </w:trPr>
        <w:tc>
          <w:tcPr>
            <w:tcW w:w="1806" w:type="dxa"/>
            <w:vMerge/>
            <w:shd w:val="clear" w:color="auto" w:fill="auto"/>
            <w:tcMar>
              <w:left w:w="0" w:type="dxa"/>
            </w:tcMar>
          </w:tcPr>
          <w:p w14:paraId="5A14B224" w14:textId="77777777" w:rsidR="00DF57D6" w:rsidRPr="009110F7" w:rsidRDefault="00DF57D6" w:rsidP="00D67D55">
            <w:pPr>
              <w:pStyle w:val="Marginlie"/>
            </w:pPr>
          </w:p>
        </w:tc>
        <w:tc>
          <w:tcPr>
            <w:tcW w:w="223" w:type="dxa"/>
            <w:vMerge/>
            <w:shd w:val="clear" w:color="auto" w:fill="auto"/>
            <w:tcMar>
              <w:left w:w="0" w:type="dxa"/>
            </w:tcMar>
          </w:tcPr>
          <w:p w14:paraId="6702E744" w14:textId="77777777" w:rsidR="00DF57D6" w:rsidRPr="009110F7" w:rsidRDefault="00DF57D6" w:rsidP="00D67D55">
            <w:pPr>
              <w:pStyle w:val="Textpoznpodarou"/>
              <w:jc w:val="both"/>
              <w:rPr>
                <w:spacing w:val="-4"/>
              </w:rPr>
            </w:pPr>
          </w:p>
        </w:tc>
        <w:tc>
          <w:tcPr>
            <w:tcW w:w="7610" w:type="dxa"/>
            <w:shd w:val="clear" w:color="auto" w:fill="auto"/>
            <w:tcMar>
              <w:left w:w="0" w:type="dxa"/>
            </w:tcMar>
          </w:tcPr>
          <w:p w14:paraId="756F13E3" w14:textId="77777777" w:rsidR="00DF57D6" w:rsidRPr="009110F7" w:rsidRDefault="00DF57D6" w:rsidP="00D67D55">
            <w:pPr>
              <w:rPr>
                <w:sz w:val="14"/>
                <w:szCs w:val="14"/>
              </w:rPr>
            </w:pPr>
            <w:r w:rsidRPr="00A85DE1">
              <w:rPr>
                <w:sz w:val="14"/>
                <w:szCs w:val="14"/>
              </w:rPr>
              <w:t>Zdroj: ČSÚ</w:t>
            </w:r>
          </w:p>
        </w:tc>
      </w:tr>
    </w:tbl>
    <w:p w14:paraId="54557BCE" w14:textId="77777777" w:rsidR="00DF57D6" w:rsidRPr="00C41D54" w:rsidRDefault="00DF57D6" w:rsidP="00DF57D6">
      <w:pPr>
        <w:pStyle w:val="Nadpis11"/>
        <w:rPr>
          <w:b w:val="0"/>
          <w:sz w:val="2"/>
          <w:szCs w:val="2"/>
          <w:highlight w:val="yellow"/>
        </w:rPr>
      </w:pPr>
    </w:p>
    <w:p w14:paraId="6E7B614E" w14:textId="77777777" w:rsidR="00DF57D6" w:rsidRPr="00DA3ADF" w:rsidRDefault="00DF57D6" w:rsidP="00DF57D6">
      <w:pPr>
        <w:spacing w:after="0" w:line="240" w:lineRule="auto"/>
        <w:jc w:val="left"/>
        <w:rPr>
          <w:rFonts w:eastAsia="MS Gothic"/>
          <w:bCs/>
          <w:color w:val="71818C"/>
          <w:sz w:val="2"/>
          <w:szCs w:val="2"/>
          <w:highlight w:val="yellow"/>
        </w:rPr>
      </w:pPr>
    </w:p>
    <w:p w14:paraId="0E50D484" w14:textId="77777777" w:rsidR="00DF57D6" w:rsidRDefault="00DF57D6" w:rsidP="00DF57D6">
      <w:pPr>
        <w:spacing w:after="0" w:line="240" w:lineRule="auto"/>
        <w:jc w:val="left"/>
        <w:rPr>
          <w:b/>
          <w:sz w:val="2"/>
          <w:szCs w:val="2"/>
          <w:highlight w:val="yellow"/>
        </w:rPr>
      </w:pPr>
    </w:p>
    <w:p w14:paraId="4DF58413" w14:textId="77777777" w:rsidR="00DF57D6" w:rsidRPr="00E42054" w:rsidRDefault="00DF57D6" w:rsidP="00DF57D6">
      <w:pPr>
        <w:pStyle w:val="Nadpis11"/>
        <w:spacing w:after="0"/>
        <w:rPr>
          <w:b w:val="0"/>
          <w:sz w:val="2"/>
          <w:szCs w:val="2"/>
        </w:rPr>
      </w:pPr>
    </w:p>
    <w:p w14:paraId="5ED8A89D" w14:textId="77777777" w:rsidR="00DF57D6" w:rsidRDefault="00DF57D6" w:rsidP="00DF57D6">
      <w:pPr>
        <w:spacing w:after="0" w:line="240" w:lineRule="auto"/>
        <w:jc w:val="left"/>
        <w:rPr>
          <w:b/>
          <w:sz w:val="2"/>
          <w:szCs w:val="2"/>
          <w:highlight w:val="yellow"/>
        </w:rPr>
      </w:pPr>
    </w:p>
    <w:p w14:paraId="219CAA34" w14:textId="77777777" w:rsidR="00DF57D6" w:rsidRDefault="00DF57D6">
      <w:pPr>
        <w:spacing w:after="0" w:line="240" w:lineRule="auto"/>
        <w:jc w:val="left"/>
        <w:rPr>
          <w:rFonts w:eastAsia="MS Gothic"/>
          <w:b/>
          <w:bCs/>
          <w:color w:val="71818C"/>
          <w:sz w:val="32"/>
          <w:szCs w:val="28"/>
        </w:rPr>
      </w:pPr>
      <w:bookmarkStart w:id="9" w:name="_Toc532558284"/>
      <w:bookmarkStart w:id="10" w:name="_Toc26539341"/>
      <w:bookmarkStart w:id="11" w:name="_Toc11237634"/>
      <w:bookmarkEnd w:id="5"/>
      <w:bookmarkEnd w:id="6"/>
      <w:r>
        <w:br w:type="page"/>
      </w:r>
    </w:p>
    <w:p w14:paraId="3041A348" w14:textId="77777777" w:rsidR="00E87CE2" w:rsidRPr="006065E2" w:rsidRDefault="00E87CE2" w:rsidP="00E87CE2">
      <w:pPr>
        <w:pStyle w:val="Nadpis11"/>
      </w:pPr>
      <w:bookmarkStart w:id="12" w:name="_Toc58605374"/>
      <w:bookmarkStart w:id="13" w:name="_Toc66719930"/>
      <w:bookmarkStart w:id="14" w:name="_Toc532558287"/>
      <w:bookmarkStart w:id="15" w:name="_Toc58605375"/>
      <w:bookmarkStart w:id="16" w:name="_Toc74643855"/>
      <w:bookmarkEnd w:id="9"/>
      <w:bookmarkEnd w:id="10"/>
      <w:bookmarkEnd w:id="11"/>
      <w:r w:rsidRPr="006065E2">
        <w:lastRenderedPageBreak/>
        <w:t>3. Výkonnost odvětví</w:t>
      </w:r>
      <w:bookmarkEnd w:id="16"/>
    </w:p>
    <w:tbl>
      <w:tblPr>
        <w:tblW w:w="9664" w:type="dxa"/>
        <w:tblInd w:w="-30" w:type="dxa"/>
        <w:tblCellMar>
          <w:left w:w="0" w:type="dxa"/>
          <w:right w:w="0" w:type="dxa"/>
        </w:tblCellMar>
        <w:tblLook w:val="00A0" w:firstRow="1" w:lastRow="0" w:firstColumn="1" w:lastColumn="0" w:noHBand="0" w:noVBand="0"/>
      </w:tblPr>
      <w:tblGrid>
        <w:gridCol w:w="1728"/>
        <w:gridCol w:w="206"/>
        <w:gridCol w:w="7730"/>
      </w:tblGrid>
      <w:tr w:rsidR="00E87CE2" w:rsidRPr="001F719B" w14:paraId="5DB432F2" w14:textId="77777777" w:rsidTr="006F6FF2">
        <w:trPr>
          <w:trHeight w:val="155"/>
        </w:trPr>
        <w:tc>
          <w:tcPr>
            <w:tcW w:w="1728" w:type="dxa"/>
            <w:shd w:val="clear" w:color="auto" w:fill="auto"/>
            <w:tcMar>
              <w:left w:w="0" w:type="dxa"/>
            </w:tcMar>
          </w:tcPr>
          <w:p w14:paraId="6121DC31" w14:textId="77777777" w:rsidR="00E87CE2" w:rsidRDefault="00E87CE2" w:rsidP="006F6FF2">
            <w:pPr>
              <w:pStyle w:val="Marginlie"/>
            </w:pPr>
            <w:r>
              <w:t>I přes silné vládní restrikce v době vrcholící pandemie i slabšího oživování poptávky v eurozóně HPH v Česku mezičtvrtletně mírně vzrostla.</w:t>
            </w:r>
          </w:p>
          <w:p w14:paraId="6B09383D" w14:textId="77777777" w:rsidR="00E87CE2" w:rsidRDefault="00E87CE2" w:rsidP="006F6FF2">
            <w:pPr>
              <w:pStyle w:val="Marginlie"/>
            </w:pPr>
          </w:p>
          <w:p w14:paraId="5BBF6057" w14:textId="77777777" w:rsidR="00E87CE2" w:rsidRDefault="00E87CE2" w:rsidP="006F6FF2">
            <w:pPr>
              <w:pStyle w:val="Marginlie"/>
            </w:pPr>
          </w:p>
          <w:p w14:paraId="57DFBDE6" w14:textId="77777777" w:rsidR="00E87CE2" w:rsidRDefault="00E87CE2" w:rsidP="006F6FF2">
            <w:pPr>
              <w:pStyle w:val="Marginlie"/>
            </w:pPr>
          </w:p>
          <w:p w14:paraId="3D8507A8" w14:textId="77777777" w:rsidR="00E87CE2" w:rsidRDefault="00E87CE2" w:rsidP="006F6FF2">
            <w:pPr>
              <w:pStyle w:val="Marginlie"/>
            </w:pPr>
          </w:p>
          <w:p w14:paraId="33838F79" w14:textId="77777777" w:rsidR="00E87CE2" w:rsidRDefault="00E87CE2" w:rsidP="006F6FF2">
            <w:pPr>
              <w:pStyle w:val="Marginlie"/>
            </w:pPr>
          </w:p>
          <w:p w14:paraId="5923EDD2" w14:textId="77777777" w:rsidR="00E87CE2" w:rsidRDefault="00E87CE2" w:rsidP="006F6FF2">
            <w:pPr>
              <w:pStyle w:val="Marginlie"/>
            </w:pPr>
            <w:r>
              <w:t xml:space="preserve">Některá odvětví nebyla </w:t>
            </w:r>
            <w:proofErr w:type="spellStart"/>
            <w:r>
              <w:t>protipandemickými</w:t>
            </w:r>
            <w:proofErr w:type="spellEnd"/>
            <w:r>
              <w:t xml:space="preserve"> opatřeními výrazně poznamenána, …</w:t>
            </w:r>
          </w:p>
        </w:tc>
        <w:tc>
          <w:tcPr>
            <w:tcW w:w="206" w:type="dxa"/>
            <w:shd w:val="clear" w:color="auto" w:fill="auto"/>
            <w:tcMar>
              <w:left w:w="0" w:type="dxa"/>
            </w:tcMar>
          </w:tcPr>
          <w:p w14:paraId="52677B76" w14:textId="77777777" w:rsidR="00E87CE2" w:rsidRPr="003B1401" w:rsidRDefault="00E87CE2" w:rsidP="006F6FF2">
            <w:pPr>
              <w:pStyle w:val="Textpoznpodarou"/>
              <w:jc w:val="both"/>
              <w:rPr>
                <w:spacing w:val="-4"/>
              </w:rPr>
            </w:pPr>
          </w:p>
        </w:tc>
        <w:tc>
          <w:tcPr>
            <w:tcW w:w="7730" w:type="dxa"/>
            <w:shd w:val="clear" w:color="auto" w:fill="auto"/>
            <w:tcMar>
              <w:left w:w="0" w:type="dxa"/>
            </w:tcMar>
          </w:tcPr>
          <w:p w14:paraId="66F84677" w14:textId="77777777" w:rsidR="00E87CE2" w:rsidRPr="001F719B" w:rsidRDefault="00E87CE2" w:rsidP="00E87CE2">
            <w:pPr>
              <w:rPr>
                <w:spacing w:val="-4"/>
              </w:rPr>
            </w:pPr>
            <w:r w:rsidRPr="001F719B">
              <w:rPr>
                <w:spacing w:val="-4"/>
              </w:rPr>
              <w:t>Podobně jako na konci loňského roku byla v 1.</w:t>
            </w:r>
            <w:r>
              <w:rPr>
                <w:spacing w:val="-4"/>
              </w:rPr>
              <w:t> čtvrtlet</w:t>
            </w:r>
            <w:r w:rsidRPr="001F719B">
              <w:rPr>
                <w:spacing w:val="-4"/>
              </w:rPr>
              <w:t>í tuzemská ekonomika limitována oslabenou investiční aktivitou i</w:t>
            </w:r>
            <w:r>
              <w:rPr>
                <w:spacing w:val="-4"/>
              </w:rPr>
              <w:t> </w:t>
            </w:r>
            <w:r w:rsidRPr="001F719B">
              <w:rPr>
                <w:spacing w:val="-4"/>
              </w:rPr>
              <w:t xml:space="preserve">soukromou spotřebou. V březnu, kdy pandemie </w:t>
            </w:r>
            <w:r>
              <w:rPr>
                <w:spacing w:val="-4"/>
              </w:rPr>
              <w:t>covidu-19</w:t>
            </w:r>
            <w:r w:rsidRPr="001F719B">
              <w:rPr>
                <w:spacing w:val="-4"/>
              </w:rPr>
              <w:t xml:space="preserve"> v Česku vrcholila, došlo k dalšímu zpřísnění vládních restrikcí v oblasti mobility obyvatelstva. Příliš příznivě nepůsobilo ani vnější prostředí, neboť ekonomika eurozóny spadla na počátku </w:t>
            </w:r>
            <w:r>
              <w:rPr>
                <w:spacing w:val="-4"/>
              </w:rPr>
              <w:t xml:space="preserve">letošního </w:t>
            </w:r>
            <w:r w:rsidRPr="001F719B">
              <w:rPr>
                <w:spacing w:val="-4"/>
              </w:rPr>
              <w:t>roku do mělké recese, a</w:t>
            </w:r>
            <w:r>
              <w:rPr>
                <w:spacing w:val="-4"/>
              </w:rPr>
              <w:t> </w:t>
            </w:r>
            <w:r w:rsidRPr="001F719B">
              <w:rPr>
                <w:spacing w:val="-4"/>
              </w:rPr>
              <w:t>to především vinou poměrně výrazného mezičtvrtletního poklesu HDP v Německu (o</w:t>
            </w:r>
            <w:r>
              <w:rPr>
                <w:spacing w:val="-4"/>
              </w:rPr>
              <w:t> </w:t>
            </w:r>
            <w:r w:rsidRPr="001F719B">
              <w:rPr>
                <w:spacing w:val="-4"/>
              </w:rPr>
              <w:t>1,8</w:t>
            </w:r>
            <w:r>
              <w:rPr>
                <w:spacing w:val="-4"/>
              </w:rPr>
              <w:t> %</w:t>
            </w:r>
            <w:r w:rsidRPr="001F719B">
              <w:rPr>
                <w:spacing w:val="-4"/>
              </w:rPr>
              <w:t>).</w:t>
            </w:r>
            <w:r>
              <w:rPr>
                <w:spacing w:val="-4"/>
              </w:rPr>
              <w:t xml:space="preserve"> I přes tyto faktory</w:t>
            </w:r>
            <w:r w:rsidRPr="001F719B">
              <w:rPr>
                <w:spacing w:val="-4"/>
              </w:rPr>
              <w:t xml:space="preserve"> dokázala hrubá přidaná hodnota (HPH)</w:t>
            </w:r>
            <w:r w:rsidRPr="001F719B">
              <w:rPr>
                <w:rStyle w:val="Znakapoznpodarou"/>
                <w:spacing w:val="-4"/>
              </w:rPr>
              <w:footnoteReference w:id="13"/>
            </w:r>
            <w:r w:rsidRPr="001F719B">
              <w:rPr>
                <w:spacing w:val="-4"/>
              </w:rPr>
              <w:t xml:space="preserve"> v tuzemsku udržet minimální růst (+0,1</w:t>
            </w:r>
            <w:r>
              <w:rPr>
                <w:spacing w:val="-4"/>
              </w:rPr>
              <w:t> %</w:t>
            </w:r>
            <w:r w:rsidRPr="001F719B">
              <w:rPr>
                <w:spacing w:val="-4"/>
              </w:rPr>
              <w:t xml:space="preserve"> mezičtvrtletně). Pozitivně se projevil fakt, </w:t>
            </w:r>
            <w:r>
              <w:rPr>
                <w:spacing w:val="-4"/>
              </w:rPr>
              <w:t xml:space="preserve">že </w:t>
            </w:r>
            <w:r w:rsidRPr="001F719B">
              <w:rPr>
                <w:spacing w:val="-4"/>
              </w:rPr>
              <w:t>počet odpracovaných hodin v celé ekonomice ve srovnání s nižší základnou ze 4.</w:t>
            </w:r>
            <w:r>
              <w:rPr>
                <w:spacing w:val="-4"/>
              </w:rPr>
              <w:t> čtvrtlet</w:t>
            </w:r>
            <w:r w:rsidRPr="001F719B">
              <w:rPr>
                <w:spacing w:val="-4"/>
              </w:rPr>
              <w:t>í 2020 mírně vzrostl (+2,9</w:t>
            </w:r>
            <w:r>
              <w:rPr>
                <w:spacing w:val="-4"/>
              </w:rPr>
              <w:t> %</w:t>
            </w:r>
            <w:r w:rsidRPr="001F719B">
              <w:rPr>
                <w:spacing w:val="-4"/>
              </w:rPr>
              <w:t>). Za růstem HPH stálo zejména pokračující oživení ve zpracovatelském průmyslu a</w:t>
            </w:r>
            <w:r>
              <w:rPr>
                <w:spacing w:val="-4"/>
              </w:rPr>
              <w:t> </w:t>
            </w:r>
            <w:r w:rsidRPr="001F719B">
              <w:rPr>
                <w:spacing w:val="-4"/>
              </w:rPr>
              <w:t>také posílení v</w:t>
            </w:r>
            <w:r>
              <w:rPr>
                <w:spacing w:val="-4"/>
              </w:rPr>
              <w:t xml:space="preserve"> oblasti </w:t>
            </w:r>
            <w:r w:rsidRPr="001F719B">
              <w:rPr>
                <w:spacing w:val="-4"/>
              </w:rPr>
              <w:t>peněžnictví a pojišťovnictví. To bylo společně s informačními a</w:t>
            </w:r>
            <w:r>
              <w:rPr>
                <w:spacing w:val="-4"/>
              </w:rPr>
              <w:t> </w:t>
            </w:r>
            <w:r w:rsidRPr="001F719B">
              <w:rPr>
                <w:spacing w:val="-4"/>
              </w:rPr>
              <w:t>komunikačními činnost</w:t>
            </w:r>
            <w:r>
              <w:rPr>
                <w:spacing w:val="-4"/>
              </w:rPr>
              <w:t>m</w:t>
            </w:r>
            <w:r w:rsidRPr="001F719B">
              <w:rPr>
                <w:spacing w:val="-4"/>
              </w:rPr>
              <w:t>i jediným hlavním odvětvím, v němž dosáhl v 1.</w:t>
            </w:r>
            <w:r>
              <w:rPr>
                <w:spacing w:val="-4"/>
              </w:rPr>
              <w:t> čtvrtlet</w:t>
            </w:r>
            <w:r w:rsidRPr="001F719B">
              <w:rPr>
                <w:spacing w:val="-4"/>
              </w:rPr>
              <w:t>í 2021 objem vytvořen</w:t>
            </w:r>
            <w:r>
              <w:rPr>
                <w:spacing w:val="-4"/>
              </w:rPr>
              <w:t>é</w:t>
            </w:r>
            <w:r w:rsidRPr="001F719B">
              <w:rPr>
                <w:spacing w:val="-4"/>
              </w:rPr>
              <w:t xml:space="preserve"> přidané hodnoty svého historického maxima. To v zásadě platilo i</w:t>
            </w:r>
            <w:r>
              <w:rPr>
                <w:spacing w:val="-4"/>
              </w:rPr>
              <w:t> </w:t>
            </w:r>
            <w:r w:rsidRPr="001F719B">
              <w:rPr>
                <w:spacing w:val="-4"/>
              </w:rPr>
              <w:t>pro zemědělství, lesnictví či veřejné služby</w:t>
            </w:r>
            <w:r w:rsidRPr="001F719B">
              <w:rPr>
                <w:rStyle w:val="Znakapoznpodarou"/>
                <w:spacing w:val="-4"/>
              </w:rPr>
              <w:footnoteReference w:id="14"/>
            </w:r>
            <w:r w:rsidRPr="001F719B">
              <w:rPr>
                <w:spacing w:val="-4"/>
              </w:rPr>
              <w:t xml:space="preserve">, na jejichž výkon neměla </w:t>
            </w:r>
            <w:proofErr w:type="spellStart"/>
            <w:r w:rsidRPr="001F719B">
              <w:rPr>
                <w:spacing w:val="-4"/>
              </w:rPr>
              <w:t>protipandemická</w:t>
            </w:r>
            <w:proofErr w:type="spellEnd"/>
            <w:r w:rsidRPr="001F719B">
              <w:rPr>
                <w:spacing w:val="-4"/>
              </w:rPr>
              <w:t xml:space="preserve"> opatření </w:t>
            </w:r>
            <w:r>
              <w:rPr>
                <w:spacing w:val="-4"/>
              </w:rPr>
              <w:t xml:space="preserve">bezprostřední </w:t>
            </w:r>
            <w:r w:rsidRPr="001F719B">
              <w:rPr>
                <w:spacing w:val="-4"/>
              </w:rPr>
              <w:t>negativní dopad.</w:t>
            </w:r>
          </w:p>
        </w:tc>
      </w:tr>
      <w:tr w:rsidR="00E87CE2" w:rsidRPr="001F719B" w14:paraId="02C7F025" w14:textId="77777777" w:rsidTr="006F6FF2">
        <w:trPr>
          <w:trHeight w:val="155"/>
        </w:trPr>
        <w:tc>
          <w:tcPr>
            <w:tcW w:w="1728" w:type="dxa"/>
            <w:shd w:val="clear" w:color="auto" w:fill="auto"/>
            <w:tcMar>
              <w:left w:w="0" w:type="dxa"/>
            </w:tcMar>
          </w:tcPr>
          <w:p w14:paraId="65136772" w14:textId="77777777" w:rsidR="00E87CE2" w:rsidRDefault="00E87CE2" w:rsidP="006F6FF2">
            <w:pPr>
              <w:pStyle w:val="Marginlie"/>
            </w:pPr>
            <w:r>
              <w:t>… naopak v oblastech navázaných na cestovní ruch i volnočasové aktivity obyvatel došlo k propadu HPH i odpracované doby.</w:t>
            </w:r>
          </w:p>
        </w:tc>
        <w:tc>
          <w:tcPr>
            <w:tcW w:w="206" w:type="dxa"/>
            <w:shd w:val="clear" w:color="auto" w:fill="auto"/>
            <w:tcMar>
              <w:left w:w="0" w:type="dxa"/>
            </w:tcMar>
          </w:tcPr>
          <w:p w14:paraId="34747215" w14:textId="77777777" w:rsidR="00E87CE2" w:rsidRPr="003B1401" w:rsidRDefault="00E87CE2" w:rsidP="006F6FF2">
            <w:pPr>
              <w:pStyle w:val="Textpoznpodarou"/>
              <w:jc w:val="both"/>
              <w:rPr>
                <w:spacing w:val="-4"/>
              </w:rPr>
            </w:pPr>
          </w:p>
        </w:tc>
        <w:tc>
          <w:tcPr>
            <w:tcW w:w="7730" w:type="dxa"/>
            <w:shd w:val="clear" w:color="auto" w:fill="auto"/>
            <w:tcMar>
              <w:left w:w="0" w:type="dxa"/>
            </w:tcMar>
          </w:tcPr>
          <w:p w14:paraId="72495828" w14:textId="77777777" w:rsidR="00E87CE2" w:rsidRPr="001F719B" w:rsidRDefault="00E87CE2" w:rsidP="00E87CE2">
            <w:pPr>
              <w:rPr>
                <w:spacing w:val="-4"/>
              </w:rPr>
            </w:pPr>
            <w:r w:rsidRPr="001F719B">
              <w:rPr>
                <w:spacing w:val="-4"/>
              </w:rPr>
              <w:t xml:space="preserve">HPH v celé ekonomice naopak za </w:t>
            </w:r>
            <w:proofErr w:type="spellStart"/>
            <w:r w:rsidRPr="001F719B">
              <w:rPr>
                <w:spacing w:val="-4"/>
              </w:rPr>
              <w:t>předpandemickým</w:t>
            </w:r>
            <w:proofErr w:type="spellEnd"/>
            <w:r w:rsidRPr="001F719B">
              <w:rPr>
                <w:spacing w:val="-4"/>
              </w:rPr>
              <w:t xml:space="preserve"> vrcholem ze 4.</w:t>
            </w:r>
            <w:r>
              <w:rPr>
                <w:spacing w:val="-4"/>
              </w:rPr>
              <w:t> čtvrtlet</w:t>
            </w:r>
            <w:r w:rsidRPr="001F719B">
              <w:rPr>
                <w:spacing w:val="-4"/>
              </w:rPr>
              <w:t xml:space="preserve">í 2019 letos </w:t>
            </w:r>
            <w:r>
              <w:rPr>
                <w:spacing w:val="-4"/>
              </w:rPr>
              <w:t>o</w:t>
            </w:r>
            <w:r w:rsidRPr="001F719B">
              <w:rPr>
                <w:spacing w:val="-4"/>
              </w:rPr>
              <w:t> </w:t>
            </w:r>
            <w:r>
              <w:rPr>
                <w:spacing w:val="-4"/>
              </w:rPr>
              <w:t>4,3</w:t>
            </w:r>
            <w:r w:rsidRPr="001F719B">
              <w:rPr>
                <w:spacing w:val="-4"/>
              </w:rPr>
              <w:t xml:space="preserve"> % zaostávala. </w:t>
            </w:r>
            <w:r>
              <w:rPr>
                <w:spacing w:val="-4"/>
              </w:rPr>
              <w:t>Hluboký propad v tomto období postih</w:t>
            </w:r>
            <w:r w:rsidRPr="001F719B">
              <w:rPr>
                <w:spacing w:val="-4"/>
              </w:rPr>
              <w:t>l uskupení obchod, do</w:t>
            </w:r>
            <w:r>
              <w:rPr>
                <w:spacing w:val="-4"/>
              </w:rPr>
              <w:t xml:space="preserve">prava, ubytování </w:t>
            </w:r>
            <w:r w:rsidRPr="001F719B">
              <w:rPr>
                <w:spacing w:val="-4"/>
              </w:rPr>
              <w:t>a</w:t>
            </w:r>
            <w:r>
              <w:rPr>
                <w:spacing w:val="-4"/>
              </w:rPr>
              <w:t> </w:t>
            </w:r>
            <w:r w:rsidRPr="001F719B">
              <w:rPr>
                <w:spacing w:val="-4"/>
              </w:rPr>
              <w:t>pohostinství (</w:t>
            </w:r>
            <w:r>
              <w:rPr>
                <w:spacing w:val="-4"/>
              </w:rPr>
              <w:t>o </w:t>
            </w:r>
            <w:r w:rsidRPr="001F719B">
              <w:rPr>
                <w:spacing w:val="-4"/>
              </w:rPr>
              <w:t>14</w:t>
            </w:r>
            <w:r>
              <w:rPr>
                <w:spacing w:val="-4"/>
              </w:rPr>
              <w:t> %</w:t>
            </w:r>
            <w:r w:rsidRPr="001F719B">
              <w:rPr>
                <w:spacing w:val="-4"/>
              </w:rPr>
              <w:t>)</w:t>
            </w:r>
            <w:r>
              <w:rPr>
                <w:rStyle w:val="Znakapoznpodarou"/>
                <w:spacing w:val="-4"/>
              </w:rPr>
              <w:footnoteReference w:id="15"/>
            </w:r>
            <w:r>
              <w:rPr>
                <w:spacing w:val="-4"/>
              </w:rPr>
              <w:t xml:space="preserve"> a rovněž tzv. o</w:t>
            </w:r>
            <w:r w:rsidRPr="001F719B">
              <w:rPr>
                <w:spacing w:val="-4"/>
              </w:rPr>
              <w:t>statní činnosti</w:t>
            </w:r>
            <w:r>
              <w:rPr>
                <w:spacing w:val="-4"/>
              </w:rPr>
              <w:t xml:space="preserve"> </w:t>
            </w:r>
            <w:proofErr w:type="gramStart"/>
            <w:r>
              <w:rPr>
                <w:spacing w:val="-4"/>
              </w:rPr>
              <w:t>služeb</w:t>
            </w:r>
            <w:r>
              <w:rPr>
                <w:rStyle w:val="Znakapoznpodarou"/>
                <w:spacing w:val="-4"/>
              </w:rPr>
              <w:footnoteReference w:id="16"/>
            </w:r>
            <w:r>
              <w:rPr>
                <w:spacing w:val="-4"/>
              </w:rPr>
              <w:t xml:space="preserve"> ( o 2</w:t>
            </w:r>
            <w:r w:rsidRPr="001F719B">
              <w:rPr>
                <w:spacing w:val="-4"/>
              </w:rPr>
              <w:t>4</w:t>
            </w:r>
            <w:proofErr w:type="gramEnd"/>
            <w:r>
              <w:rPr>
                <w:spacing w:val="-4"/>
              </w:rPr>
              <w:t> %</w:t>
            </w:r>
            <w:r w:rsidRPr="001F719B">
              <w:rPr>
                <w:spacing w:val="-4"/>
              </w:rPr>
              <w:t>)</w:t>
            </w:r>
            <w:r>
              <w:rPr>
                <w:spacing w:val="-4"/>
              </w:rPr>
              <w:t>. Nucené uzavření či výrazné omezení chodu provozoven se zde odráželo i ve výrazném poklesu počtu odpracovaných hodin (o 16 %, resp. 21 %). Ten byl oproti konci roku 2019 naopak relativně mírný v odvětví p</w:t>
            </w:r>
            <w:r w:rsidRPr="00210D17">
              <w:rPr>
                <w:spacing w:val="-4"/>
              </w:rPr>
              <w:t>rofesní, vědecké, technické a</w:t>
            </w:r>
            <w:r>
              <w:rPr>
                <w:spacing w:val="-4"/>
              </w:rPr>
              <w:t> </w:t>
            </w:r>
            <w:r w:rsidRPr="00210D17">
              <w:rPr>
                <w:spacing w:val="-4"/>
              </w:rPr>
              <w:t>administrativní činnosti</w:t>
            </w:r>
            <w:r>
              <w:rPr>
                <w:spacing w:val="-4"/>
              </w:rPr>
              <w:t>. Citelnější pokles HPH (o 13 %) zde souvisel se slabší poptávkou větších podniků po specializovaných službách (poradenství, projekční práce, pronájmy, reklama, úklid, ostraha aj.) jak vlivem zhoršení hospodářské situace podniků, tak patrně i častějšího využívání práce z domova.</w:t>
            </w:r>
          </w:p>
        </w:tc>
      </w:tr>
      <w:tr w:rsidR="00E87CE2" w:rsidRPr="00ED3F7E" w14:paraId="6ECF2236" w14:textId="77777777" w:rsidTr="006F6FF2">
        <w:trPr>
          <w:trHeight w:val="155"/>
        </w:trPr>
        <w:tc>
          <w:tcPr>
            <w:tcW w:w="1728" w:type="dxa"/>
            <w:shd w:val="clear" w:color="auto" w:fill="auto"/>
            <w:tcMar>
              <w:left w:w="0" w:type="dxa"/>
            </w:tcMar>
          </w:tcPr>
          <w:p w14:paraId="4B54676D" w14:textId="77777777" w:rsidR="00E87CE2" w:rsidRDefault="00E87CE2" w:rsidP="006F6FF2">
            <w:pPr>
              <w:pStyle w:val="Marginlie"/>
              <w:rPr>
                <w:spacing w:val="-4"/>
              </w:rPr>
            </w:pPr>
            <w:r>
              <w:rPr>
                <w:spacing w:val="-4"/>
              </w:rPr>
              <w:t>Pokračování růstu v průmyslu naráželo na významné růstové bariéry.</w:t>
            </w:r>
          </w:p>
        </w:tc>
        <w:tc>
          <w:tcPr>
            <w:tcW w:w="206" w:type="dxa"/>
            <w:shd w:val="clear" w:color="auto" w:fill="auto"/>
            <w:tcMar>
              <w:left w:w="0" w:type="dxa"/>
            </w:tcMar>
          </w:tcPr>
          <w:p w14:paraId="00108BFB" w14:textId="77777777" w:rsidR="00E87CE2" w:rsidRPr="003B1401" w:rsidRDefault="00E87CE2" w:rsidP="006F6FF2">
            <w:pPr>
              <w:pStyle w:val="Textpoznpodarou"/>
              <w:jc w:val="both"/>
              <w:rPr>
                <w:spacing w:val="-4"/>
              </w:rPr>
            </w:pPr>
          </w:p>
        </w:tc>
        <w:tc>
          <w:tcPr>
            <w:tcW w:w="7730" w:type="dxa"/>
            <w:shd w:val="clear" w:color="auto" w:fill="auto"/>
            <w:tcMar>
              <w:left w:w="0" w:type="dxa"/>
            </w:tcMar>
          </w:tcPr>
          <w:p w14:paraId="15D6DC53" w14:textId="77777777" w:rsidR="00E87CE2" w:rsidRPr="00ED3F7E" w:rsidRDefault="00E87CE2" w:rsidP="00E87CE2">
            <w:pPr>
              <w:rPr>
                <w:rFonts w:cs="Arial"/>
                <w:bCs/>
                <w:color w:val="0D0D0D" w:themeColor="text1" w:themeTint="F2"/>
                <w:spacing w:val="-3"/>
                <w:szCs w:val="20"/>
              </w:rPr>
            </w:pPr>
            <w:r w:rsidRPr="00ED3F7E">
              <w:rPr>
                <w:spacing w:val="-3"/>
              </w:rPr>
              <w:t xml:space="preserve">Podrobnější data </w:t>
            </w:r>
            <w:r w:rsidRPr="00ED3F7E">
              <w:rPr>
                <w:color w:val="0D0D0D" w:themeColor="text1" w:themeTint="F2"/>
                <w:spacing w:val="-3"/>
              </w:rPr>
              <w:t xml:space="preserve">podnikových statistik naznačují, že výkony tuzemského průmyslu se postupně přibližují </w:t>
            </w:r>
            <w:proofErr w:type="spellStart"/>
            <w:r w:rsidRPr="00ED3F7E">
              <w:rPr>
                <w:color w:val="0D0D0D" w:themeColor="text1" w:themeTint="F2"/>
                <w:spacing w:val="-3"/>
              </w:rPr>
              <w:t>předpa</w:t>
            </w:r>
            <w:r>
              <w:rPr>
                <w:color w:val="0D0D0D" w:themeColor="text1" w:themeTint="F2"/>
                <w:spacing w:val="-3"/>
              </w:rPr>
              <w:t>n</w:t>
            </w:r>
            <w:r w:rsidRPr="00ED3F7E">
              <w:rPr>
                <w:color w:val="0D0D0D" w:themeColor="text1" w:themeTint="F2"/>
                <w:spacing w:val="-3"/>
              </w:rPr>
              <w:t>demickému</w:t>
            </w:r>
            <w:proofErr w:type="spellEnd"/>
            <w:r w:rsidRPr="00ED3F7E">
              <w:rPr>
                <w:color w:val="0D0D0D" w:themeColor="text1" w:themeTint="F2"/>
                <w:spacing w:val="-3"/>
              </w:rPr>
              <w:t xml:space="preserve"> normálu. Další rozvoj průmyslu je však stále omezován významnějšími bariérami. Vedle dosud ne zcela stabilního růstu zahraniční poptávky (zejména v eurozóně) a</w:t>
            </w:r>
            <w:r>
              <w:rPr>
                <w:color w:val="0D0D0D" w:themeColor="text1" w:themeTint="F2"/>
                <w:spacing w:val="-3"/>
              </w:rPr>
              <w:t> </w:t>
            </w:r>
            <w:r w:rsidRPr="00ED3F7E">
              <w:rPr>
                <w:color w:val="0D0D0D" w:themeColor="text1" w:themeTint="F2"/>
                <w:spacing w:val="-3"/>
              </w:rPr>
              <w:t xml:space="preserve">dlouhodobějších problémů s náborem kvalifikované pracovní síly se v posledních měsících stále více projevovalo také napětí v globálních dodavatelských řetězcích. Ty jen s obtížemi saturovaly vzedmutou poptávku </w:t>
            </w:r>
            <w:r>
              <w:rPr>
                <w:color w:val="0D0D0D" w:themeColor="text1" w:themeTint="F2"/>
                <w:spacing w:val="-3"/>
              </w:rPr>
              <w:t>vyvolanou rychlým oživením</w:t>
            </w:r>
            <w:r w:rsidRPr="00ED3F7E">
              <w:rPr>
                <w:color w:val="0D0D0D" w:themeColor="text1" w:themeTint="F2"/>
                <w:spacing w:val="-3"/>
              </w:rPr>
              <w:t xml:space="preserve"> průmyslové výroby ve vyspělých ekonomikách. Nedostatek některých vstupních surovin důležitých pro výrobu (mj.</w:t>
            </w:r>
            <w:r>
              <w:rPr>
                <w:color w:val="0D0D0D" w:themeColor="text1" w:themeTint="F2"/>
                <w:spacing w:val="-3"/>
              </w:rPr>
              <w:t> </w:t>
            </w:r>
            <w:r w:rsidRPr="00ED3F7E">
              <w:rPr>
                <w:color w:val="0D0D0D" w:themeColor="text1" w:themeTint="F2"/>
                <w:spacing w:val="-3"/>
              </w:rPr>
              <w:t>i</w:t>
            </w:r>
            <w:r>
              <w:rPr>
                <w:color w:val="0D0D0D" w:themeColor="text1" w:themeTint="F2"/>
                <w:spacing w:val="-3"/>
              </w:rPr>
              <w:t> </w:t>
            </w:r>
            <w:r w:rsidRPr="00ED3F7E">
              <w:rPr>
                <w:color w:val="0D0D0D" w:themeColor="text1" w:themeTint="F2"/>
                <w:spacing w:val="-3"/>
              </w:rPr>
              <w:t xml:space="preserve">dopravních prostředků) </w:t>
            </w:r>
            <w:r>
              <w:rPr>
                <w:color w:val="0D0D0D" w:themeColor="text1" w:themeTint="F2"/>
                <w:spacing w:val="-3"/>
              </w:rPr>
              <w:t>prodlužoval výrobní proces a vytvářel</w:t>
            </w:r>
            <w:r w:rsidRPr="00ED3F7E">
              <w:rPr>
                <w:color w:val="0D0D0D" w:themeColor="text1" w:themeTint="F2"/>
                <w:spacing w:val="-3"/>
              </w:rPr>
              <w:t xml:space="preserve"> tlaky na cenový růst.</w:t>
            </w:r>
          </w:p>
        </w:tc>
      </w:tr>
      <w:tr w:rsidR="00E87CE2" w:rsidRPr="002034A0" w14:paraId="7AE36405" w14:textId="77777777" w:rsidTr="006F6FF2">
        <w:trPr>
          <w:trHeight w:val="155"/>
        </w:trPr>
        <w:tc>
          <w:tcPr>
            <w:tcW w:w="1728" w:type="dxa"/>
            <w:shd w:val="clear" w:color="auto" w:fill="auto"/>
            <w:tcMar>
              <w:left w:w="0" w:type="dxa"/>
            </w:tcMar>
          </w:tcPr>
          <w:p w14:paraId="1B6052BF" w14:textId="77777777" w:rsidR="00E87CE2" w:rsidRDefault="00E87CE2" w:rsidP="006F6FF2">
            <w:pPr>
              <w:pStyle w:val="Marginlie"/>
              <w:rPr>
                <w:spacing w:val="-4"/>
              </w:rPr>
            </w:pPr>
            <w:r>
              <w:rPr>
                <w:spacing w:val="-4"/>
              </w:rPr>
              <w:t>Meziměsíční růst produkce se v období na přelomu let 2020 a 2021 zastavil. S nástupem jara ale průmysl získal další růstový impulz.</w:t>
            </w:r>
          </w:p>
        </w:tc>
        <w:tc>
          <w:tcPr>
            <w:tcW w:w="206" w:type="dxa"/>
            <w:shd w:val="clear" w:color="auto" w:fill="auto"/>
            <w:tcMar>
              <w:left w:w="0" w:type="dxa"/>
            </w:tcMar>
          </w:tcPr>
          <w:p w14:paraId="595324A7" w14:textId="77777777" w:rsidR="00E87CE2" w:rsidRPr="003B1401" w:rsidRDefault="00E87CE2" w:rsidP="006F6FF2">
            <w:pPr>
              <w:pStyle w:val="Textpoznpodarou"/>
              <w:jc w:val="both"/>
              <w:rPr>
                <w:spacing w:val="-4"/>
              </w:rPr>
            </w:pPr>
          </w:p>
        </w:tc>
        <w:tc>
          <w:tcPr>
            <w:tcW w:w="7730" w:type="dxa"/>
            <w:shd w:val="clear" w:color="auto" w:fill="auto"/>
            <w:tcMar>
              <w:left w:w="0" w:type="dxa"/>
            </w:tcMar>
          </w:tcPr>
          <w:p w14:paraId="65B20E81" w14:textId="77777777" w:rsidR="00E87CE2" w:rsidRPr="002034A0" w:rsidRDefault="00E87CE2" w:rsidP="00E87CE2">
            <w:pPr>
              <w:rPr>
                <w:rFonts w:cs="Arial"/>
                <w:bCs/>
                <w:color w:val="000000"/>
                <w:spacing w:val="-3"/>
                <w:szCs w:val="20"/>
              </w:rPr>
            </w:pPr>
            <w:r w:rsidRPr="002034A0">
              <w:rPr>
                <w:color w:val="0D0D0D" w:themeColor="text1" w:themeTint="F2"/>
                <w:spacing w:val="-3"/>
              </w:rPr>
              <w:t>Průmyslová produkce</w:t>
            </w:r>
            <w:r w:rsidRPr="002034A0">
              <w:rPr>
                <w:color w:val="0D0D0D" w:themeColor="text1" w:themeTint="F2"/>
                <w:spacing w:val="-3"/>
                <w:vertAlign w:val="superscript"/>
              </w:rPr>
              <w:footnoteReference w:id="17"/>
            </w:r>
            <w:r>
              <w:rPr>
                <w:color w:val="0D0D0D" w:themeColor="text1" w:themeTint="F2"/>
                <w:spacing w:val="-3"/>
              </w:rPr>
              <w:t xml:space="preserve"> během loňského léta i podzimu zdatně doháněla citeln</w:t>
            </w:r>
            <w:r w:rsidRPr="002034A0">
              <w:rPr>
                <w:color w:val="0D0D0D" w:themeColor="text1" w:themeTint="F2"/>
                <w:spacing w:val="-3"/>
              </w:rPr>
              <w:t>é jarní ztráty</w:t>
            </w:r>
            <w:r w:rsidRPr="002034A0">
              <w:rPr>
                <w:rStyle w:val="Znakapoznpodarou"/>
                <w:spacing w:val="-3"/>
              </w:rPr>
              <w:footnoteReference w:id="18"/>
            </w:r>
            <w:r>
              <w:rPr>
                <w:color w:val="0D0D0D" w:themeColor="text1" w:themeTint="F2"/>
                <w:spacing w:val="-3"/>
              </w:rPr>
              <w:t xml:space="preserve">, </w:t>
            </w:r>
            <w:r w:rsidRPr="002034A0">
              <w:rPr>
                <w:color w:val="0D0D0D" w:themeColor="text1" w:themeTint="F2"/>
                <w:spacing w:val="-3"/>
              </w:rPr>
              <w:t xml:space="preserve">způsobené </w:t>
            </w:r>
            <w:r>
              <w:rPr>
                <w:color w:val="0D0D0D" w:themeColor="text1" w:themeTint="F2"/>
                <w:spacing w:val="-3"/>
              </w:rPr>
              <w:t>také</w:t>
            </w:r>
            <w:r w:rsidRPr="002034A0">
              <w:rPr>
                <w:color w:val="0D0D0D" w:themeColor="text1" w:themeTint="F2"/>
                <w:spacing w:val="-3"/>
              </w:rPr>
              <w:t xml:space="preserve"> několikatýdenní uzavírkou provozoven některých klíčových exportních podniků. Na samém konci roku se meziměsíční růst produkce zastavil</w:t>
            </w:r>
            <w:r>
              <w:rPr>
                <w:color w:val="0D0D0D" w:themeColor="text1" w:themeTint="F2"/>
                <w:spacing w:val="-3"/>
              </w:rPr>
              <w:t>,</w:t>
            </w:r>
            <w:r w:rsidRPr="002034A0">
              <w:rPr>
                <w:color w:val="0D0D0D" w:themeColor="text1" w:themeTint="F2"/>
                <w:spacing w:val="-3"/>
              </w:rPr>
              <w:t xml:space="preserve"> a</w:t>
            </w:r>
            <w:r>
              <w:rPr>
                <w:color w:val="0D0D0D" w:themeColor="text1" w:themeTint="F2"/>
                <w:spacing w:val="-3"/>
              </w:rPr>
              <w:t> </w:t>
            </w:r>
            <w:r w:rsidRPr="002034A0">
              <w:rPr>
                <w:color w:val="0D0D0D" w:themeColor="text1" w:themeTint="F2"/>
                <w:spacing w:val="-3"/>
              </w:rPr>
              <w:t>v lednu i</w:t>
            </w:r>
            <w:r>
              <w:rPr>
                <w:color w:val="0D0D0D" w:themeColor="text1" w:themeTint="F2"/>
                <w:spacing w:val="-3"/>
              </w:rPr>
              <w:t> </w:t>
            </w:r>
            <w:r w:rsidRPr="002034A0">
              <w:rPr>
                <w:color w:val="0D0D0D" w:themeColor="text1" w:themeTint="F2"/>
                <w:spacing w:val="-3"/>
              </w:rPr>
              <w:t>únoru 2021 dokonce došlo k</w:t>
            </w:r>
            <w:r>
              <w:rPr>
                <w:color w:val="0D0D0D" w:themeColor="text1" w:themeTint="F2"/>
                <w:spacing w:val="-3"/>
              </w:rPr>
              <w:t> </w:t>
            </w:r>
            <w:r w:rsidRPr="002034A0">
              <w:rPr>
                <w:color w:val="0D0D0D" w:themeColor="text1" w:themeTint="F2"/>
                <w:spacing w:val="-3"/>
              </w:rPr>
              <w:t xml:space="preserve">mírnému poklesu. V březnu získal průmysl </w:t>
            </w:r>
            <w:r>
              <w:rPr>
                <w:color w:val="0D0D0D" w:themeColor="text1" w:themeTint="F2"/>
                <w:spacing w:val="-3"/>
              </w:rPr>
              <w:t>díky navýšené tuzemské i zahraniční poptávce nový impulz.</w:t>
            </w:r>
            <w:r w:rsidRPr="002034A0">
              <w:rPr>
                <w:color w:val="0D0D0D" w:themeColor="text1" w:themeTint="F2"/>
                <w:spacing w:val="-3"/>
              </w:rPr>
              <w:t xml:space="preserve"> </w:t>
            </w:r>
            <w:r>
              <w:rPr>
                <w:color w:val="0D0D0D" w:themeColor="text1" w:themeTint="F2"/>
                <w:spacing w:val="-3"/>
              </w:rPr>
              <w:t>J</w:t>
            </w:r>
            <w:r w:rsidRPr="002034A0">
              <w:rPr>
                <w:color w:val="0D0D0D" w:themeColor="text1" w:themeTint="F2"/>
                <w:spacing w:val="-3"/>
              </w:rPr>
              <w:t>eho výkon se navýšil o</w:t>
            </w:r>
            <w:r>
              <w:rPr>
                <w:color w:val="0D0D0D" w:themeColor="text1" w:themeTint="F2"/>
                <w:spacing w:val="-3"/>
              </w:rPr>
              <w:t> </w:t>
            </w:r>
            <w:r w:rsidRPr="002034A0">
              <w:rPr>
                <w:color w:val="0D0D0D" w:themeColor="text1" w:themeTint="F2"/>
                <w:spacing w:val="-3"/>
              </w:rPr>
              <w:t>2,6</w:t>
            </w:r>
            <w:r>
              <w:rPr>
                <w:color w:val="0D0D0D" w:themeColor="text1" w:themeTint="F2"/>
                <w:spacing w:val="-3"/>
              </w:rPr>
              <w:t> %</w:t>
            </w:r>
            <w:r w:rsidRPr="002034A0">
              <w:rPr>
                <w:color w:val="0D0D0D" w:themeColor="text1" w:themeTint="F2"/>
                <w:spacing w:val="-3"/>
              </w:rPr>
              <w:t xml:space="preserve"> a</w:t>
            </w:r>
            <w:r>
              <w:rPr>
                <w:color w:val="0D0D0D" w:themeColor="text1" w:themeTint="F2"/>
                <w:spacing w:val="-3"/>
              </w:rPr>
              <w:t> </w:t>
            </w:r>
            <w:r w:rsidRPr="002034A0">
              <w:rPr>
                <w:color w:val="0D0D0D" w:themeColor="text1" w:themeTint="F2"/>
                <w:spacing w:val="-3"/>
              </w:rPr>
              <w:t>objem produkce se dorovnal úrovni z loňského listopadu.</w:t>
            </w:r>
            <w:r w:rsidRPr="002034A0">
              <w:rPr>
                <w:color w:val="000000" w:themeColor="text1"/>
                <w:spacing w:val="-3"/>
              </w:rPr>
              <w:t xml:space="preserve"> I</w:t>
            </w:r>
            <w:r>
              <w:rPr>
                <w:color w:val="000000" w:themeColor="text1"/>
                <w:spacing w:val="-3"/>
              </w:rPr>
              <w:t> </w:t>
            </w:r>
            <w:r w:rsidRPr="002034A0">
              <w:rPr>
                <w:color w:val="000000" w:themeColor="text1"/>
                <w:spacing w:val="-3"/>
              </w:rPr>
              <w:t xml:space="preserve">přesto však za svým </w:t>
            </w:r>
            <w:proofErr w:type="spellStart"/>
            <w:r w:rsidRPr="002034A0">
              <w:rPr>
                <w:color w:val="000000" w:themeColor="text1"/>
                <w:spacing w:val="-3"/>
              </w:rPr>
              <w:t>předpandemickým</w:t>
            </w:r>
            <w:proofErr w:type="spellEnd"/>
            <w:r w:rsidRPr="002034A0">
              <w:rPr>
                <w:color w:val="000000" w:themeColor="text1"/>
                <w:spacing w:val="-3"/>
              </w:rPr>
              <w:t xml:space="preserve"> maximem </w:t>
            </w:r>
            <w:r>
              <w:rPr>
                <w:color w:val="000000" w:themeColor="text1"/>
                <w:spacing w:val="-3"/>
              </w:rPr>
              <w:t>stále lehce zaostával</w:t>
            </w:r>
            <w:r w:rsidRPr="002034A0">
              <w:rPr>
                <w:rStyle w:val="Znakapoznpodarou"/>
                <w:color w:val="000000" w:themeColor="text1"/>
                <w:spacing w:val="-3"/>
              </w:rPr>
              <w:footnoteReference w:id="19"/>
            </w:r>
            <w:r w:rsidRPr="002034A0">
              <w:rPr>
                <w:color w:val="000000" w:themeColor="text1"/>
                <w:spacing w:val="-3"/>
              </w:rPr>
              <w:t xml:space="preserve">. </w:t>
            </w:r>
            <w:r>
              <w:rPr>
                <w:color w:val="000000" w:themeColor="text1"/>
                <w:spacing w:val="-3"/>
              </w:rPr>
              <w:t>To platilo pro výraznou většinu průmyslových oborů.</w:t>
            </w:r>
          </w:p>
        </w:tc>
      </w:tr>
      <w:tr w:rsidR="00E87CE2" w:rsidRPr="00E87B43" w14:paraId="07A3856F" w14:textId="77777777" w:rsidTr="006F6FF2">
        <w:trPr>
          <w:trHeight w:val="155"/>
        </w:trPr>
        <w:tc>
          <w:tcPr>
            <w:tcW w:w="1728" w:type="dxa"/>
            <w:shd w:val="clear" w:color="auto" w:fill="auto"/>
            <w:tcMar>
              <w:left w:w="0" w:type="dxa"/>
            </w:tcMar>
          </w:tcPr>
          <w:p w14:paraId="00810902" w14:textId="77777777" w:rsidR="00E87CE2" w:rsidRPr="008A4CB5" w:rsidRDefault="00E87CE2" w:rsidP="006F6FF2">
            <w:pPr>
              <w:pStyle w:val="Marginlie"/>
              <w:rPr>
                <w:spacing w:val="-4"/>
              </w:rPr>
            </w:pPr>
            <w:r>
              <w:rPr>
                <w:spacing w:val="-4"/>
              </w:rPr>
              <w:lastRenderedPageBreak/>
              <w:t>Polovinu z meziročního růstu průmyslové produkce zařídila v 1. čtvrtletí samotná výroba motorových vozidel.</w:t>
            </w:r>
          </w:p>
        </w:tc>
        <w:tc>
          <w:tcPr>
            <w:tcW w:w="206" w:type="dxa"/>
            <w:shd w:val="clear" w:color="auto" w:fill="auto"/>
            <w:tcMar>
              <w:left w:w="0" w:type="dxa"/>
            </w:tcMar>
          </w:tcPr>
          <w:p w14:paraId="7143487F" w14:textId="77777777" w:rsidR="00E87CE2" w:rsidRPr="003B1401" w:rsidRDefault="00E87CE2" w:rsidP="006F6FF2">
            <w:pPr>
              <w:pStyle w:val="Textpoznpodarou"/>
              <w:jc w:val="both"/>
              <w:rPr>
                <w:spacing w:val="-4"/>
              </w:rPr>
            </w:pPr>
          </w:p>
        </w:tc>
        <w:tc>
          <w:tcPr>
            <w:tcW w:w="7730" w:type="dxa"/>
            <w:shd w:val="clear" w:color="auto" w:fill="auto"/>
            <w:tcMar>
              <w:left w:w="0" w:type="dxa"/>
            </w:tcMar>
          </w:tcPr>
          <w:p w14:paraId="3D4127E0" w14:textId="77777777" w:rsidR="00E87CE2" w:rsidRPr="00E87B43" w:rsidRDefault="00E87CE2" w:rsidP="00E87CE2">
            <w:pPr>
              <w:rPr>
                <w:color w:val="000000" w:themeColor="text1"/>
                <w:spacing w:val="-4"/>
              </w:rPr>
            </w:pPr>
            <w:r>
              <w:rPr>
                <w:color w:val="000000" w:themeColor="text1"/>
                <w:spacing w:val="-3"/>
              </w:rPr>
              <w:t xml:space="preserve">V úhrnu za 1. čtvrtletí 2021 výkon celého průmyslu meziročně vzrostl o 3,9 %. Stála však za tím především slabší produkce z loňského března, ovlivněná počínající pandemií (ve srovnání s 1. čtvrtletím 2019 byla letošní produkce stále o 0,7 % nižší). K meziročnímu růstu produkce letos téměř z poloviny přispěla výroba motorových vozidel, jejíž výkon se zvýšil o 9,9 % (roli klíčového tahouna celého průmyslu sehrála i ve 4. čtvrtletí 2020). Automobilový průmysl profitoval z rychlého oživení zahraniční poptávky. </w:t>
            </w:r>
            <w:r>
              <w:rPr>
                <w:spacing w:val="-4"/>
              </w:rPr>
              <w:t>Již na konci loňského roku</w:t>
            </w:r>
            <w:r w:rsidRPr="004173F3">
              <w:rPr>
                <w:spacing w:val="-4"/>
              </w:rPr>
              <w:t xml:space="preserve"> přesáhlo využití výrobních kapacit v tomto odvětví 90</w:t>
            </w:r>
            <w:r>
              <w:rPr>
                <w:spacing w:val="-4"/>
              </w:rPr>
              <w:t> %,</w:t>
            </w:r>
            <w:r w:rsidRPr="004173F3">
              <w:rPr>
                <w:spacing w:val="-4"/>
              </w:rPr>
              <w:t xml:space="preserve"> a</w:t>
            </w:r>
            <w:r>
              <w:rPr>
                <w:spacing w:val="-4"/>
              </w:rPr>
              <w:t> </w:t>
            </w:r>
            <w:r w:rsidRPr="004173F3">
              <w:rPr>
                <w:spacing w:val="-4"/>
              </w:rPr>
              <w:t>vrátilo se tak na úroveň obvyklou v</w:t>
            </w:r>
            <w:r>
              <w:rPr>
                <w:spacing w:val="-4"/>
              </w:rPr>
              <w:t xml:space="preserve"> předchozím konjunkturním období. Na začátku 2. čtvrtletí se využití kapacit zintenzivnilo a těsně se přiblížilo </w:t>
            </w:r>
            <w:proofErr w:type="gramStart"/>
            <w:r>
              <w:rPr>
                <w:spacing w:val="-4"/>
              </w:rPr>
              <w:t>ke</w:t>
            </w:r>
            <w:proofErr w:type="gramEnd"/>
            <w:r>
              <w:rPr>
                <w:spacing w:val="-4"/>
              </w:rPr>
              <w:t xml:space="preserve"> 100 %. To se promítlo do fyzického množství vyrobených vozů</w:t>
            </w:r>
            <w:r>
              <w:rPr>
                <w:rStyle w:val="Znakapoznpodarou"/>
                <w:spacing w:val="-4"/>
              </w:rPr>
              <w:footnoteReference w:id="20"/>
            </w:r>
            <w:r>
              <w:rPr>
                <w:spacing w:val="-4"/>
              </w:rPr>
              <w:t>.</w:t>
            </w:r>
          </w:p>
        </w:tc>
      </w:tr>
      <w:tr w:rsidR="00E87CE2" w:rsidRPr="00E87B43" w14:paraId="300D6616" w14:textId="77777777" w:rsidTr="006F6FF2">
        <w:trPr>
          <w:trHeight w:val="155"/>
        </w:trPr>
        <w:tc>
          <w:tcPr>
            <w:tcW w:w="1728" w:type="dxa"/>
            <w:shd w:val="clear" w:color="auto" w:fill="auto"/>
            <w:tcMar>
              <w:left w:w="0" w:type="dxa"/>
            </w:tcMar>
          </w:tcPr>
          <w:p w14:paraId="2742AAA0" w14:textId="77777777" w:rsidR="00E87CE2" w:rsidRDefault="00E87CE2" w:rsidP="006F6FF2">
            <w:pPr>
              <w:pStyle w:val="Marginlie"/>
              <w:rPr>
                <w:spacing w:val="-4"/>
              </w:rPr>
            </w:pPr>
            <w:r>
              <w:rPr>
                <w:spacing w:val="-4"/>
              </w:rPr>
              <w:t>Nadprůměrného růstu produkce docílily letos i další větší exportní obory.</w:t>
            </w:r>
          </w:p>
          <w:p w14:paraId="4398718D" w14:textId="77777777" w:rsidR="00E87CE2" w:rsidRDefault="00E87CE2" w:rsidP="006F6FF2">
            <w:pPr>
              <w:pStyle w:val="Marginlie"/>
              <w:rPr>
                <w:spacing w:val="-4"/>
              </w:rPr>
            </w:pPr>
          </w:p>
          <w:p w14:paraId="4A48F541" w14:textId="77777777" w:rsidR="00E87CE2" w:rsidRDefault="00E87CE2" w:rsidP="006F6FF2">
            <w:pPr>
              <w:pStyle w:val="Marginlie"/>
              <w:rPr>
                <w:spacing w:val="-4"/>
              </w:rPr>
            </w:pPr>
          </w:p>
          <w:p w14:paraId="6BF59FF1" w14:textId="77777777" w:rsidR="00E87CE2" w:rsidRDefault="00E87CE2" w:rsidP="006F6FF2">
            <w:pPr>
              <w:pStyle w:val="Marginlie"/>
              <w:rPr>
                <w:spacing w:val="-4"/>
              </w:rPr>
            </w:pPr>
          </w:p>
          <w:p w14:paraId="4905DEE1" w14:textId="77777777" w:rsidR="00E87CE2" w:rsidRPr="008A4CB5" w:rsidRDefault="00E87CE2" w:rsidP="006F6FF2">
            <w:pPr>
              <w:pStyle w:val="Marginlie"/>
              <w:rPr>
                <w:spacing w:val="-4"/>
              </w:rPr>
            </w:pPr>
            <w:r>
              <w:rPr>
                <w:spacing w:val="-4"/>
              </w:rPr>
              <w:t>Specifická skladba „</w:t>
            </w:r>
            <w:proofErr w:type="spellStart"/>
            <w:r>
              <w:rPr>
                <w:spacing w:val="-4"/>
              </w:rPr>
              <w:t>koronavirové</w:t>
            </w:r>
            <w:proofErr w:type="spellEnd"/>
            <w:r>
              <w:rPr>
                <w:spacing w:val="-4"/>
              </w:rPr>
              <w:t xml:space="preserve"> poptávky“ podpořila výkony výrobců léků či lékařských přístrojů.</w:t>
            </w:r>
          </w:p>
        </w:tc>
        <w:tc>
          <w:tcPr>
            <w:tcW w:w="206" w:type="dxa"/>
            <w:shd w:val="clear" w:color="auto" w:fill="auto"/>
            <w:tcMar>
              <w:left w:w="0" w:type="dxa"/>
            </w:tcMar>
          </w:tcPr>
          <w:p w14:paraId="0144412C" w14:textId="77777777" w:rsidR="00E87CE2" w:rsidRPr="003B1401" w:rsidRDefault="00E87CE2" w:rsidP="006F6FF2">
            <w:pPr>
              <w:pStyle w:val="Textpoznpodarou"/>
              <w:jc w:val="both"/>
              <w:rPr>
                <w:spacing w:val="-4"/>
              </w:rPr>
            </w:pPr>
          </w:p>
        </w:tc>
        <w:tc>
          <w:tcPr>
            <w:tcW w:w="7730" w:type="dxa"/>
            <w:shd w:val="clear" w:color="auto" w:fill="auto"/>
            <w:tcMar>
              <w:left w:w="0" w:type="dxa"/>
            </w:tcMar>
          </w:tcPr>
          <w:p w14:paraId="3284E9E3" w14:textId="77777777" w:rsidR="00E87CE2" w:rsidRPr="00E87B43" w:rsidRDefault="00E87CE2" w:rsidP="00E87CE2">
            <w:pPr>
              <w:rPr>
                <w:color w:val="000000" w:themeColor="text1"/>
                <w:spacing w:val="-4"/>
              </w:rPr>
            </w:pPr>
            <w:r>
              <w:rPr>
                <w:color w:val="000000" w:themeColor="text1"/>
                <w:spacing w:val="-4"/>
              </w:rPr>
              <w:t>Dobré výsledky si v 1. čtvrtletí připsala i velká část větších, výrazněji exportně zaměřených průmyslových oborů. Šlo zejména o ty silně navázané na automobilový průmysl – výrobu elektrických zařízení spolu s gumárenstvím a </w:t>
            </w:r>
            <w:proofErr w:type="spellStart"/>
            <w:r>
              <w:rPr>
                <w:color w:val="000000" w:themeColor="text1"/>
                <w:spacing w:val="-4"/>
              </w:rPr>
              <w:t>plastikářstvím</w:t>
            </w:r>
            <w:proofErr w:type="spellEnd"/>
            <w:r>
              <w:rPr>
                <w:color w:val="000000" w:themeColor="text1"/>
                <w:spacing w:val="-4"/>
              </w:rPr>
              <w:t>. Produkce v nich rostla okolo 6</w:t>
            </w:r>
            <w:r>
              <w:rPr>
                <w:color w:val="000000" w:themeColor="text1"/>
                <w:spacing w:val="-3"/>
              </w:rPr>
              <w:t> </w:t>
            </w:r>
            <w:r>
              <w:rPr>
                <w:color w:val="000000" w:themeColor="text1"/>
                <w:spacing w:val="-4"/>
              </w:rPr>
              <w:t>% (a na vyšším výkonu celého průmyslu participovala 0,9 p. b.). Jen o málo slabší tempa růstu měla kovovýroba, hutnictví, chemický průmysl či v</w:t>
            </w:r>
            <w:r w:rsidRPr="00840FD9">
              <w:rPr>
                <w:color w:val="000000" w:themeColor="text1"/>
                <w:spacing w:val="-4"/>
              </w:rPr>
              <w:t>ýroba počítačů, elektronických a</w:t>
            </w:r>
            <w:r>
              <w:rPr>
                <w:color w:val="000000" w:themeColor="text1"/>
                <w:spacing w:val="-4"/>
              </w:rPr>
              <w:t> </w:t>
            </w:r>
            <w:r w:rsidRPr="00840FD9">
              <w:rPr>
                <w:color w:val="000000" w:themeColor="text1"/>
                <w:spacing w:val="-4"/>
              </w:rPr>
              <w:t>optických přístrojů a</w:t>
            </w:r>
            <w:r>
              <w:rPr>
                <w:color w:val="000000" w:themeColor="text1"/>
                <w:spacing w:val="-4"/>
              </w:rPr>
              <w:t> </w:t>
            </w:r>
            <w:r w:rsidRPr="00840FD9">
              <w:rPr>
                <w:color w:val="000000" w:themeColor="text1"/>
                <w:spacing w:val="-4"/>
              </w:rPr>
              <w:t>zařízení</w:t>
            </w:r>
            <w:r>
              <w:rPr>
                <w:color w:val="000000" w:themeColor="text1"/>
                <w:spacing w:val="-4"/>
              </w:rPr>
              <w:t>. Dále se dařilo i oborům, jimž pomáhala specifická skladba poptávky za</w:t>
            </w:r>
            <w:r w:rsidRPr="004173F3">
              <w:rPr>
                <w:color w:val="000000" w:themeColor="text1"/>
                <w:spacing w:val="-4"/>
              </w:rPr>
              <w:t xml:space="preserve"> </w:t>
            </w:r>
            <w:proofErr w:type="spellStart"/>
            <w:r w:rsidRPr="004173F3">
              <w:rPr>
                <w:color w:val="000000" w:themeColor="text1"/>
                <w:spacing w:val="-4"/>
              </w:rPr>
              <w:t>koronavirové</w:t>
            </w:r>
            <w:proofErr w:type="spellEnd"/>
            <w:r w:rsidRPr="004173F3">
              <w:rPr>
                <w:color w:val="000000" w:themeColor="text1"/>
                <w:spacing w:val="-4"/>
              </w:rPr>
              <w:t xml:space="preserve"> krize</w:t>
            </w:r>
            <w:r>
              <w:rPr>
                <w:color w:val="000000" w:themeColor="text1"/>
                <w:spacing w:val="-4"/>
              </w:rPr>
              <w:t>.</w:t>
            </w:r>
            <w:r w:rsidRPr="004173F3">
              <w:rPr>
                <w:color w:val="000000" w:themeColor="text1"/>
                <w:spacing w:val="-4"/>
              </w:rPr>
              <w:t xml:space="preserve"> </w:t>
            </w:r>
            <w:r>
              <w:rPr>
                <w:color w:val="000000" w:themeColor="text1"/>
                <w:spacing w:val="-4"/>
              </w:rPr>
              <w:t xml:space="preserve">Produkce farmaceutického průmyslu vzrostla letos o 4,8 % (za dva roky o 13,3 %). Tzv. ostatní zpracovatelský průmysl (zahrnující </w:t>
            </w:r>
            <w:r w:rsidRPr="004173F3">
              <w:rPr>
                <w:color w:val="000000" w:themeColor="text1"/>
                <w:spacing w:val="-4"/>
              </w:rPr>
              <w:t>i</w:t>
            </w:r>
            <w:r>
              <w:rPr>
                <w:color w:val="000000" w:themeColor="text1"/>
                <w:spacing w:val="-4"/>
              </w:rPr>
              <w:t> </w:t>
            </w:r>
            <w:r w:rsidRPr="004173F3">
              <w:rPr>
                <w:color w:val="000000" w:themeColor="text1"/>
                <w:spacing w:val="-4"/>
              </w:rPr>
              <w:t>výrobu lékařskýc</w:t>
            </w:r>
            <w:r>
              <w:rPr>
                <w:color w:val="000000" w:themeColor="text1"/>
                <w:spacing w:val="-4"/>
              </w:rPr>
              <w:t>h potřeb či výrobu her a hraček) meziročně posílil o 11 %. Do samostatné kategorie patří růstové obory, jejichž výkony nebyly pandemickou recesí zasaženy. Jde o </w:t>
            </w:r>
            <w:r>
              <w:rPr>
                <w:spacing w:val="-4"/>
              </w:rPr>
              <w:t>dřevozpracující a papírenský průmysl, vyznačující se úzkou vazbou na primární sektor i větší orientací na tuzemský trh. Jejich produkce byla letos ve srovnání s 1. kvartálem 2019 vyšší o 21 %, resp. 8,5 %.</w:t>
            </w:r>
          </w:p>
        </w:tc>
      </w:tr>
      <w:tr w:rsidR="00E87CE2" w:rsidRPr="005C6368" w14:paraId="276BB231" w14:textId="77777777" w:rsidTr="006F6FF2">
        <w:trPr>
          <w:trHeight w:val="155"/>
        </w:trPr>
        <w:tc>
          <w:tcPr>
            <w:tcW w:w="1728" w:type="dxa"/>
            <w:shd w:val="clear" w:color="auto" w:fill="auto"/>
            <w:tcMar>
              <w:left w:w="0" w:type="dxa"/>
            </w:tcMar>
          </w:tcPr>
          <w:p w14:paraId="0D1216F3" w14:textId="77777777" w:rsidR="00E87CE2" w:rsidRDefault="00E87CE2" w:rsidP="006F6FF2">
            <w:pPr>
              <w:pStyle w:val="Marginlie"/>
              <w:rPr>
                <w:spacing w:val="-4"/>
              </w:rPr>
            </w:pPr>
            <w:r>
              <w:rPr>
                <w:spacing w:val="-4"/>
              </w:rPr>
              <w:t>Hlubší pokles produkce v důsledku ochromení tradičních prodejních kanálů postihl výrobce nápojů i oděvů.</w:t>
            </w:r>
          </w:p>
          <w:p w14:paraId="0A0725E9" w14:textId="77777777" w:rsidR="00E87CE2" w:rsidRDefault="00E87CE2" w:rsidP="006F6FF2">
            <w:pPr>
              <w:pStyle w:val="Marginlie"/>
              <w:rPr>
                <w:spacing w:val="-4"/>
              </w:rPr>
            </w:pPr>
          </w:p>
          <w:p w14:paraId="4F460B43" w14:textId="77777777" w:rsidR="00E87CE2" w:rsidRDefault="00E87CE2" w:rsidP="006F6FF2">
            <w:pPr>
              <w:pStyle w:val="Marginlie"/>
              <w:rPr>
                <w:spacing w:val="-4"/>
              </w:rPr>
            </w:pPr>
          </w:p>
          <w:p w14:paraId="4D2AE098" w14:textId="77777777" w:rsidR="00E87CE2" w:rsidRDefault="00E87CE2" w:rsidP="006F6FF2">
            <w:pPr>
              <w:pStyle w:val="Marginlie"/>
              <w:rPr>
                <w:spacing w:val="-4"/>
              </w:rPr>
            </w:pPr>
          </w:p>
          <w:p w14:paraId="00F701E3" w14:textId="77777777" w:rsidR="00E87CE2" w:rsidRDefault="00E87CE2" w:rsidP="006F6FF2">
            <w:pPr>
              <w:pStyle w:val="Marginlie"/>
              <w:rPr>
                <w:spacing w:val="-4"/>
              </w:rPr>
            </w:pPr>
          </w:p>
          <w:p w14:paraId="1F100CB3" w14:textId="77777777" w:rsidR="00E87CE2" w:rsidRPr="008A4CB5" w:rsidRDefault="00E87CE2" w:rsidP="006F6FF2">
            <w:pPr>
              <w:pStyle w:val="Marginlie"/>
              <w:rPr>
                <w:spacing w:val="-4"/>
              </w:rPr>
            </w:pPr>
            <w:r>
              <w:rPr>
                <w:spacing w:val="-4"/>
              </w:rPr>
              <w:t>Rychlejšímu oživení strojírenství stála dosud v cestě oslabená investiční aktivita v tuzemsku i eurozóně.</w:t>
            </w:r>
          </w:p>
        </w:tc>
        <w:tc>
          <w:tcPr>
            <w:tcW w:w="206" w:type="dxa"/>
            <w:shd w:val="clear" w:color="auto" w:fill="auto"/>
            <w:tcMar>
              <w:left w:w="0" w:type="dxa"/>
            </w:tcMar>
          </w:tcPr>
          <w:p w14:paraId="45C40173" w14:textId="77777777" w:rsidR="00E87CE2" w:rsidRPr="003B1401" w:rsidRDefault="00E87CE2" w:rsidP="006F6FF2">
            <w:pPr>
              <w:pStyle w:val="Textpoznpodarou"/>
              <w:jc w:val="both"/>
              <w:rPr>
                <w:spacing w:val="-4"/>
              </w:rPr>
            </w:pPr>
          </w:p>
        </w:tc>
        <w:tc>
          <w:tcPr>
            <w:tcW w:w="7730" w:type="dxa"/>
            <w:shd w:val="clear" w:color="auto" w:fill="auto"/>
            <w:tcMar>
              <w:left w:w="0" w:type="dxa"/>
            </w:tcMar>
          </w:tcPr>
          <w:p w14:paraId="0B7876A1" w14:textId="77777777" w:rsidR="00E87CE2" w:rsidRPr="006065E2" w:rsidRDefault="00E87CE2" w:rsidP="00E87CE2">
            <w:pPr>
              <w:rPr>
                <w:color w:val="000000" w:themeColor="text1"/>
                <w:spacing w:val="-6"/>
              </w:rPr>
            </w:pPr>
            <w:r w:rsidRPr="006065E2">
              <w:rPr>
                <w:color w:val="000000" w:themeColor="text1"/>
                <w:spacing w:val="-6"/>
              </w:rPr>
              <w:t>Naopak ve většině menších zpracovatelských oborů, jimž se v</w:t>
            </w:r>
            <w:r>
              <w:rPr>
                <w:color w:val="000000" w:themeColor="text1"/>
                <w:spacing w:val="-6"/>
              </w:rPr>
              <w:t> </w:t>
            </w:r>
            <w:r w:rsidRPr="006065E2">
              <w:rPr>
                <w:color w:val="000000" w:themeColor="text1"/>
                <w:spacing w:val="-6"/>
              </w:rPr>
              <w:t xml:space="preserve">éře </w:t>
            </w:r>
            <w:proofErr w:type="spellStart"/>
            <w:r w:rsidRPr="006065E2">
              <w:rPr>
                <w:color w:val="000000" w:themeColor="text1"/>
                <w:spacing w:val="-6"/>
              </w:rPr>
              <w:t>předpandemické</w:t>
            </w:r>
            <w:proofErr w:type="spellEnd"/>
            <w:r w:rsidRPr="006065E2">
              <w:rPr>
                <w:color w:val="000000" w:themeColor="text1"/>
                <w:spacing w:val="-6"/>
              </w:rPr>
              <w:t xml:space="preserve"> konjunktury vesměs dařilo, produkce letos klesala. To se týkalo zejména oděvnického a nápojového průmyslu, které strádaly v důsledku nucené uzávěry svých tradičních tuzemských odbytišť i</w:t>
            </w:r>
            <w:r>
              <w:rPr>
                <w:color w:val="000000" w:themeColor="text1"/>
                <w:spacing w:val="-6"/>
              </w:rPr>
              <w:t xml:space="preserve"> kvůli </w:t>
            </w:r>
            <w:r w:rsidRPr="006065E2">
              <w:rPr>
                <w:spacing w:val="-6"/>
              </w:rPr>
              <w:t>propadu příjezdového cestovního ruchu</w:t>
            </w:r>
            <w:r w:rsidRPr="006065E2">
              <w:rPr>
                <w:color w:val="000000" w:themeColor="text1"/>
                <w:spacing w:val="-6"/>
              </w:rPr>
              <w:t>. Nedařilo se ani kožedělnému i</w:t>
            </w:r>
            <w:r>
              <w:rPr>
                <w:color w:val="000000" w:themeColor="text1"/>
                <w:spacing w:val="-6"/>
              </w:rPr>
              <w:t> </w:t>
            </w:r>
            <w:r w:rsidRPr="006065E2">
              <w:rPr>
                <w:color w:val="000000" w:themeColor="text1"/>
                <w:spacing w:val="-6"/>
              </w:rPr>
              <w:t>obuvnickému průmyslu, jehož útlum má ale dlouhodobější povahu. Produkce ve všech těchto oborech se letos nacházela o</w:t>
            </w:r>
            <w:r>
              <w:rPr>
                <w:color w:val="000000" w:themeColor="text1"/>
                <w:spacing w:val="-6"/>
              </w:rPr>
              <w:t> </w:t>
            </w:r>
            <w:r w:rsidRPr="006065E2">
              <w:rPr>
                <w:color w:val="000000" w:themeColor="text1"/>
                <w:spacing w:val="-6"/>
              </w:rPr>
              <w:t>více než šestinu pod úrovní 1.</w:t>
            </w:r>
            <w:r>
              <w:rPr>
                <w:color w:val="000000" w:themeColor="text1"/>
                <w:spacing w:val="-6"/>
              </w:rPr>
              <w:t> čtvrtlet</w:t>
            </w:r>
            <w:r w:rsidRPr="006065E2">
              <w:rPr>
                <w:color w:val="000000" w:themeColor="text1"/>
                <w:spacing w:val="-6"/>
              </w:rPr>
              <w:t>í 2019. Mírně nad touto hladinou se naopak nacházelo potravinářství, a</w:t>
            </w:r>
            <w:r>
              <w:rPr>
                <w:color w:val="000000" w:themeColor="text1"/>
                <w:spacing w:val="-6"/>
              </w:rPr>
              <w:t> </w:t>
            </w:r>
            <w:r w:rsidRPr="006065E2">
              <w:rPr>
                <w:color w:val="000000" w:themeColor="text1"/>
                <w:spacing w:val="-6"/>
              </w:rPr>
              <w:t>to přesto, že jeho produkce se letos meziročně lehce snížila (o</w:t>
            </w:r>
            <w:r>
              <w:rPr>
                <w:color w:val="000000" w:themeColor="text1"/>
                <w:spacing w:val="-6"/>
              </w:rPr>
              <w:t> </w:t>
            </w:r>
            <w:r w:rsidRPr="006065E2">
              <w:rPr>
                <w:color w:val="000000" w:themeColor="text1"/>
                <w:spacing w:val="-6"/>
              </w:rPr>
              <w:t>2,5</w:t>
            </w:r>
            <w:r>
              <w:rPr>
                <w:color w:val="000000" w:themeColor="text1"/>
                <w:spacing w:val="-6"/>
              </w:rPr>
              <w:t> %</w:t>
            </w:r>
            <w:r w:rsidRPr="006065E2">
              <w:rPr>
                <w:color w:val="000000" w:themeColor="text1"/>
                <w:spacing w:val="-6"/>
              </w:rPr>
              <w:t>). Z váhově významnějších oborů zaostávalo strojírenství, jehož pomalé oživení má na svědomí dosud utlumená investiční aktivita v tuzemsku i</w:t>
            </w:r>
            <w:r>
              <w:rPr>
                <w:color w:val="000000" w:themeColor="text1"/>
                <w:spacing w:val="-6"/>
              </w:rPr>
              <w:t> </w:t>
            </w:r>
            <w:r w:rsidRPr="006065E2">
              <w:rPr>
                <w:color w:val="000000" w:themeColor="text1"/>
                <w:spacing w:val="-6"/>
              </w:rPr>
              <w:t>v eurozóně</w:t>
            </w:r>
            <w:r w:rsidRPr="006065E2">
              <w:rPr>
                <w:rStyle w:val="Znakapoznpodarou"/>
                <w:color w:val="000000" w:themeColor="text1"/>
                <w:spacing w:val="-6"/>
              </w:rPr>
              <w:footnoteReference w:id="21"/>
            </w:r>
            <w:r w:rsidRPr="006065E2">
              <w:rPr>
                <w:color w:val="000000" w:themeColor="text1"/>
                <w:spacing w:val="-6"/>
              </w:rPr>
              <w:t>. Navzdory nízké loňské základně se výkon tuzemského strojírenství meziročně zvýšil jen o</w:t>
            </w:r>
            <w:r>
              <w:rPr>
                <w:color w:val="000000" w:themeColor="text1"/>
                <w:spacing w:val="-6"/>
              </w:rPr>
              <w:t> </w:t>
            </w:r>
            <w:r w:rsidRPr="006065E2">
              <w:rPr>
                <w:color w:val="000000" w:themeColor="text1"/>
                <w:spacing w:val="-6"/>
              </w:rPr>
              <w:t>0,8</w:t>
            </w:r>
            <w:r>
              <w:rPr>
                <w:color w:val="000000" w:themeColor="text1"/>
                <w:spacing w:val="-6"/>
              </w:rPr>
              <w:t> %</w:t>
            </w:r>
            <w:r w:rsidRPr="006065E2">
              <w:rPr>
                <w:color w:val="000000" w:themeColor="text1"/>
                <w:spacing w:val="-6"/>
              </w:rPr>
              <w:t>. V příbuzném oboru opravy a</w:t>
            </w:r>
            <w:r>
              <w:rPr>
                <w:color w:val="000000" w:themeColor="text1"/>
                <w:spacing w:val="-6"/>
              </w:rPr>
              <w:t> </w:t>
            </w:r>
            <w:r w:rsidRPr="006065E2">
              <w:rPr>
                <w:color w:val="000000" w:themeColor="text1"/>
                <w:spacing w:val="-6"/>
              </w:rPr>
              <w:t>instalace strojů a</w:t>
            </w:r>
            <w:r>
              <w:rPr>
                <w:color w:val="000000" w:themeColor="text1"/>
                <w:spacing w:val="-6"/>
              </w:rPr>
              <w:t> </w:t>
            </w:r>
            <w:r w:rsidRPr="006065E2">
              <w:rPr>
                <w:color w:val="000000" w:themeColor="text1"/>
                <w:spacing w:val="-6"/>
              </w:rPr>
              <w:t>zařízení se útlum poptávky objevil s určitým zpožděním. Letos zde ovšem produkce propadla meziročně o</w:t>
            </w:r>
            <w:r>
              <w:rPr>
                <w:color w:val="000000" w:themeColor="text1"/>
                <w:spacing w:val="-6"/>
              </w:rPr>
              <w:t> </w:t>
            </w:r>
            <w:r w:rsidRPr="006065E2">
              <w:rPr>
                <w:color w:val="000000" w:themeColor="text1"/>
                <w:spacing w:val="-6"/>
              </w:rPr>
              <w:t>desetinu a</w:t>
            </w:r>
            <w:r>
              <w:rPr>
                <w:color w:val="000000" w:themeColor="text1"/>
                <w:spacing w:val="-6"/>
              </w:rPr>
              <w:t> </w:t>
            </w:r>
            <w:r w:rsidRPr="006065E2">
              <w:rPr>
                <w:color w:val="000000" w:themeColor="text1"/>
                <w:spacing w:val="-6"/>
              </w:rPr>
              <w:t>růst průmyslu tlumila ze všech jeho oborů nejvíce (</w:t>
            </w:r>
            <w:proofErr w:type="gramStart"/>
            <w:r w:rsidRPr="006065E2">
              <w:rPr>
                <w:color w:val="000000" w:themeColor="text1"/>
                <w:spacing w:val="-6"/>
              </w:rPr>
              <w:t>příspěvek</w:t>
            </w:r>
            <w:proofErr w:type="gramEnd"/>
            <w:r w:rsidRPr="006065E2">
              <w:rPr>
                <w:color w:val="000000" w:themeColor="text1"/>
                <w:spacing w:val="-6"/>
              </w:rPr>
              <w:t xml:space="preserve"> –</w:t>
            </w:r>
            <w:proofErr w:type="gramStart"/>
            <w:r w:rsidRPr="006065E2">
              <w:rPr>
                <w:color w:val="000000" w:themeColor="text1"/>
                <w:spacing w:val="-6"/>
              </w:rPr>
              <w:t>0,24</w:t>
            </w:r>
            <w:proofErr w:type="gramEnd"/>
            <w:r>
              <w:rPr>
                <w:color w:val="000000" w:themeColor="text1"/>
                <w:spacing w:val="-6"/>
              </w:rPr>
              <w:t> p. b.</w:t>
            </w:r>
            <w:r w:rsidRPr="006065E2">
              <w:rPr>
                <w:color w:val="000000" w:themeColor="text1"/>
                <w:spacing w:val="-6"/>
              </w:rPr>
              <w:t>).</w:t>
            </w:r>
          </w:p>
        </w:tc>
      </w:tr>
      <w:tr w:rsidR="00E87CE2" w:rsidRPr="00E87B43" w14:paraId="408159D5" w14:textId="77777777" w:rsidTr="006F6FF2">
        <w:trPr>
          <w:trHeight w:val="155"/>
        </w:trPr>
        <w:tc>
          <w:tcPr>
            <w:tcW w:w="1728" w:type="dxa"/>
            <w:shd w:val="clear" w:color="auto" w:fill="auto"/>
            <w:tcMar>
              <w:left w:w="0" w:type="dxa"/>
            </w:tcMar>
          </w:tcPr>
          <w:p w14:paraId="699FC203" w14:textId="77777777" w:rsidR="00E87CE2" w:rsidRDefault="00E87CE2" w:rsidP="006F6FF2">
            <w:pPr>
              <w:pStyle w:val="Marginlie"/>
              <w:rPr>
                <w:spacing w:val="-4"/>
              </w:rPr>
            </w:pPr>
            <w:r>
              <w:rPr>
                <w:spacing w:val="-4"/>
              </w:rPr>
              <w:t>Hlubší pokles těžby uhlí i stavebních surovin pokračoval.</w:t>
            </w:r>
          </w:p>
          <w:p w14:paraId="30E2E07B" w14:textId="77777777" w:rsidR="00E87CE2" w:rsidRDefault="00E87CE2" w:rsidP="006F6FF2">
            <w:pPr>
              <w:pStyle w:val="Marginlie"/>
              <w:rPr>
                <w:spacing w:val="-4"/>
              </w:rPr>
            </w:pPr>
          </w:p>
          <w:p w14:paraId="0ACA9E09" w14:textId="77777777" w:rsidR="00E87CE2" w:rsidRPr="008A4CB5" w:rsidRDefault="00E87CE2" w:rsidP="006F6FF2">
            <w:pPr>
              <w:pStyle w:val="Marginlie"/>
              <w:rPr>
                <w:spacing w:val="-4"/>
              </w:rPr>
            </w:pPr>
            <w:r>
              <w:rPr>
                <w:spacing w:val="-4"/>
              </w:rPr>
              <w:t xml:space="preserve">K oživení v energetice přispěla vyšší spotřeba </w:t>
            </w:r>
            <w:r>
              <w:rPr>
                <w:spacing w:val="-4"/>
              </w:rPr>
              <w:lastRenderedPageBreak/>
              <w:t>elektřiny i plynu v domácnostech.</w:t>
            </w:r>
          </w:p>
        </w:tc>
        <w:tc>
          <w:tcPr>
            <w:tcW w:w="206" w:type="dxa"/>
            <w:shd w:val="clear" w:color="auto" w:fill="auto"/>
            <w:tcMar>
              <w:left w:w="0" w:type="dxa"/>
            </w:tcMar>
          </w:tcPr>
          <w:p w14:paraId="1A1D8076" w14:textId="77777777" w:rsidR="00E87CE2" w:rsidRPr="003B1401" w:rsidRDefault="00E87CE2" w:rsidP="006F6FF2">
            <w:pPr>
              <w:pStyle w:val="Textpoznpodarou"/>
              <w:jc w:val="both"/>
              <w:rPr>
                <w:spacing w:val="-4"/>
              </w:rPr>
            </w:pPr>
          </w:p>
        </w:tc>
        <w:tc>
          <w:tcPr>
            <w:tcW w:w="7730" w:type="dxa"/>
            <w:shd w:val="clear" w:color="auto" w:fill="auto"/>
            <w:tcMar>
              <w:left w:w="0" w:type="dxa"/>
            </w:tcMar>
          </w:tcPr>
          <w:p w14:paraId="78D5E364" w14:textId="77777777" w:rsidR="00E87CE2" w:rsidRPr="00E87B43" w:rsidRDefault="00E87CE2" w:rsidP="00E87CE2">
            <w:pPr>
              <w:rPr>
                <w:color w:val="000000" w:themeColor="text1"/>
                <w:spacing w:val="-4"/>
              </w:rPr>
            </w:pPr>
            <w:r>
              <w:rPr>
                <w:color w:val="000000" w:themeColor="text1"/>
                <w:spacing w:val="-4"/>
              </w:rPr>
              <w:t>Mimo zpracovatelský průmysl pokračoval dlouhodobý útlum těžby a dobývání, jenž se v posledních letech prohluboval</w:t>
            </w:r>
            <w:r>
              <w:rPr>
                <w:rStyle w:val="Znakapoznpodarou"/>
                <w:color w:val="000000" w:themeColor="text1"/>
                <w:spacing w:val="-4"/>
              </w:rPr>
              <w:footnoteReference w:id="22"/>
            </w:r>
            <w:r>
              <w:rPr>
                <w:color w:val="000000" w:themeColor="text1"/>
                <w:spacing w:val="-4"/>
              </w:rPr>
              <w:t>. Na letošním poklesu produkce (o 5,7 % meziročně) se vedle dosud dominantní těžby uhlí významněji podílela i těžba ostatních (hlavně stavebních) surovin. To v energetice produkce meziročně vzrostla o 4,8 %</w:t>
            </w:r>
            <w:r>
              <w:rPr>
                <w:rStyle w:val="Znakapoznpodarou"/>
                <w:color w:val="000000" w:themeColor="text1"/>
                <w:spacing w:val="-4"/>
              </w:rPr>
              <w:footnoteReference w:id="23"/>
            </w:r>
            <w:r>
              <w:rPr>
                <w:color w:val="000000" w:themeColor="text1"/>
                <w:spacing w:val="-4"/>
              </w:rPr>
              <w:t xml:space="preserve">, propad z první poloviny loňského roku však zatím nebyl plně kompenzován. Pozitivně se projevila vyšší spotřeba </w:t>
            </w:r>
            <w:r>
              <w:rPr>
                <w:color w:val="000000" w:themeColor="text1"/>
                <w:spacing w:val="-4"/>
              </w:rPr>
              <w:lastRenderedPageBreak/>
              <w:t xml:space="preserve">zemního plynu i elektřiny v domácnostech, zčásti vlivem chladnější zimy. Dopad mělo patrně i výrazné omezení mobility obyvatelstva, uzavření škol i častější využívání práce z domova. </w:t>
            </w:r>
          </w:p>
        </w:tc>
      </w:tr>
      <w:tr w:rsidR="00E87CE2" w:rsidRPr="00965AD0" w14:paraId="72FEC929" w14:textId="77777777" w:rsidTr="006F6FF2">
        <w:trPr>
          <w:trHeight w:val="155"/>
        </w:trPr>
        <w:tc>
          <w:tcPr>
            <w:tcW w:w="1728" w:type="dxa"/>
            <w:shd w:val="clear" w:color="auto" w:fill="auto"/>
            <w:tcMar>
              <w:left w:w="0" w:type="dxa"/>
            </w:tcMar>
          </w:tcPr>
          <w:p w14:paraId="3D600670" w14:textId="77777777" w:rsidR="00E87CE2" w:rsidRPr="00BE54BF" w:rsidRDefault="00E87CE2" w:rsidP="006F6FF2">
            <w:pPr>
              <w:pStyle w:val="Marginlie"/>
            </w:pPr>
          </w:p>
        </w:tc>
        <w:tc>
          <w:tcPr>
            <w:tcW w:w="206" w:type="dxa"/>
            <w:shd w:val="clear" w:color="auto" w:fill="auto"/>
            <w:tcMar>
              <w:left w:w="0" w:type="dxa"/>
            </w:tcMar>
          </w:tcPr>
          <w:p w14:paraId="27E3CA29" w14:textId="77777777" w:rsidR="00E87CE2" w:rsidRPr="003B1401" w:rsidRDefault="00E87CE2" w:rsidP="006F6FF2">
            <w:pPr>
              <w:pStyle w:val="Textpoznpodarou"/>
              <w:jc w:val="both"/>
              <w:rPr>
                <w:spacing w:val="-4"/>
              </w:rPr>
            </w:pPr>
          </w:p>
        </w:tc>
        <w:tc>
          <w:tcPr>
            <w:tcW w:w="7730" w:type="dxa"/>
            <w:shd w:val="clear" w:color="auto" w:fill="auto"/>
            <w:tcMar>
              <w:left w:w="0" w:type="dxa"/>
            </w:tcMar>
          </w:tcPr>
          <w:p w14:paraId="68CF47B5" w14:textId="77777777" w:rsidR="00E87CE2" w:rsidRPr="00965AD0" w:rsidRDefault="00E87CE2" w:rsidP="006F6FF2">
            <w:pPr>
              <w:spacing w:after="0"/>
              <w:rPr>
                <w:spacing w:val="-4"/>
              </w:rPr>
            </w:pPr>
            <w:r w:rsidRPr="00883202">
              <w:rPr>
                <w:rFonts w:cs="Arial"/>
                <w:b/>
                <w:bCs/>
                <w:color w:val="000000"/>
                <w:szCs w:val="20"/>
              </w:rPr>
              <w:t>Graf č. 4</w:t>
            </w:r>
            <w:r>
              <w:rPr>
                <w:rFonts w:cs="Arial"/>
                <w:b/>
                <w:bCs/>
                <w:color w:val="000000"/>
                <w:szCs w:val="20"/>
              </w:rPr>
              <w:t xml:space="preserve"> </w:t>
            </w:r>
            <w:r w:rsidRPr="00883202">
              <w:rPr>
                <w:rFonts w:cs="Arial"/>
                <w:b/>
                <w:bCs/>
                <w:color w:val="000000"/>
                <w:szCs w:val="20"/>
              </w:rPr>
              <w:t xml:space="preserve"> </w:t>
            </w:r>
            <w:r w:rsidRPr="00883202">
              <w:rPr>
                <w:b/>
              </w:rPr>
              <w:t>Příspěvky dílčích odvětví k meziroční změně průmyslové produkce</w:t>
            </w:r>
            <w:r w:rsidRPr="00883202">
              <w:rPr>
                <w:b/>
              </w:rPr>
              <w:br/>
            </w:r>
            <w:r>
              <w:t>(v p. b., očištěno o kalendářní</w:t>
            </w:r>
            <w:r w:rsidRPr="00883202">
              <w:t xml:space="preserve"> vlivy)</w:t>
            </w:r>
            <w:r w:rsidRPr="00883202">
              <w:rPr>
                <w:b/>
                <w:bCs/>
              </w:rPr>
              <w:t xml:space="preserve">, </w:t>
            </w:r>
            <w:r w:rsidRPr="00883202">
              <w:rPr>
                <w:b/>
              </w:rPr>
              <w:t xml:space="preserve">saldo důvěry v průmyslu* </w:t>
            </w:r>
            <w:r w:rsidRPr="00883202">
              <w:t xml:space="preserve">(v p. b., </w:t>
            </w:r>
            <w:proofErr w:type="spellStart"/>
            <w:r w:rsidRPr="00883202">
              <w:t>pr</w:t>
            </w:r>
            <w:proofErr w:type="spellEnd"/>
            <w:r w:rsidRPr="00883202">
              <w:t>. </w:t>
            </w:r>
            <w:proofErr w:type="gramStart"/>
            <w:r w:rsidRPr="00883202">
              <w:t>osa</w:t>
            </w:r>
            <w:proofErr w:type="gramEnd"/>
            <w:r w:rsidRPr="00883202">
              <w:t>)</w:t>
            </w:r>
          </w:p>
        </w:tc>
      </w:tr>
      <w:tr w:rsidR="00E87CE2" w:rsidRPr="00241E62" w14:paraId="2505B231" w14:textId="77777777" w:rsidTr="006F6FF2">
        <w:tblPrEx>
          <w:tblCellMar>
            <w:left w:w="70" w:type="dxa"/>
            <w:right w:w="70" w:type="dxa"/>
          </w:tblCellMar>
        </w:tblPrEx>
        <w:trPr>
          <w:trHeight w:val="145"/>
        </w:trPr>
        <w:tc>
          <w:tcPr>
            <w:tcW w:w="1728" w:type="dxa"/>
            <w:shd w:val="clear" w:color="auto" w:fill="auto"/>
          </w:tcPr>
          <w:p w14:paraId="33782501" w14:textId="77777777" w:rsidR="00E87CE2" w:rsidRDefault="00E87CE2" w:rsidP="006F6FF2">
            <w:pPr>
              <w:pStyle w:val="Marginlie"/>
              <w:rPr>
                <w:spacing w:val="-4"/>
              </w:rPr>
            </w:pPr>
          </w:p>
        </w:tc>
        <w:tc>
          <w:tcPr>
            <w:tcW w:w="206" w:type="dxa"/>
            <w:shd w:val="clear" w:color="auto" w:fill="auto"/>
          </w:tcPr>
          <w:p w14:paraId="23305BA0" w14:textId="77777777" w:rsidR="00E87CE2" w:rsidRPr="00B43216" w:rsidRDefault="00E87CE2" w:rsidP="006F6FF2">
            <w:pPr>
              <w:pStyle w:val="Textpoznpodarou"/>
              <w:jc w:val="both"/>
              <w:rPr>
                <w:spacing w:val="-4"/>
              </w:rPr>
            </w:pPr>
          </w:p>
        </w:tc>
        <w:tc>
          <w:tcPr>
            <w:tcW w:w="7730" w:type="dxa"/>
            <w:shd w:val="clear" w:color="auto" w:fill="auto"/>
          </w:tcPr>
          <w:p w14:paraId="1137CED0" w14:textId="77777777" w:rsidR="00E87CE2" w:rsidRPr="00241E62" w:rsidRDefault="00E87CE2" w:rsidP="006F6FF2">
            <w:pPr>
              <w:spacing w:after="40"/>
              <w:rPr>
                <w:rFonts w:cs="Arial"/>
                <w:bCs/>
                <w:color w:val="000000"/>
                <w:szCs w:val="20"/>
              </w:rPr>
            </w:pPr>
            <w:r>
              <w:rPr>
                <w:noProof/>
              </w:rPr>
              <w:drawing>
                <wp:inline distT="0" distB="0" distL="0" distR="0" wp14:anchorId="658A203C" wp14:editId="0AC28AE6">
                  <wp:extent cx="4817994" cy="3626053"/>
                  <wp:effectExtent l="0" t="0" r="1905" b="0"/>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E87CE2" w:rsidRPr="00241E62" w14:paraId="2C35F8D2" w14:textId="77777777" w:rsidTr="006F6FF2">
        <w:trPr>
          <w:trHeight w:val="145"/>
        </w:trPr>
        <w:tc>
          <w:tcPr>
            <w:tcW w:w="1728" w:type="dxa"/>
            <w:shd w:val="clear" w:color="auto" w:fill="auto"/>
            <w:tcMar>
              <w:left w:w="0" w:type="dxa"/>
            </w:tcMar>
          </w:tcPr>
          <w:p w14:paraId="6691D738" w14:textId="77777777" w:rsidR="00E87CE2" w:rsidRDefault="00E87CE2" w:rsidP="006F6FF2">
            <w:pPr>
              <w:pStyle w:val="Marginlie"/>
              <w:rPr>
                <w:spacing w:val="-4"/>
              </w:rPr>
            </w:pPr>
          </w:p>
        </w:tc>
        <w:tc>
          <w:tcPr>
            <w:tcW w:w="206" w:type="dxa"/>
            <w:shd w:val="clear" w:color="auto" w:fill="auto"/>
            <w:tcMar>
              <w:left w:w="0" w:type="dxa"/>
            </w:tcMar>
          </w:tcPr>
          <w:p w14:paraId="03FA5BE2" w14:textId="77777777" w:rsidR="00E87CE2" w:rsidRPr="00B43216" w:rsidRDefault="00E87CE2" w:rsidP="006F6FF2">
            <w:pPr>
              <w:pStyle w:val="Textpoznpodarou"/>
              <w:jc w:val="both"/>
              <w:rPr>
                <w:spacing w:val="-4"/>
              </w:rPr>
            </w:pPr>
          </w:p>
        </w:tc>
        <w:tc>
          <w:tcPr>
            <w:tcW w:w="7730" w:type="dxa"/>
            <w:shd w:val="clear" w:color="auto" w:fill="auto"/>
            <w:tcMar>
              <w:left w:w="0" w:type="dxa"/>
            </w:tcMar>
          </w:tcPr>
          <w:p w14:paraId="36A3AD17" w14:textId="77777777" w:rsidR="00E87CE2" w:rsidRPr="00883202" w:rsidRDefault="00E87CE2" w:rsidP="006F6FF2">
            <w:pPr>
              <w:spacing w:after="0"/>
              <w:rPr>
                <w:rFonts w:cs="Arial"/>
                <w:sz w:val="14"/>
                <w:szCs w:val="14"/>
              </w:rPr>
            </w:pPr>
            <w:r w:rsidRPr="00883202">
              <w:rPr>
                <w:rFonts w:cs="Arial"/>
                <w:sz w:val="14"/>
                <w:szCs w:val="14"/>
              </w:rPr>
              <w:t>*Saldo důvěry je sezónně očištěno a vyjadřuje stav ve druhém měsíci daného čtvrtletí.</w:t>
            </w:r>
          </w:p>
          <w:p w14:paraId="403429D7" w14:textId="77777777" w:rsidR="00E87CE2" w:rsidRPr="00241E62" w:rsidRDefault="00E87CE2" w:rsidP="006F6FF2">
            <w:pPr>
              <w:spacing w:after="220"/>
              <w:rPr>
                <w:rFonts w:cs="Arial"/>
                <w:bCs/>
                <w:color w:val="000000"/>
                <w:szCs w:val="20"/>
              </w:rPr>
            </w:pPr>
            <w:r w:rsidRPr="00883202">
              <w:rPr>
                <w:rFonts w:cs="Arial"/>
                <w:sz w:val="14"/>
                <w:szCs w:val="14"/>
              </w:rPr>
              <w:t>Zdroj: ČSÚ</w:t>
            </w:r>
          </w:p>
        </w:tc>
      </w:tr>
      <w:tr w:rsidR="00E87CE2" w:rsidRPr="003B6DBE" w14:paraId="1BB3507F" w14:textId="77777777" w:rsidTr="006F6FF2">
        <w:trPr>
          <w:trHeight w:val="145"/>
        </w:trPr>
        <w:tc>
          <w:tcPr>
            <w:tcW w:w="1728" w:type="dxa"/>
            <w:shd w:val="clear" w:color="auto" w:fill="auto"/>
            <w:tcMar>
              <w:left w:w="0" w:type="dxa"/>
            </w:tcMar>
          </w:tcPr>
          <w:p w14:paraId="2D97505B" w14:textId="77777777" w:rsidR="00E87CE2" w:rsidRPr="00D15820" w:rsidRDefault="00E87CE2" w:rsidP="006F6FF2">
            <w:pPr>
              <w:pStyle w:val="Marginlie"/>
              <w:rPr>
                <w:spacing w:val="0"/>
              </w:rPr>
            </w:pPr>
            <w:r>
              <w:rPr>
                <w:spacing w:val="0"/>
              </w:rPr>
              <w:t>Tržby z přímého vývozu rostly meziročně dynamičtěji než tržby z tuzemska.</w:t>
            </w:r>
          </w:p>
        </w:tc>
        <w:tc>
          <w:tcPr>
            <w:tcW w:w="206" w:type="dxa"/>
            <w:shd w:val="clear" w:color="auto" w:fill="auto"/>
            <w:tcMar>
              <w:left w:w="0" w:type="dxa"/>
            </w:tcMar>
          </w:tcPr>
          <w:p w14:paraId="20F27227" w14:textId="77777777" w:rsidR="00E87CE2" w:rsidRPr="00B43216" w:rsidRDefault="00E87CE2" w:rsidP="006F6FF2">
            <w:pPr>
              <w:pStyle w:val="Textpoznpodarou"/>
              <w:jc w:val="both"/>
              <w:rPr>
                <w:spacing w:val="-4"/>
              </w:rPr>
            </w:pPr>
          </w:p>
        </w:tc>
        <w:tc>
          <w:tcPr>
            <w:tcW w:w="7730" w:type="dxa"/>
            <w:shd w:val="clear" w:color="auto" w:fill="auto"/>
            <w:tcMar>
              <w:left w:w="0" w:type="dxa"/>
            </w:tcMar>
          </w:tcPr>
          <w:p w14:paraId="1011F366" w14:textId="77777777" w:rsidR="00E87CE2" w:rsidRPr="003B6DBE" w:rsidRDefault="00E87CE2" w:rsidP="00E87CE2">
            <w:pPr>
              <w:rPr>
                <w:rFonts w:cs="Arial"/>
                <w:bCs/>
                <w:color w:val="000000"/>
                <w:spacing w:val="-4"/>
                <w:szCs w:val="20"/>
              </w:rPr>
            </w:pPr>
            <w:r w:rsidRPr="003B6DBE">
              <w:rPr>
                <w:rFonts w:cs="Arial"/>
                <w:bCs/>
                <w:color w:val="0D0D0D" w:themeColor="text1" w:themeTint="F2"/>
                <w:spacing w:val="-4"/>
                <w:szCs w:val="20"/>
              </w:rPr>
              <w:t>Nominální tržby průmyslových podniků</w:t>
            </w:r>
            <w:r w:rsidRPr="003B6DBE">
              <w:rPr>
                <w:rStyle w:val="Znakapoznpodarou"/>
                <w:bCs/>
                <w:color w:val="0D0D0D" w:themeColor="text1" w:themeTint="F2"/>
                <w:spacing w:val="-4"/>
                <w:szCs w:val="20"/>
              </w:rPr>
              <w:footnoteReference w:id="24"/>
            </w:r>
            <w:r>
              <w:rPr>
                <w:rFonts w:cs="Arial"/>
                <w:bCs/>
                <w:color w:val="0D0D0D" w:themeColor="text1" w:themeTint="F2"/>
                <w:spacing w:val="-4"/>
                <w:szCs w:val="20"/>
              </w:rPr>
              <w:t xml:space="preserve"> </w:t>
            </w:r>
            <w:r w:rsidRPr="003B6DBE">
              <w:rPr>
                <w:rFonts w:cs="Arial"/>
                <w:bCs/>
                <w:color w:val="0D0D0D" w:themeColor="text1" w:themeTint="F2"/>
                <w:spacing w:val="-4"/>
                <w:szCs w:val="20"/>
              </w:rPr>
              <w:t>v 1.</w:t>
            </w:r>
            <w:r>
              <w:rPr>
                <w:rFonts w:cs="Arial"/>
                <w:bCs/>
                <w:color w:val="0D0D0D" w:themeColor="text1" w:themeTint="F2"/>
                <w:spacing w:val="-4"/>
                <w:szCs w:val="20"/>
              </w:rPr>
              <w:t> čtvrtlet</w:t>
            </w:r>
            <w:r w:rsidRPr="003B6DBE">
              <w:rPr>
                <w:rFonts w:cs="Arial"/>
                <w:bCs/>
                <w:color w:val="0D0D0D" w:themeColor="text1" w:themeTint="F2"/>
                <w:spacing w:val="-4"/>
                <w:szCs w:val="20"/>
              </w:rPr>
              <w:t xml:space="preserve">í 2021 </w:t>
            </w:r>
            <w:proofErr w:type="spellStart"/>
            <w:r w:rsidRPr="003B6DBE">
              <w:rPr>
                <w:rFonts w:cs="Arial"/>
                <w:bCs/>
                <w:color w:val="0D0D0D" w:themeColor="text1" w:themeTint="F2"/>
                <w:spacing w:val="-4"/>
                <w:szCs w:val="20"/>
              </w:rPr>
              <w:t>mezikvartálně</w:t>
            </w:r>
            <w:proofErr w:type="spellEnd"/>
            <w:r w:rsidRPr="003B6DBE">
              <w:rPr>
                <w:rFonts w:cs="Arial"/>
                <w:bCs/>
                <w:color w:val="0D0D0D" w:themeColor="text1" w:themeTint="F2"/>
                <w:spacing w:val="-4"/>
                <w:szCs w:val="20"/>
              </w:rPr>
              <w:t xml:space="preserve"> fakticky stagnovaly</w:t>
            </w:r>
            <w:r>
              <w:rPr>
                <w:rFonts w:cs="Arial"/>
                <w:bCs/>
                <w:color w:val="0D0D0D" w:themeColor="text1" w:themeTint="F2"/>
                <w:spacing w:val="-4"/>
                <w:szCs w:val="20"/>
              </w:rPr>
              <w:t>.</w:t>
            </w:r>
            <w:r w:rsidRPr="003B6DBE">
              <w:rPr>
                <w:rFonts w:cs="Arial"/>
                <w:bCs/>
                <w:color w:val="0D0D0D" w:themeColor="text1" w:themeTint="F2"/>
                <w:spacing w:val="-4"/>
                <w:szCs w:val="20"/>
              </w:rPr>
              <w:t xml:space="preserve"> Během letošního roku se situace zlepšovala, tržby meziměsíčně vzrostly v březnu (+5,7</w:t>
            </w:r>
            <w:r>
              <w:rPr>
                <w:rFonts w:cs="Arial"/>
                <w:bCs/>
                <w:color w:val="0D0D0D" w:themeColor="text1" w:themeTint="F2"/>
                <w:spacing w:val="-4"/>
                <w:szCs w:val="20"/>
              </w:rPr>
              <w:t> %</w:t>
            </w:r>
            <w:r w:rsidRPr="003B6DBE">
              <w:rPr>
                <w:rFonts w:cs="Arial"/>
                <w:bCs/>
                <w:color w:val="0D0D0D" w:themeColor="text1" w:themeTint="F2"/>
                <w:spacing w:val="-4"/>
                <w:szCs w:val="20"/>
              </w:rPr>
              <w:t>) i</w:t>
            </w:r>
            <w:r>
              <w:rPr>
                <w:rFonts w:cs="Arial"/>
                <w:bCs/>
                <w:color w:val="0D0D0D" w:themeColor="text1" w:themeTint="F2"/>
                <w:spacing w:val="-4"/>
                <w:szCs w:val="20"/>
              </w:rPr>
              <w:t> </w:t>
            </w:r>
            <w:r w:rsidRPr="003B6DBE">
              <w:rPr>
                <w:rFonts w:cs="Arial"/>
                <w:bCs/>
                <w:color w:val="0D0D0D" w:themeColor="text1" w:themeTint="F2"/>
                <w:spacing w:val="-4"/>
                <w:szCs w:val="20"/>
              </w:rPr>
              <w:t>dubnu (</w:t>
            </w:r>
            <w:r>
              <w:rPr>
                <w:rFonts w:cs="Arial"/>
                <w:bCs/>
                <w:color w:val="0D0D0D" w:themeColor="text1" w:themeTint="F2"/>
                <w:spacing w:val="-4"/>
                <w:szCs w:val="20"/>
              </w:rPr>
              <w:t>+</w:t>
            </w:r>
            <w:r w:rsidRPr="003B6DBE">
              <w:rPr>
                <w:rFonts w:cs="Arial"/>
                <w:bCs/>
                <w:color w:val="0D0D0D" w:themeColor="text1" w:themeTint="F2"/>
                <w:spacing w:val="-4"/>
                <w:szCs w:val="20"/>
              </w:rPr>
              <w:t>2,4</w:t>
            </w:r>
            <w:r>
              <w:rPr>
                <w:rFonts w:cs="Arial"/>
                <w:bCs/>
                <w:color w:val="0D0D0D" w:themeColor="text1" w:themeTint="F2"/>
                <w:spacing w:val="-4"/>
                <w:szCs w:val="20"/>
              </w:rPr>
              <w:t> %</w:t>
            </w:r>
            <w:r w:rsidRPr="003B6DBE">
              <w:rPr>
                <w:rFonts w:cs="Arial"/>
                <w:bCs/>
                <w:color w:val="0D0D0D" w:themeColor="text1" w:themeTint="F2"/>
                <w:spacing w:val="-4"/>
                <w:szCs w:val="20"/>
              </w:rPr>
              <w:t>) a</w:t>
            </w:r>
            <w:r>
              <w:rPr>
                <w:rFonts w:cs="Arial"/>
                <w:bCs/>
                <w:color w:val="0D0D0D" w:themeColor="text1" w:themeTint="F2"/>
                <w:spacing w:val="-4"/>
                <w:szCs w:val="20"/>
              </w:rPr>
              <w:t> </w:t>
            </w:r>
            <w:r w:rsidRPr="003B6DBE">
              <w:rPr>
                <w:rFonts w:cs="Arial"/>
                <w:bCs/>
                <w:color w:val="0D0D0D" w:themeColor="text1" w:themeTint="F2"/>
                <w:spacing w:val="-4"/>
                <w:szCs w:val="20"/>
              </w:rPr>
              <w:t>dokumentovaly tak sílící domácí i</w:t>
            </w:r>
            <w:r>
              <w:rPr>
                <w:rFonts w:cs="Arial"/>
                <w:bCs/>
                <w:color w:val="0D0D0D" w:themeColor="text1" w:themeTint="F2"/>
                <w:spacing w:val="-4"/>
                <w:szCs w:val="20"/>
              </w:rPr>
              <w:t> </w:t>
            </w:r>
            <w:r w:rsidRPr="003B6DBE">
              <w:rPr>
                <w:rFonts w:cs="Arial"/>
                <w:bCs/>
                <w:color w:val="0D0D0D" w:themeColor="text1" w:themeTint="F2"/>
                <w:spacing w:val="-4"/>
                <w:szCs w:val="20"/>
              </w:rPr>
              <w:t>zahraniční poptávku.</w:t>
            </w:r>
            <w:r>
              <w:rPr>
                <w:rFonts w:cs="Arial"/>
                <w:bCs/>
                <w:color w:val="0D0D0D" w:themeColor="text1" w:themeTint="F2"/>
                <w:spacing w:val="-4"/>
                <w:szCs w:val="20"/>
              </w:rPr>
              <w:t xml:space="preserve"> V meziročním pohledu je za celé 1. letošní čtvrtletí patrná vyšší dynamika tržeb z přímého vývozu (+8,6 %) než tržeb z tuzemska (+1,5 %). Tržbám z přímého vývozu pomáhal svižný růst objemu produkce automobilového průmyslu a jeho návazných oborů, jenž byl umocněn i cenovým růstem. Meziroční růst domácích tržeb byl naopak tlumen slabším objemem produkce odvětví zaměřených na krátkodobou spotřebu (potravinářství, nápoje) a cenovým poklesem v energetice.</w:t>
            </w:r>
          </w:p>
        </w:tc>
      </w:tr>
      <w:tr w:rsidR="00E87CE2" w:rsidRPr="004670E0" w14:paraId="0A731F5A" w14:textId="77777777" w:rsidTr="006F6FF2">
        <w:trPr>
          <w:trHeight w:val="145"/>
        </w:trPr>
        <w:tc>
          <w:tcPr>
            <w:tcW w:w="1728" w:type="dxa"/>
            <w:shd w:val="clear" w:color="auto" w:fill="auto"/>
            <w:tcMar>
              <w:left w:w="0" w:type="dxa"/>
            </w:tcMar>
          </w:tcPr>
          <w:p w14:paraId="4923D3B4" w14:textId="77777777" w:rsidR="00E87CE2" w:rsidRDefault="00E87CE2" w:rsidP="006F6FF2">
            <w:pPr>
              <w:pStyle w:val="Marginlie"/>
              <w:rPr>
                <w:spacing w:val="0"/>
              </w:rPr>
            </w:pPr>
            <w:r>
              <w:rPr>
                <w:spacing w:val="0"/>
              </w:rPr>
              <w:t>Hodnota zakázek v průmyslu meziměsíčně i meziročně rostla. Dotýkala se všech významných oborů.</w:t>
            </w:r>
          </w:p>
          <w:p w14:paraId="7E7D89BC" w14:textId="77777777" w:rsidR="00E87CE2" w:rsidRDefault="00E87CE2" w:rsidP="006F6FF2">
            <w:pPr>
              <w:pStyle w:val="Marginlie"/>
              <w:rPr>
                <w:spacing w:val="0"/>
              </w:rPr>
            </w:pPr>
          </w:p>
          <w:p w14:paraId="311A0056" w14:textId="77777777" w:rsidR="00E87CE2" w:rsidRDefault="00E87CE2" w:rsidP="006F6FF2">
            <w:pPr>
              <w:pStyle w:val="Marginlie"/>
              <w:rPr>
                <w:spacing w:val="0"/>
              </w:rPr>
            </w:pPr>
          </w:p>
          <w:p w14:paraId="4D8BB3A4" w14:textId="77777777" w:rsidR="00E87CE2" w:rsidRDefault="00E87CE2" w:rsidP="006F6FF2">
            <w:pPr>
              <w:pStyle w:val="Marginlie"/>
              <w:rPr>
                <w:spacing w:val="0"/>
              </w:rPr>
            </w:pPr>
          </w:p>
          <w:p w14:paraId="0377709A" w14:textId="77777777" w:rsidR="00E87CE2" w:rsidRPr="00D15820" w:rsidRDefault="00E87CE2" w:rsidP="006F6FF2">
            <w:pPr>
              <w:pStyle w:val="Marginlie"/>
              <w:rPr>
                <w:spacing w:val="0"/>
              </w:rPr>
            </w:pPr>
            <w:r>
              <w:rPr>
                <w:spacing w:val="0"/>
              </w:rPr>
              <w:t>Důvěra podnikatelů v průmyslu byla nejvyšší od konce roku 2017.</w:t>
            </w:r>
          </w:p>
        </w:tc>
        <w:tc>
          <w:tcPr>
            <w:tcW w:w="206" w:type="dxa"/>
            <w:shd w:val="clear" w:color="auto" w:fill="auto"/>
            <w:tcMar>
              <w:left w:w="0" w:type="dxa"/>
            </w:tcMar>
          </w:tcPr>
          <w:p w14:paraId="18276524" w14:textId="77777777" w:rsidR="00E87CE2" w:rsidRPr="00B43216" w:rsidRDefault="00E87CE2" w:rsidP="006F6FF2">
            <w:pPr>
              <w:pStyle w:val="Textpoznpodarou"/>
              <w:jc w:val="both"/>
              <w:rPr>
                <w:spacing w:val="-4"/>
              </w:rPr>
            </w:pPr>
          </w:p>
        </w:tc>
        <w:tc>
          <w:tcPr>
            <w:tcW w:w="7730" w:type="dxa"/>
            <w:shd w:val="clear" w:color="auto" w:fill="auto"/>
            <w:tcMar>
              <w:left w:w="0" w:type="dxa"/>
            </w:tcMar>
          </w:tcPr>
          <w:p w14:paraId="3A5FDB76" w14:textId="4D394B84" w:rsidR="00E87CE2" w:rsidRPr="004670E0" w:rsidRDefault="00E87CE2" w:rsidP="006F6FF2">
            <w:pPr>
              <w:rPr>
                <w:spacing w:val="-5"/>
              </w:rPr>
            </w:pPr>
            <w:r w:rsidRPr="00D90659">
              <w:rPr>
                <w:color w:val="0D0D0D" w:themeColor="text1" w:themeTint="F2"/>
                <w:spacing w:val="-6"/>
              </w:rPr>
              <w:t>Krátkodobé vyhlídky průmyslu od počátku letošního roku zlepšovaly</w:t>
            </w:r>
            <w:r w:rsidRPr="00D639E1">
              <w:rPr>
                <w:color w:val="000000" w:themeColor="text1"/>
                <w:spacing w:val="-6"/>
              </w:rPr>
              <w:t xml:space="preserve">. </w:t>
            </w:r>
            <w:r w:rsidRPr="00D639E1">
              <w:rPr>
                <w:color w:val="0D0D0D" w:themeColor="text1" w:themeTint="F2"/>
                <w:spacing w:val="-6"/>
              </w:rPr>
              <w:t>Hodnota průmyslových zakázek</w:t>
            </w:r>
            <w:r w:rsidRPr="00B12B9E">
              <w:rPr>
                <w:rStyle w:val="Znakapoznpodarou"/>
                <w:spacing w:val="-4"/>
              </w:rPr>
              <w:footnoteReference w:id="25"/>
            </w:r>
            <w:r w:rsidR="006F6FF2">
              <w:rPr>
                <w:color w:val="0D0D0D" w:themeColor="text1" w:themeTint="F2"/>
                <w:spacing w:val="-6"/>
              </w:rPr>
              <w:t xml:space="preserve"> v únoru i březnu meziměsíčně </w:t>
            </w:r>
            <w:r>
              <w:rPr>
                <w:color w:val="0D0D0D" w:themeColor="text1" w:themeTint="F2"/>
                <w:spacing w:val="-6"/>
              </w:rPr>
              <w:t>vzrostla, především zásluhou hutnictví a slévárenství. Celkové zakázky za celé čtvrtletí se meziročně navýšily o</w:t>
            </w:r>
            <w:r>
              <w:rPr>
                <w:rFonts w:cs="Arial"/>
                <w:bCs/>
                <w:color w:val="0D0D0D" w:themeColor="text1" w:themeTint="F2"/>
                <w:spacing w:val="-4"/>
                <w:szCs w:val="20"/>
              </w:rPr>
              <w:t> </w:t>
            </w:r>
            <w:r w:rsidR="006F6FF2">
              <w:rPr>
                <w:color w:val="0D0D0D" w:themeColor="text1" w:themeTint="F2"/>
                <w:spacing w:val="-6"/>
              </w:rPr>
              <w:t>8,1</w:t>
            </w:r>
            <w:r>
              <w:rPr>
                <w:color w:val="0D0D0D" w:themeColor="text1" w:themeTint="F2"/>
                <w:spacing w:val="-6"/>
              </w:rPr>
              <w:t> %, z toho v</w:t>
            </w:r>
            <w:r w:rsidR="006F6FF2">
              <w:rPr>
                <w:color w:val="0D0D0D" w:themeColor="text1" w:themeTint="F2"/>
                <w:spacing w:val="-6"/>
              </w:rPr>
              <w:t>e výrobě motorových vozidel o 17,7</w:t>
            </w:r>
            <w:r>
              <w:rPr>
                <w:color w:val="0D0D0D" w:themeColor="text1" w:themeTint="F2"/>
                <w:spacing w:val="-6"/>
              </w:rPr>
              <w:t> %.</w:t>
            </w:r>
            <w:r>
              <w:rPr>
                <w:color w:val="0D0D0D" w:themeColor="text1" w:themeTint="F2"/>
                <w:spacing w:val="-4"/>
              </w:rPr>
              <w:t xml:space="preserve"> Vyšší poptávka prostupovala drtivou většinou sledovaných oborů. </w:t>
            </w:r>
            <w:r w:rsidRPr="00B12B9E">
              <w:rPr>
                <w:color w:val="0D0D0D" w:themeColor="text1" w:themeTint="F2"/>
                <w:spacing w:val="-4"/>
              </w:rPr>
              <w:t>V</w:t>
            </w:r>
            <w:r>
              <w:rPr>
                <w:color w:val="0D0D0D" w:themeColor="text1" w:themeTint="F2"/>
                <w:spacing w:val="-4"/>
              </w:rPr>
              <w:t>yužití výrobních kapacit, které se letos v lednu přiblížilo úrovni těsně před pandemií, dále rostlo. V dubnu činilo 87,5 %, vyšší vytížení bylo naposledy zaznamenáno v konjunkturním roce 2008.</w:t>
            </w:r>
            <w:r w:rsidRPr="0014283B">
              <w:rPr>
                <w:color w:val="0D0D0D" w:themeColor="text1" w:themeTint="F2"/>
                <w:spacing w:val="-4"/>
              </w:rPr>
              <w:t xml:space="preserve"> Důvěra podnikatelů v průmyslu byla v květnu nejvyšší od konce roku 2017. Zlepšovalo se hodnocení současné poptávky a</w:t>
            </w:r>
            <w:r>
              <w:rPr>
                <w:color w:val="0D0D0D" w:themeColor="text1" w:themeTint="F2"/>
                <w:spacing w:val="-4"/>
              </w:rPr>
              <w:t> </w:t>
            </w:r>
            <w:r w:rsidRPr="0014283B">
              <w:rPr>
                <w:color w:val="0D0D0D" w:themeColor="text1" w:themeTint="F2"/>
                <w:spacing w:val="-4"/>
              </w:rPr>
              <w:t>šestina podniků očekávala v příštích</w:t>
            </w:r>
            <w:r w:rsidRPr="009C1206">
              <w:rPr>
                <w:rFonts w:cstheme="minorHAnsi"/>
              </w:rPr>
              <w:t xml:space="preserve"> měsíc</w:t>
            </w:r>
            <w:r>
              <w:rPr>
                <w:rFonts w:cstheme="minorHAnsi"/>
              </w:rPr>
              <w:t>ích růst výroby. Pozitivní výhledy v oblasti zaměstnanosti dávají naději, že dosud registrovaný pokles počtu pracovníků by se mohl zastavit.</w:t>
            </w:r>
            <w:r w:rsidRPr="009C1206">
              <w:rPr>
                <w:rFonts w:cstheme="minorHAnsi"/>
              </w:rPr>
              <w:t xml:space="preserve"> Více než třetina podniků považovala svou ekonomickou situaci za dobrou.</w:t>
            </w:r>
            <w:r w:rsidRPr="00B12B9E">
              <w:rPr>
                <w:color w:val="0D0D0D" w:themeColor="text1" w:themeTint="F2"/>
                <w:spacing w:val="-4"/>
              </w:rPr>
              <w:t xml:space="preserve"> </w:t>
            </w:r>
            <w:r w:rsidRPr="00B12B9E">
              <w:rPr>
                <w:color w:val="0D0D0D" w:themeColor="text1" w:themeTint="F2"/>
                <w:spacing w:val="-4"/>
              </w:rPr>
              <w:lastRenderedPageBreak/>
              <w:t>Hlavní růstovou bariérou</w:t>
            </w:r>
            <w:r w:rsidRPr="00B12B9E">
              <w:rPr>
                <w:rStyle w:val="Znakapoznpodarou"/>
                <w:color w:val="0D0D0D" w:themeColor="text1" w:themeTint="F2"/>
                <w:spacing w:val="-4"/>
              </w:rPr>
              <w:footnoteReference w:id="26"/>
            </w:r>
            <w:r w:rsidRPr="00B12B9E">
              <w:rPr>
                <w:color w:val="0D0D0D" w:themeColor="text1" w:themeTint="F2"/>
                <w:spacing w:val="-4"/>
              </w:rPr>
              <w:t xml:space="preserve"> zůstáv</w:t>
            </w:r>
            <w:r>
              <w:rPr>
                <w:color w:val="0D0D0D" w:themeColor="text1" w:themeTint="F2"/>
                <w:spacing w:val="-4"/>
              </w:rPr>
              <w:t xml:space="preserve">á nedostatečná poptávka (na počátku 2. čtvrtletí ji uvedlo 38 % </w:t>
            </w:r>
            <w:r w:rsidRPr="00B12B9E">
              <w:rPr>
                <w:color w:val="0D0D0D" w:themeColor="text1" w:themeTint="F2"/>
                <w:spacing w:val="-4"/>
              </w:rPr>
              <w:t>průmyslových podniků</w:t>
            </w:r>
            <w:r>
              <w:rPr>
                <w:color w:val="0D0D0D" w:themeColor="text1" w:themeTint="F2"/>
                <w:spacing w:val="-4"/>
              </w:rPr>
              <w:t>). Zatímco její role v posledních třech čtvrtletích slábla, význam nedostatku materiálu a zařízení prudce rostl a limitoval již skoro každý třetí podnik.</w:t>
            </w:r>
          </w:p>
        </w:tc>
      </w:tr>
      <w:tr w:rsidR="00E87CE2" w:rsidRPr="00760356" w14:paraId="640D2BF9" w14:textId="77777777" w:rsidTr="006F6FF2">
        <w:trPr>
          <w:trHeight w:val="155"/>
        </w:trPr>
        <w:tc>
          <w:tcPr>
            <w:tcW w:w="1728" w:type="dxa"/>
            <w:vMerge w:val="restart"/>
            <w:shd w:val="clear" w:color="auto" w:fill="auto"/>
            <w:tcMar>
              <w:left w:w="0" w:type="dxa"/>
            </w:tcMar>
          </w:tcPr>
          <w:p w14:paraId="7D867F3B" w14:textId="77777777" w:rsidR="00E87CE2" w:rsidRPr="00B43216" w:rsidRDefault="00E87CE2" w:rsidP="006F6FF2">
            <w:pPr>
              <w:pStyle w:val="Marginlie"/>
              <w:rPr>
                <w:spacing w:val="-4"/>
              </w:rPr>
            </w:pPr>
          </w:p>
        </w:tc>
        <w:tc>
          <w:tcPr>
            <w:tcW w:w="206" w:type="dxa"/>
            <w:vMerge w:val="restart"/>
            <w:shd w:val="clear" w:color="auto" w:fill="auto"/>
            <w:tcMar>
              <w:left w:w="0" w:type="dxa"/>
            </w:tcMar>
          </w:tcPr>
          <w:p w14:paraId="2BCBFBD6" w14:textId="77777777" w:rsidR="00E87CE2" w:rsidRPr="00B43216" w:rsidRDefault="00E87CE2" w:rsidP="006F6FF2">
            <w:pPr>
              <w:pStyle w:val="Textpoznpodarou"/>
              <w:jc w:val="both"/>
              <w:rPr>
                <w:spacing w:val="-4"/>
              </w:rPr>
            </w:pPr>
          </w:p>
        </w:tc>
        <w:tc>
          <w:tcPr>
            <w:tcW w:w="7730" w:type="dxa"/>
            <w:shd w:val="clear" w:color="auto" w:fill="auto"/>
            <w:tcMar>
              <w:left w:w="0" w:type="dxa"/>
            </w:tcMar>
          </w:tcPr>
          <w:p w14:paraId="4B890EE4" w14:textId="77777777" w:rsidR="00E87CE2" w:rsidRPr="00760356" w:rsidRDefault="00E87CE2" w:rsidP="006F6FF2">
            <w:pPr>
              <w:pStyle w:val="Textpoznpodarou"/>
              <w:spacing w:line="276" w:lineRule="auto"/>
              <w:jc w:val="both"/>
              <w:rPr>
                <w:b/>
                <w:spacing w:val="-2"/>
              </w:rPr>
            </w:pPr>
            <w:r w:rsidRPr="00760356">
              <w:rPr>
                <w:b/>
                <w:spacing w:val="-2"/>
              </w:rPr>
              <w:t>Graf č. 5</w:t>
            </w:r>
            <w:r>
              <w:rPr>
                <w:b/>
                <w:spacing w:val="-2"/>
              </w:rPr>
              <w:t xml:space="preserve"> </w:t>
            </w:r>
            <w:r w:rsidRPr="00760356">
              <w:rPr>
                <w:b/>
                <w:spacing w:val="-2"/>
              </w:rPr>
              <w:t xml:space="preserve"> Nové zakázky v automobilovém průmyslu a</w:t>
            </w:r>
            <w:r>
              <w:rPr>
                <w:b/>
                <w:spacing w:val="-2"/>
              </w:rPr>
              <w:t> </w:t>
            </w:r>
            <w:r w:rsidRPr="00760356">
              <w:rPr>
                <w:b/>
                <w:spacing w:val="-2"/>
              </w:rPr>
              <w:t xml:space="preserve">v průmyslu celkem </w:t>
            </w:r>
            <w:r w:rsidRPr="00760356">
              <w:rPr>
                <w:bCs/>
                <w:spacing w:val="-2"/>
              </w:rPr>
              <w:t xml:space="preserve">(v běžných cenách, </w:t>
            </w:r>
            <w:r w:rsidRPr="00760356">
              <w:rPr>
                <w:spacing w:val="-2"/>
              </w:rPr>
              <w:t>meziročně</w:t>
            </w:r>
            <w:r w:rsidRPr="00760356">
              <w:rPr>
                <w:bCs/>
                <w:spacing w:val="-2"/>
              </w:rPr>
              <w:t xml:space="preserve"> v %)</w:t>
            </w:r>
            <w:r w:rsidRPr="00760356">
              <w:rPr>
                <w:b/>
                <w:spacing w:val="-2"/>
              </w:rPr>
              <w:t xml:space="preserve"> a využití výrobních kapacit v průmyslu*</w:t>
            </w:r>
            <w:r w:rsidRPr="00760356">
              <w:rPr>
                <w:spacing w:val="-2"/>
              </w:rPr>
              <w:t xml:space="preserve"> </w:t>
            </w:r>
            <w:r w:rsidRPr="00760356">
              <w:rPr>
                <w:b/>
                <w:spacing w:val="-2"/>
              </w:rPr>
              <w:t>a vybrané bariéry růstu</w:t>
            </w:r>
            <w:r w:rsidRPr="00760356">
              <w:rPr>
                <w:spacing w:val="-2"/>
              </w:rPr>
              <w:t>* (v %, pravá osa)</w:t>
            </w:r>
          </w:p>
        </w:tc>
      </w:tr>
      <w:tr w:rsidR="00E87CE2" w:rsidRPr="00B43216" w14:paraId="42C4378B" w14:textId="77777777" w:rsidTr="006F6FF2">
        <w:tblPrEx>
          <w:tblCellMar>
            <w:left w:w="70" w:type="dxa"/>
            <w:right w:w="70" w:type="dxa"/>
          </w:tblCellMar>
        </w:tblPrEx>
        <w:trPr>
          <w:trHeight w:val="155"/>
        </w:trPr>
        <w:tc>
          <w:tcPr>
            <w:tcW w:w="1728" w:type="dxa"/>
            <w:vMerge/>
            <w:shd w:val="clear" w:color="auto" w:fill="auto"/>
          </w:tcPr>
          <w:p w14:paraId="685CE5EB" w14:textId="77777777" w:rsidR="00E87CE2" w:rsidRPr="00B43216" w:rsidRDefault="00E87CE2" w:rsidP="006F6FF2">
            <w:pPr>
              <w:pStyle w:val="Marginlie"/>
              <w:rPr>
                <w:spacing w:val="-4"/>
              </w:rPr>
            </w:pPr>
          </w:p>
        </w:tc>
        <w:tc>
          <w:tcPr>
            <w:tcW w:w="206" w:type="dxa"/>
            <w:vMerge/>
            <w:shd w:val="clear" w:color="auto" w:fill="auto"/>
          </w:tcPr>
          <w:p w14:paraId="4EED48E1" w14:textId="77777777" w:rsidR="00E87CE2" w:rsidRPr="00B43216" w:rsidRDefault="00E87CE2" w:rsidP="006F6FF2">
            <w:pPr>
              <w:pStyle w:val="Textpoznpodarou"/>
              <w:jc w:val="both"/>
              <w:rPr>
                <w:spacing w:val="-4"/>
              </w:rPr>
            </w:pPr>
          </w:p>
        </w:tc>
        <w:tc>
          <w:tcPr>
            <w:tcW w:w="7730" w:type="dxa"/>
            <w:shd w:val="clear" w:color="auto" w:fill="auto"/>
          </w:tcPr>
          <w:p w14:paraId="0011B7C9" w14:textId="77777777" w:rsidR="00E87CE2" w:rsidRPr="00B43216" w:rsidRDefault="00E87CE2" w:rsidP="006F6FF2">
            <w:pPr>
              <w:spacing w:after="0"/>
              <w:rPr>
                <w:spacing w:val="-4"/>
              </w:rPr>
            </w:pPr>
            <w:r>
              <w:rPr>
                <w:noProof/>
              </w:rPr>
              <w:drawing>
                <wp:inline distT="0" distB="0" distL="0" distR="0" wp14:anchorId="4852BD5D" wp14:editId="293767D6">
                  <wp:extent cx="4772660" cy="3425588"/>
                  <wp:effectExtent l="0" t="0" r="8890" b="381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E87CE2" w:rsidRPr="008C5037" w14:paraId="4524351C" w14:textId="77777777" w:rsidTr="006F6FF2">
        <w:trPr>
          <w:trHeight w:val="152"/>
        </w:trPr>
        <w:tc>
          <w:tcPr>
            <w:tcW w:w="1728" w:type="dxa"/>
            <w:vMerge/>
            <w:shd w:val="clear" w:color="auto" w:fill="auto"/>
            <w:tcMar>
              <w:left w:w="0" w:type="dxa"/>
            </w:tcMar>
          </w:tcPr>
          <w:p w14:paraId="7C9398B3" w14:textId="77777777" w:rsidR="00E87CE2" w:rsidRPr="00B43216" w:rsidRDefault="00E87CE2" w:rsidP="006F6FF2">
            <w:pPr>
              <w:pStyle w:val="Marginlie"/>
              <w:rPr>
                <w:spacing w:val="-4"/>
              </w:rPr>
            </w:pPr>
          </w:p>
        </w:tc>
        <w:tc>
          <w:tcPr>
            <w:tcW w:w="206" w:type="dxa"/>
            <w:vMerge/>
            <w:shd w:val="clear" w:color="auto" w:fill="auto"/>
            <w:tcMar>
              <w:left w:w="0" w:type="dxa"/>
            </w:tcMar>
          </w:tcPr>
          <w:p w14:paraId="45560443" w14:textId="77777777" w:rsidR="00E87CE2" w:rsidRPr="00B43216" w:rsidRDefault="00E87CE2" w:rsidP="006F6FF2">
            <w:pPr>
              <w:pStyle w:val="Textpoznpodarou"/>
              <w:jc w:val="both"/>
              <w:rPr>
                <w:spacing w:val="-4"/>
              </w:rPr>
            </w:pPr>
          </w:p>
        </w:tc>
        <w:tc>
          <w:tcPr>
            <w:tcW w:w="7730" w:type="dxa"/>
            <w:shd w:val="clear" w:color="auto" w:fill="auto"/>
            <w:tcMar>
              <w:left w:w="0" w:type="dxa"/>
            </w:tcMar>
          </w:tcPr>
          <w:p w14:paraId="35F177D3" w14:textId="1C0F4595" w:rsidR="006F6FF2" w:rsidRDefault="00C224BD" w:rsidP="006F6FF2">
            <w:pPr>
              <w:spacing w:after="0"/>
              <w:rPr>
                <w:rFonts w:cs="Arial"/>
                <w:sz w:val="14"/>
                <w:szCs w:val="14"/>
              </w:rPr>
            </w:pPr>
            <w:r>
              <w:rPr>
                <w:rFonts w:cs="Arial"/>
                <w:sz w:val="14"/>
                <w:szCs w:val="14"/>
              </w:rPr>
              <w:t>*Využití průmyslových kapacit a</w:t>
            </w:r>
            <w:r w:rsidR="00E87CE2">
              <w:rPr>
                <w:rFonts w:cs="Arial"/>
                <w:sz w:val="14"/>
                <w:szCs w:val="14"/>
              </w:rPr>
              <w:t> </w:t>
            </w:r>
            <w:r w:rsidR="00E87CE2" w:rsidRPr="00883202">
              <w:rPr>
                <w:rFonts w:cs="Arial"/>
                <w:sz w:val="14"/>
                <w:szCs w:val="14"/>
              </w:rPr>
              <w:t xml:space="preserve">bariéry růstu </w:t>
            </w:r>
            <w:r w:rsidR="00E87CE2">
              <w:rPr>
                <w:rFonts w:cs="Arial"/>
                <w:sz w:val="14"/>
                <w:szCs w:val="14"/>
              </w:rPr>
              <w:t xml:space="preserve">vyjadřují stav v prvním </w:t>
            </w:r>
            <w:r w:rsidR="00E87CE2" w:rsidRPr="00883202">
              <w:rPr>
                <w:rFonts w:cs="Arial"/>
                <w:sz w:val="14"/>
                <w:szCs w:val="14"/>
              </w:rPr>
              <w:t>měsíci daného čtvrtletí.</w:t>
            </w:r>
            <w:r w:rsidR="00E87CE2">
              <w:rPr>
                <w:rFonts w:cs="Arial"/>
                <w:sz w:val="14"/>
                <w:szCs w:val="14"/>
              </w:rPr>
              <w:t xml:space="preserve"> Podniky mohly uvést více hlavníc</w:t>
            </w:r>
            <w:r w:rsidR="006F6FF2">
              <w:rPr>
                <w:rFonts w:cs="Arial"/>
                <w:sz w:val="14"/>
                <w:szCs w:val="14"/>
              </w:rPr>
              <w:t>h bariér současně.</w:t>
            </w:r>
          </w:p>
          <w:p w14:paraId="0FEE5449" w14:textId="27D87446" w:rsidR="00E87CE2" w:rsidRPr="008C5037" w:rsidRDefault="00E87CE2" w:rsidP="006F6FF2">
            <w:pPr>
              <w:spacing w:after="200"/>
              <w:rPr>
                <w:rFonts w:cs="Arial"/>
                <w:sz w:val="14"/>
                <w:szCs w:val="14"/>
              </w:rPr>
            </w:pPr>
            <w:r w:rsidRPr="00883202">
              <w:rPr>
                <w:rFonts w:cs="Arial"/>
                <w:sz w:val="14"/>
                <w:szCs w:val="14"/>
              </w:rPr>
              <w:t>Zdroj: ČSÚ</w:t>
            </w:r>
          </w:p>
        </w:tc>
      </w:tr>
      <w:tr w:rsidR="00E87CE2" w:rsidRPr="00982C9E" w14:paraId="0E43C876" w14:textId="77777777" w:rsidTr="006F6FF2">
        <w:trPr>
          <w:trHeight w:val="145"/>
        </w:trPr>
        <w:tc>
          <w:tcPr>
            <w:tcW w:w="1728" w:type="dxa"/>
            <w:shd w:val="clear" w:color="auto" w:fill="auto"/>
            <w:tcMar>
              <w:left w:w="0" w:type="dxa"/>
            </w:tcMar>
          </w:tcPr>
          <w:p w14:paraId="19163CAE" w14:textId="77777777" w:rsidR="00E87CE2" w:rsidRDefault="00E87CE2" w:rsidP="006F6FF2">
            <w:pPr>
              <w:pStyle w:val="Marginlie"/>
            </w:pPr>
            <w:r>
              <w:t>Stavebnictví se přes vysokou zásobu práce stále potýkalo s řadou faktorů, které jeho růst limitovaly.</w:t>
            </w:r>
          </w:p>
        </w:tc>
        <w:tc>
          <w:tcPr>
            <w:tcW w:w="206" w:type="dxa"/>
            <w:shd w:val="clear" w:color="auto" w:fill="auto"/>
            <w:tcMar>
              <w:left w:w="0" w:type="dxa"/>
            </w:tcMar>
          </w:tcPr>
          <w:p w14:paraId="052299F5" w14:textId="77777777" w:rsidR="00E87CE2" w:rsidRPr="00B43216" w:rsidRDefault="00E87CE2" w:rsidP="006F6FF2">
            <w:pPr>
              <w:pStyle w:val="Textpoznpodarou"/>
              <w:jc w:val="both"/>
              <w:rPr>
                <w:spacing w:val="-4"/>
              </w:rPr>
            </w:pPr>
          </w:p>
        </w:tc>
        <w:tc>
          <w:tcPr>
            <w:tcW w:w="7730" w:type="dxa"/>
            <w:shd w:val="clear" w:color="auto" w:fill="auto"/>
            <w:tcMar>
              <w:left w:w="0" w:type="dxa"/>
            </w:tcMar>
          </w:tcPr>
          <w:p w14:paraId="1B790F11" w14:textId="77777777" w:rsidR="00E87CE2" w:rsidRPr="00982C9E" w:rsidRDefault="00E87CE2" w:rsidP="00E87CE2">
            <w:pPr>
              <w:rPr>
                <w:spacing w:val="-4"/>
              </w:rPr>
            </w:pPr>
            <w:r>
              <w:rPr>
                <w:spacing w:val="-4"/>
              </w:rPr>
              <w:t xml:space="preserve">Stavebnictví se navzdory velké zásobě zakázek z negativních dopadů </w:t>
            </w:r>
            <w:proofErr w:type="spellStart"/>
            <w:r w:rsidRPr="00982C9E">
              <w:rPr>
                <w:spacing w:val="-4"/>
              </w:rPr>
              <w:t>protipandemických</w:t>
            </w:r>
            <w:proofErr w:type="spellEnd"/>
            <w:r w:rsidRPr="00982C9E">
              <w:rPr>
                <w:spacing w:val="-4"/>
              </w:rPr>
              <w:t xml:space="preserve"> opatření</w:t>
            </w:r>
            <w:r>
              <w:rPr>
                <w:spacing w:val="-4"/>
              </w:rPr>
              <w:t xml:space="preserve"> vzpamatovává pomaleji. I na počátku letošního roku nadále přetrvával problém s dostupností pracovníků, zejména těch zahraničních. Epidemická situace byla totiž nejen v Česku, ale v řadě evropských států dále napjatá a s nejistým výhledem. </w:t>
            </w:r>
            <w:r w:rsidRPr="00982C9E">
              <w:rPr>
                <w:spacing w:val="-4"/>
              </w:rPr>
              <w:t xml:space="preserve">Restriktivní opatření </w:t>
            </w:r>
            <w:r>
              <w:rPr>
                <w:spacing w:val="-4"/>
              </w:rPr>
              <w:t>limitovala potřebnou součinnost všech aktérů stavebního řízení, a dále tak ztížila náročný administrativní proces přípravy staveb. Některá výběrová řízení byla pozastavena, což narušilo plynulost výstavby. Kromě toho byl výkon stavebnictví tlumen chladnějším počasím, což se projevilo letos v únoru (v menší míře patrně i v dubnu).</w:t>
            </w:r>
          </w:p>
        </w:tc>
      </w:tr>
      <w:tr w:rsidR="00E87CE2" w:rsidRPr="00982C9E" w14:paraId="776576BC" w14:textId="77777777" w:rsidTr="006F6FF2">
        <w:trPr>
          <w:trHeight w:val="145"/>
        </w:trPr>
        <w:tc>
          <w:tcPr>
            <w:tcW w:w="1728" w:type="dxa"/>
            <w:shd w:val="clear" w:color="auto" w:fill="auto"/>
            <w:tcMar>
              <w:left w:w="0" w:type="dxa"/>
            </w:tcMar>
          </w:tcPr>
          <w:p w14:paraId="596DFCB4" w14:textId="77777777" w:rsidR="00E87CE2" w:rsidRDefault="00E87CE2" w:rsidP="006F6FF2">
            <w:pPr>
              <w:pStyle w:val="Marginlie"/>
            </w:pPr>
            <w:r>
              <w:t>Inženýrské stavitelství mezičtvrtletně ožilo již na konci loňského roku, pozemní stavitelství až po počátku letošního.</w:t>
            </w:r>
          </w:p>
          <w:p w14:paraId="6B847B2D" w14:textId="77777777" w:rsidR="00E87CE2" w:rsidRDefault="00E87CE2" w:rsidP="006F6FF2">
            <w:pPr>
              <w:pStyle w:val="Marginlie"/>
            </w:pPr>
          </w:p>
          <w:p w14:paraId="54765BDE" w14:textId="77777777" w:rsidR="00E87CE2" w:rsidRDefault="00E87CE2" w:rsidP="006F6FF2">
            <w:pPr>
              <w:pStyle w:val="Marginlie"/>
            </w:pPr>
          </w:p>
          <w:p w14:paraId="5BAF2A7D" w14:textId="77777777" w:rsidR="00E87CE2" w:rsidRDefault="00E87CE2" w:rsidP="006F6FF2">
            <w:pPr>
              <w:pStyle w:val="Marginlie"/>
            </w:pPr>
          </w:p>
          <w:p w14:paraId="69FDEB41" w14:textId="77777777" w:rsidR="00E87CE2" w:rsidRDefault="00E87CE2" w:rsidP="006F6FF2">
            <w:pPr>
              <w:pStyle w:val="Marginlie"/>
            </w:pPr>
          </w:p>
          <w:p w14:paraId="4D370164" w14:textId="77777777" w:rsidR="00E87CE2" w:rsidRDefault="00E87CE2" w:rsidP="006F6FF2">
            <w:pPr>
              <w:pStyle w:val="Marginlie"/>
            </w:pPr>
          </w:p>
          <w:p w14:paraId="523D3EEE" w14:textId="77777777" w:rsidR="00E87CE2" w:rsidRDefault="00E87CE2" w:rsidP="006F6FF2">
            <w:pPr>
              <w:pStyle w:val="Marginlie"/>
            </w:pPr>
          </w:p>
          <w:p w14:paraId="12A415FE" w14:textId="77777777" w:rsidR="00E87CE2" w:rsidRDefault="00E87CE2" w:rsidP="006F6FF2">
            <w:pPr>
              <w:pStyle w:val="Marginlie"/>
            </w:pPr>
            <w:r>
              <w:lastRenderedPageBreak/>
              <w:t>Orientační hodnota stavebních povolení se zvyšovala hlavně zásluhou projektů na modernizace či rekonstrukce.</w:t>
            </w:r>
          </w:p>
        </w:tc>
        <w:tc>
          <w:tcPr>
            <w:tcW w:w="206" w:type="dxa"/>
            <w:shd w:val="clear" w:color="auto" w:fill="auto"/>
            <w:tcMar>
              <w:left w:w="0" w:type="dxa"/>
            </w:tcMar>
          </w:tcPr>
          <w:p w14:paraId="3BEC6978" w14:textId="77777777" w:rsidR="00E87CE2" w:rsidRPr="00B43216" w:rsidRDefault="00E87CE2" w:rsidP="006F6FF2">
            <w:pPr>
              <w:pStyle w:val="Textpoznpodarou"/>
              <w:jc w:val="both"/>
              <w:rPr>
                <w:spacing w:val="-4"/>
              </w:rPr>
            </w:pPr>
          </w:p>
        </w:tc>
        <w:tc>
          <w:tcPr>
            <w:tcW w:w="7730" w:type="dxa"/>
            <w:shd w:val="clear" w:color="auto" w:fill="auto"/>
            <w:tcMar>
              <w:left w:w="0" w:type="dxa"/>
            </w:tcMar>
          </w:tcPr>
          <w:p w14:paraId="77970345" w14:textId="77777777" w:rsidR="00E87CE2" w:rsidRPr="00982C9E" w:rsidRDefault="00E87CE2" w:rsidP="00E87CE2">
            <w:pPr>
              <w:rPr>
                <w:spacing w:val="-4"/>
              </w:rPr>
            </w:pPr>
            <w:r>
              <w:rPr>
                <w:color w:val="0D0D0D" w:themeColor="text1" w:themeTint="F2"/>
                <w:spacing w:val="-2"/>
              </w:rPr>
              <w:t>S</w:t>
            </w:r>
            <w:r w:rsidRPr="00982C9E">
              <w:rPr>
                <w:spacing w:val="-2"/>
              </w:rPr>
              <w:t>tavební produkce</w:t>
            </w:r>
            <w:r w:rsidRPr="00982C9E">
              <w:rPr>
                <w:rStyle w:val="Znakapoznpodarou"/>
                <w:spacing w:val="-2"/>
              </w:rPr>
              <w:footnoteReference w:id="27"/>
            </w:r>
            <w:r>
              <w:rPr>
                <w:spacing w:val="-2"/>
              </w:rPr>
              <w:t xml:space="preserve"> přesto v 1. čtvrtletí ve srovnání s předchozím obdobím mírně vzrostla (+2,2 %) a zaznamenala tak první mezičtvrtletní oživení od počátku pandemie. Zatímco v inženýrském stavitelství nastal podobný posun již na konci loňského roku, ve váhově významnějším pozemním stavitelství znamenal i velmi mírný letošní růst (+1,1 %) nejlepší výsledek od poloviny roku 2019. Meziročně se letos produkce v celém stavebnictví snížila o</w:t>
            </w:r>
            <w:r>
              <w:rPr>
                <w:spacing w:val="-4"/>
              </w:rPr>
              <w:t> </w:t>
            </w:r>
            <w:r>
              <w:rPr>
                <w:spacing w:val="-2"/>
              </w:rPr>
              <w:t>5,5 %</w:t>
            </w:r>
            <w:r>
              <w:rPr>
                <w:rStyle w:val="Znakapoznpodarou"/>
                <w:spacing w:val="-2"/>
              </w:rPr>
              <w:footnoteReference w:id="28"/>
            </w:r>
            <w:r>
              <w:rPr>
                <w:spacing w:val="-2"/>
              </w:rPr>
              <w:t>, takřka výhradně vlivem obtížnější situace v pozemním stavitelství. Inženýrské stavitelství mohlo profitovat z pokračujícího růstu veřejných dopravních investic</w:t>
            </w:r>
            <w:r>
              <w:rPr>
                <w:rStyle w:val="Znakapoznpodarou"/>
                <w:spacing w:val="-2"/>
              </w:rPr>
              <w:footnoteReference w:id="29"/>
            </w:r>
            <w:r>
              <w:rPr>
                <w:spacing w:val="-2"/>
              </w:rPr>
              <w:t xml:space="preserve">. Vývoji pozemního stavitelství výrazněji nepomáhá ani bytová výstavba. Počet zahájených bytů meziročně klesl (o 7,6 %), v absolutním vyjádření dosáhl v rámci 1. čtvrtletí tříletého </w:t>
            </w:r>
            <w:r>
              <w:rPr>
                <w:spacing w:val="-2"/>
              </w:rPr>
              <w:lastRenderedPageBreak/>
              <w:t xml:space="preserve">minima. Dokončených bytů oproti loňsku o osminu přibylo. Byť jejich počet nebyl letos díky větší rozestavěnosti z předchozích let nízký (9,0 tis.), v kategorii samostatných bytových domů fakticky stagnoval na loňské úrovni (2,9 tis.). Orientační hodnota všech vydaných stavebních povolení byla v 1. čtvrtletí především zásluhou projektů na modernizace či rekonstrukce stávajících objektů skoro o sedminu vyšší. Ovlivnila ji ale </w:t>
            </w:r>
            <w:r>
              <w:t>zčásti i nízká základna z března 2020 vlivem omezené činnosti některých stavebních úřadů.</w:t>
            </w:r>
          </w:p>
        </w:tc>
      </w:tr>
      <w:tr w:rsidR="00E87CE2" w:rsidRPr="00FE5237" w14:paraId="27E6929E" w14:textId="77777777" w:rsidTr="006F6FF2">
        <w:trPr>
          <w:trHeight w:val="145"/>
        </w:trPr>
        <w:tc>
          <w:tcPr>
            <w:tcW w:w="1728" w:type="dxa"/>
            <w:shd w:val="clear" w:color="auto" w:fill="auto"/>
            <w:tcMar>
              <w:left w:w="0" w:type="dxa"/>
            </w:tcMar>
          </w:tcPr>
          <w:p w14:paraId="0A88F021" w14:textId="77777777" w:rsidR="00E87CE2" w:rsidRDefault="00E87CE2" w:rsidP="006F6FF2">
            <w:pPr>
              <w:pStyle w:val="Marginlie"/>
            </w:pPr>
          </w:p>
        </w:tc>
        <w:tc>
          <w:tcPr>
            <w:tcW w:w="206" w:type="dxa"/>
            <w:shd w:val="clear" w:color="auto" w:fill="auto"/>
            <w:tcMar>
              <w:left w:w="0" w:type="dxa"/>
            </w:tcMar>
          </w:tcPr>
          <w:p w14:paraId="4270CFC5" w14:textId="77777777" w:rsidR="00E87CE2" w:rsidRPr="00B43216" w:rsidRDefault="00E87CE2" w:rsidP="006F6FF2">
            <w:pPr>
              <w:pStyle w:val="Textpoznpodarou"/>
              <w:jc w:val="both"/>
              <w:rPr>
                <w:spacing w:val="-4"/>
              </w:rPr>
            </w:pPr>
          </w:p>
        </w:tc>
        <w:tc>
          <w:tcPr>
            <w:tcW w:w="7730" w:type="dxa"/>
            <w:shd w:val="clear" w:color="auto" w:fill="auto"/>
            <w:tcMar>
              <w:left w:w="0" w:type="dxa"/>
            </w:tcMar>
          </w:tcPr>
          <w:p w14:paraId="7CDF91BA" w14:textId="77777777" w:rsidR="00E87CE2" w:rsidRPr="00FE5237" w:rsidRDefault="00E87CE2" w:rsidP="006F6FF2">
            <w:pPr>
              <w:spacing w:after="0"/>
              <w:rPr>
                <w:spacing w:val="-4"/>
              </w:rPr>
            </w:pPr>
            <w:r w:rsidRPr="00883202">
              <w:rPr>
                <w:b/>
              </w:rPr>
              <w:t>Graf č. 6</w:t>
            </w:r>
            <w:r>
              <w:rPr>
                <w:b/>
              </w:rPr>
              <w:t xml:space="preserve"> </w:t>
            </w:r>
            <w:r w:rsidRPr="00883202">
              <w:rPr>
                <w:b/>
              </w:rPr>
              <w:t xml:space="preserve"> Příspěvky odvětví k meziroční změně stavební produkce </w:t>
            </w:r>
            <w:r w:rsidRPr="00883202">
              <w:t>(v p. b.)</w:t>
            </w:r>
            <w:r w:rsidRPr="00883202">
              <w:rPr>
                <w:b/>
                <w:bCs/>
              </w:rPr>
              <w:t>,</w:t>
            </w:r>
            <w:r w:rsidRPr="00883202">
              <w:rPr>
                <w:b/>
                <w:bCs/>
              </w:rPr>
              <w:br/>
            </w:r>
            <w:r w:rsidRPr="00883202">
              <w:rPr>
                <w:b/>
              </w:rPr>
              <w:t xml:space="preserve">nové stavební zakázky </w:t>
            </w:r>
            <w:r w:rsidRPr="00883202">
              <w:rPr>
                <w:bCs/>
              </w:rPr>
              <w:t>(</w:t>
            </w:r>
            <w:r w:rsidRPr="00883202">
              <w:t>meziročně</w:t>
            </w:r>
            <w:r w:rsidRPr="00883202">
              <w:rPr>
                <w:bCs/>
              </w:rPr>
              <w:t xml:space="preserve"> v %</w:t>
            </w:r>
            <w:r w:rsidRPr="00883202">
              <w:t>, pravá osa</w:t>
            </w:r>
            <w:r w:rsidRPr="00883202">
              <w:rPr>
                <w:bCs/>
              </w:rPr>
              <w:t>)</w:t>
            </w:r>
            <w:r w:rsidRPr="00883202">
              <w:rPr>
                <w:b/>
              </w:rPr>
              <w:t>, saldo indikátoru důvěry ve stavebnictví*</w:t>
            </w:r>
            <w:r w:rsidRPr="00883202">
              <w:t xml:space="preserve"> (v p. b., pravá osa) </w:t>
            </w:r>
            <w:r w:rsidRPr="00883202">
              <w:rPr>
                <w:b/>
              </w:rPr>
              <w:t>a vybrané bariéry růstu</w:t>
            </w:r>
            <w:r w:rsidRPr="00883202">
              <w:t>* (v %, pravá osa)</w:t>
            </w:r>
          </w:p>
        </w:tc>
      </w:tr>
      <w:tr w:rsidR="00E87CE2" w:rsidRPr="003E01D3" w14:paraId="0A3ED556" w14:textId="77777777" w:rsidTr="006F6FF2">
        <w:tblPrEx>
          <w:tblCellMar>
            <w:left w:w="70" w:type="dxa"/>
            <w:right w:w="70" w:type="dxa"/>
          </w:tblCellMar>
        </w:tblPrEx>
        <w:trPr>
          <w:trHeight w:val="145"/>
        </w:trPr>
        <w:tc>
          <w:tcPr>
            <w:tcW w:w="1728" w:type="dxa"/>
            <w:shd w:val="clear" w:color="auto" w:fill="auto"/>
          </w:tcPr>
          <w:p w14:paraId="53938F97" w14:textId="77777777" w:rsidR="00E87CE2" w:rsidRDefault="00E87CE2" w:rsidP="006F6FF2">
            <w:pPr>
              <w:pStyle w:val="Marginlie"/>
            </w:pPr>
          </w:p>
        </w:tc>
        <w:tc>
          <w:tcPr>
            <w:tcW w:w="206" w:type="dxa"/>
            <w:shd w:val="clear" w:color="auto" w:fill="auto"/>
          </w:tcPr>
          <w:p w14:paraId="5EF865AD" w14:textId="77777777" w:rsidR="00E87CE2" w:rsidRPr="00B43216" w:rsidRDefault="00E87CE2" w:rsidP="006F6FF2">
            <w:pPr>
              <w:pStyle w:val="Textpoznpodarou"/>
              <w:jc w:val="both"/>
              <w:rPr>
                <w:spacing w:val="-4"/>
              </w:rPr>
            </w:pPr>
          </w:p>
        </w:tc>
        <w:tc>
          <w:tcPr>
            <w:tcW w:w="7730" w:type="dxa"/>
            <w:shd w:val="clear" w:color="auto" w:fill="auto"/>
          </w:tcPr>
          <w:p w14:paraId="7A61852C" w14:textId="77777777" w:rsidR="00E87CE2" w:rsidRPr="003E01D3" w:rsidRDefault="00E87CE2" w:rsidP="006F6FF2">
            <w:pPr>
              <w:spacing w:after="0"/>
              <w:rPr>
                <w:b/>
                <w:spacing w:val="-4"/>
              </w:rPr>
            </w:pPr>
            <w:r>
              <w:rPr>
                <w:noProof/>
              </w:rPr>
              <w:drawing>
                <wp:inline distT="0" distB="0" distL="0" distR="0" wp14:anchorId="4D97486B" wp14:editId="4EBF0C47">
                  <wp:extent cx="4740910" cy="3562350"/>
                  <wp:effectExtent l="0" t="0" r="2540" b="0"/>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E87CE2" w14:paraId="57B06AD0" w14:textId="77777777" w:rsidTr="006F6FF2">
        <w:trPr>
          <w:trHeight w:val="145"/>
        </w:trPr>
        <w:tc>
          <w:tcPr>
            <w:tcW w:w="1728" w:type="dxa"/>
            <w:shd w:val="clear" w:color="auto" w:fill="auto"/>
            <w:tcMar>
              <w:left w:w="0" w:type="dxa"/>
            </w:tcMar>
          </w:tcPr>
          <w:p w14:paraId="278AEA88" w14:textId="77777777" w:rsidR="00E87CE2" w:rsidRDefault="00E87CE2" w:rsidP="006F6FF2">
            <w:pPr>
              <w:pStyle w:val="Marginlie"/>
            </w:pPr>
          </w:p>
        </w:tc>
        <w:tc>
          <w:tcPr>
            <w:tcW w:w="206" w:type="dxa"/>
            <w:shd w:val="clear" w:color="auto" w:fill="auto"/>
            <w:tcMar>
              <w:left w:w="0" w:type="dxa"/>
            </w:tcMar>
          </w:tcPr>
          <w:p w14:paraId="17543648" w14:textId="77777777" w:rsidR="00E87CE2" w:rsidRPr="00B43216" w:rsidRDefault="00E87CE2" w:rsidP="006F6FF2">
            <w:pPr>
              <w:pStyle w:val="Textpoznpodarou"/>
              <w:jc w:val="both"/>
              <w:rPr>
                <w:spacing w:val="-4"/>
              </w:rPr>
            </w:pPr>
          </w:p>
        </w:tc>
        <w:tc>
          <w:tcPr>
            <w:tcW w:w="7730" w:type="dxa"/>
            <w:shd w:val="clear" w:color="auto" w:fill="auto"/>
            <w:tcMar>
              <w:left w:w="0" w:type="dxa"/>
            </w:tcMar>
          </w:tcPr>
          <w:p w14:paraId="14B31797" w14:textId="77777777" w:rsidR="00E87CE2" w:rsidRPr="00883202" w:rsidRDefault="00E87CE2" w:rsidP="006F6FF2">
            <w:pPr>
              <w:spacing w:after="0"/>
              <w:rPr>
                <w:rFonts w:cs="Arial"/>
                <w:sz w:val="14"/>
                <w:szCs w:val="14"/>
              </w:rPr>
            </w:pPr>
            <w:r w:rsidRPr="00883202">
              <w:rPr>
                <w:rFonts w:cs="Arial"/>
                <w:sz w:val="14"/>
                <w:szCs w:val="14"/>
              </w:rPr>
              <w:t>Údaje o stavební produkci jsou očištěny o kalendářní vlivy.</w:t>
            </w:r>
          </w:p>
          <w:p w14:paraId="359CAE82" w14:textId="5C06A00C" w:rsidR="00E87CE2" w:rsidRPr="00883202" w:rsidRDefault="00E87CE2" w:rsidP="006F6FF2">
            <w:pPr>
              <w:spacing w:after="0"/>
              <w:rPr>
                <w:rFonts w:cs="Arial"/>
                <w:sz w:val="14"/>
                <w:szCs w:val="14"/>
              </w:rPr>
            </w:pPr>
            <w:r w:rsidRPr="00883202">
              <w:rPr>
                <w:rFonts w:cs="Arial"/>
                <w:sz w:val="14"/>
                <w:szCs w:val="14"/>
              </w:rPr>
              <w:t>*</w:t>
            </w:r>
            <w:r w:rsidR="002803A5">
              <w:rPr>
                <w:rFonts w:cs="Arial"/>
                <w:spacing w:val="-2"/>
                <w:sz w:val="14"/>
                <w:szCs w:val="14"/>
              </w:rPr>
              <w:t>Saldo důvěry (sezónně očištěné) i bariéry růstu</w:t>
            </w:r>
            <w:r w:rsidRPr="00883202">
              <w:rPr>
                <w:rFonts w:cs="Arial"/>
                <w:spacing w:val="-2"/>
                <w:sz w:val="14"/>
                <w:szCs w:val="14"/>
              </w:rPr>
              <w:t> vyjadřují stav ve druhém měsíci daného čtvrtletí</w:t>
            </w:r>
            <w:r w:rsidRPr="00883202">
              <w:rPr>
                <w:rFonts w:cs="Arial"/>
                <w:sz w:val="14"/>
                <w:szCs w:val="14"/>
              </w:rPr>
              <w:t>.</w:t>
            </w:r>
            <w:r>
              <w:rPr>
                <w:rFonts w:cs="Arial"/>
                <w:sz w:val="14"/>
                <w:szCs w:val="14"/>
              </w:rPr>
              <w:t xml:space="preserve"> Podniky mohly uvést více hlavních bariér současně.</w:t>
            </w:r>
          </w:p>
          <w:p w14:paraId="56DF82F9" w14:textId="77777777" w:rsidR="00E87CE2" w:rsidRDefault="00E87CE2" w:rsidP="006F6FF2">
            <w:pPr>
              <w:spacing w:after="220"/>
              <w:rPr>
                <w:noProof/>
              </w:rPr>
            </w:pPr>
            <w:r w:rsidRPr="00883202">
              <w:rPr>
                <w:rFonts w:cs="Arial"/>
                <w:sz w:val="14"/>
                <w:szCs w:val="14"/>
              </w:rPr>
              <w:t>Zdroj: ČSÚ</w:t>
            </w:r>
          </w:p>
        </w:tc>
      </w:tr>
      <w:tr w:rsidR="00E87CE2" w:rsidRPr="00730874" w14:paraId="5EC2EB25" w14:textId="77777777" w:rsidTr="006F6FF2">
        <w:trPr>
          <w:trHeight w:val="145"/>
        </w:trPr>
        <w:tc>
          <w:tcPr>
            <w:tcW w:w="1728" w:type="dxa"/>
            <w:shd w:val="clear" w:color="auto" w:fill="auto"/>
            <w:tcMar>
              <w:left w:w="0" w:type="dxa"/>
            </w:tcMar>
          </w:tcPr>
          <w:p w14:paraId="25FE9E08" w14:textId="77777777" w:rsidR="00E87CE2" w:rsidRDefault="00E87CE2" w:rsidP="006F6FF2">
            <w:pPr>
              <w:pStyle w:val="Marginlie"/>
            </w:pPr>
            <w:r>
              <w:t>K meziročnímu růstu stavebních zakázek přispěly podobným dílem veřejný i soukromý sektor.</w:t>
            </w:r>
          </w:p>
          <w:p w14:paraId="34016509" w14:textId="77777777" w:rsidR="00E87CE2" w:rsidRDefault="00E87CE2" w:rsidP="006F6FF2">
            <w:pPr>
              <w:pStyle w:val="Marginlie"/>
            </w:pPr>
          </w:p>
          <w:p w14:paraId="348DD2BA" w14:textId="77777777" w:rsidR="00E87CE2" w:rsidRDefault="00E87CE2" w:rsidP="006F6FF2">
            <w:pPr>
              <w:pStyle w:val="Marginlie"/>
            </w:pPr>
          </w:p>
          <w:p w14:paraId="3FD9F5D9" w14:textId="77777777" w:rsidR="00E87CE2" w:rsidRDefault="00E87CE2" w:rsidP="006F6FF2">
            <w:pPr>
              <w:pStyle w:val="Marginlie"/>
            </w:pPr>
          </w:p>
          <w:p w14:paraId="27B95C3A" w14:textId="77777777" w:rsidR="00E87CE2" w:rsidRDefault="00E87CE2" w:rsidP="006F6FF2">
            <w:pPr>
              <w:pStyle w:val="Marginlie"/>
            </w:pPr>
          </w:p>
          <w:p w14:paraId="0D13E11C" w14:textId="77777777" w:rsidR="00E87CE2" w:rsidRDefault="00E87CE2" w:rsidP="006F6FF2">
            <w:pPr>
              <w:pStyle w:val="Marginlie"/>
            </w:pPr>
            <w:r>
              <w:t>Důvěra podnikatelů ve stavebnictví se mírně zlepšovala, zůstávala však v negativním pásmu.</w:t>
            </w:r>
          </w:p>
        </w:tc>
        <w:tc>
          <w:tcPr>
            <w:tcW w:w="206" w:type="dxa"/>
            <w:shd w:val="clear" w:color="auto" w:fill="auto"/>
            <w:tcMar>
              <w:left w:w="0" w:type="dxa"/>
            </w:tcMar>
          </w:tcPr>
          <w:p w14:paraId="4EAF9FF3" w14:textId="77777777" w:rsidR="00E87CE2" w:rsidRPr="00B43216" w:rsidRDefault="00E87CE2" w:rsidP="006F6FF2">
            <w:pPr>
              <w:pStyle w:val="Textpoznpodarou"/>
              <w:jc w:val="both"/>
              <w:rPr>
                <w:spacing w:val="-4"/>
              </w:rPr>
            </w:pPr>
          </w:p>
        </w:tc>
        <w:tc>
          <w:tcPr>
            <w:tcW w:w="7730" w:type="dxa"/>
            <w:shd w:val="clear" w:color="auto" w:fill="auto"/>
            <w:tcMar>
              <w:left w:w="0" w:type="dxa"/>
            </w:tcMar>
          </w:tcPr>
          <w:p w14:paraId="429810A2" w14:textId="77777777" w:rsidR="00E87CE2" w:rsidRPr="00730874" w:rsidRDefault="00E87CE2" w:rsidP="00E87CE2">
            <w:pPr>
              <w:rPr>
                <w:spacing w:val="-4"/>
                <w:szCs w:val="20"/>
              </w:rPr>
            </w:pPr>
            <w:r>
              <w:rPr>
                <w:spacing w:val="-4"/>
                <w:szCs w:val="20"/>
              </w:rPr>
              <w:t xml:space="preserve">Nominální hodnota nově uzavřených tuzemských </w:t>
            </w:r>
            <w:r w:rsidRPr="006F50D2">
              <w:rPr>
                <w:color w:val="0D0D0D" w:themeColor="text1" w:themeTint="F2"/>
                <w:spacing w:val="-4"/>
                <w:szCs w:val="20"/>
              </w:rPr>
              <w:t xml:space="preserve">stavebních zakázek </w:t>
            </w:r>
            <w:r>
              <w:rPr>
                <w:spacing w:val="-4"/>
                <w:szCs w:val="20"/>
              </w:rPr>
              <w:t>(v podnicích s více než 50 zaměstnanci) v 1. čtvrtletí oproti slabší loňské základně vzrostla o 28 %. Ve srovnání s počátkem roku 2019 byla vyšší zhruba o osminu – jak v pozemním, tak inženýrském stavitelství. V růstu se patrně projevilo i zvyšování cen stavebních prací</w:t>
            </w:r>
            <w:r>
              <w:rPr>
                <w:rStyle w:val="Znakapoznpodarou"/>
                <w:spacing w:val="-4"/>
                <w:szCs w:val="20"/>
              </w:rPr>
              <w:footnoteReference w:id="30"/>
            </w:r>
            <w:r>
              <w:rPr>
                <w:spacing w:val="-4"/>
                <w:szCs w:val="20"/>
              </w:rPr>
              <w:t>. Všechny dosud nerealizované zakázky poskytovaly na počátku 2. čtvrtletí stavebním podnikům práci v průměru na dalších devět měsíců. Hodnota zakázek byla na konci letošního března meziročně vyšší o šestinu, o což se podobným dílem zasloužily veřejné i soukromé tuzemské zakázky. Celková důvěra podnikatelů ve stavebnictví se letos mírně zlepšovala, stále se ovšem nacházela v negativním pásmu a pod úrovní z období těsně před počátkem pandemie. Čtvrtina podniků hodnotila svou současnou poptávku po stavebních pracích negativně, na druhé straně 40 % podniků považovalo svou současnou ekonomickou situaci za dobrou. Očekávání v oblasti zaměstnanosti byla mírně optimistická. Nedostatek zaměstnanců sužoval, podobně jako nedostatečná poptávka, třetinu firem.</w:t>
            </w:r>
          </w:p>
        </w:tc>
      </w:tr>
      <w:tr w:rsidR="00E87CE2" w:rsidRPr="004D53D9" w14:paraId="0876A4C5" w14:textId="77777777" w:rsidTr="006F6FF2">
        <w:trPr>
          <w:trHeight w:val="145"/>
        </w:trPr>
        <w:tc>
          <w:tcPr>
            <w:tcW w:w="1728" w:type="dxa"/>
            <w:shd w:val="clear" w:color="auto" w:fill="auto"/>
            <w:tcMar>
              <w:left w:w="0" w:type="dxa"/>
            </w:tcMar>
          </w:tcPr>
          <w:p w14:paraId="76C3D18A" w14:textId="77777777" w:rsidR="00E87CE2" w:rsidRDefault="00E87CE2" w:rsidP="006F6FF2">
            <w:pPr>
              <w:pStyle w:val="Marginlie"/>
            </w:pPr>
            <w:r>
              <w:t xml:space="preserve">Tržby ve službách </w:t>
            </w:r>
            <w:proofErr w:type="spellStart"/>
            <w:r>
              <w:t>mezikvartálně</w:t>
            </w:r>
            <w:proofErr w:type="spellEnd"/>
            <w:r>
              <w:t xml:space="preserve"> mírně </w:t>
            </w:r>
            <w:r>
              <w:lastRenderedPageBreak/>
              <w:t>vzrostly. Jejich dosažená reálná výše byla srovnatelná s počátkem roku 2013.</w:t>
            </w:r>
          </w:p>
        </w:tc>
        <w:tc>
          <w:tcPr>
            <w:tcW w:w="206" w:type="dxa"/>
            <w:shd w:val="clear" w:color="auto" w:fill="auto"/>
            <w:tcMar>
              <w:left w:w="0" w:type="dxa"/>
            </w:tcMar>
          </w:tcPr>
          <w:p w14:paraId="514A98F0" w14:textId="77777777" w:rsidR="00E87CE2" w:rsidRPr="00B43216" w:rsidRDefault="00E87CE2" w:rsidP="006F6FF2">
            <w:pPr>
              <w:pStyle w:val="Textpoznpodarou"/>
              <w:jc w:val="both"/>
              <w:rPr>
                <w:spacing w:val="-4"/>
              </w:rPr>
            </w:pPr>
          </w:p>
        </w:tc>
        <w:tc>
          <w:tcPr>
            <w:tcW w:w="7730" w:type="dxa"/>
            <w:shd w:val="clear" w:color="auto" w:fill="auto"/>
            <w:tcMar>
              <w:left w:w="0" w:type="dxa"/>
            </w:tcMar>
          </w:tcPr>
          <w:p w14:paraId="35DA0821" w14:textId="77777777" w:rsidR="00E87CE2" w:rsidRPr="004D53D9" w:rsidRDefault="00E87CE2" w:rsidP="00E87CE2">
            <w:pPr>
              <w:rPr>
                <w:spacing w:val="-4"/>
                <w:szCs w:val="20"/>
              </w:rPr>
            </w:pPr>
            <w:r>
              <w:rPr>
                <w:spacing w:val="-4"/>
                <w:szCs w:val="20"/>
              </w:rPr>
              <w:t xml:space="preserve">Přestože zásah </w:t>
            </w:r>
            <w:proofErr w:type="spellStart"/>
            <w:r>
              <w:rPr>
                <w:spacing w:val="-4"/>
                <w:szCs w:val="20"/>
              </w:rPr>
              <w:t>protipandemických</w:t>
            </w:r>
            <w:proofErr w:type="spellEnd"/>
            <w:r>
              <w:rPr>
                <w:spacing w:val="-4"/>
                <w:szCs w:val="20"/>
              </w:rPr>
              <w:t xml:space="preserve"> opatření do širokého spektra služeb přetrvával po celé 1. čtvrtletí 2021, </w:t>
            </w:r>
            <w:r>
              <w:rPr>
                <w:color w:val="0D0D0D" w:themeColor="text1" w:themeTint="F2"/>
                <w:spacing w:val="-4"/>
              </w:rPr>
              <w:t>t</w:t>
            </w:r>
            <w:r w:rsidRPr="000D332A">
              <w:rPr>
                <w:color w:val="0D0D0D" w:themeColor="text1" w:themeTint="F2"/>
                <w:spacing w:val="-4"/>
              </w:rPr>
              <w:t>ržby ve vybraných službách</w:t>
            </w:r>
            <w:r w:rsidRPr="000D332A">
              <w:rPr>
                <w:color w:val="0D0D0D" w:themeColor="text1" w:themeTint="F2"/>
                <w:spacing w:val="-4"/>
                <w:vertAlign w:val="superscript"/>
              </w:rPr>
              <w:footnoteReference w:id="31"/>
            </w:r>
            <w:r>
              <w:rPr>
                <w:color w:val="0D0D0D" w:themeColor="text1" w:themeTint="F2"/>
                <w:spacing w:val="-4"/>
              </w:rPr>
              <w:t xml:space="preserve"> ve srovnání s úrovní 4. čtvrtletí 2020 mírně </w:t>
            </w:r>
            <w:r>
              <w:rPr>
                <w:color w:val="0D0D0D" w:themeColor="text1" w:themeTint="F2"/>
                <w:spacing w:val="-4"/>
              </w:rPr>
              <w:lastRenderedPageBreak/>
              <w:t>vzrostly (+1,1 %). Zasloužilo se o to hlavně odvětví dopravy a skladování a také informační a komunikační činnosti. To ovšem situaci ve službách s ohledem na hluboký loňský propad příliš nevylepšilo</w:t>
            </w:r>
            <w:r>
              <w:rPr>
                <w:rStyle w:val="Znakapoznpodarou"/>
                <w:color w:val="0D0D0D" w:themeColor="text1" w:themeTint="F2"/>
                <w:spacing w:val="-4"/>
              </w:rPr>
              <w:footnoteReference w:id="32"/>
            </w:r>
            <w:r>
              <w:rPr>
                <w:color w:val="0D0D0D" w:themeColor="text1" w:themeTint="F2"/>
                <w:spacing w:val="-4"/>
              </w:rPr>
              <w:t xml:space="preserve">. Letošní úroveň tržeb ve službách reálně odpovídala hladině počátku roku 2013, kdy v české ekonomice končila mělká recese. Ve většině dílčích odvětví navázaných na cestovní ruch či v některých specializovaných </w:t>
            </w:r>
            <w:r w:rsidRPr="009E534F">
              <w:rPr>
                <w:color w:val="0D0D0D" w:themeColor="text1" w:themeTint="F2"/>
                <w:spacing w:val="-4"/>
              </w:rPr>
              <w:t xml:space="preserve">službách pro podniky </w:t>
            </w:r>
            <w:r>
              <w:rPr>
                <w:color w:val="0D0D0D" w:themeColor="text1" w:themeTint="F2"/>
                <w:spacing w:val="-4"/>
              </w:rPr>
              <w:t xml:space="preserve">dokonce </w:t>
            </w:r>
            <w:r w:rsidRPr="009E534F">
              <w:rPr>
                <w:color w:val="0D0D0D" w:themeColor="text1" w:themeTint="F2"/>
                <w:spacing w:val="-4"/>
              </w:rPr>
              <w:t xml:space="preserve">představovala letošní výše </w:t>
            </w:r>
            <w:r>
              <w:rPr>
                <w:color w:val="0D0D0D" w:themeColor="text1" w:themeTint="F2"/>
                <w:spacing w:val="-4"/>
              </w:rPr>
              <w:t>trže</w:t>
            </w:r>
            <w:r w:rsidRPr="009E534F">
              <w:rPr>
                <w:color w:val="0D0D0D" w:themeColor="text1" w:themeTint="F2"/>
                <w:spacing w:val="-4"/>
              </w:rPr>
              <w:t>b absolutní minimum ve srovnatelné řadě od roku 2000</w:t>
            </w:r>
            <w:r w:rsidRPr="0038716D">
              <w:rPr>
                <w:color w:val="0D0D0D" w:themeColor="text1" w:themeTint="F2"/>
                <w:spacing w:val="-5"/>
              </w:rPr>
              <w:t>.</w:t>
            </w:r>
          </w:p>
        </w:tc>
      </w:tr>
      <w:tr w:rsidR="00E87CE2" w:rsidRPr="00585B7B" w14:paraId="5BCE519B" w14:textId="77777777" w:rsidTr="006F6FF2">
        <w:trPr>
          <w:trHeight w:val="145"/>
        </w:trPr>
        <w:tc>
          <w:tcPr>
            <w:tcW w:w="1728" w:type="dxa"/>
            <w:shd w:val="clear" w:color="auto" w:fill="auto"/>
            <w:tcMar>
              <w:left w:w="0" w:type="dxa"/>
            </w:tcMar>
          </w:tcPr>
          <w:p w14:paraId="4A9BD7AF" w14:textId="77777777" w:rsidR="00E87CE2" w:rsidRPr="0038716D" w:rsidRDefault="00E87CE2" w:rsidP="006F6FF2">
            <w:pPr>
              <w:pStyle w:val="Marginlie"/>
              <w:rPr>
                <w:color w:val="0D0D0D" w:themeColor="text1" w:themeTint="F2"/>
              </w:rPr>
            </w:pPr>
            <w:r>
              <w:rPr>
                <w:color w:val="0D0D0D" w:themeColor="text1" w:themeTint="F2"/>
              </w:rPr>
              <w:lastRenderedPageBreak/>
              <w:t>Více než polovina meziročního poklesu tržeb šla letos na vrub ubytování, stravování a</w:t>
            </w:r>
            <w:r>
              <w:t> </w:t>
            </w:r>
            <w:r>
              <w:rPr>
                <w:color w:val="0D0D0D" w:themeColor="text1" w:themeTint="F2"/>
              </w:rPr>
              <w:t>pohostinství.</w:t>
            </w:r>
          </w:p>
        </w:tc>
        <w:tc>
          <w:tcPr>
            <w:tcW w:w="206" w:type="dxa"/>
            <w:shd w:val="clear" w:color="auto" w:fill="auto"/>
            <w:tcMar>
              <w:left w:w="0" w:type="dxa"/>
            </w:tcMar>
          </w:tcPr>
          <w:p w14:paraId="57AE1E4D" w14:textId="77777777" w:rsidR="00E87CE2" w:rsidRPr="00585B7B" w:rsidRDefault="00E87CE2" w:rsidP="006F6FF2">
            <w:pPr>
              <w:pStyle w:val="Textpoznpodarou"/>
              <w:jc w:val="both"/>
              <w:rPr>
                <w:color w:val="0D0D0D" w:themeColor="text1" w:themeTint="F2"/>
                <w:spacing w:val="-4"/>
              </w:rPr>
            </w:pPr>
          </w:p>
        </w:tc>
        <w:tc>
          <w:tcPr>
            <w:tcW w:w="7730" w:type="dxa"/>
            <w:shd w:val="clear" w:color="auto" w:fill="auto"/>
            <w:tcMar>
              <w:left w:w="0" w:type="dxa"/>
            </w:tcMar>
          </w:tcPr>
          <w:p w14:paraId="4DCD65FC" w14:textId="15BBDE0D" w:rsidR="00E87CE2" w:rsidRPr="00585B7B" w:rsidRDefault="00E87CE2" w:rsidP="00593389">
            <w:pPr>
              <w:rPr>
                <w:color w:val="0D0D0D" w:themeColor="text1" w:themeTint="F2"/>
                <w:spacing w:val="-4"/>
              </w:rPr>
            </w:pPr>
            <w:r w:rsidRPr="00585B7B">
              <w:rPr>
                <w:color w:val="0D0D0D" w:themeColor="text1" w:themeTint="F2"/>
                <w:spacing w:val="-4"/>
              </w:rPr>
              <w:t>Tržby ve službách v 1.</w:t>
            </w:r>
            <w:r>
              <w:rPr>
                <w:color w:val="0D0D0D" w:themeColor="text1" w:themeTint="F2"/>
                <w:spacing w:val="-4"/>
              </w:rPr>
              <w:t> čtvrtlet</w:t>
            </w:r>
            <w:r w:rsidRPr="00585B7B">
              <w:rPr>
                <w:color w:val="0D0D0D" w:themeColor="text1" w:themeTint="F2"/>
                <w:spacing w:val="-4"/>
              </w:rPr>
              <w:t>í 2021 meziročně klesly o</w:t>
            </w:r>
            <w:r>
              <w:rPr>
                <w:color w:val="0D0D0D" w:themeColor="text1" w:themeTint="F2"/>
                <w:spacing w:val="-4"/>
              </w:rPr>
              <w:t> </w:t>
            </w:r>
            <w:r w:rsidRPr="00585B7B">
              <w:rPr>
                <w:color w:val="0D0D0D" w:themeColor="text1" w:themeTint="F2"/>
                <w:spacing w:val="-4"/>
              </w:rPr>
              <w:t>6,8</w:t>
            </w:r>
            <w:r>
              <w:rPr>
                <w:color w:val="0D0D0D" w:themeColor="text1" w:themeTint="F2"/>
                <w:spacing w:val="-4"/>
              </w:rPr>
              <w:t> %</w:t>
            </w:r>
            <w:r w:rsidR="00593389">
              <w:rPr>
                <w:color w:val="0D0D0D" w:themeColor="text1" w:themeTint="F2"/>
                <w:spacing w:val="-4"/>
              </w:rPr>
              <w:t xml:space="preserve"> (oproti 1. čtvrtletí 2019 </w:t>
            </w:r>
            <w:r w:rsidRPr="00585B7B">
              <w:rPr>
                <w:color w:val="0D0D0D" w:themeColor="text1" w:themeTint="F2"/>
                <w:spacing w:val="-4"/>
              </w:rPr>
              <w:t>o</w:t>
            </w:r>
            <w:r>
              <w:rPr>
                <w:color w:val="0D0D0D" w:themeColor="text1" w:themeTint="F2"/>
                <w:spacing w:val="-4"/>
              </w:rPr>
              <w:t> </w:t>
            </w:r>
            <w:r w:rsidRPr="00585B7B">
              <w:rPr>
                <w:color w:val="0D0D0D" w:themeColor="text1" w:themeTint="F2"/>
                <w:spacing w:val="-4"/>
              </w:rPr>
              <w:t>10,3</w:t>
            </w:r>
            <w:r>
              <w:rPr>
                <w:color w:val="0D0D0D" w:themeColor="text1" w:themeTint="F2"/>
                <w:spacing w:val="-4"/>
              </w:rPr>
              <w:t> %</w:t>
            </w:r>
            <w:r w:rsidRPr="00585B7B">
              <w:rPr>
                <w:color w:val="0D0D0D" w:themeColor="text1" w:themeTint="F2"/>
                <w:spacing w:val="-4"/>
              </w:rPr>
              <w:t>). Pokles byl tažen primárně odvětvím ubytování, stravování a</w:t>
            </w:r>
            <w:r>
              <w:rPr>
                <w:color w:val="0D0D0D" w:themeColor="text1" w:themeTint="F2"/>
                <w:spacing w:val="-4"/>
              </w:rPr>
              <w:t> </w:t>
            </w:r>
            <w:r w:rsidR="00593389">
              <w:rPr>
                <w:color w:val="0D0D0D" w:themeColor="text1" w:themeTint="F2"/>
                <w:spacing w:val="-4"/>
              </w:rPr>
              <w:t>pohostinství (</w:t>
            </w:r>
            <w:proofErr w:type="gramStart"/>
            <w:r w:rsidR="00593389">
              <w:rPr>
                <w:color w:val="0D0D0D" w:themeColor="text1" w:themeTint="F2"/>
                <w:spacing w:val="-4"/>
              </w:rPr>
              <w:t>příspěvek</w:t>
            </w:r>
            <w:proofErr w:type="gramEnd"/>
            <w:r w:rsidR="00593389">
              <w:rPr>
                <w:color w:val="0D0D0D" w:themeColor="text1" w:themeTint="F2"/>
                <w:spacing w:val="-4"/>
              </w:rPr>
              <w:t xml:space="preserve"> –</w:t>
            </w:r>
            <w:proofErr w:type="gramStart"/>
            <w:r w:rsidR="00593389">
              <w:rPr>
                <w:color w:val="0D0D0D" w:themeColor="text1" w:themeTint="F2"/>
                <w:spacing w:val="-4"/>
              </w:rPr>
              <w:t>3,7</w:t>
            </w:r>
            <w:proofErr w:type="gramEnd"/>
            <w:r>
              <w:rPr>
                <w:color w:val="0D0D0D" w:themeColor="text1" w:themeTint="F2"/>
                <w:spacing w:val="-4"/>
              </w:rPr>
              <w:t> p. b.</w:t>
            </w:r>
            <w:r w:rsidRPr="00585B7B">
              <w:rPr>
                <w:color w:val="0D0D0D" w:themeColor="text1" w:themeTint="F2"/>
                <w:spacing w:val="-4"/>
              </w:rPr>
              <w:t xml:space="preserve">). Většina </w:t>
            </w:r>
            <w:r w:rsidRPr="00585B7B">
              <w:rPr>
                <w:color w:val="0D0D0D" w:themeColor="text1" w:themeTint="F2"/>
                <w:spacing w:val="-4"/>
                <w:szCs w:val="20"/>
              </w:rPr>
              <w:t>dílčích odvětví úzce vázaných na cestovní ruch a</w:t>
            </w:r>
            <w:r>
              <w:rPr>
                <w:color w:val="0D0D0D" w:themeColor="text1" w:themeTint="F2"/>
                <w:spacing w:val="-4"/>
                <w:szCs w:val="20"/>
              </w:rPr>
              <w:t> </w:t>
            </w:r>
            <w:r w:rsidRPr="00585B7B">
              <w:rPr>
                <w:color w:val="0D0D0D" w:themeColor="text1" w:themeTint="F2"/>
                <w:spacing w:val="-4"/>
                <w:szCs w:val="20"/>
              </w:rPr>
              <w:t xml:space="preserve">jiné volnočasové aktivity byla silně zasažena již loni v březnu. </w:t>
            </w:r>
            <w:r w:rsidRPr="00585B7B">
              <w:rPr>
                <w:color w:val="0D0D0D" w:themeColor="text1" w:themeTint="F2"/>
                <w:spacing w:val="-4"/>
              </w:rPr>
              <w:t>Stravování a</w:t>
            </w:r>
            <w:r>
              <w:rPr>
                <w:color w:val="0D0D0D" w:themeColor="text1" w:themeTint="F2"/>
                <w:spacing w:val="-4"/>
              </w:rPr>
              <w:t> </w:t>
            </w:r>
            <w:r w:rsidRPr="00585B7B">
              <w:rPr>
                <w:color w:val="0D0D0D" w:themeColor="text1" w:themeTint="F2"/>
                <w:spacing w:val="-4"/>
              </w:rPr>
              <w:t>pohostinství tak letos přišlo ve srovnání s 1. čtvrtletím 2019 reálně o</w:t>
            </w:r>
            <w:r>
              <w:rPr>
                <w:color w:val="0D0D0D" w:themeColor="text1" w:themeTint="F2"/>
                <w:spacing w:val="-4"/>
              </w:rPr>
              <w:t> </w:t>
            </w:r>
            <w:r w:rsidR="00593389">
              <w:rPr>
                <w:color w:val="0D0D0D" w:themeColor="text1" w:themeTint="F2"/>
                <w:spacing w:val="-4"/>
              </w:rPr>
              <w:t>60,7</w:t>
            </w:r>
            <w:r>
              <w:rPr>
                <w:color w:val="0D0D0D" w:themeColor="text1" w:themeTint="F2"/>
                <w:spacing w:val="-4"/>
              </w:rPr>
              <w:t> %</w:t>
            </w:r>
            <w:r w:rsidRPr="00585B7B">
              <w:rPr>
                <w:color w:val="0D0D0D" w:themeColor="text1" w:themeTint="F2"/>
                <w:spacing w:val="-4"/>
              </w:rPr>
              <w:t xml:space="preserve"> tržeb, letecká doprava o</w:t>
            </w:r>
            <w:r>
              <w:rPr>
                <w:color w:val="0D0D0D" w:themeColor="text1" w:themeTint="F2"/>
                <w:spacing w:val="-4"/>
              </w:rPr>
              <w:t> </w:t>
            </w:r>
            <w:r w:rsidRPr="00585B7B">
              <w:rPr>
                <w:color w:val="0D0D0D" w:themeColor="text1" w:themeTint="F2"/>
                <w:spacing w:val="-4"/>
              </w:rPr>
              <w:t>69</w:t>
            </w:r>
            <w:r w:rsidR="00593389">
              <w:rPr>
                <w:color w:val="0D0D0D" w:themeColor="text1" w:themeTint="F2"/>
                <w:spacing w:val="-4"/>
              </w:rPr>
              <w:t>,4</w:t>
            </w:r>
            <w:r>
              <w:rPr>
                <w:color w:val="0D0D0D" w:themeColor="text1" w:themeTint="F2"/>
                <w:spacing w:val="-4"/>
              </w:rPr>
              <w:t> %</w:t>
            </w:r>
            <w:r w:rsidRPr="00585B7B">
              <w:rPr>
                <w:color w:val="0D0D0D" w:themeColor="text1" w:themeTint="F2"/>
                <w:spacing w:val="-4"/>
              </w:rPr>
              <w:t>, cestovní kanceláře a agentury o</w:t>
            </w:r>
            <w:r>
              <w:rPr>
                <w:color w:val="0D0D0D" w:themeColor="text1" w:themeTint="F2"/>
                <w:spacing w:val="-4"/>
              </w:rPr>
              <w:t> </w:t>
            </w:r>
            <w:r w:rsidR="00593389">
              <w:rPr>
                <w:color w:val="0D0D0D" w:themeColor="text1" w:themeTint="F2"/>
                <w:spacing w:val="-4"/>
              </w:rPr>
              <w:t>77,9</w:t>
            </w:r>
            <w:r>
              <w:rPr>
                <w:color w:val="0D0D0D" w:themeColor="text1" w:themeTint="F2"/>
                <w:spacing w:val="-4"/>
              </w:rPr>
              <w:t> %</w:t>
            </w:r>
            <w:r w:rsidRPr="00585B7B">
              <w:rPr>
                <w:color w:val="0D0D0D" w:themeColor="text1" w:themeTint="F2"/>
                <w:spacing w:val="-4"/>
              </w:rPr>
              <w:t xml:space="preserve"> a</w:t>
            </w:r>
            <w:r>
              <w:rPr>
                <w:color w:val="0D0D0D" w:themeColor="text1" w:themeTint="F2"/>
                <w:spacing w:val="-4"/>
              </w:rPr>
              <w:t> </w:t>
            </w:r>
            <w:r w:rsidRPr="00585B7B">
              <w:rPr>
                <w:color w:val="0D0D0D" w:themeColor="text1" w:themeTint="F2"/>
                <w:spacing w:val="-4"/>
              </w:rPr>
              <w:t>ubytování dokonce o</w:t>
            </w:r>
            <w:r>
              <w:rPr>
                <w:color w:val="0D0D0D" w:themeColor="text1" w:themeTint="F2"/>
                <w:spacing w:val="-4"/>
              </w:rPr>
              <w:t> </w:t>
            </w:r>
            <w:r w:rsidRPr="00585B7B">
              <w:rPr>
                <w:color w:val="0D0D0D" w:themeColor="text1" w:themeTint="F2"/>
                <w:spacing w:val="-4"/>
              </w:rPr>
              <w:t>81</w:t>
            </w:r>
            <w:r w:rsidR="00593389">
              <w:rPr>
                <w:color w:val="0D0D0D" w:themeColor="text1" w:themeTint="F2"/>
                <w:spacing w:val="-4"/>
              </w:rPr>
              <w:t>,1</w:t>
            </w:r>
            <w:r>
              <w:rPr>
                <w:color w:val="0D0D0D" w:themeColor="text1" w:themeTint="F2"/>
                <w:spacing w:val="-4"/>
              </w:rPr>
              <w:t> %</w:t>
            </w:r>
            <w:r w:rsidRPr="00585B7B">
              <w:rPr>
                <w:color w:val="0D0D0D" w:themeColor="text1" w:themeTint="F2"/>
                <w:spacing w:val="-4"/>
              </w:rPr>
              <w:t>. Propad cestovního ruchu, jenž neměl na území ČR v moderní historii obdob</w:t>
            </w:r>
            <w:r>
              <w:rPr>
                <w:color w:val="0D0D0D" w:themeColor="text1" w:themeTint="F2"/>
                <w:spacing w:val="-4"/>
              </w:rPr>
              <w:t>y</w:t>
            </w:r>
            <w:r w:rsidRPr="00585B7B">
              <w:rPr>
                <w:color w:val="0D0D0D" w:themeColor="text1" w:themeTint="F2"/>
                <w:spacing w:val="-4"/>
              </w:rPr>
              <w:t>, dokreslují i</w:t>
            </w:r>
            <w:r>
              <w:rPr>
                <w:color w:val="0D0D0D" w:themeColor="text1" w:themeTint="F2"/>
                <w:spacing w:val="-4"/>
              </w:rPr>
              <w:t> </w:t>
            </w:r>
            <w:r w:rsidRPr="00585B7B">
              <w:rPr>
                <w:color w:val="0D0D0D" w:themeColor="text1" w:themeTint="F2"/>
                <w:spacing w:val="-4"/>
              </w:rPr>
              <w:t>naturální ukazatele</w:t>
            </w:r>
            <w:r w:rsidRPr="00585B7B">
              <w:rPr>
                <w:rStyle w:val="Znakapoznpodarou"/>
                <w:color w:val="0D0D0D" w:themeColor="text1" w:themeTint="F2"/>
                <w:spacing w:val="-4"/>
              </w:rPr>
              <w:footnoteReference w:id="33"/>
            </w:r>
            <w:r w:rsidRPr="00585B7B">
              <w:rPr>
                <w:color w:val="0D0D0D" w:themeColor="text1" w:themeTint="F2"/>
                <w:spacing w:val="-4"/>
              </w:rPr>
              <w:t>. Rovněž v t</w:t>
            </w:r>
            <w:r>
              <w:rPr>
                <w:color w:val="0D0D0D" w:themeColor="text1" w:themeTint="F2"/>
                <w:spacing w:val="-4"/>
              </w:rPr>
              <w:t>ak</w:t>
            </w:r>
            <w:r w:rsidRPr="00585B7B">
              <w:rPr>
                <w:color w:val="0D0D0D" w:themeColor="text1" w:themeTint="F2"/>
                <w:spacing w:val="-4"/>
              </w:rPr>
              <w:t>zv</w:t>
            </w:r>
            <w:r>
              <w:rPr>
                <w:color w:val="0D0D0D" w:themeColor="text1" w:themeTint="F2"/>
                <w:spacing w:val="-4"/>
              </w:rPr>
              <w:t>aném</w:t>
            </w:r>
            <w:r w:rsidRPr="00585B7B">
              <w:rPr>
                <w:color w:val="0D0D0D" w:themeColor="text1" w:themeTint="F2"/>
                <w:spacing w:val="-4"/>
              </w:rPr>
              <w:t xml:space="preserve"> </w:t>
            </w:r>
            <w:r w:rsidRPr="00585B7B">
              <w:rPr>
                <w:color w:val="0D0D0D" w:themeColor="text1" w:themeTint="F2"/>
                <w:spacing w:val="-4"/>
                <w:szCs w:val="20"/>
              </w:rPr>
              <w:t>filmovém a</w:t>
            </w:r>
            <w:r>
              <w:rPr>
                <w:color w:val="0D0D0D" w:themeColor="text1" w:themeTint="F2"/>
                <w:spacing w:val="-4"/>
                <w:szCs w:val="20"/>
              </w:rPr>
              <w:t> </w:t>
            </w:r>
            <w:r w:rsidRPr="00585B7B">
              <w:rPr>
                <w:color w:val="0D0D0D" w:themeColor="text1" w:themeTint="F2"/>
                <w:spacing w:val="-4"/>
                <w:szCs w:val="20"/>
              </w:rPr>
              <w:t>hudebním průmyslu</w:t>
            </w:r>
            <w:r w:rsidRPr="00585B7B">
              <w:rPr>
                <w:rStyle w:val="Znakapoznpodarou"/>
                <w:color w:val="0D0D0D" w:themeColor="text1" w:themeTint="F2"/>
                <w:spacing w:val="-4"/>
                <w:szCs w:val="20"/>
              </w:rPr>
              <w:footnoteReference w:id="34"/>
            </w:r>
            <w:r w:rsidRPr="00585B7B">
              <w:rPr>
                <w:color w:val="0D0D0D" w:themeColor="text1" w:themeTint="F2"/>
                <w:spacing w:val="-4"/>
                <w:szCs w:val="20"/>
              </w:rPr>
              <w:t xml:space="preserve"> propadly tržby za dva roky o</w:t>
            </w:r>
            <w:r>
              <w:rPr>
                <w:color w:val="0D0D0D" w:themeColor="text1" w:themeTint="F2"/>
                <w:spacing w:val="-4"/>
                <w:szCs w:val="20"/>
              </w:rPr>
              <w:t> </w:t>
            </w:r>
            <w:r w:rsidRPr="00585B7B">
              <w:rPr>
                <w:color w:val="0D0D0D" w:themeColor="text1" w:themeTint="F2"/>
                <w:spacing w:val="-4"/>
                <w:szCs w:val="20"/>
              </w:rPr>
              <w:t>50</w:t>
            </w:r>
            <w:r w:rsidR="00593389">
              <w:rPr>
                <w:color w:val="0D0D0D" w:themeColor="text1" w:themeTint="F2"/>
                <w:spacing w:val="-4"/>
                <w:szCs w:val="20"/>
              </w:rPr>
              <w:t>,6</w:t>
            </w:r>
            <w:r>
              <w:rPr>
                <w:color w:val="0D0D0D" w:themeColor="text1" w:themeTint="F2"/>
                <w:spacing w:val="-4"/>
                <w:szCs w:val="20"/>
              </w:rPr>
              <w:t> %</w:t>
            </w:r>
            <w:r w:rsidRPr="00585B7B">
              <w:rPr>
                <w:color w:val="0D0D0D" w:themeColor="text1" w:themeTint="F2"/>
                <w:spacing w:val="-4"/>
                <w:szCs w:val="20"/>
              </w:rPr>
              <w:t>.</w:t>
            </w:r>
          </w:p>
        </w:tc>
      </w:tr>
      <w:tr w:rsidR="00E87CE2" w:rsidRPr="00307BAB" w14:paraId="78304F63" w14:textId="77777777" w:rsidTr="006F6FF2">
        <w:trPr>
          <w:trHeight w:val="145"/>
        </w:trPr>
        <w:tc>
          <w:tcPr>
            <w:tcW w:w="1728" w:type="dxa"/>
            <w:shd w:val="clear" w:color="auto" w:fill="auto"/>
            <w:tcMar>
              <w:left w:w="0" w:type="dxa"/>
            </w:tcMar>
          </w:tcPr>
          <w:p w14:paraId="151D9814" w14:textId="77777777" w:rsidR="00E87CE2" w:rsidRDefault="00E87CE2" w:rsidP="006F6FF2">
            <w:pPr>
              <w:pStyle w:val="Marginlie"/>
            </w:pPr>
          </w:p>
        </w:tc>
        <w:tc>
          <w:tcPr>
            <w:tcW w:w="206" w:type="dxa"/>
            <w:shd w:val="clear" w:color="auto" w:fill="auto"/>
            <w:tcMar>
              <w:left w:w="0" w:type="dxa"/>
            </w:tcMar>
          </w:tcPr>
          <w:p w14:paraId="2B5FF8E8" w14:textId="77777777" w:rsidR="00E87CE2" w:rsidRPr="00B43216" w:rsidRDefault="00E87CE2" w:rsidP="006F6FF2">
            <w:pPr>
              <w:pStyle w:val="Textpoznpodarou"/>
              <w:jc w:val="both"/>
              <w:rPr>
                <w:spacing w:val="-4"/>
              </w:rPr>
            </w:pPr>
          </w:p>
        </w:tc>
        <w:tc>
          <w:tcPr>
            <w:tcW w:w="7730" w:type="dxa"/>
            <w:shd w:val="clear" w:color="auto" w:fill="auto"/>
            <w:tcMar>
              <w:left w:w="0" w:type="dxa"/>
            </w:tcMar>
          </w:tcPr>
          <w:p w14:paraId="1BDC9441" w14:textId="77777777" w:rsidR="00E87CE2" w:rsidRPr="00307BAB" w:rsidRDefault="00E87CE2" w:rsidP="006F6FF2">
            <w:pPr>
              <w:spacing w:after="0"/>
              <w:rPr>
                <w:spacing w:val="2"/>
                <w:szCs w:val="20"/>
              </w:rPr>
            </w:pPr>
            <w:r w:rsidRPr="00307BAB">
              <w:rPr>
                <w:b/>
                <w:spacing w:val="2"/>
              </w:rPr>
              <w:t>Graf č. 7</w:t>
            </w:r>
            <w:r>
              <w:rPr>
                <w:b/>
                <w:spacing w:val="2"/>
              </w:rPr>
              <w:t xml:space="preserve"> </w:t>
            </w:r>
            <w:r w:rsidRPr="00307BAB">
              <w:rPr>
                <w:b/>
                <w:spacing w:val="2"/>
              </w:rPr>
              <w:t xml:space="preserve"> Příspěvky odvětví k meziroční změně tržeb ve službách*</w:t>
            </w:r>
            <w:r w:rsidRPr="00307BAB">
              <w:rPr>
                <w:b/>
                <w:spacing w:val="2"/>
              </w:rPr>
              <w:br/>
            </w:r>
            <w:r w:rsidRPr="00307BAB">
              <w:rPr>
                <w:spacing w:val="2"/>
              </w:rPr>
              <w:t>(v p. b., očištěno o kalendářní vlivy)</w:t>
            </w:r>
            <w:r w:rsidRPr="00307BAB">
              <w:rPr>
                <w:b/>
                <w:bCs/>
                <w:spacing w:val="2"/>
              </w:rPr>
              <w:t xml:space="preserve">, </w:t>
            </w:r>
            <w:r w:rsidRPr="00307BAB">
              <w:rPr>
                <w:b/>
                <w:spacing w:val="2"/>
              </w:rPr>
              <w:t>saldo indikátoru důvěry ve službách**</w:t>
            </w:r>
            <w:r w:rsidRPr="00307BAB">
              <w:rPr>
                <w:b/>
                <w:spacing w:val="2"/>
              </w:rPr>
              <w:br/>
            </w:r>
            <w:r w:rsidRPr="00307BAB">
              <w:rPr>
                <w:spacing w:val="2"/>
              </w:rPr>
              <w:t>(v p. b., pravá osa)</w:t>
            </w:r>
            <w:r w:rsidRPr="00307BAB">
              <w:rPr>
                <w:b/>
                <w:spacing w:val="2"/>
              </w:rPr>
              <w:t xml:space="preserve"> a vybrané bariéry růstu*</w:t>
            </w:r>
            <w:r w:rsidRPr="00307BAB">
              <w:rPr>
                <w:spacing w:val="2"/>
              </w:rPr>
              <w:t>* (v %, pravá osa)</w:t>
            </w:r>
          </w:p>
        </w:tc>
      </w:tr>
      <w:tr w:rsidR="00E87CE2" w:rsidRPr="004D53D9" w14:paraId="003C7BC2" w14:textId="77777777" w:rsidTr="006F6FF2">
        <w:tblPrEx>
          <w:tblCellMar>
            <w:left w:w="70" w:type="dxa"/>
            <w:right w:w="70" w:type="dxa"/>
          </w:tblCellMar>
        </w:tblPrEx>
        <w:trPr>
          <w:trHeight w:val="145"/>
        </w:trPr>
        <w:tc>
          <w:tcPr>
            <w:tcW w:w="1728" w:type="dxa"/>
            <w:shd w:val="clear" w:color="auto" w:fill="auto"/>
          </w:tcPr>
          <w:p w14:paraId="706277A2" w14:textId="77777777" w:rsidR="00E87CE2" w:rsidRDefault="00E87CE2" w:rsidP="006F6FF2">
            <w:pPr>
              <w:pStyle w:val="Marginlie"/>
            </w:pPr>
          </w:p>
        </w:tc>
        <w:tc>
          <w:tcPr>
            <w:tcW w:w="206" w:type="dxa"/>
            <w:shd w:val="clear" w:color="auto" w:fill="auto"/>
          </w:tcPr>
          <w:p w14:paraId="0C9466A2" w14:textId="77777777" w:rsidR="00E87CE2" w:rsidRPr="00B43216" w:rsidRDefault="00E87CE2" w:rsidP="006F6FF2">
            <w:pPr>
              <w:pStyle w:val="Textpoznpodarou"/>
              <w:jc w:val="both"/>
              <w:rPr>
                <w:spacing w:val="-4"/>
              </w:rPr>
            </w:pPr>
          </w:p>
        </w:tc>
        <w:tc>
          <w:tcPr>
            <w:tcW w:w="7730" w:type="dxa"/>
            <w:shd w:val="clear" w:color="auto" w:fill="auto"/>
          </w:tcPr>
          <w:p w14:paraId="3432142B" w14:textId="77777777" w:rsidR="00E87CE2" w:rsidRPr="004D53D9" w:rsidRDefault="00E87CE2" w:rsidP="006F6FF2">
            <w:pPr>
              <w:spacing w:after="0"/>
              <w:rPr>
                <w:spacing w:val="-4"/>
                <w:szCs w:val="20"/>
              </w:rPr>
            </w:pPr>
            <w:r>
              <w:rPr>
                <w:noProof/>
              </w:rPr>
              <w:drawing>
                <wp:inline distT="0" distB="0" distL="0" distR="0" wp14:anchorId="14C25B88" wp14:editId="76CF9506">
                  <wp:extent cx="4775835" cy="3534770"/>
                  <wp:effectExtent l="0" t="0" r="5715" b="8890"/>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E87CE2" w:rsidRPr="00417064" w14:paraId="5ABC1BDC" w14:textId="77777777" w:rsidTr="006F6FF2">
        <w:trPr>
          <w:trHeight w:val="145"/>
        </w:trPr>
        <w:tc>
          <w:tcPr>
            <w:tcW w:w="1728" w:type="dxa"/>
            <w:shd w:val="clear" w:color="auto" w:fill="auto"/>
            <w:tcMar>
              <w:left w:w="0" w:type="dxa"/>
            </w:tcMar>
          </w:tcPr>
          <w:p w14:paraId="2B64758E" w14:textId="77777777" w:rsidR="00E87CE2" w:rsidRDefault="00E87CE2" w:rsidP="006F6FF2">
            <w:pPr>
              <w:pStyle w:val="Marginlie"/>
            </w:pPr>
          </w:p>
        </w:tc>
        <w:tc>
          <w:tcPr>
            <w:tcW w:w="206" w:type="dxa"/>
            <w:shd w:val="clear" w:color="auto" w:fill="auto"/>
            <w:tcMar>
              <w:left w:w="0" w:type="dxa"/>
            </w:tcMar>
          </w:tcPr>
          <w:p w14:paraId="47FE8547" w14:textId="77777777" w:rsidR="00E87CE2" w:rsidRPr="00B43216" w:rsidRDefault="00E87CE2" w:rsidP="006F6FF2">
            <w:pPr>
              <w:pStyle w:val="Textpoznpodarou"/>
              <w:jc w:val="both"/>
              <w:rPr>
                <w:spacing w:val="-4"/>
              </w:rPr>
            </w:pPr>
          </w:p>
        </w:tc>
        <w:tc>
          <w:tcPr>
            <w:tcW w:w="7730" w:type="dxa"/>
            <w:shd w:val="clear" w:color="auto" w:fill="auto"/>
            <w:tcMar>
              <w:left w:w="0" w:type="dxa"/>
            </w:tcMar>
          </w:tcPr>
          <w:p w14:paraId="0A4BE1F8" w14:textId="77777777" w:rsidR="00E87CE2" w:rsidRPr="00883202" w:rsidRDefault="00E87CE2" w:rsidP="006F6FF2">
            <w:pPr>
              <w:spacing w:after="0"/>
              <w:rPr>
                <w:rFonts w:cs="Arial"/>
                <w:sz w:val="14"/>
                <w:szCs w:val="14"/>
              </w:rPr>
            </w:pPr>
            <w:r w:rsidRPr="00883202">
              <w:rPr>
                <w:rFonts w:cs="Arial"/>
                <w:sz w:val="14"/>
                <w:szCs w:val="14"/>
              </w:rPr>
              <w:t>*</w:t>
            </w:r>
            <w:r w:rsidRPr="00883202">
              <w:rPr>
                <w:color w:val="0D0D0D" w:themeColor="text1" w:themeTint="F2"/>
                <w:sz w:val="14"/>
                <w:szCs w:val="14"/>
              </w:rPr>
              <w:t xml:space="preserve"> Bez odvětví obchodu, peněžnictví, pojišťovnictví, vědy, výzkumu a veřejných služeb.</w:t>
            </w:r>
          </w:p>
          <w:p w14:paraId="24F95466" w14:textId="2320E411" w:rsidR="006F6FF2" w:rsidRPr="000A775A" w:rsidRDefault="00E87CE2" w:rsidP="006F6FF2">
            <w:pPr>
              <w:spacing w:after="0"/>
              <w:rPr>
                <w:rFonts w:cs="Arial"/>
                <w:spacing w:val="-2"/>
                <w:sz w:val="14"/>
                <w:szCs w:val="14"/>
              </w:rPr>
            </w:pPr>
            <w:r w:rsidRPr="00883202">
              <w:rPr>
                <w:rFonts w:cs="Arial"/>
                <w:sz w:val="14"/>
                <w:szCs w:val="14"/>
              </w:rPr>
              <w:t>**</w:t>
            </w:r>
            <w:r w:rsidRPr="00883202">
              <w:rPr>
                <w:rFonts w:cs="Arial"/>
                <w:spacing w:val="-2"/>
                <w:sz w:val="14"/>
                <w:szCs w:val="14"/>
              </w:rPr>
              <w:t>Zahrnuje i finanční sektor. Saldo důvěry</w:t>
            </w:r>
            <w:r w:rsidR="002803A5">
              <w:rPr>
                <w:rFonts w:cs="Arial"/>
                <w:spacing w:val="-2"/>
                <w:sz w:val="14"/>
                <w:szCs w:val="14"/>
              </w:rPr>
              <w:t xml:space="preserve"> (sezónně očištěné)</w:t>
            </w:r>
            <w:r w:rsidR="000A775A" w:rsidRPr="00883202">
              <w:rPr>
                <w:rFonts w:cs="Arial"/>
                <w:spacing w:val="-2"/>
                <w:sz w:val="14"/>
                <w:szCs w:val="14"/>
              </w:rPr>
              <w:t xml:space="preserve"> </w:t>
            </w:r>
            <w:r w:rsidR="000A775A">
              <w:rPr>
                <w:rFonts w:cs="Arial"/>
                <w:spacing w:val="-2"/>
                <w:sz w:val="14"/>
                <w:szCs w:val="14"/>
              </w:rPr>
              <w:t xml:space="preserve">vyjadřuje stav </w:t>
            </w:r>
            <w:r w:rsidR="000A775A" w:rsidRPr="00883202">
              <w:rPr>
                <w:rFonts w:cs="Arial"/>
                <w:spacing w:val="-2"/>
                <w:sz w:val="14"/>
                <w:szCs w:val="14"/>
              </w:rPr>
              <w:t>ve druhém měsíci daného čtvrtletí</w:t>
            </w:r>
            <w:r w:rsidR="000A775A">
              <w:rPr>
                <w:rFonts w:cs="Arial"/>
                <w:spacing w:val="-2"/>
                <w:sz w:val="14"/>
                <w:szCs w:val="14"/>
              </w:rPr>
              <w:t>. B</w:t>
            </w:r>
            <w:r w:rsidRPr="00883202">
              <w:rPr>
                <w:rFonts w:cs="Arial"/>
                <w:spacing w:val="-2"/>
                <w:sz w:val="14"/>
                <w:szCs w:val="14"/>
              </w:rPr>
              <w:t>ar</w:t>
            </w:r>
            <w:r w:rsidR="002803A5">
              <w:rPr>
                <w:rFonts w:cs="Arial"/>
                <w:spacing w:val="-2"/>
                <w:sz w:val="14"/>
                <w:szCs w:val="14"/>
              </w:rPr>
              <w:t>iéry růstu</w:t>
            </w:r>
            <w:r w:rsidR="00811FF8">
              <w:rPr>
                <w:rFonts w:cs="Arial"/>
                <w:spacing w:val="-2"/>
                <w:sz w:val="14"/>
                <w:szCs w:val="14"/>
              </w:rPr>
              <w:t> jsou naopak vztaženy</w:t>
            </w:r>
            <w:r w:rsidRPr="00883202">
              <w:rPr>
                <w:rFonts w:cs="Arial"/>
                <w:spacing w:val="-2"/>
                <w:sz w:val="14"/>
                <w:szCs w:val="14"/>
              </w:rPr>
              <w:t xml:space="preserve"> </w:t>
            </w:r>
            <w:r w:rsidR="00811FF8">
              <w:rPr>
                <w:rFonts w:cs="Arial"/>
                <w:spacing w:val="-2"/>
                <w:sz w:val="14"/>
                <w:szCs w:val="14"/>
              </w:rPr>
              <w:t>k</w:t>
            </w:r>
            <w:r w:rsidR="000A775A">
              <w:rPr>
                <w:rFonts w:cs="Arial"/>
                <w:spacing w:val="-2"/>
                <w:sz w:val="14"/>
                <w:szCs w:val="14"/>
              </w:rPr>
              <w:t> prvním</w:t>
            </w:r>
            <w:r w:rsidR="00811FF8">
              <w:rPr>
                <w:rFonts w:cs="Arial"/>
                <w:spacing w:val="-2"/>
                <w:sz w:val="14"/>
                <w:szCs w:val="14"/>
              </w:rPr>
              <w:t>u</w:t>
            </w:r>
            <w:r w:rsidR="000A775A">
              <w:rPr>
                <w:rFonts w:cs="Arial"/>
                <w:spacing w:val="-2"/>
                <w:sz w:val="14"/>
                <w:szCs w:val="14"/>
              </w:rPr>
              <w:t xml:space="preserve"> </w:t>
            </w:r>
            <w:r w:rsidR="000A775A" w:rsidRPr="00883202">
              <w:rPr>
                <w:rFonts w:cs="Arial"/>
                <w:spacing w:val="-2"/>
                <w:sz w:val="14"/>
                <w:szCs w:val="14"/>
              </w:rPr>
              <w:t>měsíci daného čtvrtletí</w:t>
            </w:r>
            <w:r w:rsidRPr="00883202">
              <w:rPr>
                <w:rFonts w:cs="Arial"/>
                <w:spacing w:val="-2"/>
                <w:sz w:val="14"/>
                <w:szCs w:val="14"/>
              </w:rPr>
              <w:t>.</w:t>
            </w:r>
            <w:r>
              <w:rPr>
                <w:rFonts w:cs="Arial"/>
                <w:spacing w:val="-2"/>
                <w:sz w:val="14"/>
                <w:szCs w:val="14"/>
              </w:rPr>
              <w:t xml:space="preserve"> </w:t>
            </w:r>
            <w:r>
              <w:rPr>
                <w:rFonts w:cs="Arial"/>
                <w:sz w:val="14"/>
                <w:szCs w:val="14"/>
              </w:rPr>
              <w:t>Podniky mohly uvést více hlavních bariér sou</w:t>
            </w:r>
            <w:r w:rsidR="006F6FF2">
              <w:rPr>
                <w:rFonts w:cs="Arial"/>
                <w:sz w:val="14"/>
                <w:szCs w:val="14"/>
              </w:rPr>
              <w:t>časně.</w:t>
            </w:r>
          </w:p>
          <w:p w14:paraId="1C288D29" w14:textId="3B577391" w:rsidR="00E87CE2" w:rsidRPr="00417064" w:rsidRDefault="00E87CE2" w:rsidP="006F6FF2">
            <w:pPr>
              <w:rPr>
                <w:rFonts w:cs="Arial"/>
                <w:sz w:val="14"/>
                <w:szCs w:val="14"/>
              </w:rPr>
            </w:pPr>
            <w:r w:rsidRPr="00883202">
              <w:rPr>
                <w:rFonts w:cs="Arial"/>
                <w:sz w:val="14"/>
                <w:szCs w:val="14"/>
              </w:rPr>
              <w:t>Zdroj: ČSÚ</w:t>
            </w:r>
          </w:p>
        </w:tc>
      </w:tr>
      <w:tr w:rsidR="00E87CE2" w:rsidRPr="008932CD" w14:paraId="42345DC9" w14:textId="77777777" w:rsidTr="006F6FF2">
        <w:trPr>
          <w:trHeight w:val="145"/>
        </w:trPr>
        <w:tc>
          <w:tcPr>
            <w:tcW w:w="1728" w:type="dxa"/>
            <w:shd w:val="clear" w:color="auto" w:fill="auto"/>
            <w:tcMar>
              <w:left w:w="0" w:type="dxa"/>
            </w:tcMar>
          </w:tcPr>
          <w:p w14:paraId="7D85A913" w14:textId="77777777" w:rsidR="00E87CE2" w:rsidRDefault="00E87CE2" w:rsidP="006F6FF2">
            <w:pPr>
              <w:pStyle w:val="Marginlie"/>
              <w:rPr>
                <w:color w:val="0D0D0D" w:themeColor="text1" w:themeTint="F2"/>
              </w:rPr>
            </w:pPr>
            <w:r>
              <w:rPr>
                <w:color w:val="0D0D0D" w:themeColor="text1" w:themeTint="F2"/>
              </w:rPr>
              <w:lastRenderedPageBreak/>
              <w:t>Poptávka v některých specializovaných službách pro podniky reagovala na cyklický pokles ekonomiky.</w:t>
            </w:r>
          </w:p>
        </w:tc>
        <w:tc>
          <w:tcPr>
            <w:tcW w:w="206" w:type="dxa"/>
            <w:shd w:val="clear" w:color="auto" w:fill="auto"/>
            <w:tcMar>
              <w:left w:w="0" w:type="dxa"/>
            </w:tcMar>
          </w:tcPr>
          <w:p w14:paraId="0BB43C29" w14:textId="77777777" w:rsidR="00E87CE2" w:rsidRPr="008932CD" w:rsidRDefault="00E87CE2" w:rsidP="006F6FF2">
            <w:pPr>
              <w:pStyle w:val="Textpoznpodarou"/>
              <w:jc w:val="both"/>
              <w:rPr>
                <w:color w:val="0D0D0D" w:themeColor="text1" w:themeTint="F2"/>
                <w:spacing w:val="-4"/>
              </w:rPr>
            </w:pPr>
          </w:p>
        </w:tc>
        <w:tc>
          <w:tcPr>
            <w:tcW w:w="7730" w:type="dxa"/>
            <w:shd w:val="clear" w:color="auto" w:fill="auto"/>
            <w:tcMar>
              <w:left w:w="0" w:type="dxa"/>
            </w:tcMar>
          </w:tcPr>
          <w:p w14:paraId="1C74A6EC" w14:textId="77777777" w:rsidR="00E87CE2" w:rsidRDefault="00E87CE2" w:rsidP="00E87CE2">
            <w:pPr>
              <w:rPr>
                <w:color w:val="0D0D0D" w:themeColor="text1" w:themeTint="F2"/>
                <w:spacing w:val="-4"/>
                <w:szCs w:val="20"/>
              </w:rPr>
            </w:pPr>
            <w:r w:rsidRPr="003E519E">
              <w:rPr>
                <w:color w:val="0D0D0D" w:themeColor="text1" w:themeTint="F2"/>
                <w:spacing w:val="-4"/>
                <w:szCs w:val="20"/>
              </w:rPr>
              <w:t>S většími problémy se v 1.</w:t>
            </w:r>
            <w:r>
              <w:rPr>
                <w:color w:val="0D0D0D" w:themeColor="text1" w:themeTint="F2"/>
                <w:spacing w:val="-4"/>
                <w:szCs w:val="20"/>
              </w:rPr>
              <w:t> čtvrtlet</w:t>
            </w:r>
            <w:r w:rsidRPr="003E519E">
              <w:rPr>
                <w:color w:val="0D0D0D" w:themeColor="text1" w:themeTint="F2"/>
                <w:spacing w:val="-4"/>
                <w:szCs w:val="20"/>
              </w:rPr>
              <w:t>í potýkaly i</w:t>
            </w:r>
            <w:r>
              <w:rPr>
                <w:color w:val="0D0D0D" w:themeColor="text1" w:themeTint="F2"/>
                <w:spacing w:val="-4"/>
                <w:szCs w:val="20"/>
              </w:rPr>
              <w:t> </w:t>
            </w:r>
            <w:r w:rsidRPr="003E519E">
              <w:rPr>
                <w:color w:val="0D0D0D" w:themeColor="text1" w:themeTint="F2"/>
                <w:spacing w:val="-4"/>
                <w:szCs w:val="20"/>
              </w:rPr>
              <w:t xml:space="preserve">některé specializované </w:t>
            </w:r>
            <w:r>
              <w:rPr>
                <w:color w:val="0D0D0D" w:themeColor="text1" w:themeTint="F2"/>
                <w:spacing w:val="-4"/>
                <w:szCs w:val="20"/>
              </w:rPr>
              <w:t>služ</w:t>
            </w:r>
            <w:r w:rsidRPr="003E519E">
              <w:rPr>
                <w:color w:val="0D0D0D" w:themeColor="text1" w:themeTint="F2"/>
                <w:spacing w:val="-4"/>
                <w:szCs w:val="20"/>
              </w:rPr>
              <w:t>b</w:t>
            </w:r>
            <w:r>
              <w:rPr>
                <w:color w:val="0D0D0D" w:themeColor="text1" w:themeTint="F2"/>
                <w:spacing w:val="-4"/>
                <w:szCs w:val="20"/>
              </w:rPr>
              <w:t>y</w:t>
            </w:r>
            <w:r w:rsidRPr="003E519E">
              <w:rPr>
                <w:color w:val="0D0D0D" w:themeColor="text1" w:themeTint="F2"/>
                <w:spacing w:val="-4"/>
                <w:szCs w:val="20"/>
              </w:rPr>
              <w:t xml:space="preserve"> pro podniky,</w:t>
            </w:r>
            <w:r>
              <w:rPr>
                <w:color w:val="0D0D0D" w:themeColor="text1" w:themeTint="F2"/>
                <w:spacing w:val="-4"/>
                <w:szCs w:val="20"/>
              </w:rPr>
              <w:t xml:space="preserve"> u</w:t>
            </w:r>
            <w:r w:rsidRPr="003E519E">
              <w:rPr>
                <w:color w:val="0D0D0D" w:themeColor="text1" w:themeTint="F2"/>
                <w:spacing w:val="-4"/>
                <w:szCs w:val="20"/>
              </w:rPr>
              <w:t> nichž je</w:t>
            </w:r>
            <w:r w:rsidRPr="003E519E">
              <w:rPr>
                <w:rFonts w:cs="Arial"/>
                <w:bCs/>
                <w:color w:val="0D0D0D" w:themeColor="text1" w:themeTint="F2"/>
                <w:spacing w:val="-4"/>
                <w:szCs w:val="20"/>
              </w:rPr>
              <w:t xml:space="preserve"> poptávka citlivá na výkyvy hospodářského cyklu. O</w:t>
            </w:r>
            <w:r>
              <w:rPr>
                <w:rFonts w:cs="Arial"/>
                <w:bCs/>
                <w:color w:val="0D0D0D" w:themeColor="text1" w:themeTint="F2"/>
                <w:spacing w:val="-4"/>
                <w:szCs w:val="20"/>
              </w:rPr>
              <w:t> </w:t>
            </w:r>
            <w:r w:rsidRPr="003E519E">
              <w:rPr>
                <w:rFonts w:cs="Arial"/>
                <w:bCs/>
                <w:color w:val="0D0D0D" w:themeColor="text1" w:themeTint="F2"/>
                <w:spacing w:val="-4"/>
                <w:szCs w:val="20"/>
              </w:rPr>
              <w:t>více než čtvrtinu se meziročně propadly tržby ostatních profesních, vědeckých a</w:t>
            </w:r>
            <w:r>
              <w:rPr>
                <w:rFonts w:cs="Arial"/>
                <w:bCs/>
                <w:color w:val="0D0D0D" w:themeColor="text1" w:themeTint="F2"/>
                <w:spacing w:val="-4"/>
                <w:szCs w:val="20"/>
              </w:rPr>
              <w:t> </w:t>
            </w:r>
            <w:r w:rsidRPr="003E519E">
              <w:rPr>
                <w:rFonts w:cs="Arial"/>
                <w:bCs/>
                <w:color w:val="0D0D0D" w:themeColor="text1" w:themeTint="F2"/>
                <w:spacing w:val="-4"/>
                <w:szCs w:val="20"/>
              </w:rPr>
              <w:t>technických činností, zahrnující</w:t>
            </w:r>
            <w:r>
              <w:rPr>
                <w:rFonts w:cs="Arial"/>
                <w:bCs/>
                <w:color w:val="0D0D0D" w:themeColor="text1" w:themeTint="F2"/>
                <w:spacing w:val="-4"/>
                <w:szCs w:val="20"/>
              </w:rPr>
              <w:t>ch</w:t>
            </w:r>
            <w:r w:rsidRPr="003E519E">
              <w:rPr>
                <w:rFonts w:cs="Arial"/>
                <w:bCs/>
                <w:color w:val="0D0D0D" w:themeColor="text1" w:themeTint="F2"/>
                <w:spacing w:val="-4"/>
                <w:szCs w:val="20"/>
              </w:rPr>
              <w:t xml:space="preserve"> např. zprostředkovatelské činnosti, překladatelské i</w:t>
            </w:r>
            <w:r>
              <w:rPr>
                <w:rFonts w:cs="Arial"/>
                <w:bCs/>
                <w:color w:val="0D0D0D" w:themeColor="text1" w:themeTint="F2"/>
                <w:spacing w:val="-4"/>
                <w:szCs w:val="20"/>
              </w:rPr>
              <w:t> </w:t>
            </w:r>
            <w:r w:rsidRPr="003E519E">
              <w:rPr>
                <w:rFonts w:cs="Arial"/>
                <w:bCs/>
                <w:color w:val="0D0D0D" w:themeColor="text1" w:themeTint="F2"/>
                <w:spacing w:val="-4"/>
                <w:szCs w:val="20"/>
              </w:rPr>
              <w:t>fotografické služby nebo činnosti stavebního dozoru. Skoro o</w:t>
            </w:r>
            <w:r>
              <w:rPr>
                <w:rFonts w:cs="Arial"/>
                <w:bCs/>
                <w:color w:val="0D0D0D" w:themeColor="text1" w:themeTint="F2"/>
                <w:spacing w:val="-4"/>
                <w:szCs w:val="20"/>
              </w:rPr>
              <w:t> </w:t>
            </w:r>
            <w:r w:rsidRPr="003E519E">
              <w:rPr>
                <w:rFonts w:cs="Arial"/>
                <w:bCs/>
                <w:color w:val="0D0D0D" w:themeColor="text1" w:themeTint="F2"/>
                <w:spacing w:val="-4"/>
                <w:szCs w:val="20"/>
              </w:rPr>
              <w:t xml:space="preserve">desetinu </w:t>
            </w:r>
            <w:r>
              <w:rPr>
                <w:rFonts w:cs="Arial"/>
                <w:bCs/>
                <w:color w:val="0D0D0D" w:themeColor="text1" w:themeTint="F2"/>
                <w:spacing w:val="-4"/>
                <w:szCs w:val="20"/>
              </w:rPr>
              <w:t>méně stržily</w:t>
            </w:r>
            <w:r w:rsidRPr="003E519E">
              <w:rPr>
                <w:rFonts w:cs="Arial"/>
                <w:bCs/>
                <w:color w:val="0D0D0D" w:themeColor="text1" w:themeTint="F2"/>
                <w:spacing w:val="-4"/>
                <w:szCs w:val="20"/>
              </w:rPr>
              <w:t xml:space="preserve"> i</w:t>
            </w:r>
            <w:r>
              <w:rPr>
                <w:rFonts w:cs="Arial"/>
                <w:bCs/>
                <w:color w:val="0D0D0D" w:themeColor="text1" w:themeTint="F2"/>
                <w:spacing w:val="-4"/>
                <w:szCs w:val="20"/>
              </w:rPr>
              <w:t> </w:t>
            </w:r>
            <w:r w:rsidRPr="003E519E">
              <w:rPr>
                <w:rFonts w:cs="Arial"/>
                <w:bCs/>
                <w:color w:val="0D0D0D" w:themeColor="text1" w:themeTint="F2"/>
                <w:spacing w:val="-4"/>
                <w:szCs w:val="20"/>
              </w:rPr>
              <w:t>administrativní, kancelářské a</w:t>
            </w:r>
            <w:r>
              <w:rPr>
                <w:rFonts w:cs="Arial"/>
                <w:bCs/>
                <w:color w:val="0D0D0D" w:themeColor="text1" w:themeTint="F2"/>
                <w:spacing w:val="-4"/>
                <w:szCs w:val="20"/>
              </w:rPr>
              <w:t> </w:t>
            </w:r>
            <w:r w:rsidRPr="003E519E">
              <w:rPr>
                <w:rFonts w:cs="Arial"/>
                <w:bCs/>
                <w:color w:val="0D0D0D" w:themeColor="text1" w:themeTint="F2"/>
                <w:spacing w:val="-4"/>
                <w:szCs w:val="20"/>
              </w:rPr>
              <w:t xml:space="preserve">jiné podpůrné činnosti pro podnikání, do nichž patří </w:t>
            </w:r>
            <w:r>
              <w:rPr>
                <w:rFonts w:cs="Arial"/>
                <w:bCs/>
                <w:color w:val="0D0D0D" w:themeColor="text1" w:themeTint="F2"/>
                <w:spacing w:val="-4"/>
                <w:szCs w:val="20"/>
              </w:rPr>
              <w:t>mimo jiné</w:t>
            </w:r>
            <w:r w:rsidRPr="003E519E">
              <w:rPr>
                <w:rFonts w:cs="Arial"/>
                <w:bCs/>
                <w:color w:val="0D0D0D" w:themeColor="text1" w:themeTint="F2"/>
                <w:spacing w:val="-4"/>
                <w:szCs w:val="20"/>
              </w:rPr>
              <w:t xml:space="preserve"> i</w:t>
            </w:r>
            <w:r>
              <w:rPr>
                <w:rFonts w:cs="Arial"/>
                <w:bCs/>
                <w:color w:val="0D0D0D" w:themeColor="text1" w:themeTint="F2"/>
                <w:spacing w:val="-4"/>
                <w:szCs w:val="20"/>
              </w:rPr>
              <w:t> </w:t>
            </w:r>
            <w:r w:rsidRPr="003E519E">
              <w:rPr>
                <w:rFonts w:cs="Arial"/>
                <w:bCs/>
                <w:color w:val="0D0D0D" w:themeColor="text1" w:themeTint="F2"/>
                <w:spacing w:val="-4"/>
                <w:szCs w:val="20"/>
              </w:rPr>
              <w:t>pořádání konferencí a</w:t>
            </w:r>
            <w:r>
              <w:rPr>
                <w:rFonts w:cs="Arial"/>
                <w:bCs/>
                <w:color w:val="0D0D0D" w:themeColor="text1" w:themeTint="F2"/>
                <w:spacing w:val="-4"/>
                <w:szCs w:val="20"/>
              </w:rPr>
              <w:t> </w:t>
            </w:r>
            <w:r w:rsidRPr="003E519E">
              <w:rPr>
                <w:rFonts w:cs="Arial"/>
                <w:bCs/>
                <w:color w:val="0D0D0D" w:themeColor="text1" w:themeTint="F2"/>
                <w:spacing w:val="-4"/>
                <w:szCs w:val="20"/>
              </w:rPr>
              <w:t>výstav. S pomalým oživením stavebnictví souvisely nižší tržby architektonických a</w:t>
            </w:r>
            <w:r>
              <w:rPr>
                <w:rFonts w:cs="Arial"/>
                <w:bCs/>
                <w:color w:val="0D0D0D" w:themeColor="text1" w:themeTint="F2"/>
                <w:spacing w:val="-4"/>
                <w:szCs w:val="20"/>
              </w:rPr>
              <w:t> </w:t>
            </w:r>
            <w:r w:rsidRPr="003E519E">
              <w:rPr>
                <w:rFonts w:cs="Arial"/>
                <w:bCs/>
                <w:color w:val="0D0D0D" w:themeColor="text1" w:themeTint="F2"/>
                <w:spacing w:val="-4"/>
                <w:szCs w:val="20"/>
              </w:rPr>
              <w:t>inženýrských činností (o</w:t>
            </w:r>
            <w:r>
              <w:rPr>
                <w:rFonts w:cs="Arial"/>
                <w:bCs/>
                <w:color w:val="0D0D0D" w:themeColor="text1" w:themeTint="F2"/>
                <w:spacing w:val="-4"/>
                <w:szCs w:val="20"/>
              </w:rPr>
              <w:t> </w:t>
            </w:r>
            <w:r w:rsidRPr="003E519E">
              <w:rPr>
                <w:rFonts w:cs="Arial"/>
                <w:bCs/>
                <w:color w:val="0D0D0D" w:themeColor="text1" w:themeTint="F2"/>
                <w:spacing w:val="-4"/>
                <w:szCs w:val="20"/>
              </w:rPr>
              <w:t>5,2</w:t>
            </w:r>
            <w:r>
              <w:rPr>
                <w:rFonts w:cs="Arial"/>
                <w:bCs/>
                <w:color w:val="0D0D0D" w:themeColor="text1" w:themeTint="F2"/>
                <w:spacing w:val="-4"/>
                <w:szCs w:val="20"/>
              </w:rPr>
              <w:t> %</w:t>
            </w:r>
            <w:r w:rsidRPr="003E519E">
              <w:rPr>
                <w:rFonts w:cs="Arial"/>
                <w:bCs/>
                <w:color w:val="0D0D0D" w:themeColor="text1" w:themeTint="F2"/>
                <w:spacing w:val="-4"/>
                <w:szCs w:val="20"/>
              </w:rPr>
              <w:t>).</w:t>
            </w:r>
            <w:r>
              <w:rPr>
                <w:rFonts w:cs="Arial"/>
                <w:bCs/>
                <w:color w:val="0D0D0D" w:themeColor="text1" w:themeTint="F2"/>
                <w:spacing w:val="-4"/>
                <w:szCs w:val="20"/>
              </w:rPr>
              <w:t xml:space="preserve"> </w:t>
            </w:r>
            <w:r w:rsidRPr="003E519E">
              <w:rPr>
                <w:rFonts w:cs="Arial"/>
                <w:bCs/>
                <w:color w:val="0D0D0D" w:themeColor="text1" w:themeTint="F2"/>
                <w:spacing w:val="-4"/>
                <w:szCs w:val="20"/>
              </w:rPr>
              <w:t xml:space="preserve">Podobným tempem </w:t>
            </w:r>
            <w:r>
              <w:rPr>
                <w:rFonts w:cs="Arial"/>
                <w:bCs/>
                <w:color w:val="0D0D0D" w:themeColor="text1" w:themeTint="F2"/>
                <w:spacing w:val="-4"/>
                <w:szCs w:val="20"/>
              </w:rPr>
              <w:t>klesly i tržby za reklamu a také v pozemní dopravě. Slabší přepravní výkony v osobní dopravě (vlivem restrikcí v oblasti mobility) byly patrně zčásti kompenzovány vyššími výkony v nákladní dopravě (ve vazbě na rozvoj průmyslu).</w:t>
            </w:r>
          </w:p>
        </w:tc>
      </w:tr>
      <w:tr w:rsidR="00E87CE2" w:rsidRPr="008932CD" w14:paraId="533A8783" w14:textId="77777777" w:rsidTr="006F6FF2">
        <w:trPr>
          <w:trHeight w:val="145"/>
        </w:trPr>
        <w:tc>
          <w:tcPr>
            <w:tcW w:w="1728" w:type="dxa"/>
            <w:shd w:val="clear" w:color="auto" w:fill="auto"/>
            <w:tcMar>
              <w:left w:w="0" w:type="dxa"/>
            </w:tcMar>
          </w:tcPr>
          <w:p w14:paraId="6DFECEBE" w14:textId="77777777" w:rsidR="00E87CE2" w:rsidRPr="008932CD" w:rsidRDefault="00E87CE2" w:rsidP="006F6FF2">
            <w:pPr>
              <w:pStyle w:val="Marginlie"/>
              <w:rPr>
                <w:color w:val="0D0D0D" w:themeColor="text1" w:themeTint="F2"/>
              </w:rPr>
            </w:pPr>
            <w:r>
              <w:rPr>
                <w:color w:val="0D0D0D" w:themeColor="text1" w:themeTint="F2"/>
              </w:rPr>
              <w:t>Skladování těžilo z rozvoje zahraničního obchodu, poštovní a kurýrní činnosti z uzavření části maloobchodních prodejen.</w:t>
            </w:r>
          </w:p>
        </w:tc>
        <w:tc>
          <w:tcPr>
            <w:tcW w:w="206" w:type="dxa"/>
            <w:shd w:val="clear" w:color="auto" w:fill="auto"/>
            <w:tcMar>
              <w:left w:w="0" w:type="dxa"/>
            </w:tcMar>
          </w:tcPr>
          <w:p w14:paraId="634E5059" w14:textId="77777777" w:rsidR="00E87CE2" w:rsidRPr="008932CD" w:rsidRDefault="00E87CE2" w:rsidP="006F6FF2">
            <w:pPr>
              <w:pStyle w:val="Textpoznpodarou"/>
              <w:jc w:val="both"/>
              <w:rPr>
                <w:color w:val="0D0D0D" w:themeColor="text1" w:themeTint="F2"/>
                <w:spacing w:val="-4"/>
              </w:rPr>
            </w:pPr>
          </w:p>
        </w:tc>
        <w:tc>
          <w:tcPr>
            <w:tcW w:w="7730" w:type="dxa"/>
            <w:shd w:val="clear" w:color="auto" w:fill="auto"/>
            <w:tcMar>
              <w:left w:w="0" w:type="dxa"/>
            </w:tcMar>
          </w:tcPr>
          <w:p w14:paraId="4E6D53F4" w14:textId="77777777" w:rsidR="00E87CE2" w:rsidRPr="008932CD" w:rsidRDefault="00E87CE2" w:rsidP="00E87CE2">
            <w:pPr>
              <w:rPr>
                <w:color w:val="0D0D0D" w:themeColor="text1" w:themeTint="F2"/>
                <w:spacing w:val="-4"/>
                <w:szCs w:val="20"/>
              </w:rPr>
            </w:pPr>
            <w:r>
              <w:rPr>
                <w:color w:val="0D0D0D" w:themeColor="text1" w:themeTint="F2"/>
                <w:spacing w:val="-4"/>
                <w:szCs w:val="20"/>
              </w:rPr>
              <w:t xml:space="preserve">Menší </w:t>
            </w:r>
            <w:r w:rsidRPr="008932CD">
              <w:rPr>
                <w:color w:val="0D0D0D" w:themeColor="text1" w:themeTint="F2"/>
                <w:spacing w:val="-4"/>
                <w:szCs w:val="20"/>
              </w:rPr>
              <w:t xml:space="preserve">část </w:t>
            </w:r>
            <w:r>
              <w:rPr>
                <w:color w:val="0D0D0D" w:themeColor="text1" w:themeTint="F2"/>
                <w:spacing w:val="-4"/>
                <w:szCs w:val="20"/>
              </w:rPr>
              <w:t>dále navázaná na rychle oživující segmenty ekonomiky rostla. Dobrým příkladem je skladování, kde letos tržby meziročně vzrostly o téměř 5 %. Mírně rostla poptávka i</w:t>
            </w:r>
            <w:r w:rsidRPr="00585B7B">
              <w:rPr>
                <w:color w:val="0D0D0D" w:themeColor="text1" w:themeTint="F2"/>
                <w:spacing w:val="-4"/>
                <w:szCs w:val="20"/>
              </w:rPr>
              <w:t> </w:t>
            </w:r>
            <w:r>
              <w:rPr>
                <w:color w:val="0D0D0D" w:themeColor="text1" w:themeTint="F2"/>
                <w:spacing w:val="-4"/>
                <w:szCs w:val="20"/>
              </w:rPr>
              <w:t xml:space="preserve">pracovním agenturám. Mnohem více se dařilo službám </w:t>
            </w:r>
            <w:r w:rsidRPr="008932CD">
              <w:rPr>
                <w:color w:val="0D0D0D" w:themeColor="text1" w:themeTint="F2"/>
                <w:spacing w:val="-4"/>
                <w:szCs w:val="20"/>
              </w:rPr>
              <w:t>nabízející</w:t>
            </w:r>
            <w:r>
              <w:rPr>
                <w:color w:val="0D0D0D" w:themeColor="text1" w:themeTint="F2"/>
                <w:spacing w:val="-4"/>
                <w:szCs w:val="20"/>
              </w:rPr>
              <w:t>m</w:t>
            </w:r>
            <w:r w:rsidRPr="008932CD">
              <w:rPr>
                <w:color w:val="0D0D0D" w:themeColor="text1" w:themeTint="F2"/>
                <w:spacing w:val="-4"/>
                <w:szCs w:val="20"/>
              </w:rPr>
              <w:t xml:space="preserve"> řešení v prostředí omezeného sociálního kontaktu</w:t>
            </w:r>
            <w:r>
              <w:rPr>
                <w:color w:val="0D0D0D" w:themeColor="text1" w:themeTint="F2"/>
                <w:spacing w:val="-4"/>
                <w:szCs w:val="20"/>
              </w:rPr>
              <w:t xml:space="preserve">. Poštovní a kurýrní činnosti stržily meziročně o 24 % více (za dva roky o 34 %). Dlouhodobější růst poptávky zažívají </w:t>
            </w:r>
            <w:r w:rsidRPr="00234773">
              <w:rPr>
                <w:color w:val="0D0D0D" w:themeColor="text1" w:themeTint="F2"/>
                <w:spacing w:val="-4"/>
                <w:szCs w:val="20"/>
              </w:rPr>
              <w:t>informační činnosti a</w:t>
            </w:r>
            <w:r>
              <w:rPr>
                <w:color w:val="0D0D0D" w:themeColor="text1" w:themeTint="F2"/>
                <w:spacing w:val="-4"/>
                <w:szCs w:val="20"/>
              </w:rPr>
              <w:t> </w:t>
            </w:r>
            <w:r w:rsidRPr="00234773">
              <w:rPr>
                <w:color w:val="0D0D0D" w:themeColor="text1" w:themeTint="F2"/>
                <w:spacing w:val="-4"/>
                <w:szCs w:val="20"/>
              </w:rPr>
              <w:t>činnosti v oblasti informačních technologií.</w:t>
            </w:r>
          </w:p>
        </w:tc>
      </w:tr>
      <w:tr w:rsidR="00E87CE2" w:rsidRPr="008932CD" w14:paraId="011FA7AC" w14:textId="77777777" w:rsidTr="006F6FF2">
        <w:trPr>
          <w:trHeight w:val="145"/>
        </w:trPr>
        <w:tc>
          <w:tcPr>
            <w:tcW w:w="1728" w:type="dxa"/>
            <w:shd w:val="clear" w:color="auto" w:fill="auto"/>
            <w:tcMar>
              <w:left w:w="0" w:type="dxa"/>
            </w:tcMar>
          </w:tcPr>
          <w:p w14:paraId="076D9E8F" w14:textId="77777777" w:rsidR="00E87CE2" w:rsidRDefault="00E87CE2" w:rsidP="006F6FF2">
            <w:pPr>
              <w:pStyle w:val="Marginlie"/>
              <w:rPr>
                <w:color w:val="0D0D0D" w:themeColor="text1" w:themeTint="F2"/>
              </w:rPr>
            </w:pPr>
            <w:r>
              <w:rPr>
                <w:color w:val="0D0D0D" w:themeColor="text1" w:themeTint="F2"/>
              </w:rPr>
              <w:t>Důvěra podnikatelů ve službách se začala zvyšovat až v dubnu a květnu.</w:t>
            </w:r>
          </w:p>
          <w:p w14:paraId="136891FE" w14:textId="77777777" w:rsidR="00E87CE2" w:rsidRDefault="00E87CE2" w:rsidP="006F6FF2">
            <w:pPr>
              <w:pStyle w:val="Marginlie"/>
              <w:rPr>
                <w:color w:val="0D0D0D" w:themeColor="text1" w:themeTint="F2"/>
              </w:rPr>
            </w:pPr>
          </w:p>
          <w:p w14:paraId="2DB58009" w14:textId="387C8F57" w:rsidR="00E87CE2" w:rsidRDefault="00E87CE2" w:rsidP="006F6FF2">
            <w:pPr>
              <w:pStyle w:val="Marginlie"/>
              <w:rPr>
                <w:color w:val="0D0D0D" w:themeColor="text1" w:themeTint="F2"/>
              </w:rPr>
            </w:pPr>
          </w:p>
          <w:p w14:paraId="1D93C7C3" w14:textId="77777777" w:rsidR="00B86628" w:rsidRDefault="00B86628" w:rsidP="006F6FF2">
            <w:pPr>
              <w:pStyle w:val="Marginlie"/>
              <w:rPr>
                <w:color w:val="0D0D0D" w:themeColor="text1" w:themeTint="F2"/>
              </w:rPr>
            </w:pPr>
          </w:p>
          <w:p w14:paraId="26FDAD0B" w14:textId="77777777" w:rsidR="00E87CE2" w:rsidRDefault="00E87CE2" w:rsidP="006F6FF2">
            <w:pPr>
              <w:pStyle w:val="Marginlie"/>
              <w:rPr>
                <w:color w:val="0D0D0D" w:themeColor="text1" w:themeTint="F2"/>
              </w:rPr>
            </w:pPr>
          </w:p>
          <w:p w14:paraId="6CE43551" w14:textId="77777777" w:rsidR="00E87CE2" w:rsidRPr="008932CD" w:rsidRDefault="00E87CE2" w:rsidP="006F6FF2">
            <w:pPr>
              <w:pStyle w:val="Marginlie"/>
              <w:rPr>
                <w:color w:val="0D0D0D" w:themeColor="text1" w:themeTint="F2"/>
              </w:rPr>
            </w:pPr>
            <w:r>
              <w:rPr>
                <w:color w:val="0D0D0D" w:themeColor="text1" w:themeTint="F2"/>
              </w:rPr>
              <w:t>Situace v dílčích odvětvích služeb byla velmi různorodá.</w:t>
            </w:r>
          </w:p>
        </w:tc>
        <w:tc>
          <w:tcPr>
            <w:tcW w:w="206" w:type="dxa"/>
            <w:shd w:val="clear" w:color="auto" w:fill="auto"/>
            <w:tcMar>
              <w:left w:w="0" w:type="dxa"/>
            </w:tcMar>
          </w:tcPr>
          <w:p w14:paraId="09DE58B8" w14:textId="77777777" w:rsidR="00E87CE2" w:rsidRPr="008932CD" w:rsidRDefault="00E87CE2" w:rsidP="006F6FF2">
            <w:pPr>
              <w:pStyle w:val="Textpoznpodarou"/>
              <w:jc w:val="both"/>
              <w:rPr>
                <w:color w:val="0D0D0D" w:themeColor="text1" w:themeTint="F2"/>
                <w:spacing w:val="-4"/>
              </w:rPr>
            </w:pPr>
          </w:p>
        </w:tc>
        <w:tc>
          <w:tcPr>
            <w:tcW w:w="7730" w:type="dxa"/>
            <w:shd w:val="clear" w:color="auto" w:fill="auto"/>
            <w:tcMar>
              <w:left w:w="0" w:type="dxa"/>
            </w:tcMar>
          </w:tcPr>
          <w:p w14:paraId="31FE3AB9" w14:textId="5E1C3C09" w:rsidR="00E87CE2" w:rsidRPr="008932CD" w:rsidRDefault="00E87CE2" w:rsidP="00E87CE2">
            <w:pPr>
              <w:rPr>
                <w:color w:val="0D0D0D" w:themeColor="text1" w:themeTint="F2"/>
                <w:spacing w:val="-4"/>
                <w:szCs w:val="20"/>
              </w:rPr>
            </w:pPr>
            <w:r>
              <w:rPr>
                <w:color w:val="0D0D0D" w:themeColor="text1" w:themeTint="F2"/>
                <w:spacing w:val="-4"/>
                <w:szCs w:val="20"/>
              </w:rPr>
              <w:t xml:space="preserve">Důvěra podnikatelů ve službách (vč. finančnictví) zůstávala po celé 1. čtvrtletí </w:t>
            </w:r>
            <w:r w:rsidR="00593389">
              <w:rPr>
                <w:color w:val="0D0D0D" w:themeColor="text1" w:themeTint="F2"/>
                <w:spacing w:val="-4"/>
                <w:szCs w:val="20"/>
              </w:rPr>
              <w:t xml:space="preserve">2021 </w:t>
            </w:r>
            <w:r>
              <w:rPr>
                <w:color w:val="0D0D0D" w:themeColor="text1" w:themeTint="F2"/>
                <w:spacing w:val="-4"/>
                <w:szCs w:val="20"/>
              </w:rPr>
              <w:t xml:space="preserve">výrazně pod </w:t>
            </w:r>
            <w:r w:rsidRPr="008830F9">
              <w:rPr>
                <w:color w:val="0D0D0D" w:themeColor="text1" w:themeTint="F2"/>
                <w:spacing w:val="-4"/>
                <w:szCs w:val="20"/>
              </w:rPr>
              <w:t>dlouhodobým průměrem. Ve vazbě na avizované a</w:t>
            </w:r>
            <w:r>
              <w:rPr>
                <w:color w:val="0D0D0D" w:themeColor="text1" w:themeTint="F2"/>
                <w:spacing w:val="-4"/>
                <w:szCs w:val="20"/>
              </w:rPr>
              <w:t> </w:t>
            </w:r>
            <w:r w:rsidRPr="008830F9">
              <w:rPr>
                <w:color w:val="0D0D0D" w:themeColor="text1" w:themeTint="F2"/>
                <w:spacing w:val="-4"/>
                <w:szCs w:val="20"/>
              </w:rPr>
              <w:t>postupně i</w:t>
            </w:r>
            <w:r>
              <w:rPr>
                <w:color w:val="0D0D0D" w:themeColor="text1" w:themeTint="F2"/>
                <w:spacing w:val="-4"/>
                <w:szCs w:val="20"/>
              </w:rPr>
              <w:t> </w:t>
            </w:r>
            <w:r w:rsidRPr="008830F9">
              <w:rPr>
                <w:color w:val="0D0D0D" w:themeColor="text1" w:themeTint="F2"/>
                <w:spacing w:val="-4"/>
                <w:szCs w:val="20"/>
              </w:rPr>
              <w:t xml:space="preserve">realizované uvolňování </w:t>
            </w:r>
            <w:proofErr w:type="spellStart"/>
            <w:r w:rsidRPr="008830F9">
              <w:rPr>
                <w:color w:val="0D0D0D" w:themeColor="text1" w:themeTint="F2"/>
                <w:spacing w:val="-4"/>
                <w:szCs w:val="20"/>
              </w:rPr>
              <w:t>proti</w:t>
            </w:r>
            <w:r w:rsidR="00593389">
              <w:rPr>
                <w:color w:val="0D0D0D" w:themeColor="text1" w:themeTint="F2"/>
                <w:spacing w:val="-4"/>
                <w:szCs w:val="20"/>
              </w:rPr>
              <w:t>pandemických</w:t>
            </w:r>
            <w:proofErr w:type="spellEnd"/>
            <w:r w:rsidR="00593389">
              <w:rPr>
                <w:color w:val="0D0D0D" w:themeColor="text1" w:themeTint="F2"/>
                <w:spacing w:val="-4"/>
                <w:szCs w:val="20"/>
              </w:rPr>
              <w:t xml:space="preserve"> restrikcí v dubnu a</w:t>
            </w:r>
            <w:r>
              <w:rPr>
                <w:color w:val="0D0D0D" w:themeColor="text1" w:themeTint="F2"/>
                <w:spacing w:val="-4"/>
                <w:szCs w:val="20"/>
              </w:rPr>
              <w:t> </w:t>
            </w:r>
            <w:r w:rsidRPr="008830F9">
              <w:rPr>
                <w:color w:val="0D0D0D" w:themeColor="text1" w:themeTint="F2"/>
                <w:spacing w:val="-4"/>
                <w:szCs w:val="20"/>
              </w:rPr>
              <w:t xml:space="preserve">květnu výrazně </w:t>
            </w:r>
            <w:r>
              <w:rPr>
                <w:color w:val="0D0D0D" w:themeColor="text1" w:themeTint="F2"/>
                <w:spacing w:val="-4"/>
                <w:szCs w:val="20"/>
              </w:rPr>
              <w:t>vzrostla, i tak ale vysoké</w:t>
            </w:r>
            <w:r w:rsidRPr="008830F9">
              <w:rPr>
                <w:color w:val="0D0D0D" w:themeColor="text1" w:themeTint="F2"/>
                <w:spacing w:val="-4"/>
                <w:szCs w:val="20"/>
              </w:rPr>
              <w:t xml:space="preserve"> úrovně z přelomu let 2019 a</w:t>
            </w:r>
            <w:r>
              <w:rPr>
                <w:color w:val="0D0D0D" w:themeColor="text1" w:themeTint="F2"/>
                <w:spacing w:val="-4"/>
                <w:szCs w:val="20"/>
              </w:rPr>
              <w:t> </w:t>
            </w:r>
            <w:r w:rsidRPr="008830F9">
              <w:rPr>
                <w:color w:val="0D0D0D" w:themeColor="text1" w:themeTint="F2"/>
                <w:spacing w:val="-4"/>
                <w:szCs w:val="20"/>
              </w:rPr>
              <w:t xml:space="preserve">2020 </w:t>
            </w:r>
            <w:r>
              <w:rPr>
                <w:color w:val="0D0D0D" w:themeColor="text1" w:themeTint="F2"/>
                <w:spacing w:val="-4"/>
                <w:szCs w:val="20"/>
              </w:rPr>
              <w:t xml:space="preserve">stále </w:t>
            </w:r>
            <w:r w:rsidRPr="008830F9">
              <w:rPr>
                <w:color w:val="0D0D0D" w:themeColor="text1" w:themeTint="F2"/>
                <w:spacing w:val="-4"/>
                <w:szCs w:val="20"/>
              </w:rPr>
              <w:t xml:space="preserve">nedosáhla. </w:t>
            </w:r>
            <w:r w:rsidRPr="008830F9">
              <w:rPr>
                <w:color w:val="000000"/>
                <w:szCs w:val="20"/>
              </w:rPr>
              <w:t>Poprvé za posledních osm měsíců nahlížely podniky na svou současnou poptávku pozitivně a</w:t>
            </w:r>
            <w:r>
              <w:rPr>
                <w:color w:val="000000"/>
                <w:szCs w:val="20"/>
              </w:rPr>
              <w:t> </w:t>
            </w:r>
            <w:r w:rsidRPr="008830F9">
              <w:rPr>
                <w:color w:val="000000"/>
                <w:szCs w:val="20"/>
              </w:rPr>
              <w:t>vlastní hospodářskou situaci hodnotily nejlépe od loňského března. Pozitivní výhled proti dubnu posílil – zlepšení poptávky i</w:t>
            </w:r>
            <w:r w:rsidRPr="008830F9">
              <w:rPr>
                <w:color w:val="0D0D0D" w:themeColor="text1" w:themeTint="F2"/>
                <w:spacing w:val="-4"/>
                <w:szCs w:val="20"/>
              </w:rPr>
              <w:t> </w:t>
            </w:r>
            <w:r w:rsidRPr="008830F9">
              <w:rPr>
                <w:color w:val="000000"/>
                <w:szCs w:val="20"/>
              </w:rPr>
              <w:t>své hospodářské situace v nejbližších šesti měsících předpokládala čtvrtina firem. I</w:t>
            </w:r>
            <w:r>
              <w:rPr>
                <w:color w:val="000000"/>
                <w:szCs w:val="20"/>
              </w:rPr>
              <w:t> </w:t>
            </w:r>
            <w:r w:rsidRPr="008830F9">
              <w:rPr>
                <w:color w:val="000000"/>
                <w:szCs w:val="20"/>
              </w:rPr>
              <w:t>přesto zvažoval redukci počtu zaměstnanců během léta stále každý třetí podnik.</w:t>
            </w:r>
            <w:r>
              <w:rPr>
                <w:color w:val="000000"/>
                <w:szCs w:val="20"/>
              </w:rPr>
              <w:t xml:space="preserve"> Situace v dí</w:t>
            </w:r>
            <w:r w:rsidR="00B86628">
              <w:rPr>
                <w:color w:val="000000"/>
                <w:szCs w:val="20"/>
              </w:rPr>
              <w:t xml:space="preserve">lčích odvětvích služeb byla </w:t>
            </w:r>
            <w:r>
              <w:rPr>
                <w:color w:val="000000"/>
                <w:szCs w:val="20"/>
              </w:rPr>
              <w:t>velmi rozdílná.</w:t>
            </w:r>
            <w:r w:rsidR="00B86628">
              <w:rPr>
                <w:color w:val="0D0D0D" w:themeColor="text1" w:themeTint="F2"/>
                <w:spacing w:val="-4"/>
                <w:szCs w:val="20"/>
              </w:rPr>
              <w:t xml:space="preserve"> Celková důvěra se dále nacházela</w:t>
            </w:r>
            <w:r>
              <w:rPr>
                <w:color w:val="0D0D0D" w:themeColor="text1" w:themeTint="F2"/>
                <w:spacing w:val="-4"/>
                <w:szCs w:val="20"/>
              </w:rPr>
              <w:t xml:space="preserve"> </w:t>
            </w:r>
            <w:r w:rsidR="00B86628">
              <w:rPr>
                <w:color w:val="0D0D0D" w:themeColor="text1" w:themeTint="F2"/>
                <w:spacing w:val="-4"/>
                <w:szCs w:val="20"/>
              </w:rPr>
              <w:t xml:space="preserve">ve výrazně negativním pásmu </w:t>
            </w:r>
            <w:r>
              <w:rPr>
                <w:color w:val="0D0D0D" w:themeColor="text1" w:themeTint="F2"/>
                <w:spacing w:val="-4"/>
                <w:szCs w:val="20"/>
              </w:rPr>
              <w:t>v letecké dopravě, ubytování a v </w:t>
            </w:r>
            <w:r w:rsidRPr="008830F9">
              <w:rPr>
                <w:color w:val="000000"/>
                <w:szCs w:val="20"/>
              </w:rPr>
              <w:t>oblasti poskytování ostatních osobních služeb (např. kadeřnické a</w:t>
            </w:r>
            <w:r>
              <w:rPr>
                <w:color w:val="000000"/>
                <w:szCs w:val="20"/>
              </w:rPr>
              <w:t> </w:t>
            </w:r>
            <w:r w:rsidRPr="008830F9">
              <w:rPr>
                <w:color w:val="000000"/>
                <w:szCs w:val="20"/>
              </w:rPr>
              <w:t>kosmetické služby).</w:t>
            </w:r>
          </w:p>
        </w:tc>
      </w:tr>
      <w:tr w:rsidR="00E87CE2" w:rsidRPr="00A2045D" w14:paraId="64F18D11" w14:textId="77777777" w:rsidTr="006F6FF2">
        <w:trPr>
          <w:trHeight w:val="145"/>
        </w:trPr>
        <w:tc>
          <w:tcPr>
            <w:tcW w:w="1728" w:type="dxa"/>
            <w:shd w:val="clear" w:color="auto" w:fill="auto"/>
            <w:tcMar>
              <w:left w:w="0" w:type="dxa"/>
            </w:tcMar>
          </w:tcPr>
          <w:p w14:paraId="36702A81" w14:textId="77777777" w:rsidR="00E87CE2" w:rsidRDefault="00E87CE2" w:rsidP="006F6FF2">
            <w:pPr>
              <w:pStyle w:val="Marginlie"/>
              <w:rPr>
                <w:color w:val="0D0D0D" w:themeColor="text1" w:themeTint="F2"/>
              </w:rPr>
            </w:pPr>
            <w:r>
              <w:rPr>
                <w:color w:val="0D0D0D" w:themeColor="text1" w:themeTint="F2"/>
              </w:rPr>
              <w:t>Meziroční pokles maloobchodních tržeb byl v 1. čtvrtletí výrazně ovlivněn propadem tržeb za pohonné hmoty.</w:t>
            </w:r>
          </w:p>
          <w:p w14:paraId="081B7979" w14:textId="77777777" w:rsidR="00E87CE2" w:rsidRDefault="00E87CE2" w:rsidP="006F6FF2">
            <w:pPr>
              <w:pStyle w:val="Marginlie"/>
              <w:rPr>
                <w:color w:val="0D0D0D" w:themeColor="text1" w:themeTint="F2"/>
              </w:rPr>
            </w:pPr>
          </w:p>
          <w:p w14:paraId="210FD766" w14:textId="77777777" w:rsidR="00E87CE2" w:rsidRDefault="00E87CE2" w:rsidP="006F6FF2">
            <w:pPr>
              <w:pStyle w:val="Marginlie"/>
              <w:rPr>
                <w:color w:val="0D0D0D" w:themeColor="text1" w:themeTint="F2"/>
              </w:rPr>
            </w:pPr>
          </w:p>
          <w:p w14:paraId="77C71F9F" w14:textId="77777777" w:rsidR="00E87CE2" w:rsidRDefault="00E87CE2" w:rsidP="006F6FF2">
            <w:pPr>
              <w:pStyle w:val="Marginlie"/>
              <w:rPr>
                <w:color w:val="0D0D0D" w:themeColor="text1" w:themeTint="F2"/>
              </w:rPr>
            </w:pPr>
          </w:p>
          <w:p w14:paraId="2D15001D" w14:textId="77777777" w:rsidR="00E87CE2" w:rsidRDefault="00E87CE2" w:rsidP="006F6FF2">
            <w:pPr>
              <w:pStyle w:val="Marginlie"/>
              <w:rPr>
                <w:color w:val="0D0D0D" w:themeColor="text1" w:themeTint="F2"/>
              </w:rPr>
            </w:pPr>
          </w:p>
          <w:p w14:paraId="19B21B00" w14:textId="77777777" w:rsidR="00E87CE2" w:rsidRDefault="00E87CE2" w:rsidP="006F6FF2">
            <w:pPr>
              <w:pStyle w:val="Marginlie"/>
              <w:rPr>
                <w:color w:val="0D0D0D" w:themeColor="text1" w:themeTint="F2"/>
              </w:rPr>
            </w:pPr>
          </w:p>
          <w:p w14:paraId="60C286E5" w14:textId="77777777" w:rsidR="00E87CE2" w:rsidRDefault="00E87CE2" w:rsidP="006F6FF2">
            <w:pPr>
              <w:pStyle w:val="Marginlie"/>
              <w:rPr>
                <w:color w:val="0D0D0D" w:themeColor="text1" w:themeTint="F2"/>
              </w:rPr>
            </w:pPr>
          </w:p>
          <w:p w14:paraId="21BDEC5D" w14:textId="77777777" w:rsidR="00E87CE2" w:rsidRPr="008932CD" w:rsidRDefault="00E87CE2" w:rsidP="006F6FF2">
            <w:pPr>
              <w:pStyle w:val="Marginlie"/>
              <w:rPr>
                <w:color w:val="0D0D0D" w:themeColor="text1" w:themeTint="F2"/>
              </w:rPr>
            </w:pPr>
            <w:r>
              <w:rPr>
                <w:color w:val="0D0D0D" w:themeColor="text1" w:themeTint="F2"/>
              </w:rPr>
              <w:t>Růst poptávky po internetovém a zásilkovém prodeji akceleroval.</w:t>
            </w:r>
          </w:p>
        </w:tc>
        <w:tc>
          <w:tcPr>
            <w:tcW w:w="206" w:type="dxa"/>
            <w:shd w:val="clear" w:color="auto" w:fill="auto"/>
            <w:tcMar>
              <w:left w:w="0" w:type="dxa"/>
            </w:tcMar>
          </w:tcPr>
          <w:p w14:paraId="0E217837" w14:textId="77777777" w:rsidR="00E87CE2" w:rsidRPr="008932CD" w:rsidRDefault="00E87CE2" w:rsidP="006F6FF2">
            <w:pPr>
              <w:pStyle w:val="Textpoznpodarou"/>
              <w:jc w:val="both"/>
              <w:rPr>
                <w:color w:val="0D0D0D" w:themeColor="text1" w:themeTint="F2"/>
                <w:spacing w:val="-4"/>
              </w:rPr>
            </w:pPr>
          </w:p>
        </w:tc>
        <w:tc>
          <w:tcPr>
            <w:tcW w:w="7730" w:type="dxa"/>
            <w:shd w:val="clear" w:color="auto" w:fill="auto"/>
            <w:tcMar>
              <w:left w:w="0" w:type="dxa"/>
            </w:tcMar>
          </w:tcPr>
          <w:p w14:paraId="350D93F2" w14:textId="40FF7C11" w:rsidR="00E87CE2" w:rsidRPr="00A2045D" w:rsidRDefault="00E87CE2" w:rsidP="00E87CE2">
            <w:pPr>
              <w:rPr>
                <w:rFonts w:cs="Arial"/>
                <w:color w:val="0D0D0D" w:themeColor="text1" w:themeTint="F2"/>
                <w:spacing w:val="-4"/>
                <w:szCs w:val="20"/>
              </w:rPr>
            </w:pPr>
            <w:r w:rsidRPr="00C64029">
              <w:rPr>
                <w:rFonts w:cs="Arial"/>
                <w:color w:val="0D0D0D" w:themeColor="text1" w:themeTint="F2"/>
                <w:spacing w:val="-4"/>
                <w:szCs w:val="20"/>
              </w:rPr>
              <w:t>Maloobchodní tržby</w:t>
            </w:r>
            <w:r w:rsidRPr="00C64029">
              <w:rPr>
                <w:rStyle w:val="Znakapoznpodarou"/>
                <w:color w:val="0D0D0D" w:themeColor="text1" w:themeTint="F2"/>
                <w:spacing w:val="-4"/>
              </w:rPr>
              <w:footnoteReference w:id="35"/>
            </w:r>
            <w:r w:rsidRPr="00C64029">
              <w:rPr>
                <w:rFonts w:cs="Arial"/>
                <w:color w:val="0D0D0D" w:themeColor="text1" w:themeTint="F2"/>
                <w:spacing w:val="-4"/>
                <w:szCs w:val="20"/>
              </w:rPr>
              <w:t xml:space="preserve"> </w:t>
            </w:r>
            <w:r>
              <w:rPr>
                <w:rFonts w:cs="Arial"/>
                <w:color w:val="0D0D0D" w:themeColor="text1" w:themeTint="F2"/>
                <w:spacing w:val="-4"/>
                <w:szCs w:val="20"/>
              </w:rPr>
              <w:t xml:space="preserve">byly po celé 1. čtvrtletí ovlivněny uzavřením části provozoven, což poznamenalo specializované prodejny s nepotravinářským zbožím. V březnu došlo navíc k výraznému omezení mobility obyvatel, což se odrazilo mimo jiné v tržbách za pohonné hmoty. </w:t>
            </w:r>
            <w:r w:rsidRPr="00E221A3">
              <w:rPr>
                <w:rFonts w:cs="Arial"/>
                <w:color w:val="0D0D0D" w:themeColor="text1" w:themeTint="F2"/>
                <w:spacing w:val="-4"/>
                <w:szCs w:val="20"/>
              </w:rPr>
              <w:t>Proti</w:t>
            </w:r>
            <w:r>
              <w:rPr>
                <w:rFonts w:cs="Arial"/>
                <w:color w:val="0D0D0D" w:themeColor="text1" w:themeTint="F2"/>
                <w:spacing w:val="-4"/>
                <w:szCs w:val="20"/>
              </w:rPr>
              <w:t xml:space="preserve"> hlubšímu poklesu </w:t>
            </w:r>
            <w:r w:rsidRPr="00E221A3">
              <w:rPr>
                <w:rFonts w:cs="Arial"/>
                <w:color w:val="0D0D0D" w:themeColor="text1" w:themeTint="F2"/>
                <w:spacing w:val="-4"/>
                <w:szCs w:val="20"/>
              </w:rPr>
              <w:t>celého maloobchodu působila dobrá kondice pracovního trhu, vyznačující se dosud utlumenou nezaměstnaností i</w:t>
            </w:r>
            <w:r>
              <w:rPr>
                <w:rFonts w:cs="Arial"/>
                <w:color w:val="0D0D0D" w:themeColor="text1" w:themeTint="F2"/>
                <w:spacing w:val="-4"/>
                <w:szCs w:val="20"/>
              </w:rPr>
              <w:t> </w:t>
            </w:r>
            <w:r w:rsidRPr="00E221A3">
              <w:rPr>
                <w:rFonts w:cs="Arial"/>
                <w:color w:val="0D0D0D" w:themeColor="text1" w:themeTint="F2"/>
                <w:spacing w:val="-4"/>
                <w:szCs w:val="20"/>
              </w:rPr>
              <w:t>pokračujícím reálným růstem průměrných mezd (od letošního roku podpořeným i</w:t>
            </w:r>
            <w:r>
              <w:rPr>
                <w:rFonts w:cs="Arial"/>
                <w:color w:val="0D0D0D" w:themeColor="text1" w:themeTint="F2"/>
                <w:spacing w:val="-4"/>
                <w:szCs w:val="20"/>
              </w:rPr>
              <w:t> </w:t>
            </w:r>
            <w:r w:rsidRPr="00E221A3">
              <w:rPr>
                <w:rFonts w:cs="Arial"/>
                <w:color w:val="0D0D0D" w:themeColor="text1" w:themeTint="F2"/>
                <w:spacing w:val="-4"/>
                <w:szCs w:val="20"/>
              </w:rPr>
              <w:t>nižším zdaněním výdělků).</w:t>
            </w:r>
            <w:r>
              <w:rPr>
                <w:rFonts w:cs="Arial"/>
                <w:color w:val="0D0D0D" w:themeColor="text1" w:themeTint="F2"/>
                <w:spacing w:val="-4"/>
                <w:szCs w:val="20"/>
              </w:rPr>
              <w:t xml:space="preserve"> V 1. čtvrtletí 2021 se tak tržby v maloobchodu meziročně snížily o 0,5 % a ve srovnání se 4. čtvrtletím 2020 klesly o </w:t>
            </w:r>
            <w:r w:rsidRPr="00076DCB">
              <w:rPr>
                <w:rFonts w:cs="Arial"/>
                <w:color w:val="0D0D0D" w:themeColor="text1" w:themeTint="F2"/>
                <w:spacing w:val="-4"/>
                <w:szCs w:val="20"/>
              </w:rPr>
              <w:t>2,4</w:t>
            </w:r>
            <w:r>
              <w:rPr>
                <w:rFonts w:cs="Arial"/>
                <w:color w:val="0D0D0D" w:themeColor="text1" w:themeTint="F2"/>
                <w:spacing w:val="-4"/>
                <w:szCs w:val="20"/>
              </w:rPr>
              <w:t> %</w:t>
            </w:r>
            <w:r w:rsidRPr="00076DCB">
              <w:rPr>
                <w:rStyle w:val="Znakapoznpodarou"/>
                <w:color w:val="0D0D0D" w:themeColor="text1" w:themeTint="F2"/>
                <w:spacing w:val="-4"/>
                <w:szCs w:val="20"/>
              </w:rPr>
              <w:footnoteReference w:id="36"/>
            </w:r>
            <w:r w:rsidRPr="00076DCB">
              <w:rPr>
                <w:rFonts w:cs="Arial"/>
                <w:color w:val="0D0D0D" w:themeColor="text1" w:themeTint="F2"/>
                <w:spacing w:val="-4"/>
                <w:szCs w:val="20"/>
              </w:rPr>
              <w:t xml:space="preserve">. </w:t>
            </w:r>
            <w:r w:rsidRPr="00A2045D">
              <w:rPr>
                <w:rFonts w:cs="Arial"/>
                <w:color w:val="0D0D0D" w:themeColor="text1" w:themeTint="F2"/>
                <w:spacing w:val="-4"/>
                <w:szCs w:val="20"/>
              </w:rPr>
              <w:t xml:space="preserve">Za meziročním poklesem stál především propad tržeb za pohonné </w:t>
            </w:r>
            <w:proofErr w:type="gramStart"/>
            <w:r w:rsidRPr="00A2045D">
              <w:rPr>
                <w:rFonts w:cs="Arial"/>
                <w:color w:val="0D0D0D" w:themeColor="text1" w:themeTint="F2"/>
                <w:spacing w:val="-4"/>
                <w:szCs w:val="20"/>
              </w:rPr>
              <w:t>hmoty (</w:t>
            </w:r>
            <w:r w:rsidRPr="00A2045D">
              <w:rPr>
                <w:color w:val="0D0D0D" w:themeColor="text1" w:themeTint="F2"/>
                <w:spacing w:val="-5"/>
              </w:rPr>
              <w:t>–</w:t>
            </w:r>
            <w:r w:rsidRPr="00A2045D">
              <w:rPr>
                <w:rFonts w:cs="Arial"/>
                <w:color w:val="0D0D0D" w:themeColor="text1" w:themeTint="F2"/>
                <w:spacing w:val="-4"/>
                <w:szCs w:val="20"/>
              </w:rPr>
              <w:t>7,7</w:t>
            </w:r>
            <w:proofErr w:type="gramEnd"/>
            <w:r>
              <w:rPr>
                <w:rFonts w:cs="Arial"/>
                <w:color w:val="0D0D0D" w:themeColor="text1" w:themeTint="F2"/>
                <w:spacing w:val="-4"/>
                <w:szCs w:val="20"/>
              </w:rPr>
              <w:t> %</w:t>
            </w:r>
            <w:r w:rsidRPr="00A2045D">
              <w:rPr>
                <w:rFonts w:cs="Arial"/>
                <w:color w:val="0D0D0D" w:themeColor="text1" w:themeTint="F2"/>
                <w:spacing w:val="-4"/>
                <w:szCs w:val="20"/>
              </w:rPr>
              <w:t>). Projevil se i</w:t>
            </w:r>
            <w:r>
              <w:rPr>
                <w:rFonts w:cs="Arial"/>
                <w:color w:val="0D0D0D" w:themeColor="text1" w:themeTint="F2"/>
                <w:spacing w:val="-4"/>
                <w:szCs w:val="20"/>
              </w:rPr>
              <w:t> </w:t>
            </w:r>
            <w:r w:rsidRPr="00A2045D">
              <w:rPr>
                <w:rFonts w:cs="Arial"/>
                <w:color w:val="0D0D0D" w:themeColor="text1" w:themeTint="F2"/>
                <w:spacing w:val="-4"/>
                <w:szCs w:val="20"/>
              </w:rPr>
              <w:t xml:space="preserve">mírný pokles tržeb za prodej </w:t>
            </w:r>
            <w:proofErr w:type="gramStart"/>
            <w:r w:rsidRPr="00A2045D">
              <w:rPr>
                <w:rFonts w:cs="Arial"/>
                <w:color w:val="0D0D0D" w:themeColor="text1" w:themeTint="F2"/>
                <w:spacing w:val="-4"/>
                <w:szCs w:val="20"/>
              </w:rPr>
              <w:t>potravin (</w:t>
            </w:r>
            <w:r w:rsidRPr="00A2045D">
              <w:rPr>
                <w:color w:val="0D0D0D" w:themeColor="text1" w:themeTint="F2"/>
                <w:spacing w:val="-5"/>
              </w:rPr>
              <w:t>–</w:t>
            </w:r>
            <w:r w:rsidRPr="00A2045D">
              <w:rPr>
                <w:rFonts w:cs="Arial"/>
                <w:color w:val="0D0D0D" w:themeColor="text1" w:themeTint="F2"/>
                <w:spacing w:val="-4"/>
                <w:szCs w:val="20"/>
              </w:rPr>
              <w:t>0,7</w:t>
            </w:r>
            <w:proofErr w:type="gramEnd"/>
            <w:r>
              <w:rPr>
                <w:rFonts w:cs="Arial"/>
                <w:color w:val="0D0D0D" w:themeColor="text1" w:themeTint="F2"/>
                <w:spacing w:val="-4"/>
                <w:szCs w:val="20"/>
              </w:rPr>
              <w:t> %</w:t>
            </w:r>
            <w:r w:rsidRPr="00A2045D">
              <w:rPr>
                <w:rFonts w:cs="Arial"/>
                <w:color w:val="0D0D0D" w:themeColor="text1" w:themeTint="F2"/>
                <w:spacing w:val="-4"/>
                <w:szCs w:val="20"/>
              </w:rPr>
              <w:t>), a</w:t>
            </w:r>
            <w:r>
              <w:rPr>
                <w:rFonts w:cs="Arial"/>
                <w:color w:val="0D0D0D" w:themeColor="text1" w:themeTint="F2"/>
                <w:spacing w:val="-4"/>
                <w:szCs w:val="20"/>
              </w:rPr>
              <w:t> </w:t>
            </w:r>
            <w:r w:rsidRPr="00A2045D">
              <w:rPr>
                <w:rFonts w:cs="Arial"/>
                <w:color w:val="0D0D0D" w:themeColor="text1" w:themeTint="F2"/>
                <w:spacing w:val="-4"/>
                <w:szCs w:val="20"/>
              </w:rPr>
              <w:t xml:space="preserve">to především </w:t>
            </w:r>
            <w:r>
              <w:rPr>
                <w:rFonts w:cs="Arial"/>
                <w:color w:val="0D0D0D" w:themeColor="text1" w:themeTint="F2"/>
                <w:spacing w:val="-4"/>
                <w:szCs w:val="20"/>
              </w:rPr>
              <w:t>vlivem nižší poptávky</w:t>
            </w:r>
            <w:r w:rsidRPr="00A2045D">
              <w:rPr>
                <w:rFonts w:cs="Arial"/>
                <w:color w:val="0D0D0D" w:themeColor="text1" w:themeTint="F2"/>
                <w:spacing w:val="-4"/>
                <w:szCs w:val="20"/>
              </w:rPr>
              <w:t xml:space="preserve"> </w:t>
            </w:r>
            <w:r w:rsidRPr="00A2045D">
              <w:rPr>
                <w:color w:val="0D0D0D" w:themeColor="text1" w:themeTint="F2"/>
                <w:spacing w:val="-4"/>
                <w:szCs w:val="20"/>
              </w:rPr>
              <w:t>ve specializovaných prodejnách (</w:t>
            </w:r>
            <w:r w:rsidRPr="00A2045D">
              <w:rPr>
                <w:color w:val="0D0D0D" w:themeColor="text1" w:themeTint="F2"/>
                <w:spacing w:val="-5"/>
              </w:rPr>
              <w:t>–</w:t>
            </w:r>
            <w:r w:rsidRPr="00A2045D">
              <w:rPr>
                <w:color w:val="0D0D0D" w:themeColor="text1" w:themeTint="F2"/>
                <w:spacing w:val="-4"/>
                <w:szCs w:val="20"/>
              </w:rPr>
              <w:t>7,1</w:t>
            </w:r>
            <w:r>
              <w:rPr>
                <w:color w:val="0D0D0D" w:themeColor="text1" w:themeTint="F2"/>
                <w:spacing w:val="-4"/>
                <w:szCs w:val="20"/>
              </w:rPr>
              <w:t> %</w:t>
            </w:r>
            <w:r w:rsidRPr="00A2045D">
              <w:rPr>
                <w:color w:val="0D0D0D" w:themeColor="text1" w:themeTint="F2"/>
                <w:spacing w:val="-4"/>
                <w:szCs w:val="20"/>
              </w:rPr>
              <w:t>)</w:t>
            </w:r>
            <w:r>
              <w:rPr>
                <w:color w:val="0D0D0D" w:themeColor="text1" w:themeTint="F2"/>
                <w:spacing w:val="-4"/>
                <w:szCs w:val="20"/>
              </w:rPr>
              <w:t xml:space="preserve">. Z ostatních specializovaných prodejen přetrvával hluboký útlum tržeb u oděvů, obuvi a koženého </w:t>
            </w:r>
            <w:proofErr w:type="gramStart"/>
            <w:r>
              <w:rPr>
                <w:color w:val="0D0D0D" w:themeColor="text1" w:themeTint="F2"/>
                <w:spacing w:val="-4"/>
                <w:szCs w:val="20"/>
              </w:rPr>
              <w:t>zboží (</w:t>
            </w:r>
            <w:r w:rsidRPr="00A2045D">
              <w:rPr>
                <w:color w:val="0D0D0D" w:themeColor="text1" w:themeTint="F2"/>
                <w:spacing w:val="-5"/>
              </w:rPr>
              <w:t>–</w:t>
            </w:r>
            <w:r>
              <w:rPr>
                <w:color w:val="0D0D0D" w:themeColor="text1" w:themeTint="F2"/>
                <w:spacing w:val="-4"/>
                <w:szCs w:val="20"/>
              </w:rPr>
              <w:t>62,8</w:t>
            </w:r>
            <w:proofErr w:type="gramEnd"/>
            <w:r>
              <w:rPr>
                <w:color w:val="0D0D0D" w:themeColor="text1" w:themeTint="F2"/>
                <w:spacing w:val="-4"/>
                <w:szCs w:val="20"/>
              </w:rPr>
              <w:t> %), v menší míře i u výrobků</w:t>
            </w:r>
            <w:r w:rsidRPr="002267A4">
              <w:rPr>
                <w:color w:val="0D0D0D" w:themeColor="text1" w:themeTint="F2"/>
                <w:spacing w:val="-4"/>
                <w:szCs w:val="20"/>
              </w:rPr>
              <w:t xml:space="preserve"> pro kulturu a</w:t>
            </w:r>
            <w:r>
              <w:rPr>
                <w:color w:val="0D0D0D" w:themeColor="text1" w:themeTint="F2"/>
                <w:spacing w:val="-4"/>
                <w:szCs w:val="20"/>
              </w:rPr>
              <w:t> </w:t>
            </w:r>
            <w:r w:rsidRPr="002267A4">
              <w:rPr>
                <w:color w:val="0D0D0D" w:themeColor="text1" w:themeTint="F2"/>
                <w:spacing w:val="-4"/>
                <w:szCs w:val="20"/>
              </w:rPr>
              <w:t>rekreaci</w:t>
            </w:r>
            <w:r>
              <w:rPr>
                <w:color w:val="0D0D0D" w:themeColor="text1" w:themeTint="F2"/>
                <w:spacing w:val="-4"/>
                <w:szCs w:val="20"/>
              </w:rPr>
              <w:t xml:space="preserve"> (</w:t>
            </w:r>
            <w:r w:rsidRPr="00A2045D">
              <w:rPr>
                <w:color w:val="0D0D0D" w:themeColor="text1" w:themeTint="F2"/>
                <w:spacing w:val="-5"/>
              </w:rPr>
              <w:t>–</w:t>
            </w:r>
            <w:r>
              <w:rPr>
                <w:color w:val="0D0D0D" w:themeColor="text1" w:themeTint="F2"/>
                <w:spacing w:val="-4"/>
                <w:szCs w:val="20"/>
              </w:rPr>
              <w:t>17,1 %). Naopak alespoň minimální růst pokračoval v prodejnách s počítačovým</w:t>
            </w:r>
            <w:r w:rsidRPr="002267A4">
              <w:rPr>
                <w:color w:val="0D0D0D" w:themeColor="text1" w:themeTint="F2"/>
                <w:spacing w:val="-4"/>
                <w:szCs w:val="20"/>
              </w:rPr>
              <w:t xml:space="preserve"> a</w:t>
            </w:r>
            <w:r>
              <w:rPr>
                <w:color w:val="0D0D0D" w:themeColor="text1" w:themeTint="F2"/>
                <w:spacing w:val="-4"/>
                <w:szCs w:val="20"/>
              </w:rPr>
              <w:t> </w:t>
            </w:r>
            <w:r w:rsidRPr="002267A4">
              <w:rPr>
                <w:color w:val="0D0D0D" w:themeColor="text1" w:themeTint="F2"/>
                <w:spacing w:val="-4"/>
                <w:szCs w:val="20"/>
              </w:rPr>
              <w:t>komunikačním zařízením</w:t>
            </w:r>
            <w:r>
              <w:rPr>
                <w:color w:val="0D0D0D" w:themeColor="text1" w:themeTint="F2"/>
                <w:spacing w:val="-4"/>
                <w:szCs w:val="20"/>
              </w:rPr>
              <w:t xml:space="preserve">. Z citelného omezení tradičních prodejních kanálů profitoval internetový a zásilkový prodej, kde tržby vzrostly o 41,9 % (a ve </w:t>
            </w:r>
            <w:r w:rsidR="00B86628">
              <w:rPr>
                <w:color w:val="0D0D0D" w:themeColor="text1" w:themeTint="F2"/>
                <w:spacing w:val="-4"/>
                <w:szCs w:val="20"/>
              </w:rPr>
              <w:t xml:space="preserve">srovnání s počátkem roku 2019 </w:t>
            </w:r>
            <w:r>
              <w:rPr>
                <w:color w:val="0D0D0D" w:themeColor="text1" w:themeTint="F2"/>
                <w:spacing w:val="-4"/>
                <w:szCs w:val="20"/>
              </w:rPr>
              <w:t xml:space="preserve">bezmála </w:t>
            </w:r>
            <w:r w:rsidR="00B86628">
              <w:rPr>
                <w:color w:val="0D0D0D" w:themeColor="text1" w:themeTint="F2"/>
                <w:spacing w:val="-4"/>
                <w:szCs w:val="20"/>
              </w:rPr>
              <w:t xml:space="preserve">o </w:t>
            </w:r>
            <w:r>
              <w:rPr>
                <w:color w:val="0D0D0D" w:themeColor="text1" w:themeTint="F2"/>
                <w:spacing w:val="-4"/>
                <w:szCs w:val="20"/>
              </w:rPr>
              <w:t>70 %).</w:t>
            </w:r>
          </w:p>
        </w:tc>
      </w:tr>
      <w:tr w:rsidR="00E87CE2" w:rsidRPr="00234773" w14:paraId="2648B93A" w14:textId="77777777" w:rsidTr="006F6FF2">
        <w:trPr>
          <w:trHeight w:val="145"/>
        </w:trPr>
        <w:tc>
          <w:tcPr>
            <w:tcW w:w="1728" w:type="dxa"/>
            <w:shd w:val="clear" w:color="auto" w:fill="auto"/>
            <w:tcMar>
              <w:left w:w="0" w:type="dxa"/>
            </w:tcMar>
          </w:tcPr>
          <w:p w14:paraId="21BDC36F" w14:textId="77777777" w:rsidR="00E87CE2" w:rsidRPr="00234773" w:rsidRDefault="00E87CE2" w:rsidP="006F6FF2">
            <w:pPr>
              <w:pStyle w:val="Marginlie"/>
              <w:rPr>
                <w:color w:val="0D0D0D" w:themeColor="text1" w:themeTint="F2"/>
              </w:rPr>
            </w:pPr>
            <w:r>
              <w:rPr>
                <w:color w:val="0D0D0D" w:themeColor="text1" w:themeTint="F2"/>
              </w:rPr>
              <w:t xml:space="preserve">Tržby v motoristickém segmentu obchodu </w:t>
            </w:r>
            <w:proofErr w:type="spellStart"/>
            <w:r>
              <w:rPr>
                <w:color w:val="0D0D0D" w:themeColor="text1" w:themeTint="F2"/>
              </w:rPr>
              <w:t>mezikvartálně</w:t>
            </w:r>
            <w:proofErr w:type="spellEnd"/>
            <w:r>
              <w:rPr>
                <w:color w:val="0D0D0D" w:themeColor="text1" w:themeTint="F2"/>
              </w:rPr>
              <w:t xml:space="preserve"> rostly potřetí v řadě.</w:t>
            </w:r>
          </w:p>
        </w:tc>
        <w:tc>
          <w:tcPr>
            <w:tcW w:w="206" w:type="dxa"/>
            <w:shd w:val="clear" w:color="auto" w:fill="auto"/>
            <w:tcMar>
              <w:left w:w="0" w:type="dxa"/>
            </w:tcMar>
          </w:tcPr>
          <w:p w14:paraId="07FF2F47" w14:textId="77777777" w:rsidR="00E87CE2" w:rsidRPr="00234773" w:rsidRDefault="00E87CE2" w:rsidP="006F6FF2">
            <w:pPr>
              <w:pStyle w:val="Textpoznpodarou"/>
              <w:jc w:val="both"/>
              <w:rPr>
                <w:color w:val="0D0D0D" w:themeColor="text1" w:themeTint="F2"/>
                <w:spacing w:val="-4"/>
              </w:rPr>
            </w:pPr>
          </w:p>
        </w:tc>
        <w:tc>
          <w:tcPr>
            <w:tcW w:w="7730" w:type="dxa"/>
            <w:shd w:val="clear" w:color="auto" w:fill="auto"/>
            <w:tcMar>
              <w:left w:w="0" w:type="dxa"/>
            </w:tcMar>
          </w:tcPr>
          <w:p w14:paraId="63C561E0" w14:textId="77777777" w:rsidR="00E87CE2" w:rsidRPr="00234773" w:rsidRDefault="00E87CE2" w:rsidP="00E87CE2">
            <w:pPr>
              <w:rPr>
                <w:color w:val="0D0D0D" w:themeColor="text1" w:themeTint="F2"/>
                <w:spacing w:val="-4"/>
                <w:szCs w:val="20"/>
              </w:rPr>
            </w:pPr>
            <w:r w:rsidRPr="00132299">
              <w:rPr>
                <w:rFonts w:cs="Arial"/>
                <w:color w:val="0D0D0D" w:themeColor="text1" w:themeTint="F2"/>
                <w:spacing w:val="-4"/>
                <w:szCs w:val="20"/>
              </w:rPr>
              <w:t>V</w:t>
            </w:r>
            <w:r>
              <w:rPr>
                <w:rFonts w:cs="Arial"/>
                <w:color w:val="0D0D0D" w:themeColor="text1" w:themeTint="F2"/>
                <w:spacing w:val="-4"/>
                <w:szCs w:val="20"/>
              </w:rPr>
              <w:t> </w:t>
            </w:r>
            <w:r w:rsidRPr="00132299">
              <w:rPr>
                <w:rFonts w:cs="Arial"/>
                <w:color w:val="0D0D0D" w:themeColor="text1" w:themeTint="F2"/>
                <w:spacing w:val="-4"/>
                <w:szCs w:val="20"/>
              </w:rPr>
              <w:t>motoristickém segmentu obchodu se v 1.</w:t>
            </w:r>
            <w:r>
              <w:rPr>
                <w:rFonts w:cs="Arial"/>
                <w:color w:val="0D0D0D" w:themeColor="text1" w:themeTint="F2"/>
                <w:spacing w:val="-4"/>
                <w:szCs w:val="20"/>
              </w:rPr>
              <w:t> čtvrtlet</w:t>
            </w:r>
            <w:r w:rsidRPr="00132299">
              <w:rPr>
                <w:rFonts w:cs="Arial"/>
                <w:color w:val="0D0D0D" w:themeColor="text1" w:themeTint="F2"/>
                <w:spacing w:val="-4"/>
                <w:szCs w:val="20"/>
              </w:rPr>
              <w:t xml:space="preserve">í tržby zvýšily </w:t>
            </w:r>
            <w:r>
              <w:rPr>
                <w:rFonts w:cs="Arial"/>
                <w:color w:val="0D0D0D" w:themeColor="text1" w:themeTint="F2"/>
                <w:spacing w:val="-4"/>
                <w:szCs w:val="20"/>
              </w:rPr>
              <w:t xml:space="preserve">meziročně </w:t>
            </w:r>
            <w:r w:rsidRPr="00132299">
              <w:rPr>
                <w:rFonts w:cs="Arial"/>
                <w:color w:val="0D0D0D" w:themeColor="text1" w:themeTint="F2"/>
                <w:spacing w:val="-4"/>
                <w:szCs w:val="20"/>
              </w:rPr>
              <w:t>o</w:t>
            </w:r>
            <w:r>
              <w:rPr>
                <w:rFonts w:cs="Arial"/>
                <w:color w:val="0D0D0D" w:themeColor="text1" w:themeTint="F2"/>
                <w:spacing w:val="-4"/>
                <w:szCs w:val="20"/>
              </w:rPr>
              <w:t> 8,7 % a</w:t>
            </w:r>
            <w:r>
              <w:rPr>
                <w:color w:val="0D0D0D" w:themeColor="text1" w:themeTint="F2"/>
                <w:spacing w:val="-4"/>
                <w:szCs w:val="20"/>
              </w:rPr>
              <w:t> </w:t>
            </w:r>
            <w:proofErr w:type="spellStart"/>
            <w:r w:rsidRPr="00132299">
              <w:rPr>
                <w:rFonts w:cs="Arial"/>
                <w:color w:val="0D0D0D" w:themeColor="text1" w:themeTint="F2"/>
                <w:spacing w:val="-4"/>
                <w:szCs w:val="20"/>
              </w:rPr>
              <w:t>mezikvartálně</w:t>
            </w:r>
            <w:proofErr w:type="spellEnd"/>
            <w:r w:rsidRPr="00132299">
              <w:rPr>
                <w:rFonts w:cs="Arial"/>
                <w:color w:val="0D0D0D" w:themeColor="text1" w:themeTint="F2"/>
                <w:spacing w:val="-4"/>
                <w:szCs w:val="20"/>
              </w:rPr>
              <w:t xml:space="preserve"> narůstaly potřetí v řadě. </w:t>
            </w:r>
            <w:r>
              <w:rPr>
                <w:rFonts w:cs="Arial"/>
                <w:color w:val="0D0D0D" w:themeColor="text1" w:themeTint="F2"/>
                <w:spacing w:val="-4"/>
                <w:szCs w:val="20"/>
              </w:rPr>
              <w:t>Za úrovní poptávky z období těsně před vypuknutím pandemie ale stále mírně zaostávaly.</w:t>
            </w:r>
          </w:p>
        </w:tc>
      </w:tr>
    </w:tbl>
    <w:p w14:paraId="5791F1F3" w14:textId="5569004B" w:rsidR="00DF57D6" w:rsidRPr="009110F7" w:rsidRDefault="00DF57D6" w:rsidP="00DF57D6">
      <w:pPr>
        <w:pStyle w:val="Nadpis11"/>
      </w:pPr>
      <w:bookmarkStart w:id="17" w:name="_Toc74643856"/>
      <w:r>
        <w:lastRenderedPageBreak/>
        <w:t>4</w:t>
      </w:r>
      <w:r w:rsidRPr="009110F7">
        <w:t>.</w:t>
      </w:r>
      <w:r>
        <w:t> </w:t>
      </w:r>
      <w:r w:rsidRPr="009110F7">
        <w:t>Vnější vztahy</w:t>
      </w:r>
      <w:bookmarkEnd w:id="12"/>
      <w:bookmarkEnd w:id="13"/>
      <w:bookmarkEnd w:id="17"/>
    </w:p>
    <w:tbl>
      <w:tblPr>
        <w:tblW w:w="9639" w:type="dxa"/>
        <w:tblInd w:w="-15" w:type="dxa"/>
        <w:tblCellMar>
          <w:left w:w="0" w:type="dxa"/>
          <w:right w:w="0" w:type="dxa"/>
        </w:tblCellMar>
        <w:tblLook w:val="00A0" w:firstRow="1" w:lastRow="0" w:firstColumn="1" w:lastColumn="0" w:noHBand="0" w:noVBand="0"/>
      </w:tblPr>
      <w:tblGrid>
        <w:gridCol w:w="1762"/>
        <w:gridCol w:w="223"/>
        <w:gridCol w:w="7654"/>
      </w:tblGrid>
      <w:tr w:rsidR="00DF57D6" w:rsidRPr="009110F7" w14:paraId="488BB10A" w14:textId="77777777" w:rsidTr="00D67D55">
        <w:trPr>
          <w:trHeight w:val="145"/>
        </w:trPr>
        <w:tc>
          <w:tcPr>
            <w:tcW w:w="1762" w:type="dxa"/>
            <w:shd w:val="clear" w:color="auto" w:fill="auto"/>
            <w:tcMar>
              <w:left w:w="0" w:type="dxa"/>
            </w:tcMar>
          </w:tcPr>
          <w:p w14:paraId="14FBE2CD" w14:textId="77777777" w:rsidR="00DF57D6" w:rsidRDefault="00DF57D6" w:rsidP="00D67D55">
            <w:pPr>
              <w:pStyle w:val="Marginlie"/>
            </w:pPr>
            <w:r>
              <w:t>Export v 1. čtvrtletí výrazně meziročně vzrostl.</w:t>
            </w:r>
          </w:p>
        </w:tc>
        <w:tc>
          <w:tcPr>
            <w:tcW w:w="223" w:type="dxa"/>
            <w:shd w:val="clear" w:color="auto" w:fill="auto"/>
            <w:tcMar>
              <w:left w:w="0" w:type="dxa"/>
            </w:tcMar>
          </w:tcPr>
          <w:p w14:paraId="1E389F0D" w14:textId="77777777" w:rsidR="00DF57D6" w:rsidRDefault="00DF57D6" w:rsidP="00D67D55">
            <w:pPr>
              <w:pStyle w:val="Textpoznpodarou"/>
              <w:jc w:val="both"/>
              <w:rPr>
                <w:spacing w:val="-4"/>
              </w:rPr>
            </w:pPr>
          </w:p>
        </w:tc>
        <w:tc>
          <w:tcPr>
            <w:tcW w:w="7654" w:type="dxa"/>
            <w:shd w:val="clear" w:color="auto" w:fill="auto"/>
            <w:tcMar>
              <w:left w:w="0" w:type="dxa"/>
            </w:tcMar>
          </w:tcPr>
          <w:p w14:paraId="7D3A819F" w14:textId="77777777" w:rsidR="00DF57D6" w:rsidRPr="00AF6F98" w:rsidRDefault="00DF57D6" w:rsidP="00D67D55">
            <w:pPr>
              <w:spacing w:after="200"/>
              <w:rPr>
                <w:spacing w:val="-4"/>
              </w:rPr>
            </w:pPr>
            <w:r>
              <w:rPr>
                <w:spacing w:val="-4"/>
              </w:rPr>
              <w:t>V 1. čtvrtletí 2021 celková hodnota vývozu zboží dosáhla 988,7 mld. korun. Ve srovnání s loňským 1. kvartálem se tak vývoz zvýšil o 95,8 mld. korun (10,7 %). Meziroční srovnání je přitom značně ovlivněno nízkou základnou – loňské 1. čtvrtletí již negativně ovlivnily uzavírky klíčových podniků v ČR i EU. To je vidět i na podrobnějším pohledu na jednotlivé měsíce roku – hlavní podíl meziročního nárůstu vývozu totiž připadl na březen (87,8 mld. korun). Hodnota exportu v letošním 1. čtvrtletí ale i tak převýšila 1. čtvrtletí 2019 o 57,3 mld. korun (5,8 %).</w:t>
            </w:r>
          </w:p>
        </w:tc>
      </w:tr>
      <w:tr w:rsidR="00DF57D6" w:rsidRPr="009110F7" w14:paraId="579400B8" w14:textId="77777777" w:rsidTr="00D67D55">
        <w:trPr>
          <w:trHeight w:val="145"/>
        </w:trPr>
        <w:tc>
          <w:tcPr>
            <w:tcW w:w="1762" w:type="dxa"/>
            <w:shd w:val="clear" w:color="auto" w:fill="auto"/>
            <w:tcMar>
              <w:left w:w="0" w:type="dxa"/>
            </w:tcMar>
          </w:tcPr>
          <w:p w14:paraId="3213A546" w14:textId="77777777" w:rsidR="00DF57D6" w:rsidRDefault="00DF57D6" w:rsidP="00D67D55">
            <w:pPr>
              <w:pStyle w:val="Marginlie"/>
            </w:pPr>
            <w:r>
              <w:t>Nejvíce se navýšil vývoz do zemí EU.</w:t>
            </w:r>
          </w:p>
        </w:tc>
        <w:tc>
          <w:tcPr>
            <w:tcW w:w="223" w:type="dxa"/>
            <w:shd w:val="clear" w:color="auto" w:fill="auto"/>
            <w:tcMar>
              <w:left w:w="0" w:type="dxa"/>
            </w:tcMar>
          </w:tcPr>
          <w:p w14:paraId="36B843B3" w14:textId="77777777" w:rsidR="00DF57D6" w:rsidRDefault="00DF57D6" w:rsidP="00D67D55">
            <w:pPr>
              <w:pStyle w:val="Textpoznpodarou"/>
              <w:jc w:val="both"/>
              <w:rPr>
                <w:spacing w:val="-4"/>
              </w:rPr>
            </w:pPr>
          </w:p>
        </w:tc>
        <w:tc>
          <w:tcPr>
            <w:tcW w:w="7654" w:type="dxa"/>
            <w:shd w:val="clear" w:color="auto" w:fill="auto"/>
            <w:tcMar>
              <w:left w:w="0" w:type="dxa"/>
            </w:tcMar>
          </w:tcPr>
          <w:p w14:paraId="5609F8A0" w14:textId="77777777" w:rsidR="00DF57D6" w:rsidRPr="00AF6F98" w:rsidRDefault="00DF57D6" w:rsidP="00D67D55">
            <w:pPr>
              <w:spacing w:after="200"/>
              <w:rPr>
                <w:spacing w:val="-4"/>
              </w:rPr>
            </w:pPr>
            <w:r>
              <w:rPr>
                <w:spacing w:val="-4"/>
              </w:rPr>
              <w:t xml:space="preserve">Hlavní porce meziročního nárůstu vývozu připadla na země Evropské unie (+86,0 mld. korun, 12,1 %), zatímco export mimo EU rostl mírněji (+10,1 mld., 5,6 %). To souviselo i s okolnostmi loňského propadu exportu – poklesl totiž zejména vývoz zboží, které putuje do EU, ať už to bylo přímo spotřební zboží, nebo subdodávky. Nejvíce se zvýšil export do Německa (+28,4 mld. korun, 10,1 %), do Polska (+10,8 mld., 18,8 %) a do Rakouska (6,8 mld., 18,7 %). Velmi vysoké byly také letošní přírůstky exportu do zemí, které byly v loňském 1. čtvrtletí nejvíce zasaženy pandemií – do Španělska (+6,1 mld., 25,1 %), Francie (+5,2 mld., 11,6 %) a Itálie (+4,0 mld., 12,1 %). Poměrně silný byl i nárůst exportu do Belgie (+3,3 mld. korun, 16,9 %). Meziročně poklesl vývoz do Velké </w:t>
            </w:r>
            <w:proofErr w:type="gramStart"/>
            <w:r>
              <w:rPr>
                <w:spacing w:val="-4"/>
              </w:rPr>
              <w:t>Británie (–2,3</w:t>
            </w:r>
            <w:proofErr w:type="gramEnd"/>
            <w:r>
              <w:rPr>
                <w:spacing w:val="-4"/>
              </w:rPr>
              <w:t> mld. korun, –5,9 %).</w:t>
            </w:r>
          </w:p>
        </w:tc>
      </w:tr>
      <w:tr w:rsidR="00DF57D6" w:rsidRPr="009110F7" w14:paraId="72715D8F" w14:textId="77777777" w:rsidTr="00D67D55">
        <w:trPr>
          <w:trHeight w:val="170"/>
        </w:trPr>
        <w:tc>
          <w:tcPr>
            <w:tcW w:w="1762" w:type="dxa"/>
            <w:shd w:val="clear" w:color="auto" w:fill="auto"/>
            <w:tcMar>
              <w:left w:w="0" w:type="dxa"/>
            </w:tcMar>
          </w:tcPr>
          <w:p w14:paraId="63EC7094" w14:textId="77777777" w:rsidR="00DF57D6" w:rsidRDefault="00DF57D6" w:rsidP="00D67D55">
            <w:pPr>
              <w:pStyle w:val="Marginlie"/>
            </w:pPr>
            <w:r>
              <w:t>Hlavní váha meziročního přírůstku spočívala na motorových vozidlech.</w:t>
            </w:r>
          </w:p>
        </w:tc>
        <w:tc>
          <w:tcPr>
            <w:tcW w:w="223" w:type="dxa"/>
            <w:shd w:val="clear" w:color="auto" w:fill="auto"/>
            <w:tcMar>
              <w:left w:w="0" w:type="dxa"/>
            </w:tcMar>
          </w:tcPr>
          <w:p w14:paraId="00A7C086" w14:textId="77777777" w:rsidR="00DF57D6" w:rsidRDefault="00DF57D6" w:rsidP="00D67D55">
            <w:pPr>
              <w:pStyle w:val="Textpoznpodarou"/>
              <w:jc w:val="both"/>
              <w:rPr>
                <w:spacing w:val="-4"/>
              </w:rPr>
            </w:pPr>
          </w:p>
        </w:tc>
        <w:tc>
          <w:tcPr>
            <w:tcW w:w="7654" w:type="dxa"/>
            <w:shd w:val="clear" w:color="auto" w:fill="auto"/>
            <w:tcMar>
              <w:left w:w="0" w:type="dxa"/>
            </w:tcMar>
          </w:tcPr>
          <w:p w14:paraId="3E919797" w14:textId="77777777" w:rsidR="00DF57D6" w:rsidRPr="00AF6F98" w:rsidRDefault="00DF57D6" w:rsidP="00D67D55">
            <w:pPr>
              <w:spacing w:after="200"/>
              <w:rPr>
                <w:spacing w:val="-4"/>
              </w:rPr>
            </w:pPr>
            <w:r>
              <w:rPr>
                <w:spacing w:val="-4"/>
              </w:rPr>
              <w:t xml:space="preserve">Největší meziroční nárůsty vývozu byly zaznamenány u artiklů, které loni výrazně ovlivnilo jarní uzavření provozů. Nejvíce se tedy v 1. čtvrtletí zvýšil export motorových vozidel (+31,8 mld. korun, 13,2 %) a elektrických zařízení (+12,9 mld., 17,0 %). Silně také vzrostl export počítačů, elektronických a optických přístrojů (+10,9 mld. korun, 12,0 %). Nárůst cen ropy dal výrazný impulz i hodnotě vývozu chemických látek a přípravků (+7,0 mld. korun, 16,1 %). Cenové vlivy se promítly i do růstu hodnoty vývozu základních kovů (+5,4 mld., 15,5 %). Navýšení vývozu strojů a zařízení o 5,6 mld. korun (5,6 %) bylo solidní, ale za ostatními segmenty zaostávalo. Významné byly i nárůsty exportu pryžových a plastových výrobků (+4,5 mld. korun, 9,3 %) a kovodělných výrobků (+4,5 mld., 8,0 %). Významnější pokles vývozu byl po loňském prudkém navýšení zaznamenán jen u ropy a zemního </w:t>
            </w:r>
            <w:proofErr w:type="gramStart"/>
            <w:r>
              <w:rPr>
                <w:spacing w:val="-4"/>
              </w:rPr>
              <w:t xml:space="preserve">plynu </w:t>
            </w:r>
            <w:r>
              <w:rPr>
                <w:spacing w:val="-4"/>
              </w:rPr>
              <w:br/>
              <w:t>(–1,3</w:t>
            </w:r>
            <w:proofErr w:type="gramEnd"/>
            <w:r>
              <w:rPr>
                <w:spacing w:val="-4"/>
              </w:rPr>
              <w:t> mld. korun, –94,2 %).</w:t>
            </w:r>
          </w:p>
        </w:tc>
      </w:tr>
      <w:tr w:rsidR="00DF57D6" w:rsidRPr="009110F7" w14:paraId="182A3EC8" w14:textId="77777777" w:rsidTr="00D67D55">
        <w:trPr>
          <w:trHeight w:val="145"/>
        </w:trPr>
        <w:tc>
          <w:tcPr>
            <w:tcW w:w="1762" w:type="dxa"/>
            <w:shd w:val="clear" w:color="auto" w:fill="auto"/>
            <w:tcMar>
              <w:left w:w="0" w:type="dxa"/>
            </w:tcMar>
          </w:tcPr>
          <w:p w14:paraId="021F3D3A" w14:textId="77777777" w:rsidR="00DF57D6" w:rsidRDefault="00DF57D6" w:rsidP="00D67D55">
            <w:pPr>
              <w:pStyle w:val="Marginlie"/>
            </w:pPr>
            <w:r>
              <w:t>Také dovoz silně rostl, jeho dynamika ale za vývozem zaostávala.</w:t>
            </w:r>
          </w:p>
        </w:tc>
        <w:tc>
          <w:tcPr>
            <w:tcW w:w="223" w:type="dxa"/>
            <w:shd w:val="clear" w:color="auto" w:fill="auto"/>
            <w:tcMar>
              <w:left w:w="0" w:type="dxa"/>
            </w:tcMar>
          </w:tcPr>
          <w:p w14:paraId="037C7A5E" w14:textId="77777777" w:rsidR="00DF57D6" w:rsidRDefault="00DF57D6" w:rsidP="00D67D55">
            <w:pPr>
              <w:pStyle w:val="Textpoznpodarou"/>
              <w:jc w:val="both"/>
              <w:rPr>
                <w:spacing w:val="-4"/>
              </w:rPr>
            </w:pPr>
          </w:p>
        </w:tc>
        <w:tc>
          <w:tcPr>
            <w:tcW w:w="7654" w:type="dxa"/>
            <w:shd w:val="clear" w:color="auto" w:fill="auto"/>
            <w:tcMar>
              <w:left w:w="0" w:type="dxa"/>
            </w:tcMar>
          </w:tcPr>
          <w:p w14:paraId="596F26A4" w14:textId="77777777" w:rsidR="00DF57D6" w:rsidRPr="00AF6F98" w:rsidRDefault="00DF57D6" w:rsidP="00D67D55">
            <w:pPr>
              <w:rPr>
                <w:spacing w:val="-4"/>
              </w:rPr>
            </w:pPr>
            <w:r>
              <w:rPr>
                <w:spacing w:val="-4"/>
              </w:rPr>
              <w:t>Hodnota dovozu zboží v 1. čtvrtletí dosáhla 925,0 mld. korun. Import v 1. čtvrtletí také výrazněji meziročně vzrostl (o 69,3 mld. korun, 8,1 %), za vývozem ale nadále dynamika dovozu zaostávala. Oproti exportu byla teritoriální struktura nárůstu importu poněkud odlišná. Velmi silné bylo navýšení dovozu zboží ze zemí mimo EU (+29,6 mld. korun, 10,1 %) a import z EU rostl mírněji (+39,0 mld., 7,0 %). Velké navýšení dovozu ze zemí mimo EU mělo původ hlavně v přírůstku importu z Číny (+19,3 mld. korun, 20,9 %). Neobvykle vysoké bylo i navýšení dovozu z Japonska (+4,9 mld. korun, 31,1 %) a především posun cen ropy měl za následek přírůstek dovozu z Ruska o 3,7 mld. (19,2 %). V rámci zemí EU nejvíce narostl dovoz z Německa (+10,6 mld. korun, 4,8 %), Slovenska (+6,0 mld., 15,1 %) a Polska (+5,9 mld., 7,9 %).</w:t>
            </w:r>
          </w:p>
        </w:tc>
      </w:tr>
      <w:tr w:rsidR="00DF57D6" w:rsidRPr="009110F7" w14:paraId="5BCC00A9" w14:textId="77777777" w:rsidTr="00D67D55">
        <w:trPr>
          <w:trHeight w:val="145"/>
        </w:trPr>
        <w:tc>
          <w:tcPr>
            <w:tcW w:w="1762" w:type="dxa"/>
            <w:shd w:val="clear" w:color="auto" w:fill="auto"/>
            <w:tcMar>
              <w:left w:w="0" w:type="dxa"/>
            </w:tcMar>
          </w:tcPr>
          <w:p w14:paraId="27B747B7" w14:textId="77777777" w:rsidR="00DF57D6" w:rsidRDefault="00DF57D6" w:rsidP="00D67D55">
            <w:pPr>
              <w:pStyle w:val="Marginlie"/>
            </w:pPr>
            <w:r>
              <w:t>Také u importu největší přírůstek vykázala motorová vozidla.</w:t>
            </w:r>
          </w:p>
        </w:tc>
        <w:tc>
          <w:tcPr>
            <w:tcW w:w="223" w:type="dxa"/>
            <w:shd w:val="clear" w:color="auto" w:fill="auto"/>
            <w:tcMar>
              <w:left w:w="0" w:type="dxa"/>
            </w:tcMar>
          </w:tcPr>
          <w:p w14:paraId="3D46EEC7" w14:textId="77777777" w:rsidR="00DF57D6" w:rsidRDefault="00DF57D6" w:rsidP="00D67D55">
            <w:pPr>
              <w:pStyle w:val="Textpoznpodarou"/>
              <w:jc w:val="both"/>
              <w:rPr>
                <w:spacing w:val="-4"/>
              </w:rPr>
            </w:pPr>
          </w:p>
        </w:tc>
        <w:tc>
          <w:tcPr>
            <w:tcW w:w="7654" w:type="dxa"/>
            <w:shd w:val="clear" w:color="auto" w:fill="auto"/>
            <w:tcMar>
              <w:left w:w="0" w:type="dxa"/>
            </w:tcMar>
          </w:tcPr>
          <w:p w14:paraId="65432414" w14:textId="77777777" w:rsidR="00DF57D6" w:rsidRDefault="00DF57D6" w:rsidP="00D67D55">
            <w:pPr>
              <w:rPr>
                <w:spacing w:val="-4"/>
              </w:rPr>
            </w:pPr>
            <w:r>
              <w:rPr>
                <w:spacing w:val="-4"/>
              </w:rPr>
              <w:t xml:space="preserve">Z hlediska věcného členění nejvíce meziročně vzrostl dovoz motorových vozidel (+16,4 mld. korun, 12,6 %) a elektrických zařízení (+15,3 mld., 22,4 %), podobně jako tomu bylo u exportu. Dlouhodobě totiž funguje materiální provázanost dovozu a vývozu v těchto odvětvích. Velké navýšení vykázal i dovoz chemických látek a přípravků (+9,0 mld. korun, 12,5 %) a základních kovů (+8,8 mld., 14,2 %), u obou je přírůstek spojen s navýšením cen. Silný byl také přírůstek importu počítačů, elektronických a optických přístrojů (+7,2 mld. korun, 7,1 %), pryžových a plastových výrobků (+5,6 mld., 12,6 %) a základních farmaceutických výrobků (+4,4 mld., 14,3 %). Jen mírně rostl dovoz strojů a zařízení (+2,9 mld. korun, 3,6 %), což ukazuje na trvající oslabení domácí investiční poptávky. Výraznější meziroční poklesy byly zaznamenány u dovozu potravinářských </w:t>
            </w:r>
            <w:proofErr w:type="gramStart"/>
            <w:r>
              <w:rPr>
                <w:spacing w:val="-4"/>
              </w:rPr>
              <w:t xml:space="preserve">výrobků </w:t>
            </w:r>
            <w:r>
              <w:rPr>
                <w:spacing w:val="-4"/>
              </w:rPr>
              <w:br/>
            </w:r>
            <w:r>
              <w:rPr>
                <w:spacing w:val="-4"/>
              </w:rPr>
              <w:lastRenderedPageBreak/>
              <w:t>(–1,8</w:t>
            </w:r>
            <w:proofErr w:type="gramEnd"/>
            <w:r>
              <w:rPr>
                <w:spacing w:val="-4"/>
              </w:rPr>
              <w:t xml:space="preserve"> mld. korun, –4,3 %), ropy a zemního plynu (–1,6 mld., –6,9 %; březnový prudký nárůst nestačil kompenzovat propad z ledna a února) a ostatních dopravních </w:t>
            </w:r>
            <w:proofErr w:type="gramStart"/>
            <w:r>
              <w:rPr>
                <w:spacing w:val="-4"/>
              </w:rPr>
              <w:t xml:space="preserve">prostředků </w:t>
            </w:r>
            <w:r>
              <w:rPr>
                <w:spacing w:val="-4"/>
              </w:rPr>
              <w:br/>
              <w:t>(–1,4</w:t>
            </w:r>
            <w:proofErr w:type="gramEnd"/>
            <w:r>
              <w:rPr>
                <w:spacing w:val="-4"/>
              </w:rPr>
              <w:t> mld., –15,7 %).</w:t>
            </w:r>
          </w:p>
        </w:tc>
      </w:tr>
      <w:tr w:rsidR="00DF57D6" w:rsidRPr="009110F7" w14:paraId="1912520D" w14:textId="77777777" w:rsidTr="00D67D55">
        <w:trPr>
          <w:trHeight w:val="145"/>
        </w:trPr>
        <w:tc>
          <w:tcPr>
            <w:tcW w:w="1762" w:type="dxa"/>
            <w:shd w:val="clear" w:color="auto" w:fill="auto"/>
            <w:tcMar>
              <w:left w:w="0" w:type="dxa"/>
            </w:tcMar>
          </w:tcPr>
          <w:p w14:paraId="3C4234BA" w14:textId="77777777" w:rsidR="00DF57D6" w:rsidRDefault="00DF57D6" w:rsidP="00D67D55">
            <w:pPr>
              <w:pStyle w:val="Marginlie"/>
            </w:pPr>
            <w:r>
              <w:lastRenderedPageBreak/>
              <w:t>Přebytek bilance zahraničního obchodu se meziročně zvýšil.</w:t>
            </w:r>
          </w:p>
        </w:tc>
        <w:tc>
          <w:tcPr>
            <w:tcW w:w="223" w:type="dxa"/>
            <w:shd w:val="clear" w:color="auto" w:fill="auto"/>
            <w:tcMar>
              <w:left w:w="0" w:type="dxa"/>
            </w:tcMar>
          </w:tcPr>
          <w:p w14:paraId="52ED9B89" w14:textId="77777777" w:rsidR="00DF57D6" w:rsidRDefault="00DF57D6" w:rsidP="00D67D55">
            <w:pPr>
              <w:pStyle w:val="Textpoznpodarou"/>
              <w:jc w:val="both"/>
              <w:rPr>
                <w:spacing w:val="-4"/>
              </w:rPr>
            </w:pPr>
          </w:p>
        </w:tc>
        <w:tc>
          <w:tcPr>
            <w:tcW w:w="7654" w:type="dxa"/>
            <w:shd w:val="clear" w:color="auto" w:fill="auto"/>
            <w:tcMar>
              <w:left w:w="0" w:type="dxa"/>
            </w:tcMar>
          </w:tcPr>
          <w:p w14:paraId="0074BA0E" w14:textId="77777777" w:rsidR="00DF57D6" w:rsidRPr="00AF6F98" w:rsidRDefault="00DF57D6" w:rsidP="00D67D55">
            <w:pPr>
              <w:rPr>
                <w:spacing w:val="-4"/>
              </w:rPr>
            </w:pPr>
            <w:r>
              <w:rPr>
                <w:spacing w:val="-4"/>
              </w:rPr>
              <w:t xml:space="preserve">Bilance zahraničního obchodu se zbožím v 1. čtvrtletí dosáhla přebytku 63,7 mld. korun. Kladné saldo meziročně posílilo o 26,5 mld. korun a největší část nárůstu připadla na březen. Zlepšení bilance lze přičíst čistě obchodu s EU – tradiční přebytek se meziročně zlepšil o 47,0 mld. korun. Naopak obvyklý deficit obchodu se zeměmi mimo EU se po loňském zlepšení opět prohloubil, a to o 19,5 mld. korun </w:t>
            </w:r>
            <w:proofErr w:type="gramStart"/>
            <w:r>
              <w:rPr>
                <w:spacing w:val="-4"/>
              </w:rPr>
              <w:t>na</w:t>
            </w:r>
            <w:proofErr w:type="gramEnd"/>
            <w:r>
              <w:rPr>
                <w:spacing w:val="-4"/>
              </w:rPr>
              <w:t xml:space="preserve"> –</w:t>
            </w:r>
            <w:proofErr w:type="gramStart"/>
            <w:r>
              <w:rPr>
                <w:spacing w:val="-4"/>
              </w:rPr>
              <w:t>132,7</w:t>
            </w:r>
            <w:proofErr w:type="gramEnd"/>
            <w:r>
              <w:rPr>
                <w:spacing w:val="-4"/>
              </w:rPr>
              <w:t> mld., což je v rámci 1. čtvrtletí nejhorší zaznamenaný výsledek. Nejvíce ve směru meziročního zlepšení bilance působil obchod s Německem (+17,8 mld. korun), Polskem (+5,0 mld.), Rakouskem (+4,5 mld.) a Francií (+4,4 mld.). Velký příliv dovozu měl za následek výrazné prohloubení deficitu s </w:t>
            </w:r>
            <w:proofErr w:type="gramStart"/>
            <w:r>
              <w:rPr>
                <w:spacing w:val="-4"/>
              </w:rPr>
              <w:t>Čínou (–18,6</w:t>
            </w:r>
            <w:proofErr w:type="gramEnd"/>
            <w:r>
              <w:rPr>
                <w:spacing w:val="-4"/>
              </w:rPr>
              <w:t xml:space="preserve"> mld. korun), podstatně se zhoršila také bilance s Japonskem </w:t>
            </w:r>
            <w:r>
              <w:rPr>
                <w:spacing w:val="-4"/>
              </w:rPr>
              <w:br/>
              <w:t>(–4,5 mld.) a Ruskem (–3,6 mld.).</w:t>
            </w:r>
          </w:p>
        </w:tc>
      </w:tr>
      <w:tr w:rsidR="00DF57D6" w:rsidRPr="009110F7" w14:paraId="62ACE1CA" w14:textId="77777777" w:rsidTr="00D67D55">
        <w:trPr>
          <w:trHeight w:val="145"/>
        </w:trPr>
        <w:tc>
          <w:tcPr>
            <w:tcW w:w="1762" w:type="dxa"/>
            <w:shd w:val="clear" w:color="auto" w:fill="auto"/>
            <w:tcMar>
              <w:left w:w="0" w:type="dxa"/>
            </w:tcMar>
          </w:tcPr>
          <w:p w14:paraId="6EE28195" w14:textId="77777777" w:rsidR="00DF57D6" w:rsidRDefault="00DF57D6" w:rsidP="00D67D55">
            <w:pPr>
              <w:pStyle w:val="Marginlie"/>
            </w:pPr>
            <w:r>
              <w:t>Ke zlepšení bilance nejvíce přispíval obchod s motorovými vozidly.</w:t>
            </w:r>
          </w:p>
        </w:tc>
        <w:tc>
          <w:tcPr>
            <w:tcW w:w="223" w:type="dxa"/>
            <w:shd w:val="clear" w:color="auto" w:fill="auto"/>
            <w:tcMar>
              <w:left w:w="0" w:type="dxa"/>
            </w:tcMar>
          </w:tcPr>
          <w:p w14:paraId="029213B3" w14:textId="77777777" w:rsidR="00DF57D6" w:rsidRDefault="00DF57D6" w:rsidP="00D67D55">
            <w:pPr>
              <w:pStyle w:val="Textpoznpodarou"/>
              <w:jc w:val="both"/>
              <w:rPr>
                <w:spacing w:val="-4"/>
              </w:rPr>
            </w:pPr>
          </w:p>
        </w:tc>
        <w:tc>
          <w:tcPr>
            <w:tcW w:w="7654" w:type="dxa"/>
            <w:shd w:val="clear" w:color="auto" w:fill="auto"/>
            <w:tcMar>
              <w:left w:w="0" w:type="dxa"/>
            </w:tcMar>
          </w:tcPr>
          <w:p w14:paraId="390A7EBD" w14:textId="77777777" w:rsidR="00DF57D6" w:rsidRDefault="00DF57D6" w:rsidP="00D67D55">
            <w:pPr>
              <w:rPr>
                <w:spacing w:val="-4"/>
              </w:rPr>
            </w:pPr>
            <w:r>
              <w:rPr>
                <w:spacing w:val="-4"/>
              </w:rPr>
              <w:t xml:space="preserve">K meziročnímu zlepšení bilance v 1. čtvrtletí nejvíce přispěl obchod s motorovými vozidly (+15,5 mld. korun), počítači, elektronickými a optickými přístroji (+3,7 mld. korun) a kovodělnými výrobky (+3,6 mld.). Mezi výraznější patřilo také zlepšení obchodu se stroji a zařízeními (+2,6 mld.), potravinářskými výrobky (+2,6 mld.), oděvy (+2,2 mld.), koksem a rafinovanými ropnými produkty (+2,1 mld.) a produkty souvisejícími s odpadem (+1,9 mld.). Zhoršení bilance bylo největší v případě základních farmaceutických </w:t>
            </w:r>
            <w:proofErr w:type="gramStart"/>
            <w:r>
              <w:rPr>
                <w:spacing w:val="-4"/>
              </w:rPr>
              <w:t>výrobků (–3,7</w:t>
            </w:r>
            <w:proofErr w:type="gramEnd"/>
            <w:r>
              <w:rPr>
                <w:spacing w:val="-4"/>
              </w:rPr>
              <w:t> mld. korun) a dále u základních kovů (–3,4 mld.) a elektrických zařízení (–2,3 mld.).</w:t>
            </w:r>
          </w:p>
        </w:tc>
      </w:tr>
      <w:tr w:rsidR="00DF57D6" w:rsidRPr="009110F7" w14:paraId="03805C2A" w14:textId="77777777" w:rsidTr="00D67D55">
        <w:trPr>
          <w:trHeight w:val="106"/>
        </w:trPr>
        <w:tc>
          <w:tcPr>
            <w:tcW w:w="1762" w:type="dxa"/>
            <w:vMerge w:val="restart"/>
            <w:shd w:val="clear" w:color="auto" w:fill="auto"/>
            <w:tcMar>
              <w:left w:w="0" w:type="dxa"/>
            </w:tcMar>
          </w:tcPr>
          <w:p w14:paraId="1D5EFE04" w14:textId="77777777" w:rsidR="00DF57D6" w:rsidRDefault="00DF57D6" w:rsidP="00D67D55">
            <w:pPr>
              <w:pStyle w:val="Marginlie"/>
            </w:pPr>
          </w:p>
        </w:tc>
        <w:tc>
          <w:tcPr>
            <w:tcW w:w="223" w:type="dxa"/>
            <w:vMerge w:val="restart"/>
            <w:shd w:val="clear" w:color="auto" w:fill="auto"/>
            <w:tcMar>
              <w:left w:w="0" w:type="dxa"/>
            </w:tcMar>
          </w:tcPr>
          <w:p w14:paraId="6043AE0D" w14:textId="77777777" w:rsidR="00DF57D6" w:rsidRDefault="00DF57D6" w:rsidP="00D67D55">
            <w:pPr>
              <w:pStyle w:val="Textpoznpodarou"/>
              <w:jc w:val="both"/>
              <w:rPr>
                <w:spacing w:val="-4"/>
              </w:rPr>
            </w:pPr>
          </w:p>
        </w:tc>
        <w:tc>
          <w:tcPr>
            <w:tcW w:w="7654" w:type="dxa"/>
            <w:shd w:val="clear" w:color="auto" w:fill="auto"/>
            <w:tcMar>
              <w:left w:w="0" w:type="dxa"/>
            </w:tcMar>
          </w:tcPr>
          <w:p w14:paraId="1F791752" w14:textId="77777777" w:rsidR="00DF57D6" w:rsidRPr="00D75AC1" w:rsidRDefault="00DF57D6" w:rsidP="00D67D55">
            <w:pPr>
              <w:spacing w:after="0"/>
              <w:rPr>
                <w:spacing w:val="-4"/>
                <w:szCs w:val="20"/>
              </w:rPr>
            </w:pPr>
            <w:r w:rsidRPr="00D75AC1">
              <w:rPr>
                <w:rFonts w:cs="Arial"/>
                <w:b/>
                <w:bCs/>
                <w:color w:val="000000"/>
                <w:szCs w:val="20"/>
              </w:rPr>
              <w:t>Graf č.</w:t>
            </w:r>
            <w:r>
              <w:rPr>
                <w:rFonts w:cs="Arial"/>
                <w:b/>
                <w:bCs/>
                <w:color w:val="000000"/>
                <w:szCs w:val="20"/>
              </w:rPr>
              <w:t xml:space="preserve"> 8 </w:t>
            </w:r>
            <w:r w:rsidRPr="00D75AC1">
              <w:rPr>
                <w:rFonts w:cs="Arial"/>
                <w:b/>
                <w:bCs/>
                <w:color w:val="000000"/>
                <w:szCs w:val="20"/>
              </w:rPr>
              <w:t xml:space="preserve"> </w:t>
            </w:r>
            <w:r w:rsidRPr="00D75AC1">
              <w:rPr>
                <w:b/>
                <w:spacing w:val="-4"/>
                <w:szCs w:val="20"/>
              </w:rPr>
              <w:t xml:space="preserve">Bilance zahraničního obchodu </w:t>
            </w:r>
            <w:r>
              <w:rPr>
                <w:b/>
                <w:spacing w:val="-4"/>
                <w:szCs w:val="20"/>
              </w:rPr>
              <w:t xml:space="preserve">se zbožím </w:t>
            </w:r>
            <w:r w:rsidRPr="00D75AC1">
              <w:rPr>
                <w:b/>
                <w:spacing w:val="-4"/>
                <w:szCs w:val="20"/>
              </w:rPr>
              <w:t xml:space="preserve">ve statistice zahraničního obchodu </w:t>
            </w:r>
            <w:r w:rsidRPr="00D75AC1">
              <w:rPr>
                <w:spacing w:val="-4"/>
                <w:szCs w:val="20"/>
              </w:rPr>
              <w:t xml:space="preserve">(kumulace </w:t>
            </w:r>
            <w:r>
              <w:rPr>
                <w:spacing w:val="-4"/>
                <w:szCs w:val="20"/>
              </w:rPr>
              <w:t>1. čtvrtletí</w:t>
            </w:r>
            <w:r w:rsidRPr="00D75AC1">
              <w:rPr>
                <w:spacing w:val="-4"/>
                <w:szCs w:val="20"/>
              </w:rPr>
              <w:t>, v mld.</w:t>
            </w:r>
            <w:r>
              <w:rPr>
                <w:spacing w:val="-4"/>
                <w:szCs w:val="20"/>
              </w:rPr>
              <w:t xml:space="preserve"> </w:t>
            </w:r>
            <w:r w:rsidRPr="00D75AC1">
              <w:rPr>
                <w:spacing w:val="-4"/>
                <w:szCs w:val="20"/>
              </w:rPr>
              <w:t>korun, vybrané oddíly klasifikace CPA)</w:t>
            </w:r>
          </w:p>
        </w:tc>
      </w:tr>
      <w:tr w:rsidR="00DF57D6" w:rsidRPr="009110F7" w14:paraId="02CE595A" w14:textId="77777777" w:rsidTr="00D67D55">
        <w:tblPrEx>
          <w:tblCellMar>
            <w:left w:w="70" w:type="dxa"/>
            <w:right w:w="70" w:type="dxa"/>
          </w:tblCellMar>
        </w:tblPrEx>
        <w:trPr>
          <w:trHeight w:val="106"/>
        </w:trPr>
        <w:tc>
          <w:tcPr>
            <w:tcW w:w="1762" w:type="dxa"/>
            <w:vMerge/>
            <w:shd w:val="clear" w:color="auto" w:fill="auto"/>
          </w:tcPr>
          <w:p w14:paraId="6E5C73A6" w14:textId="77777777" w:rsidR="00DF57D6" w:rsidRDefault="00DF57D6" w:rsidP="00D67D55">
            <w:pPr>
              <w:pStyle w:val="Marginlie"/>
            </w:pPr>
          </w:p>
        </w:tc>
        <w:tc>
          <w:tcPr>
            <w:tcW w:w="223" w:type="dxa"/>
            <w:vMerge/>
            <w:shd w:val="clear" w:color="auto" w:fill="auto"/>
          </w:tcPr>
          <w:p w14:paraId="6BCD9094" w14:textId="77777777" w:rsidR="00DF57D6" w:rsidRDefault="00DF57D6" w:rsidP="00D67D55">
            <w:pPr>
              <w:pStyle w:val="Textpoznpodarou"/>
              <w:jc w:val="both"/>
              <w:rPr>
                <w:spacing w:val="-4"/>
              </w:rPr>
            </w:pPr>
          </w:p>
        </w:tc>
        <w:tc>
          <w:tcPr>
            <w:tcW w:w="7654" w:type="dxa"/>
            <w:shd w:val="clear" w:color="auto" w:fill="auto"/>
          </w:tcPr>
          <w:p w14:paraId="48305F8C" w14:textId="77777777" w:rsidR="00DF57D6" w:rsidRPr="00AF6F98" w:rsidRDefault="00DF57D6" w:rsidP="00D67D55">
            <w:pPr>
              <w:spacing w:after="0"/>
              <w:rPr>
                <w:spacing w:val="-4"/>
              </w:rPr>
            </w:pPr>
            <w:r>
              <w:rPr>
                <w:noProof/>
              </w:rPr>
              <w:drawing>
                <wp:inline distT="0" distB="0" distL="0" distR="0" wp14:anchorId="1F57CA72" wp14:editId="05FE4711">
                  <wp:extent cx="4771467" cy="3553200"/>
                  <wp:effectExtent l="0" t="0" r="0" b="0"/>
                  <wp:docPr id="21" name="Graf 21">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DF57D6" w:rsidRPr="009110F7" w14:paraId="1D37E740" w14:textId="77777777" w:rsidTr="00D67D55">
        <w:trPr>
          <w:trHeight w:val="106"/>
        </w:trPr>
        <w:tc>
          <w:tcPr>
            <w:tcW w:w="1762" w:type="dxa"/>
            <w:vMerge/>
            <w:shd w:val="clear" w:color="auto" w:fill="auto"/>
            <w:tcMar>
              <w:left w:w="0" w:type="dxa"/>
            </w:tcMar>
          </w:tcPr>
          <w:p w14:paraId="41467CDB" w14:textId="77777777" w:rsidR="00DF57D6" w:rsidRDefault="00DF57D6" w:rsidP="00D67D55">
            <w:pPr>
              <w:pStyle w:val="Marginlie"/>
            </w:pPr>
          </w:p>
        </w:tc>
        <w:tc>
          <w:tcPr>
            <w:tcW w:w="223" w:type="dxa"/>
            <w:vMerge/>
            <w:shd w:val="clear" w:color="auto" w:fill="auto"/>
            <w:tcMar>
              <w:left w:w="0" w:type="dxa"/>
            </w:tcMar>
          </w:tcPr>
          <w:p w14:paraId="4830A903" w14:textId="77777777" w:rsidR="00DF57D6" w:rsidRDefault="00DF57D6" w:rsidP="00D67D55">
            <w:pPr>
              <w:pStyle w:val="Textpoznpodarou"/>
              <w:jc w:val="both"/>
              <w:rPr>
                <w:spacing w:val="-4"/>
              </w:rPr>
            </w:pPr>
          </w:p>
        </w:tc>
        <w:tc>
          <w:tcPr>
            <w:tcW w:w="7654" w:type="dxa"/>
            <w:shd w:val="clear" w:color="auto" w:fill="auto"/>
            <w:tcMar>
              <w:left w:w="0" w:type="dxa"/>
            </w:tcMar>
          </w:tcPr>
          <w:p w14:paraId="0DD0C590" w14:textId="77777777" w:rsidR="00DF57D6" w:rsidRPr="00AF6F98" w:rsidRDefault="00DF57D6" w:rsidP="00D67D55">
            <w:pPr>
              <w:spacing w:after="0"/>
              <w:rPr>
                <w:spacing w:val="-4"/>
              </w:rPr>
            </w:pPr>
            <w:r>
              <w:rPr>
                <w:sz w:val="14"/>
                <w:szCs w:val="14"/>
              </w:rPr>
              <w:t>Zdroj: ČSÚ</w:t>
            </w:r>
          </w:p>
        </w:tc>
      </w:tr>
    </w:tbl>
    <w:p w14:paraId="04AF5619" w14:textId="77777777" w:rsidR="00DF57D6" w:rsidRPr="00C41D54" w:rsidRDefault="00DF57D6" w:rsidP="00DF57D6">
      <w:pPr>
        <w:pStyle w:val="Nadpis11"/>
        <w:rPr>
          <w:b w:val="0"/>
          <w:sz w:val="2"/>
          <w:szCs w:val="2"/>
          <w:highlight w:val="yellow"/>
        </w:rPr>
      </w:pPr>
    </w:p>
    <w:p w14:paraId="5586BA5F" w14:textId="77777777" w:rsidR="00DF57D6" w:rsidRPr="00E42054" w:rsidRDefault="00DF57D6" w:rsidP="00DF57D6">
      <w:pPr>
        <w:pStyle w:val="Nadpis11"/>
        <w:spacing w:after="0"/>
        <w:rPr>
          <w:b w:val="0"/>
          <w:sz w:val="2"/>
          <w:szCs w:val="2"/>
        </w:rPr>
      </w:pPr>
    </w:p>
    <w:p w14:paraId="2CA8BEAE" w14:textId="77777777" w:rsidR="00DF57D6" w:rsidRPr="00E42054" w:rsidRDefault="00DF57D6" w:rsidP="00DF57D6">
      <w:pPr>
        <w:pStyle w:val="Nadpis11"/>
        <w:spacing w:after="0"/>
        <w:rPr>
          <w:b w:val="0"/>
          <w:sz w:val="2"/>
          <w:szCs w:val="2"/>
        </w:rPr>
      </w:pPr>
    </w:p>
    <w:p w14:paraId="60A7EFD4" w14:textId="77777777" w:rsidR="00DF57D6" w:rsidRPr="00C41D54" w:rsidRDefault="00DF57D6" w:rsidP="00DF57D6">
      <w:pPr>
        <w:pStyle w:val="Nadpis11"/>
        <w:rPr>
          <w:b w:val="0"/>
          <w:sz w:val="2"/>
          <w:szCs w:val="2"/>
          <w:highlight w:val="yellow"/>
        </w:rPr>
      </w:pPr>
    </w:p>
    <w:p w14:paraId="25A870F5" w14:textId="77777777" w:rsidR="00DF57D6" w:rsidRPr="00E42054" w:rsidRDefault="00DF57D6" w:rsidP="00DF57D6">
      <w:pPr>
        <w:pStyle w:val="Nadpis11"/>
        <w:spacing w:after="0"/>
        <w:rPr>
          <w:b w:val="0"/>
          <w:sz w:val="2"/>
          <w:szCs w:val="2"/>
        </w:rPr>
      </w:pPr>
    </w:p>
    <w:p w14:paraId="4A0231C8" w14:textId="77777777" w:rsidR="00DF57D6" w:rsidRDefault="00DF57D6" w:rsidP="00DF57D6">
      <w:pPr>
        <w:spacing w:after="0" w:line="240" w:lineRule="auto"/>
        <w:jc w:val="left"/>
        <w:rPr>
          <w:rFonts w:eastAsia="MS Gothic"/>
          <w:b/>
          <w:bCs/>
          <w:color w:val="71818C"/>
          <w:sz w:val="32"/>
          <w:szCs w:val="28"/>
        </w:rPr>
      </w:pPr>
      <w:bookmarkStart w:id="18" w:name="_Toc37403644"/>
      <w:bookmarkStart w:id="19" w:name="_Toc19090678"/>
      <w:bookmarkStart w:id="20" w:name="_Toc26539342"/>
    </w:p>
    <w:bookmarkEnd w:id="18"/>
    <w:bookmarkEnd w:id="19"/>
    <w:bookmarkEnd w:id="20"/>
    <w:p w14:paraId="513CAA22" w14:textId="77777777" w:rsidR="00DF57D6" w:rsidRPr="00E42054" w:rsidRDefault="00DF57D6" w:rsidP="00DF57D6">
      <w:pPr>
        <w:pStyle w:val="Nadpis11"/>
        <w:spacing w:after="0"/>
        <w:rPr>
          <w:b w:val="0"/>
          <w:sz w:val="2"/>
          <w:szCs w:val="2"/>
        </w:rPr>
      </w:pPr>
    </w:p>
    <w:p w14:paraId="519F6A56" w14:textId="77777777" w:rsidR="00DF57D6" w:rsidRDefault="00DF57D6">
      <w:pPr>
        <w:spacing w:after="0" w:line="240" w:lineRule="auto"/>
        <w:jc w:val="left"/>
        <w:rPr>
          <w:rFonts w:eastAsia="MS Gothic"/>
          <w:b/>
          <w:bCs/>
          <w:color w:val="71818C"/>
          <w:sz w:val="32"/>
          <w:szCs w:val="28"/>
        </w:rPr>
      </w:pPr>
      <w:r>
        <w:br w:type="page"/>
      </w:r>
    </w:p>
    <w:p w14:paraId="5EF29E8B" w14:textId="77777777" w:rsidR="00DF57D6" w:rsidRPr="009110F7" w:rsidRDefault="00DF57D6" w:rsidP="00DF57D6">
      <w:pPr>
        <w:pStyle w:val="Nadpis11"/>
      </w:pPr>
      <w:bookmarkStart w:id="21" w:name="_Toc511215218"/>
      <w:bookmarkStart w:id="22" w:name="_Toc42852411"/>
      <w:bookmarkStart w:id="23" w:name="_Toc50712130"/>
      <w:bookmarkStart w:id="24" w:name="_Toc58605377"/>
      <w:bookmarkStart w:id="25" w:name="_Toc26865023"/>
      <w:bookmarkStart w:id="26" w:name="_Toc74643857"/>
      <w:bookmarkEnd w:id="14"/>
      <w:bookmarkEnd w:id="15"/>
      <w:bookmarkEnd w:id="21"/>
      <w:r w:rsidRPr="009110F7">
        <w:lastRenderedPageBreak/>
        <w:t>5</w:t>
      </w:r>
      <w:r>
        <w:t>. </w:t>
      </w:r>
      <w:r w:rsidRPr="009110F7">
        <w:t>Ceny</w:t>
      </w:r>
      <w:bookmarkEnd w:id="22"/>
      <w:bookmarkEnd w:id="26"/>
    </w:p>
    <w:tbl>
      <w:tblPr>
        <w:tblW w:w="9639" w:type="dxa"/>
        <w:tblInd w:w="-15" w:type="dxa"/>
        <w:tblCellMar>
          <w:left w:w="0" w:type="dxa"/>
          <w:right w:w="0" w:type="dxa"/>
        </w:tblCellMar>
        <w:tblLook w:val="00A0" w:firstRow="1" w:lastRow="0" w:firstColumn="1" w:lastColumn="0" w:noHBand="0" w:noVBand="0"/>
      </w:tblPr>
      <w:tblGrid>
        <w:gridCol w:w="1805"/>
        <w:gridCol w:w="224"/>
        <w:gridCol w:w="7610"/>
      </w:tblGrid>
      <w:tr w:rsidR="00DF57D6" w:rsidRPr="009110F7" w14:paraId="1CB91569" w14:textId="77777777" w:rsidTr="00D67D55">
        <w:trPr>
          <w:trHeight w:val="145"/>
        </w:trPr>
        <w:tc>
          <w:tcPr>
            <w:tcW w:w="1805" w:type="dxa"/>
            <w:shd w:val="clear" w:color="auto" w:fill="auto"/>
            <w:tcMar>
              <w:left w:w="0" w:type="dxa"/>
            </w:tcMar>
          </w:tcPr>
          <w:p w14:paraId="1CB92D83" w14:textId="77777777" w:rsidR="00DF57D6" w:rsidRPr="00793D78" w:rsidRDefault="00DF57D6" w:rsidP="00D67D55">
            <w:pPr>
              <w:pStyle w:val="Marginlie"/>
              <w:rPr>
                <w:spacing w:val="0"/>
              </w:rPr>
            </w:pPr>
            <w:r>
              <w:rPr>
                <w:spacing w:val="0"/>
              </w:rPr>
              <w:t>Cenová hladina dále rostla.</w:t>
            </w:r>
          </w:p>
        </w:tc>
        <w:tc>
          <w:tcPr>
            <w:tcW w:w="224" w:type="dxa"/>
            <w:shd w:val="clear" w:color="auto" w:fill="auto"/>
            <w:tcMar>
              <w:left w:w="0" w:type="dxa"/>
            </w:tcMar>
          </w:tcPr>
          <w:p w14:paraId="0713CD77" w14:textId="77777777" w:rsidR="00DF57D6" w:rsidRPr="00793D78" w:rsidRDefault="00DF57D6" w:rsidP="00D67D55">
            <w:pPr>
              <w:pStyle w:val="Textpoznpodarou1"/>
              <w:jc w:val="both"/>
            </w:pPr>
          </w:p>
        </w:tc>
        <w:tc>
          <w:tcPr>
            <w:tcW w:w="7610" w:type="dxa"/>
            <w:shd w:val="clear" w:color="auto" w:fill="auto"/>
            <w:tcMar>
              <w:left w:w="0" w:type="dxa"/>
            </w:tcMar>
          </w:tcPr>
          <w:p w14:paraId="1DBDFDAA" w14:textId="77777777" w:rsidR="00DF57D6" w:rsidRPr="00793D78" w:rsidRDefault="00DF57D6" w:rsidP="00D67D55">
            <w:pPr>
              <w:rPr>
                <w:szCs w:val="20"/>
              </w:rPr>
            </w:pPr>
            <w:r>
              <w:rPr>
                <w:szCs w:val="20"/>
              </w:rPr>
              <w:t>Celkový meziroční růst cenové hladiny (podle deflátoru HDP) v 1. čtvrtletí 2021 dosáhl 3,5 %, což je nejméně od konce roku 2018. Zmírnění přírůstku, který loni přesahoval 4 %, má původ zejména ve výrazně nižším meziročním růstu cen spotřeby (1,6 %), z toho spotřeba domácností zdražovala o 1,2 % a spotřeba vlády o 2,6 %. Zmírnil se také růst cen kapitálových statků (2,3 %). Výrazně pozitivní zůstaly směnné relace zahraničního obchodu (102,3 %) – kladné byly ale pouze směnné relace obchodu se zbožím (102,8 %). U služeb byly mírně negativní (99,0 %).</w:t>
            </w:r>
          </w:p>
        </w:tc>
      </w:tr>
      <w:tr w:rsidR="00DF57D6" w:rsidRPr="009110F7" w14:paraId="47F858A0" w14:textId="77777777" w:rsidTr="00D67D55">
        <w:trPr>
          <w:trHeight w:val="145"/>
        </w:trPr>
        <w:tc>
          <w:tcPr>
            <w:tcW w:w="1805" w:type="dxa"/>
            <w:shd w:val="clear" w:color="auto" w:fill="auto"/>
            <w:tcMar>
              <w:left w:w="0" w:type="dxa"/>
            </w:tcMar>
          </w:tcPr>
          <w:p w14:paraId="03772EE5" w14:textId="77777777" w:rsidR="00DF57D6" w:rsidRPr="00793D78" w:rsidRDefault="00DF57D6" w:rsidP="00D67D55">
            <w:pPr>
              <w:pStyle w:val="Marginlie"/>
              <w:rPr>
                <w:spacing w:val="0"/>
              </w:rPr>
            </w:pPr>
            <w:r>
              <w:rPr>
                <w:spacing w:val="0"/>
              </w:rPr>
              <w:t>Meziroční růst spotřebitelských cen v 1. čtvrtletí dále zpomalil.</w:t>
            </w:r>
          </w:p>
        </w:tc>
        <w:tc>
          <w:tcPr>
            <w:tcW w:w="224" w:type="dxa"/>
            <w:shd w:val="clear" w:color="auto" w:fill="auto"/>
            <w:tcMar>
              <w:left w:w="0" w:type="dxa"/>
            </w:tcMar>
          </w:tcPr>
          <w:p w14:paraId="0E4EC130" w14:textId="77777777" w:rsidR="00DF57D6" w:rsidRPr="00793D78" w:rsidRDefault="00DF57D6" w:rsidP="00D67D55">
            <w:pPr>
              <w:pStyle w:val="Textpoznpodarou1"/>
              <w:jc w:val="both"/>
              <w:rPr>
                <w:highlight w:val="yellow"/>
              </w:rPr>
            </w:pPr>
          </w:p>
        </w:tc>
        <w:tc>
          <w:tcPr>
            <w:tcW w:w="7610" w:type="dxa"/>
            <w:shd w:val="clear" w:color="auto" w:fill="auto"/>
            <w:tcMar>
              <w:left w:w="0" w:type="dxa"/>
            </w:tcMar>
          </w:tcPr>
          <w:p w14:paraId="7E56188A" w14:textId="77777777" w:rsidR="00DF57D6" w:rsidRPr="000316FC" w:rsidRDefault="00DF57D6" w:rsidP="00D67D55">
            <w:r>
              <w:t>Meziroční dynamika spotřebitelských cen v 1. čtvrtletí 2021 opět zpomalila a dosáhla 2,2 %, což je nejméně od 4. kvartálu 2018. Oproti 4. čtvrtletí 2020 se index spotřebitelských cen zvýšil o 1,4 %. Výše mezičtvrtletního přírůstku za 1. čtvrtletí nevybočuje z úrovně posledních několika let (silný přírůstek na začátku roku často ovlivňuje změna daňových sazeb). Zpomalení meziročního tempa tak z velké části způsobilo srovnání s vysokou základnou začátku roku 2020, především u cen potravin a bydlení a energií. K meziročnímu růstu spotřebitelských cen nejvíce přispívaly ceny alkoholických nápojů a tabáku a dále doprava. Menší příspěvek měly i ceny bydlení a energií, stravování a ubytování a ostatního zboží a služeb. Ceny zboží úhrnem meziročně vzrostly o 2,0 % a ceny služeb o 2,5 %.</w:t>
            </w:r>
          </w:p>
        </w:tc>
      </w:tr>
      <w:tr w:rsidR="00DF57D6" w:rsidRPr="00D75AC1" w14:paraId="1C128076" w14:textId="77777777" w:rsidTr="00D67D55">
        <w:trPr>
          <w:trHeight w:val="170"/>
        </w:trPr>
        <w:tc>
          <w:tcPr>
            <w:tcW w:w="1805" w:type="dxa"/>
            <w:vMerge w:val="restart"/>
            <w:shd w:val="clear" w:color="auto" w:fill="auto"/>
            <w:tcMar>
              <w:left w:w="0" w:type="dxa"/>
            </w:tcMar>
          </w:tcPr>
          <w:p w14:paraId="1D6CBA95" w14:textId="77777777" w:rsidR="00DF57D6" w:rsidRDefault="00DF57D6" w:rsidP="00D67D55">
            <w:pPr>
              <w:pStyle w:val="Marginlie"/>
              <w:rPr>
                <w:spacing w:val="0"/>
              </w:rPr>
            </w:pPr>
          </w:p>
        </w:tc>
        <w:tc>
          <w:tcPr>
            <w:tcW w:w="224" w:type="dxa"/>
            <w:vMerge w:val="restart"/>
            <w:shd w:val="clear" w:color="auto" w:fill="auto"/>
            <w:tcMar>
              <w:left w:w="0" w:type="dxa"/>
            </w:tcMar>
          </w:tcPr>
          <w:p w14:paraId="6F3EB267" w14:textId="77777777" w:rsidR="00DF57D6" w:rsidRPr="00793D78" w:rsidRDefault="00DF57D6" w:rsidP="00D67D55">
            <w:pPr>
              <w:pStyle w:val="Textpoznpodarou1"/>
              <w:jc w:val="both"/>
              <w:rPr>
                <w:highlight w:val="yellow"/>
              </w:rPr>
            </w:pPr>
          </w:p>
        </w:tc>
        <w:tc>
          <w:tcPr>
            <w:tcW w:w="7610" w:type="dxa"/>
            <w:shd w:val="clear" w:color="auto" w:fill="auto"/>
            <w:tcMar>
              <w:left w:w="0" w:type="dxa"/>
            </w:tcMar>
          </w:tcPr>
          <w:p w14:paraId="534F162C" w14:textId="77777777" w:rsidR="00DF57D6" w:rsidRPr="00D75AC1" w:rsidRDefault="00DF57D6" w:rsidP="00D67D55">
            <w:pPr>
              <w:spacing w:after="0"/>
              <w:rPr>
                <w:b/>
                <w:szCs w:val="20"/>
              </w:rPr>
            </w:pPr>
            <w:r w:rsidRPr="00793D78">
              <w:rPr>
                <w:rFonts w:cs="Arial"/>
                <w:b/>
                <w:bCs/>
                <w:color w:val="000000"/>
                <w:sz w:val="18"/>
                <w:szCs w:val="18"/>
              </w:rPr>
              <w:t xml:space="preserve">Graf </w:t>
            </w:r>
            <w:r>
              <w:rPr>
                <w:rFonts w:cs="Arial"/>
                <w:b/>
                <w:bCs/>
                <w:color w:val="000000"/>
                <w:sz w:val="18"/>
                <w:szCs w:val="18"/>
              </w:rPr>
              <w:t xml:space="preserve">č. 9 </w:t>
            </w:r>
            <w:r w:rsidRPr="00793D78">
              <w:rPr>
                <w:rFonts w:cs="Arial"/>
                <w:b/>
                <w:bCs/>
                <w:color w:val="000000"/>
                <w:sz w:val="18"/>
                <w:szCs w:val="18"/>
              </w:rPr>
              <w:t xml:space="preserve"> Ceny ve vybraných oddílech indexu spotřebitelských cen</w:t>
            </w:r>
            <w:r w:rsidRPr="00793D78">
              <w:rPr>
                <w:rFonts w:cs="Arial"/>
                <w:b/>
                <w:color w:val="000000"/>
                <w:sz w:val="18"/>
                <w:szCs w:val="18"/>
              </w:rPr>
              <w:t xml:space="preserve"> </w:t>
            </w:r>
            <w:r w:rsidRPr="009067EA">
              <w:rPr>
                <w:rFonts w:cs="Arial"/>
                <w:color w:val="000000"/>
                <w:sz w:val="18"/>
                <w:szCs w:val="18"/>
              </w:rPr>
              <w:t>(meziročně v %)</w:t>
            </w:r>
          </w:p>
        </w:tc>
      </w:tr>
      <w:tr w:rsidR="00DF57D6" w:rsidRPr="009110F7" w14:paraId="61BA42E0" w14:textId="77777777" w:rsidTr="00D67D55">
        <w:tblPrEx>
          <w:tblCellMar>
            <w:left w:w="70" w:type="dxa"/>
            <w:right w:w="70" w:type="dxa"/>
          </w:tblCellMar>
        </w:tblPrEx>
        <w:trPr>
          <w:trHeight w:val="170"/>
        </w:trPr>
        <w:tc>
          <w:tcPr>
            <w:tcW w:w="1805" w:type="dxa"/>
            <w:vMerge/>
            <w:shd w:val="clear" w:color="auto" w:fill="auto"/>
          </w:tcPr>
          <w:p w14:paraId="0CD6E69E" w14:textId="77777777" w:rsidR="00DF57D6" w:rsidRPr="00793D78" w:rsidRDefault="00DF57D6" w:rsidP="00D67D55">
            <w:pPr>
              <w:pStyle w:val="Marginlie"/>
              <w:rPr>
                <w:spacing w:val="0"/>
              </w:rPr>
            </w:pPr>
          </w:p>
        </w:tc>
        <w:tc>
          <w:tcPr>
            <w:tcW w:w="224" w:type="dxa"/>
            <w:vMerge/>
            <w:shd w:val="clear" w:color="auto" w:fill="auto"/>
          </w:tcPr>
          <w:p w14:paraId="2B59F445" w14:textId="77777777" w:rsidR="00DF57D6" w:rsidRPr="00793D78" w:rsidRDefault="00DF57D6" w:rsidP="00D67D55">
            <w:pPr>
              <w:pStyle w:val="Textpoznpodarou"/>
              <w:jc w:val="both"/>
            </w:pPr>
          </w:p>
        </w:tc>
        <w:tc>
          <w:tcPr>
            <w:tcW w:w="7610" w:type="dxa"/>
            <w:shd w:val="clear" w:color="auto" w:fill="auto"/>
          </w:tcPr>
          <w:p w14:paraId="34FCCFBD" w14:textId="77777777" w:rsidR="00DF57D6" w:rsidRPr="00793D78" w:rsidRDefault="00DF57D6" w:rsidP="00D67D55">
            <w:pPr>
              <w:spacing w:after="0"/>
            </w:pPr>
            <w:r>
              <w:rPr>
                <w:noProof/>
              </w:rPr>
              <w:drawing>
                <wp:inline distT="0" distB="0" distL="0" distR="0" wp14:anchorId="3B4A8B9E" wp14:editId="35DB1214">
                  <wp:extent cx="4737600" cy="3553200"/>
                  <wp:effectExtent l="0" t="0" r="6350" b="0"/>
                  <wp:docPr id="23" name="Graf 23">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DF57D6" w:rsidRPr="009110F7" w14:paraId="31E7673E" w14:textId="77777777" w:rsidTr="00D67D55">
        <w:trPr>
          <w:trHeight w:val="170"/>
        </w:trPr>
        <w:tc>
          <w:tcPr>
            <w:tcW w:w="1805" w:type="dxa"/>
            <w:vMerge/>
            <w:shd w:val="clear" w:color="auto" w:fill="auto"/>
            <w:tcMar>
              <w:left w:w="0" w:type="dxa"/>
            </w:tcMar>
          </w:tcPr>
          <w:p w14:paraId="41A47493" w14:textId="77777777" w:rsidR="00DF57D6" w:rsidRPr="00793D78" w:rsidRDefault="00DF57D6" w:rsidP="00D67D55">
            <w:pPr>
              <w:pStyle w:val="Marginlie"/>
              <w:rPr>
                <w:spacing w:val="0"/>
              </w:rPr>
            </w:pPr>
          </w:p>
        </w:tc>
        <w:tc>
          <w:tcPr>
            <w:tcW w:w="224" w:type="dxa"/>
            <w:vMerge/>
            <w:shd w:val="clear" w:color="auto" w:fill="auto"/>
            <w:tcMar>
              <w:left w:w="0" w:type="dxa"/>
            </w:tcMar>
          </w:tcPr>
          <w:p w14:paraId="5D190624" w14:textId="77777777" w:rsidR="00DF57D6" w:rsidRPr="00793D78" w:rsidRDefault="00DF57D6" w:rsidP="00D67D55">
            <w:pPr>
              <w:pStyle w:val="Textpoznpodarou"/>
              <w:jc w:val="both"/>
            </w:pPr>
          </w:p>
        </w:tc>
        <w:tc>
          <w:tcPr>
            <w:tcW w:w="7610" w:type="dxa"/>
            <w:shd w:val="clear" w:color="auto" w:fill="auto"/>
            <w:tcMar>
              <w:left w:w="0" w:type="dxa"/>
            </w:tcMar>
          </w:tcPr>
          <w:p w14:paraId="240D6BA5" w14:textId="77777777" w:rsidR="00DF57D6" w:rsidRPr="00793D78" w:rsidRDefault="00DF57D6" w:rsidP="00D67D55">
            <w:pPr>
              <w:rPr>
                <w:sz w:val="14"/>
                <w:szCs w:val="14"/>
              </w:rPr>
            </w:pPr>
            <w:r w:rsidRPr="00793D78">
              <w:rPr>
                <w:sz w:val="14"/>
                <w:szCs w:val="14"/>
              </w:rPr>
              <w:t>Zdroj: ČSÚ</w:t>
            </w:r>
          </w:p>
        </w:tc>
      </w:tr>
      <w:tr w:rsidR="00DF57D6" w:rsidRPr="009110F7" w14:paraId="7DB5ED26" w14:textId="77777777" w:rsidTr="00D67D55">
        <w:trPr>
          <w:trHeight w:val="145"/>
        </w:trPr>
        <w:tc>
          <w:tcPr>
            <w:tcW w:w="1805" w:type="dxa"/>
            <w:shd w:val="clear" w:color="auto" w:fill="auto"/>
            <w:tcMar>
              <w:left w:w="0" w:type="dxa"/>
            </w:tcMar>
          </w:tcPr>
          <w:p w14:paraId="1570883F" w14:textId="77777777" w:rsidR="00DF57D6" w:rsidRDefault="00DF57D6" w:rsidP="00D67D55">
            <w:pPr>
              <w:pStyle w:val="Marginlie"/>
              <w:rPr>
                <w:spacing w:val="0"/>
              </w:rPr>
            </w:pPr>
            <w:r>
              <w:rPr>
                <w:spacing w:val="0"/>
              </w:rPr>
              <w:t>Hlavním faktorem, který podporoval meziroční dynamiku cen, byly alkoholické nápoje a tabák.</w:t>
            </w:r>
          </w:p>
        </w:tc>
        <w:tc>
          <w:tcPr>
            <w:tcW w:w="224" w:type="dxa"/>
            <w:shd w:val="clear" w:color="auto" w:fill="auto"/>
            <w:tcMar>
              <w:left w:w="0" w:type="dxa"/>
            </w:tcMar>
          </w:tcPr>
          <w:p w14:paraId="1927A0BF" w14:textId="77777777" w:rsidR="00DF57D6" w:rsidRPr="00793D78" w:rsidRDefault="00DF57D6" w:rsidP="00D67D55">
            <w:pPr>
              <w:pStyle w:val="Textpoznpodarou1"/>
              <w:jc w:val="both"/>
            </w:pPr>
          </w:p>
        </w:tc>
        <w:tc>
          <w:tcPr>
            <w:tcW w:w="7610" w:type="dxa"/>
            <w:shd w:val="clear" w:color="auto" w:fill="auto"/>
            <w:tcMar>
              <w:left w:w="0" w:type="dxa"/>
            </w:tcMar>
          </w:tcPr>
          <w:p w14:paraId="204E7A48" w14:textId="77777777" w:rsidR="00DF57D6" w:rsidRDefault="00DF57D6" w:rsidP="00D67D55">
            <w:r>
              <w:t xml:space="preserve">Ceny alkoholických nápojů a tabáku v 1. čtvrtletí meziročně vzrostly o 9,9 %. Jejich dynamika tedy výrazněji neoslabila ve srovnání s druhou polovinou loňského roku, a oddíl tak zůstal hlavním tahounem cenového růstu. Prohloubil se rozdíl temp mezi alkoholickými nápoji (2,6 %) a tabákem (15,9 %), protože růst cen tabáku dále zrychloval, zatímco u alkoholu dynamiku ovlivnila silná základna loňského 1. čtvrtletí. Druhý nejsilnější příspěvek k meziročnímu růstu spotřebitelských cen měly ceny dopravy. Ty se v 1. čtvrtletí zvýšily o 2,4 %, což je nejvíce od 4. čtvrtletí 2018. Velmi silně se zvýšily ceny nákupů automobilů, motocyklů a jízdních kol (8,7 %), jejichž meziroční růst v průběhu čtvrtletí zrychloval. Meziroční propad cen provozu dopravních </w:t>
            </w:r>
            <w:r>
              <w:lastRenderedPageBreak/>
              <w:t>prostředků se postupně zmírňoval a v březnu již ceny rostly. Za celý kvartál byl provoz dopravních prostředků meziročně o 3,0 % levnější.</w:t>
            </w:r>
          </w:p>
        </w:tc>
      </w:tr>
      <w:tr w:rsidR="00DF57D6" w:rsidRPr="009110F7" w14:paraId="11187758" w14:textId="77777777" w:rsidTr="00D67D55">
        <w:trPr>
          <w:trHeight w:val="145"/>
        </w:trPr>
        <w:tc>
          <w:tcPr>
            <w:tcW w:w="1805" w:type="dxa"/>
            <w:shd w:val="clear" w:color="auto" w:fill="auto"/>
            <w:tcMar>
              <w:left w:w="0" w:type="dxa"/>
            </w:tcMar>
          </w:tcPr>
          <w:p w14:paraId="4757D892" w14:textId="77777777" w:rsidR="00DF57D6" w:rsidRDefault="00DF57D6" w:rsidP="00D67D55">
            <w:pPr>
              <w:pStyle w:val="Marginlie"/>
              <w:rPr>
                <w:spacing w:val="0"/>
              </w:rPr>
            </w:pPr>
            <w:r>
              <w:rPr>
                <w:spacing w:val="0"/>
              </w:rPr>
              <w:lastRenderedPageBreak/>
              <w:t>Výrazné zpomalení se odehrálo v meziroční dynamice cen potravin i bydlení a energií.</w:t>
            </w:r>
          </w:p>
        </w:tc>
        <w:tc>
          <w:tcPr>
            <w:tcW w:w="224" w:type="dxa"/>
            <w:shd w:val="clear" w:color="auto" w:fill="auto"/>
            <w:tcMar>
              <w:left w:w="0" w:type="dxa"/>
            </w:tcMar>
          </w:tcPr>
          <w:p w14:paraId="101C25FE" w14:textId="77777777" w:rsidR="00DF57D6" w:rsidRPr="00793D78" w:rsidRDefault="00DF57D6" w:rsidP="00D67D55">
            <w:pPr>
              <w:pStyle w:val="Textpoznpodarou1"/>
              <w:jc w:val="both"/>
            </w:pPr>
          </w:p>
        </w:tc>
        <w:tc>
          <w:tcPr>
            <w:tcW w:w="7610" w:type="dxa"/>
            <w:shd w:val="clear" w:color="auto" w:fill="auto"/>
            <w:tcMar>
              <w:left w:w="0" w:type="dxa"/>
            </w:tcMar>
          </w:tcPr>
          <w:p w14:paraId="22EA49A8" w14:textId="77777777" w:rsidR="00DF57D6" w:rsidRDefault="00DF57D6" w:rsidP="00D67D55">
            <w:r>
              <w:t xml:space="preserve">Ceny potravin v 1. čtvrtletí meziročně vzrostly o 0,3 %, což je nejméně od 4. čtvrtletí 2018. Důvodem výrazného zpomalení tempa bylo především srovnání s vysokou základnou 1. čtvrtletí 2020 – tehdy k nárůstu přispívaly hlavně ceny masa. Ty v letošním 1. čtvrtletí meziročně klesly o 1,1 %. K meziročnímu růstu cen potravin letos mírně přispívalo především ovoce (4,7 %). Zvýšily se i ceny olejů a tuků (4,0 %) a pekárenských výrobků a obilovin (1,1 %). Klesly ceny </w:t>
            </w:r>
            <w:proofErr w:type="gramStart"/>
            <w:r>
              <w:t>zeleniny (–3,6</w:t>
            </w:r>
            <w:proofErr w:type="gramEnd"/>
            <w:r>
              <w:t> %) a mléka, sýrů a vajec (–0,3 %). Výrazně zpomalil i meziroční růst cen bydlení a energií (0,6 %). Menší meziroční přírůstek mělo nájemné (1,3 %) a meziročně poklesly ceny elektřiny, plynu a </w:t>
            </w:r>
            <w:proofErr w:type="gramStart"/>
            <w:r>
              <w:t>energií (–2,3</w:t>
            </w:r>
            <w:proofErr w:type="gramEnd"/>
            <w:r>
              <w:t> %). V průběhu čtvrtletí naopak posilovala dynamika imputovaného nájemného (2,1 %). Ceny běžné údržby a drobných oprav bytu se zvýšily o 2,7 % a ostatních služeb souvisejících s bydlením o 2,4 %.</w:t>
            </w:r>
          </w:p>
        </w:tc>
      </w:tr>
      <w:tr w:rsidR="00DF57D6" w:rsidRPr="009110F7" w14:paraId="30E19586" w14:textId="77777777" w:rsidTr="00D67D55">
        <w:trPr>
          <w:trHeight w:val="145"/>
        </w:trPr>
        <w:tc>
          <w:tcPr>
            <w:tcW w:w="1805" w:type="dxa"/>
            <w:shd w:val="clear" w:color="auto" w:fill="auto"/>
            <w:tcMar>
              <w:left w:w="0" w:type="dxa"/>
            </w:tcMar>
          </w:tcPr>
          <w:p w14:paraId="72A71F1E" w14:textId="77777777" w:rsidR="00DF57D6" w:rsidRDefault="00DF57D6" w:rsidP="00D67D55">
            <w:pPr>
              <w:pStyle w:val="Marginlie"/>
              <w:rPr>
                <w:spacing w:val="0"/>
              </w:rPr>
            </w:pPr>
            <w:r>
              <w:rPr>
                <w:spacing w:val="0"/>
              </w:rPr>
              <w:t>Jediným oddílem spotřebitelského koše, u kterého ceny klesaly, byly pošty a telekomunikace.</w:t>
            </w:r>
          </w:p>
        </w:tc>
        <w:tc>
          <w:tcPr>
            <w:tcW w:w="224" w:type="dxa"/>
            <w:shd w:val="clear" w:color="auto" w:fill="auto"/>
            <w:tcMar>
              <w:left w:w="0" w:type="dxa"/>
            </w:tcMar>
          </w:tcPr>
          <w:p w14:paraId="1061ABED" w14:textId="77777777" w:rsidR="00DF57D6" w:rsidRPr="00793D78" w:rsidRDefault="00DF57D6" w:rsidP="00D67D55">
            <w:pPr>
              <w:pStyle w:val="Textpoznpodarou1"/>
              <w:jc w:val="both"/>
            </w:pPr>
          </w:p>
        </w:tc>
        <w:tc>
          <w:tcPr>
            <w:tcW w:w="7610" w:type="dxa"/>
            <w:shd w:val="clear" w:color="auto" w:fill="auto"/>
            <w:tcMar>
              <w:left w:w="0" w:type="dxa"/>
            </w:tcMar>
          </w:tcPr>
          <w:p w14:paraId="0E0D577A" w14:textId="77777777" w:rsidR="00DF57D6" w:rsidRDefault="00DF57D6" w:rsidP="00D67D55">
            <w:r>
              <w:t>Ceny stravování a ubytování se meziročně zvýšily o 3,0 %. V průběhu loňského roku se zastavil růst cen ubytovacích služeb a v 1. čtvrtletí došlo k jejich poklesu o 0,7 %. Meziroční přírůstek cen stravovacích služeb zpomalil v 1. kvartálu na 3,6 %. Růst cen ostatního zboží a služeb o 3,0 % poháněly zejména finanční služby. Výrazně posílila dynamika cen v oddílu zdraví (3,8 %). Oproti loňsku se zmírnilo tempo růstu cen odívání a obuvi (2,7 %) i bytového vybavení a zařízení domácnosti (2,2 %). Jediným oddílem spotřebitelského koše, kde ceny klesaly, byly pošty a </w:t>
            </w:r>
            <w:proofErr w:type="gramStart"/>
            <w:r>
              <w:t xml:space="preserve">telekomunikace </w:t>
            </w:r>
            <w:r>
              <w:br/>
              <w:t>(–0,8</w:t>
            </w:r>
            <w:proofErr w:type="gramEnd"/>
            <w:r>
              <w:t> %).</w:t>
            </w:r>
          </w:p>
        </w:tc>
      </w:tr>
      <w:tr w:rsidR="00DF57D6" w:rsidRPr="009110F7" w14:paraId="3AFE320C" w14:textId="77777777" w:rsidTr="00D67D55">
        <w:trPr>
          <w:trHeight w:val="170"/>
        </w:trPr>
        <w:tc>
          <w:tcPr>
            <w:tcW w:w="1805" w:type="dxa"/>
            <w:vMerge w:val="restart"/>
            <w:shd w:val="clear" w:color="auto" w:fill="auto"/>
            <w:tcMar>
              <w:left w:w="0" w:type="dxa"/>
            </w:tcMar>
          </w:tcPr>
          <w:p w14:paraId="593203FB" w14:textId="77777777" w:rsidR="00DF57D6" w:rsidRDefault="00DF57D6" w:rsidP="00D67D55">
            <w:pPr>
              <w:pStyle w:val="Marginlie"/>
              <w:rPr>
                <w:spacing w:val="0"/>
              </w:rPr>
            </w:pPr>
          </w:p>
        </w:tc>
        <w:tc>
          <w:tcPr>
            <w:tcW w:w="224" w:type="dxa"/>
            <w:vMerge w:val="restart"/>
            <w:shd w:val="clear" w:color="auto" w:fill="auto"/>
            <w:tcMar>
              <w:left w:w="0" w:type="dxa"/>
            </w:tcMar>
          </w:tcPr>
          <w:p w14:paraId="6ECF86E7" w14:textId="77777777" w:rsidR="00DF57D6" w:rsidRPr="00793D78" w:rsidRDefault="00DF57D6" w:rsidP="00D67D55">
            <w:pPr>
              <w:pStyle w:val="Textpoznpodarou1"/>
              <w:jc w:val="both"/>
            </w:pPr>
          </w:p>
        </w:tc>
        <w:tc>
          <w:tcPr>
            <w:tcW w:w="7610" w:type="dxa"/>
            <w:shd w:val="clear" w:color="auto" w:fill="auto"/>
            <w:tcMar>
              <w:left w:w="0" w:type="dxa"/>
            </w:tcMar>
          </w:tcPr>
          <w:p w14:paraId="2A773A24" w14:textId="77777777" w:rsidR="00DF57D6" w:rsidRDefault="00DF57D6" w:rsidP="00D67D55">
            <w:pPr>
              <w:spacing w:after="0"/>
            </w:pPr>
            <w:r>
              <w:rPr>
                <w:b/>
                <w:sz w:val="18"/>
                <w:szCs w:val="18"/>
                <w:lang w:eastAsia="en-US"/>
              </w:rPr>
              <w:t>Graf č. 10</w:t>
            </w:r>
            <w:r w:rsidRPr="00793D78">
              <w:rPr>
                <w:b/>
                <w:sz w:val="18"/>
                <w:szCs w:val="18"/>
                <w:lang w:eastAsia="en-US"/>
              </w:rPr>
              <w:t xml:space="preserve">  Ceny nemovitostí </w:t>
            </w:r>
            <w:r w:rsidRPr="009067EA">
              <w:rPr>
                <w:sz w:val="18"/>
                <w:szCs w:val="18"/>
                <w:lang w:eastAsia="en-US"/>
              </w:rPr>
              <w:t>(meziroční změna, v %)</w:t>
            </w:r>
          </w:p>
        </w:tc>
      </w:tr>
      <w:tr w:rsidR="00DF57D6" w:rsidRPr="009110F7" w14:paraId="0C884F88" w14:textId="77777777" w:rsidTr="00D67D55">
        <w:tblPrEx>
          <w:tblCellMar>
            <w:left w:w="70" w:type="dxa"/>
            <w:right w:w="70" w:type="dxa"/>
          </w:tblCellMar>
        </w:tblPrEx>
        <w:trPr>
          <w:trHeight w:val="170"/>
        </w:trPr>
        <w:tc>
          <w:tcPr>
            <w:tcW w:w="1805" w:type="dxa"/>
            <w:vMerge/>
            <w:shd w:val="clear" w:color="auto" w:fill="auto"/>
          </w:tcPr>
          <w:p w14:paraId="44D2CE53" w14:textId="77777777" w:rsidR="00DF57D6" w:rsidRDefault="00DF57D6" w:rsidP="00D67D55">
            <w:pPr>
              <w:pStyle w:val="Marginlie"/>
              <w:rPr>
                <w:spacing w:val="0"/>
              </w:rPr>
            </w:pPr>
          </w:p>
        </w:tc>
        <w:tc>
          <w:tcPr>
            <w:tcW w:w="224" w:type="dxa"/>
            <w:vMerge/>
            <w:shd w:val="clear" w:color="auto" w:fill="auto"/>
          </w:tcPr>
          <w:p w14:paraId="6642296E" w14:textId="77777777" w:rsidR="00DF57D6" w:rsidRPr="00793D78" w:rsidRDefault="00DF57D6" w:rsidP="00D67D55">
            <w:pPr>
              <w:pStyle w:val="Textpoznpodarou1"/>
              <w:jc w:val="both"/>
            </w:pPr>
          </w:p>
        </w:tc>
        <w:tc>
          <w:tcPr>
            <w:tcW w:w="7610" w:type="dxa"/>
            <w:shd w:val="clear" w:color="auto" w:fill="auto"/>
          </w:tcPr>
          <w:p w14:paraId="133C54A7" w14:textId="77777777" w:rsidR="00DF57D6" w:rsidRDefault="00DF57D6" w:rsidP="00D67D55">
            <w:pPr>
              <w:spacing w:after="0"/>
            </w:pPr>
            <w:r>
              <w:rPr>
                <w:noProof/>
              </w:rPr>
              <w:drawing>
                <wp:inline distT="0" distB="0" distL="0" distR="0" wp14:anchorId="30514F66" wp14:editId="3A5FD67E">
                  <wp:extent cx="4737600" cy="3553200"/>
                  <wp:effectExtent l="0" t="0" r="6350" b="0"/>
                  <wp:docPr id="3" name="Graf 3">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DF57D6" w:rsidRPr="009110F7" w14:paraId="7D731B82" w14:textId="77777777" w:rsidTr="00D67D55">
        <w:trPr>
          <w:trHeight w:val="170"/>
        </w:trPr>
        <w:tc>
          <w:tcPr>
            <w:tcW w:w="1805" w:type="dxa"/>
            <w:vMerge/>
            <w:shd w:val="clear" w:color="auto" w:fill="auto"/>
            <w:tcMar>
              <w:left w:w="0" w:type="dxa"/>
            </w:tcMar>
          </w:tcPr>
          <w:p w14:paraId="645FC51C" w14:textId="77777777" w:rsidR="00DF57D6" w:rsidRDefault="00DF57D6" w:rsidP="00D67D55">
            <w:pPr>
              <w:pStyle w:val="Marginlie"/>
              <w:rPr>
                <w:spacing w:val="0"/>
              </w:rPr>
            </w:pPr>
          </w:p>
        </w:tc>
        <w:tc>
          <w:tcPr>
            <w:tcW w:w="224" w:type="dxa"/>
            <w:vMerge/>
            <w:shd w:val="clear" w:color="auto" w:fill="auto"/>
            <w:tcMar>
              <w:left w:w="0" w:type="dxa"/>
            </w:tcMar>
          </w:tcPr>
          <w:p w14:paraId="49199F8F" w14:textId="77777777" w:rsidR="00DF57D6" w:rsidRPr="00793D78" w:rsidRDefault="00DF57D6" w:rsidP="00D67D55">
            <w:pPr>
              <w:pStyle w:val="Textpoznpodarou1"/>
              <w:jc w:val="both"/>
            </w:pPr>
          </w:p>
        </w:tc>
        <w:tc>
          <w:tcPr>
            <w:tcW w:w="7610" w:type="dxa"/>
            <w:shd w:val="clear" w:color="auto" w:fill="auto"/>
            <w:tcMar>
              <w:left w:w="0" w:type="dxa"/>
            </w:tcMar>
          </w:tcPr>
          <w:p w14:paraId="770B095D" w14:textId="77777777" w:rsidR="00DF57D6" w:rsidRDefault="00DF57D6" w:rsidP="00D67D55">
            <w:r w:rsidRPr="00793D78">
              <w:rPr>
                <w:sz w:val="14"/>
                <w:szCs w:val="14"/>
              </w:rPr>
              <w:t>Zdroj: ČSÚ</w:t>
            </w:r>
          </w:p>
        </w:tc>
      </w:tr>
      <w:tr w:rsidR="00DF57D6" w:rsidRPr="009110F7" w14:paraId="5FC90CE2" w14:textId="77777777" w:rsidTr="00D67D55">
        <w:trPr>
          <w:trHeight w:val="145"/>
        </w:trPr>
        <w:tc>
          <w:tcPr>
            <w:tcW w:w="1805" w:type="dxa"/>
            <w:shd w:val="clear" w:color="auto" w:fill="auto"/>
            <w:tcMar>
              <w:left w:w="0" w:type="dxa"/>
            </w:tcMar>
          </w:tcPr>
          <w:p w14:paraId="43F34BA1" w14:textId="77777777" w:rsidR="00DF57D6" w:rsidRDefault="00DF57D6" w:rsidP="00D67D55">
            <w:pPr>
              <w:pStyle w:val="Marginlie"/>
              <w:rPr>
                <w:spacing w:val="0"/>
              </w:rPr>
            </w:pPr>
            <w:r>
              <w:rPr>
                <w:spacing w:val="0"/>
              </w:rPr>
              <w:t>Růst cen bytů zůstal silný.</w:t>
            </w:r>
          </w:p>
        </w:tc>
        <w:tc>
          <w:tcPr>
            <w:tcW w:w="224" w:type="dxa"/>
            <w:shd w:val="clear" w:color="auto" w:fill="auto"/>
            <w:tcMar>
              <w:left w:w="0" w:type="dxa"/>
            </w:tcMar>
          </w:tcPr>
          <w:p w14:paraId="67A92DA3" w14:textId="77777777" w:rsidR="00DF57D6" w:rsidRPr="00793D78" w:rsidRDefault="00DF57D6" w:rsidP="00D67D55">
            <w:pPr>
              <w:pStyle w:val="Textpoznpodarou1"/>
              <w:jc w:val="both"/>
            </w:pPr>
          </w:p>
        </w:tc>
        <w:tc>
          <w:tcPr>
            <w:tcW w:w="7610" w:type="dxa"/>
            <w:shd w:val="clear" w:color="auto" w:fill="auto"/>
            <w:tcMar>
              <w:left w:w="0" w:type="dxa"/>
            </w:tcMar>
          </w:tcPr>
          <w:p w14:paraId="6048B15C" w14:textId="2428F2E4" w:rsidR="00DF57D6" w:rsidRDefault="00DF57D6" w:rsidP="00560CAC">
            <w:r>
              <w:t xml:space="preserve">Nabídkové ceny bytů v Česku v 1. čtvrtletí 2021 meziročně vzrostly o 7,6 %. Zatímco růst nabídkových cen bytů v Praze zpomalil na 4,8 %, byty mimo Prahu zdražovaly ještě vyšším tempem než dosud (11,4 %). Snížení poptávky, které se očekávalo v souvislosti s ekonomickým propadem, nepřišlo a prudké zvýšení objemu volných úspor domácností spíše stupňovalo tlak na trhu nemovitostí. Realizované ceny starších bytů v ČR tak v 1. čtvrtletí meziročně vzrostly o 15,1 %. Rozdíl v tempech růstu v Praze </w:t>
            </w:r>
            <w:r>
              <w:lastRenderedPageBreak/>
              <w:t>a mimo ni se zmenšil – meziroční přírůstek realizovaných cen starších bytů v Praze posílil na 14,2 % a mimo Prahu dosahoval 15,3 %.</w:t>
            </w:r>
            <w:r w:rsidR="00560CAC">
              <w:t xml:space="preserve"> Realizované ceny nových bytů v Praze v 1. čtvrtletí meziročně vzrostly o 10,4 %. </w:t>
            </w:r>
          </w:p>
        </w:tc>
      </w:tr>
      <w:tr w:rsidR="00DF57D6" w:rsidRPr="009110F7" w14:paraId="01ECC95C" w14:textId="77777777" w:rsidTr="00D67D55">
        <w:trPr>
          <w:trHeight w:val="145"/>
        </w:trPr>
        <w:tc>
          <w:tcPr>
            <w:tcW w:w="1805" w:type="dxa"/>
            <w:shd w:val="clear" w:color="auto" w:fill="auto"/>
            <w:tcMar>
              <w:left w:w="0" w:type="dxa"/>
            </w:tcMar>
          </w:tcPr>
          <w:p w14:paraId="3F001A9C" w14:textId="77777777" w:rsidR="00DF57D6" w:rsidRDefault="00DF57D6" w:rsidP="00D67D55">
            <w:pPr>
              <w:pStyle w:val="Marginlie"/>
              <w:rPr>
                <w:spacing w:val="0"/>
              </w:rPr>
            </w:pPr>
            <w:r>
              <w:rPr>
                <w:spacing w:val="0"/>
              </w:rPr>
              <w:lastRenderedPageBreak/>
              <w:t>Spotřebitelské ceny v EU rostly silněji než loni.</w:t>
            </w:r>
          </w:p>
        </w:tc>
        <w:tc>
          <w:tcPr>
            <w:tcW w:w="224" w:type="dxa"/>
            <w:shd w:val="clear" w:color="auto" w:fill="auto"/>
            <w:tcMar>
              <w:left w:w="0" w:type="dxa"/>
            </w:tcMar>
          </w:tcPr>
          <w:p w14:paraId="0209AAB7" w14:textId="77777777" w:rsidR="00DF57D6" w:rsidRPr="00793D78" w:rsidRDefault="00DF57D6" w:rsidP="00D67D55">
            <w:pPr>
              <w:pStyle w:val="Textpoznpodarou1"/>
              <w:jc w:val="both"/>
            </w:pPr>
          </w:p>
        </w:tc>
        <w:tc>
          <w:tcPr>
            <w:tcW w:w="7610" w:type="dxa"/>
            <w:shd w:val="clear" w:color="auto" w:fill="auto"/>
            <w:tcMar>
              <w:left w:w="0" w:type="dxa"/>
            </w:tcMar>
          </w:tcPr>
          <w:p w14:paraId="47E6F25E" w14:textId="77777777" w:rsidR="00DF57D6" w:rsidRDefault="00DF57D6" w:rsidP="00D67D55">
            <w:r>
              <w:t>Meziroční růst harmonizovaného indexu spotřebitelských cen v EU v 1. čtvrtletí 2021 značně posílil (ve 4. čtvrtletí 2020 meziroční přírůstek dosáhl 0,2 % a za celý rok 2020 činil 0,7 %) a dosáhl 1,4 %. Cenovou hladinu v celé EU ovlivnil především nárůst cen dopravy. V popředí cenového růstu v 1. čtvrtletí nadále zůstávaly hlavně země střední Evropy – nejvíce ceny rostly v Polsku (3,9 %), Maďarsku (3,3 %) a Rumunsku (2,3 %), Česko bylo hned za nimi (2,2 %) a nad průměrem EU se nacházel i cenový růst v Německu (1,7 %) a Rakousku (1,5 %). V pěti zemích Unie spotřebitelské ceny v 1. čtvrtletí meziročně klesly. Nejvíce se snižovaly v </w:t>
            </w:r>
            <w:proofErr w:type="gramStart"/>
            <w:r>
              <w:t>Řecku (–2,1</w:t>
            </w:r>
            <w:proofErr w:type="gramEnd"/>
            <w:r>
              <w:t xml:space="preserve"> %), Slovinsku </w:t>
            </w:r>
            <w:r>
              <w:br/>
              <w:t>(–0,6 %) a na Kypru (–0,5 %).</w:t>
            </w:r>
          </w:p>
        </w:tc>
      </w:tr>
      <w:tr w:rsidR="00DF57D6" w:rsidRPr="009110F7" w14:paraId="2D05D3C0" w14:textId="77777777" w:rsidTr="00D67D55">
        <w:trPr>
          <w:trHeight w:val="145"/>
        </w:trPr>
        <w:tc>
          <w:tcPr>
            <w:tcW w:w="1805" w:type="dxa"/>
            <w:shd w:val="clear" w:color="auto" w:fill="auto"/>
            <w:tcMar>
              <w:left w:w="0" w:type="dxa"/>
            </w:tcMar>
          </w:tcPr>
          <w:p w14:paraId="73F5844B" w14:textId="77777777" w:rsidR="00DF57D6" w:rsidRPr="00793D78" w:rsidRDefault="00DF57D6" w:rsidP="00D67D55">
            <w:pPr>
              <w:pStyle w:val="Marginlie"/>
              <w:rPr>
                <w:spacing w:val="0"/>
              </w:rPr>
            </w:pPr>
            <w:r>
              <w:rPr>
                <w:spacing w:val="0"/>
              </w:rPr>
              <w:t>Růst cen průmyslových výrobců v 1. čtvrtletí výrazně zrychlil.</w:t>
            </w:r>
          </w:p>
        </w:tc>
        <w:tc>
          <w:tcPr>
            <w:tcW w:w="224" w:type="dxa"/>
            <w:shd w:val="clear" w:color="auto" w:fill="auto"/>
            <w:tcMar>
              <w:left w:w="0" w:type="dxa"/>
            </w:tcMar>
          </w:tcPr>
          <w:p w14:paraId="2CE12218" w14:textId="77777777" w:rsidR="00DF57D6" w:rsidRPr="00793D78" w:rsidRDefault="00DF57D6" w:rsidP="00D67D55">
            <w:pPr>
              <w:pStyle w:val="Textpoznpodarou1"/>
              <w:jc w:val="both"/>
            </w:pPr>
          </w:p>
        </w:tc>
        <w:tc>
          <w:tcPr>
            <w:tcW w:w="7610" w:type="dxa"/>
            <w:shd w:val="clear" w:color="auto" w:fill="auto"/>
            <w:tcMar>
              <w:left w:w="0" w:type="dxa"/>
            </w:tcMar>
          </w:tcPr>
          <w:p w14:paraId="53E5AC0A" w14:textId="77777777" w:rsidR="00DF57D6" w:rsidRDefault="00DF57D6" w:rsidP="00D67D55">
            <w:r>
              <w:t>Ceny průmyslových výrobců v 1. čtvrtletí 2021 meziročně vzrostly o 1,5 %. Přírůstek ve srovnání s několika předchozími kvartály podstatně zrychlil a byl nejvyšší od 3. čtvrtletí 2019. Zrychlení meziroční dynamiky přišlo zejména v průběhu února a března, kdy se přestal projevovat vliv propadu cen ropy, ke kterému došlo právě během loňského 1. čtvrtletí. Ve srovnání se 4. čtvrtletím 2020 se ceny průmyslových výrobců zvýšily o 2,2 %. Popsané zrychlení meziročního růstu cen během 1. čtvrtletí se týkalo zejména výrobků a služeb zpracovatelského průmyslu (1,8 %). Nejvíce k růstu cen průmyslových výrobců přispívalo prudké navýšení přírůstku cen obecných kovů a kovodělných výrobků (6,6 %), dále dopravních prostředků (u nich ale meziroční dynamika zpomalila na 1,7 %) a nábytku a ostatních výrobků zpracovatelského průmyslu (3,7 %). Z hlubokého meziročního propadu do růstu se dostaly ceny chemických látek a výrobků (2,3 %). Ceny elektrických zařízení se meziročně zvýšily o 3,6 % a strojů a zařízení o 1,9 %. Výrazněji ve směru poklesu cen průmyslových výrobců působily jen ceny potravinářských výrobků, nápojů a </w:t>
            </w:r>
            <w:proofErr w:type="gramStart"/>
            <w:r>
              <w:t>tabáku (–1,6</w:t>
            </w:r>
            <w:proofErr w:type="gramEnd"/>
            <w:r>
              <w:t> %).</w:t>
            </w:r>
          </w:p>
        </w:tc>
      </w:tr>
      <w:tr w:rsidR="00DF57D6" w:rsidRPr="009110F7" w14:paraId="6627EBFE" w14:textId="77777777" w:rsidTr="00D67D55">
        <w:trPr>
          <w:trHeight w:val="170"/>
        </w:trPr>
        <w:tc>
          <w:tcPr>
            <w:tcW w:w="1805" w:type="dxa"/>
            <w:vMerge w:val="restart"/>
            <w:shd w:val="clear" w:color="auto" w:fill="auto"/>
            <w:tcMar>
              <w:left w:w="0" w:type="dxa"/>
            </w:tcMar>
          </w:tcPr>
          <w:p w14:paraId="5399379A" w14:textId="77777777" w:rsidR="00DF57D6" w:rsidRDefault="00DF57D6" w:rsidP="00D67D55">
            <w:pPr>
              <w:pStyle w:val="Marginlie"/>
              <w:rPr>
                <w:spacing w:val="0"/>
              </w:rPr>
            </w:pPr>
          </w:p>
        </w:tc>
        <w:tc>
          <w:tcPr>
            <w:tcW w:w="224" w:type="dxa"/>
            <w:vMerge w:val="restart"/>
            <w:shd w:val="clear" w:color="auto" w:fill="auto"/>
            <w:tcMar>
              <w:left w:w="0" w:type="dxa"/>
            </w:tcMar>
          </w:tcPr>
          <w:p w14:paraId="37F6FA65" w14:textId="77777777" w:rsidR="00DF57D6" w:rsidRPr="00793D78" w:rsidRDefault="00DF57D6" w:rsidP="00D67D55">
            <w:pPr>
              <w:pStyle w:val="Textpoznpodarou1"/>
              <w:jc w:val="both"/>
              <w:rPr>
                <w:highlight w:val="yellow"/>
              </w:rPr>
            </w:pPr>
          </w:p>
        </w:tc>
        <w:tc>
          <w:tcPr>
            <w:tcW w:w="7610" w:type="dxa"/>
            <w:shd w:val="clear" w:color="auto" w:fill="auto"/>
            <w:tcMar>
              <w:left w:w="0" w:type="dxa"/>
            </w:tcMar>
          </w:tcPr>
          <w:p w14:paraId="18F0BA4D" w14:textId="77777777" w:rsidR="00DF57D6" w:rsidRPr="00D75AC1" w:rsidRDefault="00DF57D6" w:rsidP="00D67D55">
            <w:pPr>
              <w:spacing w:after="0"/>
              <w:rPr>
                <w:b/>
                <w:szCs w:val="20"/>
              </w:rPr>
            </w:pPr>
            <w:r>
              <w:rPr>
                <w:b/>
                <w:sz w:val="18"/>
                <w:szCs w:val="18"/>
              </w:rPr>
              <w:t>Graf č. 11</w:t>
            </w:r>
            <w:r w:rsidRPr="00793D78">
              <w:rPr>
                <w:b/>
                <w:sz w:val="18"/>
                <w:szCs w:val="18"/>
              </w:rPr>
              <w:t xml:space="preserve">  </w:t>
            </w:r>
            <w:r w:rsidRPr="00793D78">
              <w:rPr>
                <w:b/>
                <w:sz w:val="18"/>
                <w:szCs w:val="18"/>
                <w:lang w:eastAsia="en-US"/>
              </w:rPr>
              <w:t xml:space="preserve">Ceny hlavních skupin průmyslových výrobců </w:t>
            </w:r>
            <w:r w:rsidRPr="009067EA">
              <w:rPr>
                <w:sz w:val="18"/>
                <w:szCs w:val="18"/>
                <w:lang w:eastAsia="en-US"/>
              </w:rPr>
              <w:t>(meziroční změna, v %, podle klasifikace CPA)</w:t>
            </w:r>
          </w:p>
        </w:tc>
      </w:tr>
      <w:tr w:rsidR="00DF57D6" w:rsidRPr="009110F7" w14:paraId="588C782C" w14:textId="77777777" w:rsidTr="00D67D55">
        <w:tblPrEx>
          <w:tblCellMar>
            <w:left w:w="70" w:type="dxa"/>
            <w:right w:w="70" w:type="dxa"/>
          </w:tblCellMar>
        </w:tblPrEx>
        <w:trPr>
          <w:trHeight w:val="170"/>
        </w:trPr>
        <w:tc>
          <w:tcPr>
            <w:tcW w:w="1805" w:type="dxa"/>
            <w:vMerge/>
            <w:shd w:val="clear" w:color="auto" w:fill="auto"/>
          </w:tcPr>
          <w:p w14:paraId="24956F2E" w14:textId="77777777" w:rsidR="00DF57D6" w:rsidRPr="00793D78" w:rsidRDefault="00DF57D6" w:rsidP="00D67D55">
            <w:pPr>
              <w:pStyle w:val="Marginlie"/>
              <w:rPr>
                <w:spacing w:val="0"/>
              </w:rPr>
            </w:pPr>
          </w:p>
        </w:tc>
        <w:tc>
          <w:tcPr>
            <w:tcW w:w="224" w:type="dxa"/>
            <w:vMerge/>
            <w:shd w:val="clear" w:color="auto" w:fill="auto"/>
          </w:tcPr>
          <w:p w14:paraId="13D6ED83" w14:textId="77777777" w:rsidR="00DF57D6" w:rsidRPr="00793D78" w:rsidRDefault="00DF57D6" w:rsidP="00D67D55">
            <w:pPr>
              <w:pStyle w:val="Textpoznpodarou1"/>
              <w:jc w:val="both"/>
            </w:pPr>
          </w:p>
        </w:tc>
        <w:tc>
          <w:tcPr>
            <w:tcW w:w="7610" w:type="dxa"/>
            <w:shd w:val="clear" w:color="auto" w:fill="auto"/>
          </w:tcPr>
          <w:p w14:paraId="37627E1A" w14:textId="77777777" w:rsidR="00DF57D6" w:rsidRPr="00793D78" w:rsidRDefault="00DF57D6" w:rsidP="00D67D55">
            <w:pPr>
              <w:spacing w:after="0"/>
            </w:pPr>
            <w:r>
              <w:rPr>
                <w:noProof/>
              </w:rPr>
              <w:drawing>
                <wp:inline distT="0" distB="0" distL="0" distR="0" wp14:anchorId="09B482D5" wp14:editId="6D0BDDCC">
                  <wp:extent cx="4734425" cy="3378575"/>
                  <wp:effectExtent l="0" t="0" r="0" b="0"/>
                  <wp:docPr id="2" name="Graf 2">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DF57D6" w:rsidRPr="009110F7" w14:paraId="125A44B9" w14:textId="77777777" w:rsidTr="00D67D55">
        <w:trPr>
          <w:trHeight w:val="170"/>
        </w:trPr>
        <w:tc>
          <w:tcPr>
            <w:tcW w:w="1805" w:type="dxa"/>
            <w:vMerge/>
            <w:shd w:val="clear" w:color="auto" w:fill="auto"/>
            <w:tcMar>
              <w:left w:w="0" w:type="dxa"/>
            </w:tcMar>
          </w:tcPr>
          <w:p w14:paraId="1FEB09D3" w14:textId="77777777" w:rsidR="00DF57D6" w:rsidRPr="00793D78" w:rsidRDefault="00DF57D6" w:rsidP="00D67D55">
            <w:pPr>
              <w:pStyle w:val="Marginlie"/>
              <w:rPr>
                <w:spacing w:val="0"/>
              </w:rPr>
            </w:pPr>
          </w:p>
        </w:tc>
        <w:tc>
          <w:tcPr>
            <w:tcW w:w="224" w:type="dxa"/>
            <w:vMerge/>
            <w:shd w:val="clear" w:color="auto" w:fill="auto"/>
            <w:tcMar>
              <w:left w:w="0" w:type="dxa"/>
            </w:tcMar>
          </w:tcPr>
          <w:p w14:paraId="16E4B554" w14:textId="77777777" w:rsidR="00DF57D6" w:rsidRPr="00793D78" w:rsidRDefault="00DF57D6" w:rsidP="00D67D55">
            <w:pPr>
              <w:pStyle w:val="Textpoznpodarou1"/>
              <w:jc w:val="both"/>
            </w:pPr>
          </w:p>
        </w:tc>
        <w:tc>
          <w:tcPr>
            <w:tcW w:w="7610" w:type="dxa"/>
            <w:shd w:val="clear" w:color="auto" w:fill="auto"/>
            <w:tcMar>
              <w:left w:w="0" w:type="dxa"/>
            </w:tcMar>
          </w:tcPr>
          <w:p w14:paraId="5F0D0A8A" w14:textId="77777777" w:rsidR="00DF57D6" w:rsidRPr="00793D78" w:rsidRDefault="00DF57D6" w:rsidP="00D67D55">
            <w:r w:rsidRPr="00793D78">
              <w:rPr>
                <w:sz w:val="14"/>
                <w:szCs w:val="14"/>
              </w:rPr>
              <w:t>Zdroj: ČSÚ</w:t>
            </w:r>
          </w:p>
        </w:tc>
      </w:tr>
      <w:tr w:rsidR="00DF57D6" w:rsidRPr="009110F7" w14:paraId="34C018B7" w14:textId="77777777" w:rsidTr="00D67D55">
        <w:trPr>
          <w:trHeight w:val="145"/>
        </w:trPr>
        <w:tc>
          <w:tcPr>
            <w:tcW w:w="1805" w:type="dxa"/>
            <w:shd w:val="clear" w:color="auto" w:fill="auto"/>
            <w:tcMar>
              <w:left w:w="0" w:type="dxa"/>
            </w:tcMar>
          </w:tcPr>
          <w:p w14:paraId="2C0B38F6" w14:textId="77777777" w:rsidR="00DF57D6" w:rsidRDefault="00DF57D6" w:rsidP="00D67D55">
            <w:pPr>
              <w:pStyle w:val="Marginlie"/>
              <w:rPr>
                <w:spacing w:val="0"/>
              </w:rPr>
            </w:pPr>
            <w:r>
              <w:rPr>
                <w:spacing w:val="0"/>
              </w:rPr>
              <w:lastRenderedPageBreak/>
              <w:t>Propadla se meziroční dynamika cen elektřiny.</w:t>
            </w:r>
          </w:p>
        </w:tc>
        <w:tc>
          <w:tcPr>
            <w:tcW w:w="224" w:type="dxa"/>
            <w:shd w:val="clear" w:color="auto" w:fill="auto"/>
            <w:tcMar>
              <w:left w:w="0" w:type="dxa"/>
            </w:tcMar>
          </w:tcPr>
          <w:p w14:paraId="45950158" w14:textId="77777777" w:rsidR="00DF57D6" w:rsidRPr="00793D78" w:rsidRDefault="00DF57D6" w:rsidP="00D67D55">
            <w:pPr>
              <w:pStyle w:val="Textpoznpodarou1"/>
              <w:jc w:val="both"/>
            </w:pPr>
          </w:p>
        </w:tc>
        <w:tc>
          <w:tcPr>
            <w:tcW w:w="7610" w:type="dxa"/>
            <w:shd w:val="clear" w:color="auto" w:fill="auto"/>
            <w:tcMar>
              <w:left w:w="0" w:type="dxa"/>
            </w:tcMar>
          </w:tcPr>
          <w:p w14:paraId="00616DDB" w14:textId="77777777" w:rsidR="00DF57D6" w:rsidRDefault="00DF57D6" w:rsidP="00D67D55">
            <w:r>
              <w:t>Ceny těžby a dobývání v 1. čtvrtletí meziročně klesly o 0,5 %. Jejich propad se tak ve srovnání s loňskem zmírnil, což lze přičíst především vlivu cen těžby ropy a zemního plynu. Meziroční přírůstek cen elektřiny, plynu, páry a klimatizovaného vzduchu dosáhl v 1. čtvrtletí 0,3 %, což je nejméně za poslední tři roky (v roce 2019 se ceny v této sekci zvýšily o 8,0 % a loni o 7,7 %). Ceny zásobování vodou a služeb souvisejících s odpadními vodami se zvýšily o 6,9 %.</w:t>
            </w:r>
          </w:p>
        </w:tc>
      </w:tr>
      <w:tr w:rsidR="00DF57D6" w:rsidRPr="009110F7" w14:paraId="791622DA" w14:textId="77777777" w:rsidTr="00D67D55">
        <w:trPr>
          <w:trHeight w:val="145"/>
        </w:trPr>
        <w:tc>
          <w:tcPr>
            <w:tcW w:w="1805" w:type="dxa"/>
            <w:shd w:val="clear" w:color="auto" w:fill="auto"/>
            <w:tcMar>
              <w:left w:w="0" w:type="dxa"/>
            </w:tcMar>
          </w:tcPr>
          <w:p w14:paraId="4880FA20" w14:textId="77777777" w:rsidR="00DF57D6" w:rsidRDefault="00DF57D6" w:rsidP="00D67D55">
            <w:pPr>
              <w:pStyle w:val="Marginlie"/>
              <w:rPr>
                <w:spacing w:val="0"/>
              </w:rPr>
            </w:pPr>
            <w:r>
              <w:rPr>
                <w:spacing w:val="0"/>
              </w:rPr>
              <w:t>Ceny průmyslových výrobců v EU meziročně vzrostly.</w:t>
            </w:r>
          </w:p>
        </w:tc>
        <w:tc>
          <w:tcPr>
            <w:tcW w:w="224" w:type="dxa"/>
            <w:shd w:val="clear" w:color="auto" w:fill="auto"/>
            <w:tcMar>
              <w:left w:w="0" w:type="dxa"/>
            </w:tcMar>
          </w:tcPr>
          <w:p w14:paraId="17087718" w14:textId="77777777" w:rsidR="00DF57D6" w:rsidRPr="00793D78" w:rsidRDefault="00DF57D6" w:rsidP="00D67D55">
            <w:pPr>
              <w:pStyle w:val="Textpoznpodarou1"/>
              <w:jc w:val="both"/>
            </w:pPr>
          </w:p>
        </w:tc>
        <w:tc>
          <w:tcPr>
            <w:tcW w:w="7610" w:type="dxa"/>
            <w:shd w:val="clear" w:color="auto" w:fill="auto"/>
            <w:tcMar>
              <w:left w:w="0" w:type="dxa"/>
            </w:tcMar>
          </w:tcPr>
          <w:p w14:paraId="3ACD828D" w14:textId="38B16050" w:rsidR="00DF57D6" w:rsidRDefault="00DF57D6" w:rsidP="00C161C5">
            <w:r>
              <w:t>Ceny průmyslových výrobců v EU se v 1. čtvrtletí meziročně zvýšily o 2,2 % (za celý rok 2020 klesly o 2,4 %). Také zde se výrazně projevil meziroční nárůst cen ropy, který ovlivnil ceny těžby a dobývání (meziroční nárůst o 4,</w:t>
            </w:r>
            <w:r w:rsidR="00C161C5">
              <w:t>2</w:t>
            </w:r>
            <w:r>
              <w:t> %) i ceny výrobků a služeb zpracovatelského průmyslu (1,</w:t>
            </w:r>
            <w:r w:rsidR="00C161C5">
              <w:t>4</w:t>
            </w:r>
            <w:r>
              <w:t> %). V 1. čtvrtletí také opět vzrostly ceny elektřiny, plynu, páry a klimatizovaného vzduchu (5,</w:t>
            </w:r>
            <w:r w:rsidR="00C161C5">
              <w:t>5</w:t>
            </w:r>
            <w:r>
              <w:t xml:space="preserve"> %). Nejvíce se ceny průmyslových výrobců zvýšily v Irsku (18,1 %), Dánsku (6,8 %) a Estonsku (6,7 %). Zatímco v předchozím kvartálu ceny průmyslových výrobců ve většině zemí EU meziročně klesaly, nyní se situace obrátila. Pokles byl zaznamenán jen na </w:t>
            </w:r>
            <w:proofErr w:type="gramStart"/>
            <w:r>
              <w:t>Kypru (–3,9</w:t>
            </w:r>
            <w:proofErr w:type="gramEnd"/>
            <w:r>
              <w:t> %), v Litvě (–0,</w:t>
            </w:r>
            <w:r w:rsidR="00C161C5">
              <w:t>9</w:t>
            </w:r>
            <w:r>
              <w:t> %), na Slovensku (–0,8 %) a v Lotyšsku (–0,1 %).</w:t>
            </w:r>
          </w:p>
        </w:tc>
      </w:tr>
      <w:tr w:rsidR="00DF57D6" w:rsidRPr="009110F7" w14:paraId="38690BFC" w14:textId="77777777" w:rsidTr="00D67D55">
        <w:trPr>
          <w:trHeight w:val="145"/>
        </w:trPr>
        <w:tc>
          <w:tcPr>
            <w:tcW w:w="1805" w:type="dxa"/>
            <w:shd w:val="clear" w:color="auto" w:fill="auto"/>
            <w:tcMar>
              <w:left w:w="0" w:type="dxa"/>
            </w:tcMar>
          </w:tcPr>
          <w:p w14:paraId="6143F7E9" w14:textId="77777777" w:rsidR="00DF57D6" w:rsidRPr="00793D78" w:rsidRDefault="00DF57D6" w:rsidP="00D67D55">
            <w:pPr>
              <w:pStyle w:val="Marginlie"/>
              <w:rPr>
                <w:spacing w:val="0"/>
              </w:rPr>
            </w:pPr>
            <w:r>
              <w:rPr>
                <w:spacing w:val="0"/>
              </w:rPr>
              <w:t>Růst cen tržních služeb v 1. kvartálu zmírnil.</w:t>
            </w:r>
          </w:p>
        </w:tc>
        <w:tc>
          <w:tcPr>
            <w:tcW w:w="224" w:type="dxa"/>
            <w:shd w:val="clear" w:color="auto" w:fill="auto"/>
            <w:tcMar>
              <w:left w:w="0" w:type="dxa"/>
            </w:tcMar>
          </w:tcPr>
          <w:p w14:paraId="078A8315" w14:textId="77777777" w:rsidR="00DF57D6" w:rsidRPr="00793D78" w:rsidRDefault="00DF57D6" w:rsidP="00D67D55">
            <w:pPr>
              <w:pStyle w:val="Textpoznpodarou1"/>
              <w:jc w:val="both"/>
            </w:pPr>
          </w:p>
        </w:tc>
        <w:tc>
          <w:tcPr>
            <w:tcW w:w="7610" w:type="dxa"/>
            <w:shd w:val="clear" w:color="auto" w:fill="auto"/>
            <w:tcMar>
              <w:left w:w="0" w:type="dxa"/>
            </w:tcMar>
          </w:tcPr>
          <w:p w14:paraId="67D38382" w14:textId="77777777" w:rsidR="00DF57D6" w:rsidRPr="00793D78" w:rsidRDefault="00DF57D6" w:rsidP="00D67D55">
            <w:r>
              <w:t xml:space="preserve">Meziroční dynamika cen tržních služeb v loňském roce zpomalovala a přírůstek cen v 1. čtvrtletí dál klesl na 1,3 %. To je výrazně méně než v předchozím kvartálu. Zpomalení bylo patrné napříč různými obory, ale nejvíce jej ovlivnily ceny skladování a podpůrných služeb v dopravě, jejichž dřívější poměrně silný růst se prakticky zastavil (0,5 %). Zpomalil i růst cen služeb v oblasti nemovitostí (1,5 %), pozemní a potrubní dopravy (1,3 %) a vedení podniků a poradenství v oblasti řízení (3,3 %). Naopak posílila meziroční dynamika cen služeb v oblasti programování a souvisejícího poradenství (4,4 %). Nezměnil se meziroční růst cen architektonických a inženýrských služeb a technických zkoušek a analýz (2,1 %). V 1. čtvrtletí meziročně klesaly ceny telekomunikačních </w:t>
            </w:r>
            <w:proofErr w:type="gramStart"/>
            <w:r>
              <w:t>služeb (–0,4</w:t>
            </w:r>
            <w:proofErr w:type="gramEnd"/>
            <w:r>
              <w:t> %), informačních služeb (–1,6 %), reklamních služeb a průzkumu trhu (–0,5 %), služeb v oblasti pronájmu a operativního leasingu (–0,5 %) a administrativních, kancelářských a jiných podpůrných služeb pro podnikání (–1,6 %).</w:t>
            </w:r>
          </w:p>
        </w:tc>
      </w:tr>
      <w:tr w:rsidR="00DF57D6" w:rsidRPr="009110F7" w14:paraId="0F3E42C6" w14:textId="77777777" w:rsidTr="00D67D55">
        <w:trPr>
          <w:trHeight w:val="145"/>
        </w:trPr>
        <w:tc>
          <w:tcPr>
            <w:tcW w:w="1805" w:type="dxa"/>
            <w:shd w:val="clear" w:color="auto" w:fill="auto"/>
            <w:tcMar>
              <w:left w:w="0" w:type="dxa"/>
            </w:tcMar>
          </w:tcPr>
          <w:p w14:paraId="30FDA2C2" w14:textId="77777777" w:rsidR="00DF57D6" w:rsidRPr="00793D78" w:rsidRDefault="00DF57D6" w:rsidP="00D67D55">
            <w:pPr>
              <w:pStyle w:val="Marginlie"/>
              <w:rPr>
                <w:spacing w:val="0"/>
              </w:rPr>
            </w:pPr>
            <w:r>
              <w:rPr>
                <w:spacing w:val="0"/>
              </w:rPr>
              <w:t>Rostly ceny rostlinné výroby, ceny živočišných výrobků se naopak propadaly.</w:t>
            </w:r>
          </w:p>
        </w:tc>
        <w:tc>
          <w:tcPr>
            <w:tcW w:w="224" w:type="dxa"/>
            <w:shd w:val="clear" w:color="auto" w:fill="auto"/>
            <w:tcMar>
              <w:left w:w="0" w:type="dxa"/>
            </w:tcMar>
          </w:tcPr>
          <w:p w14:paraId="0D59A8A6" w14:textId="77777777" w:rsidR="00DF57D6" w:rsidRPr="00793D78" w:rsidRDefault="00DF57D6" w:rsidP="00D67D55">
            <w:pPr>
              <w:pStyle w:val="Textpoznpodarou1"/>
              <w:jc w:val="both"/>
            </w:pPr>
          </w:p>
        </w:tc>
        <w:tc>
          <w:tcPr>
            <w:tcW w:w="7610" w:type="dxa"/>
            <w:shd w:val="clear" w:color="auto" w:fill="auto"/>
            <w:tcMar>
              <w:left w:w="0" w:type="dxa"/>
            </w:tcMar>
          </w:tcPr>
          <w:p w14:paraId="43A79650" w14:textId="77777777" w:rsidR="00DF57D6" w:rsidRPr="00CB64E1" w:rsidRDefault="00DF57D6" w:rsidP="00D67D55">
            <w:pPr>
              <w:rPr>
                <w:spacing w:val="-2"/>
              </w:rPr>
            </w:pPr>
            <w:r>
              <w:rPr>
                <w:spacing w:val="-2"/>
              </w:rPr>
              <w:t xml:space="preserve">Ceny zemědělské výroby v 1. čtvrtletí 2021 meziročně klesly o 1,3 %. Propad se ve srovnání s předchozími kvartály zmírnil. Ceny rostlinné výroby po pěti čtvrtletích poklesů meziročně vzrostly o 4,6 %. Přispělo k tomu zrychlení meziročního růstu cen obilovin (9,4 %, silnější přírůstek měly ceny pšenice a kukuřice), ale rovněž výrazný růst cen zeleniny a zahradnických produktů (13,3 %). Rostly také ceny průmyslových plodin (2,6 %). V 1. čtvrtletí zmírnil meziroční pokles cen krmných </w:t>
            </w:r>
            <w:proofErr w:type="gramStart"/>
            <w:r>
              <w:rPr>
                <w:spacing w:val="-2"/>
              </w:rPr>
              <w:t>plodin (–2,2</w:t>
            </w:r>
            <w:proofErr w:type="gramEnd"/>
            <w:r>
              <w:rPr>
                <w:spacing w:val="-2"/>
              </w:rPr>
              <w:t> %) a velmi hluboký zůstal propad cen brambor (–31,1 %). Ceny živočišné výroby v 1. čtvrtletí klesly o 7,6 %, což je jen mírně méně než v předchozím kvartálu. Ceny hospodářských zvířat se snížily o 15,5 %. Na vysokou základnu předchozího roku totiž narazily ceny prasat a </w:t>
            </w:r>
            <w:proofErr w:type="gramStart"/>
            <w:r>
              <w:rPr>
                <w:spacing w:val="-2"/>
              </w:rPr>
              <w:t>selat (–30,4</w:t>
            </w:r>
            <w:proofErr w:type="gramEnd"/>
            <w:r>
              <w:rPr>
                <w:spacing w:val="-2"/>
              </w:rPr>
              <w:t> %, v 1. čtvrtletí 2020 naopak rostly o 35,3 %). S výjimkou kuřat ale klesaly ceny u všech druhů hospodářských zvířat. Ceny živočišných výrobků se meziročně snížily o 1,0 %, z toho mléko o 1,2 %, naopak vejce zdražila o 1,8 %.</w:t>
            </w:r>
          </w:p>
        </w:tc>
      </w:tr>
      <w:tr w:rsidR="00DF57D6" w:rsidRPr="009110F7" w14:paraId="1AB4F925" w14:textId="77777777" w:rsidTr="00D67D55">
        <w:trPr>
          <w:trHeight w:val="145"/>
        </w:trPr>
        <w:tc>
          <w:tcPr>
            <w:tcW w:w="1805" w:type="dxa"/>
            <w:shd w:val="clear" w:color="auto" w:fill="auto"/>
            <w:tcMar>
              <w:left w:w="0" w:type="dxa"/>
            </w:tcMar>
          </w:tcPr>
          <w:p w14:paraId="629452E3" w14:textId="77777777" w:rsidR="00DF57D6" w:rsidRPr="00793D78" w:rsidRDefault="00DF57D6" w:rsidP="00D67D55">
            <w:pPr>
              <w:pStyle w:val="Marginlie"/>
              <w:rPr>
                <w:spacing w:val="0"/>
              </w:rPr>
            </w:pPr>
            <w:r>
              <w:rPr>
                <w:spacing w:val="0"/>
              </w:rPr>
              <w:t>Růst cen vývozu posílil.</w:t>
            </w:r>
          </w:p>
        </w:tc>
        <w:tc>
          <w:tcPr>
            <w:tcW w:w="224" w:type="dxa"/>
            <w:shd w:val="clear" w:color="auto" w:fill="auto"/>
            <w:tcMar>
              <w:left w:w="0" w:type="dxa"/>
            </w:tcMar>
          </w:tcPr>
          <w:p w14:paraId="6F3CA7B4" w14:textId="77777777" w:rsidR="00DF57D6" w:rsidRPr="00793D78" w:rsidRDefault="00DF57D6" w:rsidP="00D67D55">
            <w:pPr>
              <w:pStyle w:val="Textpoznpodarou1"/>
              <w:jc w:val="both"/>
            </w:pPr>
          </w:p>
        </w:tc>
        <w:tc>
          <w:tcPr>
            <w:tcW w:w="7610" w:type="dxa"/>
            <w:shd w:val="clear" w:color="auto" w:fill="auto"/>
            <w:tcMar>
              <w:left w:w="0" w:type="dxa"/>
            </w:tcMar>
          </w:tcPr>
          <w:p w14:paraId="04FA8B0C" w14:textId="77777777" w:rsidR="00DF57D6" w:rsidRPr="00793D78" w:rsidRDefault="00DF57D6" w:rsidP="00D67D55">
            <w:r>
              <w:t>Ceny vývozu v 1. čtvrtletí 2021 meziročně vzrostly o 3,6 % a jejich růst tak výrazně posílil. Vliv na růst cen mělo i meziroční oslabení koruny vůči euru, které působilo ve směru navýšení cen. Nejsilněji se přitom zvyšovaly ceny ostatních surovin</w:t>
            </w:r>
            <w:r>
              <w:rPr>
                <w:rStyle w:val="Znakapoznpodarou"/>
              </w:rPr>
              <w:footnoteReference w:id="37"/>
            </w:r>
            <w:r>
              <w:t xml:space="preserve"> (20,6 %) a dále minerálních paliv (9,7 %), které v minulém roce hluboce poklesly. Solidně se navyšovaly i ceny strojů a dopravních prostředků (3,7 %), potravin (3,3 %), polotovarů</w:t>
            </w:r>
            <w:r>
              <w:rPr>
                <w:rStyle w:val="Znakapoznpodarou"/>
              </w:rPr>
              <w:footnoteReference w:id="38"/>
            </w:r>
            <w:r>
              <w:t xml:space="preserve"> (3,1 %), chemikálií a příbuzných výrobků (2,5 %). Nejméně meziročně rostly ceny nápojů a tabáku (1,2 %) a průmyslového spotřebního zboží (0,2 %).</w:t>
            </w:r>
          </w:p>
        </w:tc>
      </w:tr>
      <w:tr w:rsidR="00DF57D6" w:rsidRPr="009110F7" w14:paraId="1EA0855E" w14:textId="77777777" w:rsidTr="00D67D55">
        <w:trPr>
          <w:trHeight w:val="145"/>
        </w:trPr>
        <w:tc>
          <w:tcPr>
            <w:tcW w:w="1805" w:type="dxa"/>
            <w:shd w:val="clear" w:color="auto" w:fill="auto"/>
            <w:tcMar>
              <w:left w:w="0" w:type="dxa"/>
            </w:tcMar>
          </w:tcPr>
          <w:p w14:paraId="2BC6B33F" w14:textId="77777777" w:rsidR="00DF57D6" w:rsidRPr="00793D78" w:rsidRDefault="00DF57D6" w:rsidP="00D67D55">
            <w:pPr>
              <w:pStyle w:val="Marginlie"/>
              <w:rPr>
                <w:spacing w:val="0"/>
              </w:rPr>
            </w:pPr>
            <w:r>
              <w:rPr>
                <w:spacing w:val="0"/>
              </w:rPr>
              <w:lastRenderedPageBreak/>
              <w:t>Ceny dovozu vzrostly poprvé od roku 2019.</w:t>
            </w:r>
          </w:p>
        </w:tc>
        <w:tc>
          <w:tcPr>
            <w:tcW w:w="224" w:type="dxa"/>
            <w:shd w:val="clear" w:color="auto" w:fill="auto"/>
            <w:tcMar>
              <w:left w:w="0" w:type="dxa"/>
            </w:tcMar>
          </w:tcPr>
          <w:p w14:paraId="00D73136" w14:textId="77777777" w:rsidR="00DF57D6" w:rsidRPr="00793D78" w:rsidRDefault="00DF57D6" w:rsidP="00D67D55">
            <w:pPr>
              <w:pStyle w:val="Textpoznpodarou1"/>
              <w:jc w:val="both"/>
            </w:pPr>
          </w:p>
        </w:tc>
        <w:tc>
          <w:tcPr>
            <w:tcW w:w="7610" w:type="dxa"/>
            <w:shd w:val="clear" w:color="auto" w:fill="auto"/>
            <w:tcMar>
              <w:left w:w="0" w:type="dxa"/>
            </w:tcMar>
          </w:tcPr>
          <w:p w14:paraId="5A87965E" w14:textId="738B3FC7" w:rsidR="00DF57D6" w:rsidRDefault="00DF57D6" w:rsidP="00D67D55">
            <w:r>
              <w:t xml:space="preserve">Ceny dovozu rovněž vzrostly (1,4 %), poprvé od 2. čtvrtletí 2019. Výrazně se navýšily především ceny ostatních surovin (13,4 %) a minerálních paliv (5,3 %). Nárůst proběhl také u cen polotovarů (4,4 %), chemikálií (2,4 %) a nápojů a tabáku (2,1 %). Naopak se prohloubil meziroční pokles cen dovozu </w:t>
            </w:r>
            <w:proofErr w:type="gramStart"/>
            <w:r>
              <w:t>potravin (–3,0</w:t>
            </w:r>
            <w:proofErr w:type="gramEnd"/>
            <w:r>
              <w:t> %) a klesaly i ceny průmyslového spotřebního zboží (–1,3 %) a strojů a dopravních prostředků (–0,2 %). Směnné relace v 1. čtvrtletí zůstaly kladné (102,2 %). Pozitivní byly směnné relace obchodu s potravinami (106,5 %), ostatními surovinami (106,3 %), minerálními palivy (104,2 %), stroji a dopravními prostředky (103,9 %) a prům</w:t>
            </w:r>
            <w:r w:rsidR="00715D01">
              <w:t>yslovým spotřebním zbožím (101,5</w:t>
            </w:r>
            <w:r>
              <w:t> %). Záporné byly směnné relace u polotovarů (98,8 %) a nápojů a tabáku (99,1 %).</w:t>
            </w:r>
          </w:p>
        </w:tc>
      </w:tr>
    </w:tbl>
    <w:p w14:paraId="0F2937B3" w14:textId="77777777" w:rsidR="00DF57D6" w:rsidRDefault="00DF57D6" w:rsidP="00DF57D6">
      <w:pPr>
        <w:spacing w:after="0" w:line="240" w:lineRule="auto"/>
        <w:jc w:val="left"/>
        <w:rPr>
          <w:rFonts w:eastAsia="MS Gothic"/>
          <w:b/>
          <w:bCs/>
          <w:color w:val="71818C"/>
          <w:sz w:val="32"/>
          <w:szCs w:val="28"/>
          <w:highlight w:val="yellow"/>
        </w:rPr>
      </w:pPr>
      <w:bookmarkStart w:id="27" w:name="_Toc19090679"/>
      <w:bookmarkEnd w:id="27"/>
    </w:p>
    <w:p w14:paraId="66F863DD" w14:textId="77777777" w:rsidR="00DF57D6" w:rsidRDefault="00DF57D6">
      <w:pPr>
        <w:spacing w:after="0" w:line="240" w:lineRule="auto"/>
        <w:jc w:val="left"/>
        <w:rPr>
          <w:rFonts w:eastAsia="MS Gothic"/>
          <w:b/>
          <w:bCs/>
          <w:color w:val="71818C"/>
          <w:sz w:val="32"/>
          <w:szCs w:val="28"/>
        </w:rPr>
      </w:pPr>
      <w:r>
        <w:br w:type="page"/>
      </w:r>
    </w:p>
    <w:p w14:paraId="0DA25515" w14:textId="77777777" w:rsidR="00F766BE" w:rsidRDefault="00F766BE" w:rsidP="00F766BE">
      <w:pPr>
        <w:pStyle w:val="Nadpis11"/>
        <w:spacing w:after="120"/>
      </w:pPr>
      <w:bookmarkStart w:id="28" w:name="_Toc66719933"/>
      <w:bookmarkStart w:id="29" w:name="_Toc50712132"/>
      <w:bookmarkStart w:id="30" w:name="_Toc74643858"/>
      <w:bookmarkEnd w:id="23"/>
      <w:bookmarkEnd w:id="24"/>
      <w:bookmarkEnd w:id="25"/>
      <w:r w:rsidRPr="00B43216">
        <w:lastRenderedPageBreak/>
        <w:t>6. Trh práce</w:t>
      </w:r>
      <w:bookmarkEnd w:id="30"/>
    </w:p>
    <w:tbl>
      <w:tblPr>
        <w:tblW w:w="9664" w:type="dxa"/>
        <w:tblInd w:w="-25" w:type="dxa"/>
        <w:tblCellMar>
          <w:left w:w="0" w:type="dxa"/>
          <w:right w:w="0" w:type="dxa"/>
        </w:tblCellMar>
        <w:tblLook w:val="00A0" w:firstRow="1" w:lastRow="0" w:firstColumn="1" w:lastColumn="0" w:noHBand="0" w:noVBand="0"/>
      </w:tblPr>
      <w:tblGrid>
        <w:gridCol w:w="1792"/>
        <w:gridCol w:w="216"/>
        <w:gridCol w:w="7656"/>
      </w:tblGrid>
      <w:tr w:rsidR="00F766BE" w:rsidRPr="006237E6" w14:paraId="3999898F" w14:textId="77777777" w:rsidTr="006F6FF2">
        <w:trPr>
          <w:trHeight w:val="155"/>
        </w:trPr>
        <w:tc>
          <w:tcPr>
            <w:tcW w:w="1792" w:type="dxa"/>
            <w:shd w:val="clear" w:color="auto" w:fill="auto"/>
            <w:tcMar>
              <w:left w:w="0" w:type="dxa"/>
            </w:tcMar>
          </w:tcPr>
          <w:p w14:paraId="27A6B576" w14:textId="77777777" w:rsidR="00F766BE" w:rsidRDefault="00F766BE" w:rsidP="006F6FF2">
            <w:pPr>
              <w:pStyle w:val="Marginlie"/>
              <w:spacing w:after="120"/>
              <w:rPr>
                <w:spacing w:val="-4"/>
              </w:rPr>
            </w:pPr>
            <w:r>
              <w:rPr>
                <w:spacing w:val="-4"/>
              </w:rPr>
              <w:t>Meziroční pokles zaměstnanosti se již neprohluboval, mezičtvrtletně došlo k oživení.</w:t>
            </w:r>
          </w:p>
        </w:tc>
        <w:tc>
          <w:tcPr>
            <w:tcW w:w="216" w:type="dxa"/>
            <w:shd w:val="clear" w:color="auto" w:fill="auto"/>
            <w:tcMar>
              <w:left w:w="0" w:type="dxa"/>
            </w:tcMar>
          </w:tcPr>
          <w:p w14:paraId="418C3780" w14:textId="77777777" w:rsidR="00F766BE" w:rsidRPr="003B1401" w:rsidRDefault="00F766BE" w:rsidP="006F6FF2">
            <w:pPr>
              <w:pStyle w:val="Textpoznpodarou"/>
              <w:spacing w:after="120"/>
              <w:jc w:val="both"/>
              <w:rPr>
                <w:spacing w:val="-4"/>
              </w:rPr>
            </w:pPr>
          </w:p>
        </w:tc>
        <w:tc>
          <w:tcPr>
            <w:tcW w:w="7656" w:type="dxa"/>
            <w:shd w:val="clear" w:color="auto" w:fill="auto"/>
            <w:tcMar>
              <w:left w:w="0" w:type="dxa"/>
            </w:tcMar>
          </w:tcPr>
          <w:p w14:paraId="3B39F5DA" w14:textId="77777777" w:rsidR="00F766BE" w:rsidRPr="00B908AF" w:rsidRDefault="00F766BE" w:rsidP="006F6FF2">
            <w:pPr>
              <w:rPr>
                <w:rFonts w:cs="Arial"/>
                <w:bCs/>
                <w:color w:val="0D0D0D" w:themeColor="text1" w:themeTint="F2"/>
                <w:spacing w:val="-4"/>
                <w:szCs w:val="20"/>
              </w:rPr>
            </w:pPr>
            <w:r w:rsidRPr="00B908AF">
              <w:rPr>
                <w:rFonts w:cs="Arial"/>
                <w:bCs/>
                <w:color w:val="0D0D0D" w:themeColor="text1" w:themeTint="F2"/>
                <w:spacing w:val="-4"/>
                <w:szCs w:val="20"/>
              </w:rPr>
              <w:t>Zaměstnanost</w:t>
            </w:r>
            <w:r w:rsidRPr="00B908AF">
              <w:rPr>
                <w:color w:val="0D0D0D" w:themeColor="text1" w:themeTint="F2"/>
                <w:spacing w:val="-4"/>
                <w:vertAlign w:val="superscript"/>
              </w:rPr>
              <w:footnoteReference w:id="39"/>
            </w:r>
            <w:r w:rsidRPr="00B908AF">
              <w:rPr>
                <w:rFonts w:cs="Arial"/>
                <w:bCs/>
                <w:color w:val="0D0D0D" w:themeColor="text1" w:themeTint="F2"/>
                <w:spacing w:val="-4"/>
                <w:szCs w:val="20"/>
              </w:rPr>
              <w:t xml:space="preserve"> v tuzemské ekonomice se v 1.</w:t>
            </w:r>
            <w:r>
              <w:rPr>
                <w:rFonts w:cs="Arial"/>
                <w:bCs/>
                <w:color w:val="0D0D0D" w:themeColor="text1" w:themeTint="F2"/>
                <w:spacing w:val="-4"/>
                <w:szCs w:val="20"/>
              </w:rPr>
              <w:t> čtvrt</w:t>
            </w:r>
            <w:r w:rsidRPr="00B908AF">
              <w:rPr>
                <w:rFonts w:cs="Arial"/>
                <w:bCs/>
                <w:color w:val="0D0D0D" w:themeColor="text1" w:themeTint="F2"/>
                <w:spacing w:val="-4"/>
                <w:szCs w:val="20"/>
              </w:rPr>
              <w:t>letí 2021 meziročně snížila o 1,6 %</w:t>
            </w:r>
            <w:r>
              <w:rPr>
                <w:rFonts w:cs="Arial"/>
                <w:bCs/>
                <w:color w:val="0D0D0D" w:themeColor="text1" w:themeTint="F2"/>
                <w:spacing w:val="-4"/>
                <w:szCs w:val="20"/>
              </w:rPr>
              <w:t xml:space="preserve"> (</w:t>
            </w:r>
            <w:r w:rsidRPr="00B908AF">
              <w:rPr>
                <w:rFonts w:cs="Arial"/>
                <w:bCs/>
                <w:color w:val="0D0D0D" w:themeColor="text1" w:themeTint="F2"/>
                <w:spacing w:val="-4"/>
                <w:szCs w:val="20"/>
              </w:rPr>
              <w:t>88</w:t>
            </w:r>
            <w:r>
              <w:rPr>
                <w:rFonts w:cs="Arial"/>
                <w:bCs/>
                <w:color w:val="0D0D0D" w:themeColor="text1" w:themeTint="F2"/>
                <w:spacing w:val="-4"/>
                <w:szCs w:val="20"/>
              </w:rPr>
              <w:t> tis.</w:t>
            </w:r>
            <w:r w:rsidRPr="00B908AF">
              <w:rPr>
                <w:rFonts w:cs="Arial"/>
                <w:bCs/>
                <w:color w:val="0D0D0D" w:themeColor="text1" w:themeTint="F2"/>
                <w:spacing w:val="-4"/>
                <w:szCs w:val="20"/>
              </w:rPr>
              <w:t xml:space="preserve"> osob)</w:t>
            </w:r>
            <w:r w:rsidRPr="00B908AF">
              <w:rPr>
                <w:rStyle w:val="Znakapoznpodarou"/>
                <w:bCs/>
                <w:color w:val="0D0D0D" w:themeColor="text1" w:themeTint="F2"/>
                <w:spacing w:val="-4"/>
                <w:szCs w:val="20"/>
              </w:rPr>
              <w:footnoteReference w:id="40"/>
            </w:r>
            <w:r w:rsidRPr="00B908AF">
              <w:rPr>
                <w:rFonts w:cs="Arial"/>
                <w:bCs/>
                <w:color w:val="0D0D0D" w:themeColor="text1" w:themeTint="F2"/>
                <w:spacing w:val="-4"/>
                <w:szCs w:val="20"/>
              </w:rPr>
              <w:t>, tedy ob</w:t>
            </w:r>
            <w:r>
              <w:rPr>
                <w:rFonts w:cs="Arial"/>
                <w:bCs/>
                <w:color w:val="0D0D0D" w:themeColor="text1" w:themeTint="F2"/>
                <w:spacing w:val="-4"/>
                <w:szCs w:val="20"/>
              </w:rPr>
              <w:t>d</w:t>
            </w:r>
            <w:r w:rsidRPr="00B908AF">
              <w:rPr>
                <w:rFonts w:cs="Arial"/>
                <w:bCs/>
                <w:color w:val="0D0D0D" w:themeColor="text1" w:themeTint="F2"/>
                <w:spacing w:val="-4"/>
                <w:szCs w:val="20"/>
              </w:rPr>
              <w:t xml:space="preserve">obně jako za celý loňský rok. Navzdory tomu, že </w:t>
            </w:r>
            <w:proofErr w:type="spellStart"/>
            <w:r w:rsidRPr="00B908AF">
              <w:rPr>
                <w:rFonts w:cs="Arial"/>
                <w:bCs/>
                <w:color w:val="0D0D0D" w:themeColor="text1" w:themeTint="F2"/>
                <w:spacing w:val="-4"/>
                <w:szCs w:val="20"/>
              </w:rPr>
              <w:t>protipandemická</w:t>
            </w:r>
            <w:proofErr w:type="spellEnd"/>
            <w:r w:rsidRPr="00B908AF">
              <w:rPr>
                <w:rFonts w:cs="Arial"/>
                <w:bCs/>
                <w:color w:val="0D0D0D" w:themeColor="text1" w:themeTint="F2"/>
                <w:spacing w:val="-4"/>
                <w:szCs w:val="20"/>
              </w:rPr>
              <w:t xml:space="preserve"> opatření ochromovala prakticky nepřetržitě již půl roku významnou část služeb, počet pracovníků v ekonomice ve srovnání s posledním loňským čtvrtletím mírně vzrostl (+0,3</w:t>
            </w:r>
            <w:r>
              <w:rPr>
                <w:rFonts w:cs="Arial"/>
                <w:bCs/>
                <w:color w:val="0D0D0D" w:themeColor="text1" w:themeTint="F2"/>
                <w:spacing w:val="-4"/>
                <w:szCs w:val="20"/>
              </w:rPr>
              <w:t> %), zejména díky průmyslu a veřejným službám.</w:t>
            </w:r>
          </w:p>
        </w:tc>
      </w:tr>
      <w:tr w:rsidR="00F766BE" w:rsidRPr="006237E6" w14:paraId="5BE190B5" w14:textId="77777777" w:rsidTr="006F6FF2">
        <w:trPr>
          <w:trHeight w:val="155"/>
        </w:trPr>
        <w:tc>
          <w:tcPr>
            <w:tcW w:w="1792" w:type="dxa"/>
            <w:shd w:val="clear" w:color="auto" w:fill="auto"/>
            <w:tcMar>
              <w:left w:w="0" w:type="dxa"/>
            </w:tcMar>
          </w:tcPr>
          <w:p w14:paraId="523EF2DD" w14:textId="77777777" w:rsidR="00F766BE" w:rsidRDefault="00F766BE" w:rsidP="006F6FF2">
            <w:pPr>
              <w:pStyle w:val="Marginlie"/>
              <w:spacing w:after="120"/>
              <w:rPr>
                <w:spacing w:val="-4"/>
              </w:rPr>
            </w:pPr>
            <w:r>
              <w:rPr>
                <w:spacing w:val="-4"/>
              </w:rPr>
              <w:t>Meziroční úbytek zaměstnanosti v odvětví obchod, doprava, ubytování a pohostinství byl nejhlubší v historii samostatné ČR.</w:t>
            </w:r>
          </w:p>
          <w:p w14:paraId="53F7DFCD" w14:textId="77777777" w:rsidR="00F766BE" w:rsidRDefault="00F766BE" w:rsidP="006F6FF2">
            <w:pPr>
              <w:pStyle w:val="Marginlie"/>
              <w:spacing w:after="120"/>
              <w:rPr>
                <w:spacing w:val="-4"/>
              </w:rPr>
            </w:pPr>
          </w:p>
          <w:p w14:paraId="67519B4E" w14:textId="77777777" w:rsidR="00F766BE" w:rsidRDefault="00F766BE" w:rsidP="006F6FF2">
            <w:pPr>
              <w:pStyle w:val="Marginlie"/>
              <w:spacing w:after="120"/>
              <w:rPr>
                <w:spacing w:val="-4"/>
              </w:rPr>
            </w:pPr>
          </w:p>
          <w:p w14:paraId="40BFE563" w14:textId="77777777" w:rsidR="00F766BE" w:rsidRDefault="00F766BE" w:rsidP="006F6FF2">
            <w:pPr>
              <w:pStyle w:val="Marginlie"/>
              <w:spacing w:after="120"/>
              <w:rPr>
                <w:spacing w:val="-4"/>
              </w:rPr>
            </w:pPr>
          </w:p>
          <w:p w14:paraId="1CCFEFF1" w14:textId="77777777" w:rsidR="00F766BE" w:rsidRDefault="00F766BE" w:rsidP="006F6FF2">
            <w:pPr>
              <w:pStyle w:val="Marginlie"/>
              <w:spacing w:after="120"/>
              <w:rPr>
                <w:spacing w:val="-4"/>
              </w:rPr>
            </w:pPr>
          </w:p>
          <w:p w14:paraId="7034B662" w14:textId="77777777" w:rsidR="00F766BE" w:rsidRDefault="00F766BE" w:rsidP="006F6FF2">
            <w:pPr>
              <w:pStyle w:val="Marginlie"/>
              <w:spacing w:after="120"/>
              <w:rPr>
                <w:spacing w:val="-4"/>
              </w:rPr>
            </w:pPr>
          </w:p>
          <w:p w14:paraId="3145B288" w14:textId="77777777" w:rsidR="00F766BE" w:rsidRDefault="00F766BE" w:rsidP="006F6FF2">
            <w:pPr>
              <w:pStyle w:val="Marginlie"/>
              <w:spacing w:after="120"/>
              <w:rPr>
                <w:spacing w:val="-4"/>
              </w:rPr>
            </w:pPr>
            <w:r>
              <w:rPr>
                <w:spacing w:val="-4"/>
              </w:rPr>
              <w:t>Dlouhodobý růst zaměstnanosti ve veřejných službách i v oblasti ICT pokračoval.</w:t>
            </w:r>
          </w:p>
        </w:tc>
        <w:tc>
          <w:tcPr>
            <w:tcW w:w="216" w:type="dxa"/>
            <w:shd w:val="clear" w:color="auto" w:fill="auto"/>
            <w:tcMar>
              <w:left w:w="0" w:type="dxa"/>
            </w:tcMar>
          </w:tcPr>
          <w:p w14:paraId="59DED8A8" w14:textId="77777777" w:rsidR="00F766BE" w:rsidRPr="003B1401" w:rsidRDefault="00F766BE" w:rsidP="006F6FF2">
            <w:pPr>
              <w:pStyle w:val="Textpoznpodarou"/>
              <w:spacing w:after="120"/>
              <w:jc w:val="both"/>
              <w:rPr>
                <w:spacing w:val="-4"/>
              </w:rPr>
            </w:pPr>
          </w:p>
        </w:tc>
        <w:tc>
          <w:tcPr>
            <w:tcW w:w="7656" w:type="dxa"/>
            <w:shd w:val="clear" w:color="auto" w:fill="auto"/>
            <w:tcMar>
              <w:left w:w="0" w:type="dxa"/>
            </w:tcMar>
          </w:tcPr>
          <w:p w14:paraId="552A8949" w14:textId="77777777" w:rsidR="00F766BE" w:rsidRPr="00174E08" w:rsidRDefault="00F766BE" w:rsidP="006F6FF2">
            <w:pPr>
              <w:rPr>
                <w:rFonts w:cs="Arial"/>
                <w:bCs/>
                <w:color w:val="000000"/>
                <w:spacing w:val="-3"/>
                <w:szCs w:val="20"/>
              </w:rPr>
            </w:pPr>
            <w:r w:rsidRPr="00490051">
              <w:rPr>
                <w:rFonts w:cs="Arial"/>
                <w:bCs/>
                <w:color w:val="000000"/>
                <w:spacing w:val="-3"/>
                <w:szCs w:val="20"/>
              </w:rPr>
              <w:t xml:space="preserve">Vývoj zaměstnanosti </w:t>
            </w:r>
            <w:r w:rsidRPr="00490051">
              <w:rPr>
                <w:rFonts w:cs="Arial"/>
                <w:bCs/>
                <w:color w:val="0D0D0D" w:themeColor="text1" w:themeTint="F2"/>
                <w:spacing w:val="-3"/>
                <w:szCs w:val="20"/>
              </w:rPr>
              <w:t xml:space="preserve">na odvětvové úrovni </w:t>
            </w:r>
            <w:r w:rsidRPr="00490051">
              <w:rPr>
                <w:rFonts w:cs="Arial"/>
                <w:bCs/>
                <w:color w:val="000000"/>
                <w:spacing w:val="-3"/>
                <w:szCs w:val="20"/>
              </w:rPr>
              <w:t>byl nadále značně diferenco</w:t>
            </w:r>
            <w:r>
              <w:rPr>
                <w:rFonts w:cs="Arial"/>
                <w:bCs/>
                <w:color w:val="000000"/>
                <w:spacing w:val="-3"/>
                <w:szCs w:val="20"/>
              </w:rPr>
              <w:t>vaný v závislosti na délce i intenzitě</w:t>
            </w:r>
            <w:r w:rsidRPr="00490051">
              <w:rPr>
                <w:rFonts w:cs="Arial"/>
                <w:bCs/>
                <w:color w:val="000000"/>
                <w:spacing w:val="-3"/>
                <w:szCs w:val="20"/>
              </w:rPr>
              <w:t xml:space="preserve"> </w:t>
            </w:r>
            <w:proofErr w:type="spellStart"/>
            <w:r w:rsidRPr="00490051">
              <w:rPr>
                <w:rFonts w:cs="Arial"/>
                <w:bCs/>
                <w:color w:val="000000"/>
                <w:spacing w:val="-3"/>
                <w:szCs w:val="20"/>
              </w:rPr>
              <w:t>protipandemických</w:t>
            </w:r>
            <w:proofErr w:type="spellEnd"/>
            <w:r w:rsidRPr="00490051">
              <w:rPr>
                <w:rFonts w:cs="Arial"/>
                <w:bCs/>
                <w:color w:val="000000"/>
                <w:spacing w:val="-3"/>
                <w:szCs w:val="20"/>
              </w:rPr>
              <w:t xml:space="preserve"> restrikcí.</w:t>
            </w:r>
            <w:r>
              <w:rPr>
                <w:rFonts w:cs="Arial"/>
                <w:bCs/>
                <w:color w:val="000000"/>
                <w:spacing w:val="-3"/>
                <w:szCs w:val="20"/>
              </w:rPr>
              <w:t xml:space="preserve"> Zatímco </w:t>
            </w:r>
            <w:r w:rsidRPr="00490051">
              <w:rPr>
                <w:rFonts w:cs="Arial"/>
                <w:bCs/>
                <w:color w:val="000000"/>
                <w:spacing w:val="-3"/>
                <w:szCs w:val="20"/>
              </w:rPr>
              <w:t xml:space="preserve">k meziročně nižší zaměstnanosti v celé ekonomice </w:t>
            </w:r>
            <w:r>
              <w:rPr>
                <w:rFonts w:cs="Arial"/>
                <w:bCs/>
                <w:color w:val="000000"/>
                <w:spacing w:val="-3"/>
                <w:szCs w:val="20"/>
              </w:rPr>
              <w:t xml:space="preserve">přispíval po většinu loňského roku nejvíce zpracovatelský průmysl, na </w:t>
            </w:r>
            <w:r w:rsidRPr="00490051">
              <w:rPr>
                <w:rFonts w:cs="Arial"/>
                <w:bCs/>
                <w:color w:val="000000"/>
                <w:spacing w:val="-3"/>
                <w:szCs w:val="20"/>
              </w:rPr>
              <w:t>jeho konci a</w:t>
            </w:r>
            <w:r>
              <w:rPr>
                <w:rFonts w:cs="Arial"/>
                <w:bCs/>
                <w:color w:val="000000"/>
                <w:spacing w:val="-3"/>
                <w:szCs w:val="20"/>
              </w:rPr>
              <w:t> </w:t>
            </w:r>
            <w:r w:rsidRPr="00490051">
              <w:rPr>
                <w:rFonts w:cs="Arial"/>
                <w:bCs/>
                <w:color w:val="000000"/>
                <w:spacing w:val="-3"/>
                <w:szCs w:val="20"/>
              </w:rPr>
              <w:t>na počátku roku 2021 převzalo tuto roli uskupení obchod,</w:t>
            </w:r>
            <w:r>
              <w:rPr>
                <w:rFonts w:cs="Arial"/>
                <w:bCs/>
                <w:color w:val="000000"/>
                <w:spacing w:val="-3"/>
                <w:szCs w:val="20"/>
              </w:rPr>
              <w:t xml:space="preserve"> doprava, ubytování </w:t>
            </w:r>
            <w:r w:rsidRPr="00490051">
              <w:rPr>
                <w:rFonts w:cs="Arial"/>
                <w:bCs/>
                <w:color w:val="000000"/>
                <w:spacing w:val="-3"/>
                <w:szCs w:val="20"/>
              </w:rPr>
              <w:t>a</w:t>
            </w:r>
            <w:r>
              <w:rPr>
                <w:rFonts w:cs="Arial"/>
                <w:bCs/>
                <w:color w:val="000000"/>
                <w:spacing w:val="-3"/>
                <w:szCs w:val="20"/>
              </w:rPr>
              <w:t> </w:t>
            </w:r>
            <w:r w:rsidRPr="00490051">
              <w:rPr>
                <w:rFonts w:cs="Arial"/>
                <w:bCs/>
                <w:color w:val="000000"/>
                <w:spacing w:val="-3"/>
                <w:szCs w:val="20"/>
              </w:rPr>
              <w:t>pohostinství. Redukce počtu pracovníků zde přesáhla 5</w:t>
            </w:r>
            <w:r>
              <w:rPr>
                <w:rFonts w:cs="Arial"/>
                <w:bCs/>
                <w:color w:val="000000"/>
                <w:spacing w:val="-3"/>
                <w:szCs w:val="20"/>
              </w:rPr>
              <w:t> %</w:t>
            </w:r>
            <w:r w:rsidRPr="00490051">
              <w:rPr>
                <w:rFonts w:cs="Arial"/>
                <w:bCs/>
                <w:color w:val="000000"/>
                <w:spacing w:val="-3"/>
                <w:szCs w:val="20"/>
              </w:rPr>
              <w:t xml:space="preserve"> a</w:t>
            </w:r>
            <w:r>
              <w:rPr>
                <w:rFonts w:cs="Arial"/>
                <w:bCs/>
                <w:color w:val="000000"/>
                <w:spacing w:val="-3"/>
                <w:szCs w:val="20"/>
              </w:rPr>
              <w:t> </w:t>
            </w:r>
            <w:r w:rsidRPr="00490051">
              <w:rPr>
                <w:rFonts w:cs="Arial"/>
                <w:bCs/>
                <w:color w:val="000000"/>
                <w:spacing w:val="-3"/>
                <w:szCs w:val="20"/>
              </w:rPr>
              <w:t>byla současně nejhlubší v historii samostatné ČR. Významně ubylo také zaměstnaných v tzv.</w:t>
            </w:r>
            <w:r>
              <w:rPr>
                <w:rFonts w:cs="Arial"/>
                <w:bCs/>
                <w:color w:val="000000"/>
                <w:spacing w:val="-3"/>
                <w:szCs w:val="20"/>
              </w:rPr>
              <w:t> </w:t>
            </w:r>
            <w:r w:rsidRPr="00490051">
              <w:rPr>
                <w:rFonts w:cs="Arial"/>
                <w:bCs/>
                <w:color w:val="000000"/>
                <w:spacing w:val="-3"/>
                <w:szCs w:val="20"/>
              </w:rPr>
              <w:t>ostatních službách, zahrnujících zejména kulturní, zábavní a</w:t>
            </w:r>
            <w:r>
              <w:rPr>
                <w:rFonts w:cs="Arial"/>
                <w:bCs/>
                <w:color w:val="000000"/>
                <w:spacing w:val="-3"/>
                <w:szCs w:val="20"/>
              </w:rPr>
              <w:t> </w:t>
            </w:r>
            <w:r w:rsidRPr="00490051">
              <w:rPr>
                <w:rFonts w:cs="Arial"/>
                <w:bCs/>
                <w:color w:val="000000"/>
                <w:spacing w:val="-3"/>
                <w:szCs w:val="20"/>
              </w:rPr>
              <w:t>rekreační služby, ale také některé osobní služby převážně pro domácnosti (kadeřnictví, čistění, opravy). By</w:t>
            </w:r>
            <w:r>
              <w:rPr>
                <w:rFonts w:cs="Arial"/>
                <w:bCs/>
                <w:color w:val="000000"/>
                <w:spacing w:val="-3"/>
                <w:szCs w:val="20"/>
              </w:rPr>
              <w:t>ť jde o</w:t>
            </w:r>
            <w:r w:rsidRPr="00490051">
              <w:rPr>
                <w:rFonts w:cs="Arial"/>
                <w:bCs/>
                <w:color w:val="000000"/>
                <w:spacing w:val="-3"/>
                <w:szCs w:val="20"/>
              </w:rPr>
              <w:t> relativně malé odvětví, 2% úbytek míst zde představoval nejhorší výsledek od konce roku 2013. Si</w:t>
            </w:r>
            <w:r>
              <w:rPr>
                <w:rFonts w:cs="Arial"/>
                <w:bCs/>
                <w:color w:val="000000"/>
                <w:spacing w:val="-3"/>
                <w:szCs w:val="20"/>
              </w:rPr>
              <w:t>l</w:t>
            </w:r>
            <w:r w:rsidRPr="00490051">
              <w:rPr>
                <w:rFonts w:cs="Arial"/>
                <w:bCs/>
                <w:color w:val="000000"/>
                <w:spacing w:val="-3"/>
                <w:szCs w:val="20"/>
              </w:rPr>
              <w:t>ně zasaženo bylo nadále i</w:t>
            </w:r>
            <w:r>
              <w:rPr>
                <w:rFonts w:cs="Arial"/>
                <w:bCs/>
                <w:color w:val="000000"/>
                <w:spacing w:val="-3"/>
                <w:szCs w:val="20"/>
              </w:rPr>
              <w:t> </w:t>
            </w:r>
            <w:r w:rsidRPr="00490051">
              <w:rPr>
                <w:rFonts w:cs="Arial"/>
                <w:bCs/>
                <w:color w:val="000000"/>
                <w:spacing w:val="-3"/>
                <w:szCs w:val="20"/>
              </w:rPr>
              <w:t>odvětví profesní, vědecké, technické, administrativní a podpůrné činnosti, kde po loňském rekordním propadu ubyl</w:t>
            </w:r>
            <w:r>
              <w:rPr>
                <w:rFonts w:cs="Arial"/>
                <w:bCs/>
                <w:color w:val="000000"/>
                <w:spacing w:val="-3"/>
                <w:szCs w:val="20"/>
              </w:rPr>
              <w:t>a</w:t>
            </w:r>
            <w:r w:rsidRPr="00490051">
              <w:rPr>
                <w:rFonts w:cs="Arial"/>
                <w:bCs/>
                <w:color w:val="000000"/>
                <w:spacing w:val="-3"/>
                <w:szCs w:val="20"/>
              </w:rPr>
              <w:t xml:space="preserve"> v 1.</w:t>
            </w:r>
            <w:r>
              <w:rPr>
                <w:rFonts w:cs="Arial"/>
                <w:bCs/>
                <w:color w:val="000000"/>
                <w:spacing w:val="-3"/>
                <w:szCs w:val="20"/>
              </w:rPr>
              <w:t> čtvrt</w:t>
            </w:r>
            <w:r w:rsidRPr="00490051">
              <w:rPr>
                <w:rFonts w:cs="Arial"/>
                <w:bCs/>
                <w:color w:val="000000"/>
                <w:spacing w:val="-3"/>
                <w:szCs w:val="20"/>
              </w:rPr>
              <w:t>letí 2021 meziročně další 2,1</w:t>
            </w:r>
            <w:r>
              <w:rPr>
                <w:rFonts w:cs="Arial"/>
                <w:bCs/>
                <w:color w:val="000000"/>
                <w:spacing w:val="-3"/>
                <w:szCs w:val="20"/>
              </w:rPr>
              <w:t> %</w:t>
            </w:r>
            <w:r w:rsidRPr="00490051">
              <w:rPr>
                <w:rFonts w:cs="Arial"/>
                <w:bCs/>
                <w:color w:val="000000"/>
                <w:spacing w:val="-3"/>
                <w:szCs w:val="20"/>
              </w:rPr>
              <w:t xml:space="preserve"> pracovníků. </w:t>
            </w:r>
            <w:r>
              <w:rPr>
                <w:rFonts w:cs="Arial"/>
                <w:bCs/>
                <w:color w:val="000000"/>
                <w:spacing w:val="-3"/>
                <w:szCs w:val="20"/>
              </w:rPr>
              <w:t>Význam některých služeb v pandemickém období naopak vzrostl. V dlouhodobě rozvíjejícím se odvětví informačních a komunikačních činností přibylo 3,5 % zaměstnaných, obdobně jako v průměru za loňský rok.</w:t>
            </w:r>
            <w:r>
              <w:rPr>
                <w:rFonts w:cs="Arial"/>
                <w:bCs/>
                <w:color w:val="000000"/>
                <w:spacing w:val="-4"/>
                <w:szCs w:val="20"/>
              </w:rPr>
              <w:t xml:space="preserve"> K posílení role služeb na pracovním trhu ovšem přispěly nejvíce veřejné služby, v nichž nová místa vznikala zejména ve</w:t>
            </w:r>
            <w:r w:rsidRPr="00D8571F">
              <w:rPr>
                <w:rFonts w:cs="Arial"/>
                <w:bCs/>
                <w:color w:val="000000"/>
                <w:spacing w:val="-4"/>
                <w:szCs w:val="20"/>
              </w:rPr>
              <w:t xml:space="preserve"> vzdělávání, v menší míře i</w:t>
            </w:r>
            <w:r>
              <w:rPr>
                <w:rFonts w:cs="Arial"/>
                <w:bCs/>
                <w:color w:val="000000"/>
                <w:spacing w:val="-4"/>
                <w:szCs w:val="20"/>
              </w:rPr>
              <w:t xml:space="preserve"> ve </w:t>
            </w:r>
            <w:r w:rsidRPr="00D8571F">
              <w:rPr>
                <w:rFonts w:cs="Arial"/>
                <w:bCs/>
                <w:color w:val="000000"/>
                <w:spacing w:val="-4"/>
                <w:szCs w:val="20"/>
              </w:rPr>
              <w:t>zdravotní a</w:t>
            </w:r>
            <w:r>
              <w:rPr>
                <w:rFonts w:cs="Arial"/>
                <w:bCs/>
                <w:color w:val="000000"/>
                <w:spacing w:val="-4"/>
                <w:szCs w:val="20"/>
              </w:rPr>
              <w:t> sociální péči.</w:t>
            </w:r>
          </w:p>
        </w:tc>
      </w:tr>
      <w:tr w:rsidR="00F766BE" w:rsidRPr="006237E6" w14:paraId="14FA6153" w14:textId="77777777" w:rsidTr="006F6FF2">
        <w:trPr>
          <w:trHeight w:val="155"/>
        </w:trPr>
        <w:tc>
          <w:tcPr>
            <w:tcW w:w="1792" w:type="dxa"/>
            <w:shd w:val="clear" w:color="auto" w:fill="auto"/>
            <w:tcMar>
              <w:left w:w="0" w:type="dxa"/>
            </w:tcMar>
          </w:tcPr>
          <w:p w14:paraId="77794BC3" w14:textId="77777777" w:rsidR="00F766BE" w:rsidRDefault="00F766BE" w:rsidP="006F6FF2">
            <w:pPr>
              <w:pStyle w:val="Marginlie"/>
              <w:spacing w:after="120"/>
              <w:rPr>
                <w:spacing w:val="-4"/>
              </w:rPr>
            </w:pPr>
            <w:r>
              <w:rPr>
                <w:spacing w:val="-4"/>
              </w:rPr>
              <w:t>V průmyslu se meziroční pokles zaměstnanosti postupně tlumil. Větším úbytkům míst nadále čelil těžební průmysl, ale také strojírenství.</w:t>
            </w:r>
          </w:p>
        </w:tc>
        <w:tc>
          <w:tcPr>
            <w:tcW w:w="216" w:type="dxa"/>
            <w:shd w:val="clear" w:color="auto" w:fill="auto"/>
            <w:tcMar>
              <w:left w:w="0" w:type="dxa"/>
            </w:tcMar>
          </w:tcPr>
          <w:p w14:paraId="035C7A25" w14:textId="77777777" w:rsidR="00F766BE" w:rsidRPr="003B1401" w:rsidRDefault="00F766BE" w:rsidP="006F6FF2">
            <w:pPr>
              <w:pStyle w:val="Textpoznpodarou"/>
              <w:spacing w:after="120"/>
              <w:jc w:val="both"/>
              <w:rPr>
                <w:spacing w:val="-4"/>
              </w:rPr>
            </w:pPr>
          </w:p>
        </w:tc>
        <w:tc>
          <w:tcPr>
            <w:tcW w:w="7656" w:type="dxa"/>
            <w:shd w:val="clear" w:color="auto" w:fill="auto"/>
            <w:tcMar>
              <w:left w:w="0" w:type="dxa"/>
            </w:tcMar>
          </w:tcPr>
          <w:p w14:paraId="0DC68C20" w14:textId="77777777" w:rsidR="00F766BE" w:rsidRPr="008567AE" w:rsidRDefault="00F766BE" w:rsidP="006F6FF2">
            <w:pPr>
              <w:rPr>
                <w:rFonts w:cs="Arial"/>
                <w:bCs/>
                <w:color w:val="000000"/>
                <w:spacing w:val="-2"/>
                <w:szCs w:val="20"/>
              </w:rPr>
            </w:pPr>
            <w:r>
              <w:rPr>
                <w:rFonts w:cs="Arial"/>
                <w:bCs/>
                <w:color w:val="000000"/>
                <w:spacing w:val="-4"/>
                <w:szCs w:val="20"/>
              </w:rPr>
              <w:t xml:space="preserve">O rovná 2 % klesla zaměstnanost v průmyslu. Díky oživené zahraniční poptávce zde ovšem byla situace podstatně příznivější než po většinu loňského roku. Svědčí o tom i významný </w:t>
            </w:r>
            <w:proofErr w:type="spellStart"/>
            <w:r>
              <w:rPr>
                <w:rFonts w:cs="Arial"/>
                <w:bCs/>
                <w:color w:val="000000"/>
                <w:spacing w:val="-4"/>
                <w:szCs w:val="20"/>
              </w:rPr>
              <w:t>mezikvartální</w:t>
            </w:r>
            <w:proofErr w:type="spellEnd"/>
            <w:r>
              <w:rPr>
                <w:rFonts w:cs="Arial"/>
                <w:bCs/>
                <w:color w:val="000000"/>
                <w:spacing w:val="-4"/>
                <w:szCs w:val="20"/>
              </w:rPr>
              <w:t xml:space="preserve"> přírůstek pracovníků, jenž v 1. čtvrtletí 2021 dosáhl 0,6 %. V rámci průmyslu pokračoval vleklý hluboký úbytek zaměstnanosti ve strukturálně postiženém oboru těžby a dobývání. Útlum investiční aktivity během současné recese se negativně podepsal i na významném oboru strojírenství a ušetřeni nezůstali ani výrobci dopravních prostředků. </w:t>
            </w:r>
            <w:r w:rsidRPr="00217F48">
              <w:rPr>
                <w:rFonts w:cs="Arial"/>
                <w:bCs/>
                <w:color w:val="000000"/>
                <w:spacing w:val="-4"/>
                <w:szCs w:val="20"/>
              </w:rPr>
              <w:t>Lépe si vedly některé obory zaměřené na produkty krátkodobé spotře</w:t>
            </w:r>
            <w:r>
              <w:rPr>
                <w:rFonts w:cs="Arial"/>
                <w:bCs/>
                <w:color w:val="000000"/>
                <w:spacing w:val="-4"/>
                <w:szCs w:val="20"/>
              </w:rPr>
              <w:t>by (potravinářství, farmacie), u </w:t>
            </w:r>
            <w:r w:rsidRPr="00217F48">
              <w:rPr>
                <w:rFonts w:cs="Arial"/>
                <w:bCs/>
                <w:color w:val="000000"/>
                <w:spacing w:val="-4"/>
                <w:szCs w:val="20"/>
              </w:rPr>
              <w:t>nichž k</w:t>
            </w:r>
            <w:r>
              <w:rPr>
                <w:rFonts w:cs="Arial"/>
                <w:bCs/>
                <w:color w:val="000000"/>
                <w:spacing w:val="-4"/>
                <w:szCs w:val="20"/>
              </w:rPr>
              <w:t> významnějším</w:t>
            </w:r>
            <w:r w:rsidRPr="00217F48">
              <w:rPr>
                <w:rFonts w:cs="Arial"/>
                <w:bCs/>
                <w:color w:val="000000"/>
                <w:spacing w:val="-4"/>
                <w:szCs w:val="20"/>
              </w:rPr>
              <w:t xml:space="preserve"> meziročním změnám zaměstnanosti nedošlo.</w:t>
            </w:r>
            <w:r>
              <w:rPr>
                <w:rFonts w:cs="Arial"/>
                <w:bCs/>
                <w:color w:val="000000"/>
                <w:spacing w:val="-4"/>
                <w:szCs w:val="20"/>
              </w:rPr>
              <w:t xml:space="preserve"> V odvětví stavebnictví se předchozí tři roky trvající růst zaměstnanosti letos zastavil. Významnější pohyby nenastaly na počátku letošního roku ani v zemědělství, počet pracovníků zde byl dlouhodobě stabilizovaný.</w:t>
            </w:r>
          </w:p>
        </w:tc>
      </w:tr>
      <w:tr w:rsidR="00F766BE" w:rsidRPr="006237E6" w14:paraId="01C5F88E" w14:textId="77777777" w:rsidTr="006F6FF2">
        <w:trPr>
          <w:trHeight w:val="155"/>
        </w:trPr>
        <w:tc>
          <w:tcPr>
            <w:tcW w:w="1792" w:type="dxa"/>
            <w:shd w:val="clear" w:color="auto" w:fill="auto"/>
            <w:tcMar>
              <w:left w:w="0" w:type="dxa"/>
            </w:tcMar>
          </w:tcPr>
          <w:p w14:paraId="64745B62" w14:textId="77777777" w:rsidR="00F766BE" w:rsidRDefault="00F766BE" w:rsidP="006F6FF2">
            <w:pPr>
              <w:pStyle w:val="Marginlie"/>
              <w:spacing w:after="120"/>
              <w:rPr>
                <w:spacing w:val="-4"/>
              </w:rPr>
            </w:pPr>
            <w:r>
              <w:rPr>
                <w:spacing w:val="-4"/>
              </w:rPr>
              <w:t xml:space="preserve">Na poklesu celkové zaměstnanosti v 1. čtvrtletí se skoro z poloviny podíleli </w:t>
            </w:r>
            <w:proofErr w:type="spellStart"/>
            <w:r>
              <w:rPr>
                <w:spacing w:val="-4"/>
              </w:rPr>
              <w:t>sebezaměstnaní</w:t>
            </w:r>
            <w:proofErr w:type="spellEnd"/>
            <w:r>
              <w:rPr>
                <w:spacing w:val="-4"/>
              </w:rPr>
              <w:t>. Jejich stavy významněji posílily jen v segmentu ICT.</w:t>
            </w:r>
          </w:p>
        </w:tc>
        <w:tc>
          <w:tcPr>
            <w:tcW w:w="216" w:type="dxa"/>
            <w:shd w:val="clear" w:color="auto" w:fill="auto"/>
            <w:tcMar>
              <w:left w:w="0" w:type="dxa"/>
            </w:tcMar>
          </w:tcPr>
          <w:p w14:paraId="5EE29B36" w14:textId="77777777" w:rsidR="00F766BE" w:rsidRPr="003B1401" w:rsidRDefault="00F766BE" w:rsidP="006F6FF2">
            <w:pPr>
              <w:pStyle w:val="Textpoznpodarou"/>
              <w:spacing w:after="120"/>
              <w:jc w:val="both"/>
              <w:rPr>
                <w:spacing w:val="-4"/>
              </w:rPr>
            </w:pPr>
          </w:p>
        </w:tc>
        <w:tc>
          <w:tcPr>
            <w:tcW w:w="7656" w:type="dxa"/>
            <w:shd w:val="clear" w:color="auto" w:fill="auto"/>
            <w:tcMar>
              <w:left w:w="0" w:type="dxa"/>
            </w:tcMar>
          </w:tcPr>
          <w:p w14:paraId="366953F0" w14:textId="4E164E1D" w:rsidR="00F766BE" w:rsidRPr="00B7530B" w:rsidRDefault="00F766BE" w:rsidP="00F766BE">
            <w:pPr>
              <w:spacing w:after="0"/>
              <w:rPr>
                <w:rFonts w:cs="Arial"/>
                <w:bCs/>
                <w:color w:val="000000"/>
                <w:spacing w:val="-4"/>
                <w:szCs w:val="20"/>
              </w:rPr>
            </w:pPr>
            <w:r w:rsidRPr="00B7530B">
              <w:rPr>
                <w:rFonts w:cs="Arial"/>
                <w:bCs/>
                <w:color w:val="000000"/>
                <w:spacing w:val="-4"/>
                <w:szCs w:val="20"/>
              </w:rPr>
              <w:t>Mnohaměsíční citelné omezení nákupních možností i</w:t>
            </w:r>
            <w:r>
              <w:rPr>
                <w:rFonts w:cs="Arial"/>
                <w:bCs/>
                <w:color w:val="000000"/>
                <w:spacing w:val="-4"/>
                <w:szCs w:val="20"/>
              </w:rPr>
              <w:t> </w:t>
            </w:r>
            <w:r w:rsidRPr="00B7530B">
              <w:rPr>
                <w:rFonts w:cs="Arial"/>
                <w:bCs/>
                <w:color w:val="000000"/>
                <w:spacing w:val="-4"/>
                <w:szCs w:val="20"/>
              </w:rPr>
              <w:t xml:space="preserve">volnočasových aktivit obyvatelstva </w:t>
            </w:r>
            <w:r>
              <w:rPr>
                <w:rFonts w:cs="Arial"/>
                <w:bCs/>
                <w:color w:val="000000"/>
                <w:spacing w:val="-4"/>
                <w:szCs w:val="20"/>
              </w:rPr>
              <w:t>prohlubovalo</w:t>
            </w:r>
            <w:r w:rsidRPr="00B7530B">
              <w:rPr>
                <w:rFonts w:cs="Arial"/>
                <w:bCs/>
                <w:color w:val="000000"/>
                <w:spacing w:val="-4"/>
                <w:szCs w:val="20"/>
              </w:rPr>
              <w:t> obtížn</w:t>
            </w:r>
            <w:r>
              <w:rPr>
                <w:rFonts w:cs="Arial"/>
                <w:bCs/>
                <w:color w:val="000000"/>
                <w:spacing w:val="-4"/>
                <w:szCs w:val="20"/>
              </w:rPr>
              <w:t>ou</w:t>
            </w:r>
            <w:r w:rsidRPr="00B7530B">
              <w:rPr>
                <w:rFonts w:cs="Arial"/>
                <w:bCs/>
                <w:color w:val="000000"/>
                <w:spacing w:val="-4"/>
                <w:szCs w:val="20"/>
              </w:rPr>
              <w:t xml:space="preserve"> situaci podnikatelů. </w:t>
            </w:r>
            <w:r>
              <w:rPr>
                <w:rFonts w:cs="Arial"/>
                <w:bCs/>
                <w:color w:val="000000"/>
                <w:spacing w:val="-4"/>
                <w:szCs w:val="20"/>
              </w:rPr>
              <w:t>Z</w:t>
            </w:r>
            <w:r w:rsidRPr="00B7530B">
              <w:rPr>
                <w:rFonts w:cs="Arial"/>
                <w:bCs/>
                <w:color w:val="000000"/>
                <w:spacing w:val="-4"/>
                <w:szCs w:val="20"/>
              </w:rPr>
              <w:t xml:space="preserve">a celý loňský rok se počet </w:t>
            </w:r>
            <w:proofErr w:type="spellStart"/>
            <w:r w:rsidRPr="00B7530B">
              <w:rPr>
                <w:rFonts w:cs="Arial"/>
                <w:bCs/>
                <w:color w:val="000000"/>
                <w:spacing w:val="-4"/>
                <w:szCs w:val="20"/>
              </w:rPr>
              <w:t>sebezaměstnaných</w:t>
            </w:r>
            <w:proofErr w:type="spellEnd"/>
            <w:r w:rsidRPr="00B7530B">
              <w:rPr>
                <w:rFonts w:cs="Arial"/>
                <w:bCs/>
                <w:color w:val="000000"/>
                <w:spacing w:val="-4"/>
                <w:szCs w:val="20"/>
              </w:rPr>
              <w:t xml:space="preserve"> snížil o</w:t>
            </w:r>
            <w:r>
              <w:rPr>
                <w:rFonts w:cs="Arial"/>
                <w:bCs/>
                <w:color w:val="000000"/>
                <w:spacing w:val="-4"/>
                <w:szCs w:val="20"/>
              </w:rPr>
              <w:t> </w:t>
            </w:r>
            <w:r w:rsidRPr="00B7530B">
              <w:rPr>
                <w:rFonts w:cs="Arial"/>
                <w:bCs/>
                <w:color w:val="000000"/>
                <w:spacing w:val="-4"/>
                <w:szCs w:val="20"/>
              </w:rPr>
              <w:t>1,2</w:t>
            </w:r>
            <w:r>
              <w:rPr>
                <w:rFonts w:cs="Arial"/>
                <w:bCs/>
                <w:color w:val="000000"/>
                <w:spacing w:val="-4"/>
                <w:szCs w:val="20"/>
              </w:rPr>
              <w:t> %</w:t>
            </w:r>
            <w:r w:rsidRPr="00B7530B">
              <w:rPr>
                <w:rFonts w:cs="Arial"/>
                <w:bCs/>
                <w:color w:val="000000"/>
                <w:spacing w:val="-4"/>
                <w:szCs w:val="20"/>
              </w:rPr>
              <w:t xml:space="preserve">, </w:t>
            </w:r>
            <w:r>
              <w:rPr>
                <w:rFonts w:cs="Arial"/>
                <w:bCs/>
                <w:color w:val="000000"/>
                <w:spacing w:val="-4"/>
                <w:szCs w:val="20"/>
              </w:rPr>
              <w:t xml:space="preserve">a </w:t>
            </w:r>
            <w:r w:rsidRPr="00B7530B">
              <w:rPr>
                <w:rFonts w:cs="Arial"/>
                <w:bCs/>
                <w:color w:val="000000"/>
                <w:spacing w:val="-4"/>
                <w:szCs w:val="20"/>
              </w:rPr>
              <w:t>v 1.</w:t>
            </w:r>
            <w:r>
              <w:rPr>
                <w:rFonts w:cs="Arial"/>
                <w:bCs/>
                <w:color w:val="000000"/>
                <w:spacing w:val="-4"/>
                <w:szCs w:val="20"/>
              </w:rPr>
              <w:t> čtvrt</w:t>
            </w:r>
            <w:r w:rsidRPr="00B7530B">
              <w:rPr>
                <w:rFonts w:cs="Arial"/>
                <w:bCs/>
                <w:color w:val="000000"/>
                <w:spacing w:val="-4"/>
                <w:szCs w:val="20"/>
              </w:rPr>
              <w:t>letí 2021 se meziroční pokles prohloubil na 5,2 % (resp. 39</w:t>
            </w:r>
            <w:r>
              <w:rPr>
                <w:rFonts w:cs="Arial"/>
                <w:bCs/>
                <w:color w:val="000000"/>
                <w:spacing w:val="-4"/>
                <w:szCs w:val="20"/>
              </w:rPr>
              <w:t> tis.</w:t>
            </w:r>
            <w:r w:rsidRPr="00B7530B">
              <w:rPr>
                <w:rFonts w:cs="Arial"/>
                <w:bCs/>
                <w:color w:val="000000"/>
                <w:spacing w:val="-4"/>
                <w:szCs w:val="20"/>
              </w:rPr>
              <w:t xml:space="preserve"> osob</w:t>
            </w:r>
            <w:r w:rsidRPr="00A41F17">
              <w:rPr>
                <w:rFonts w:cs="Arial"/>
                <w:bCs/>
                <w:color w:val="000000"/>
                <w:spacing w:val="-4"/>
                <w:szCs w:val="20"/>
              </w:rPr>
              <w:t>)</w:t>
            </w:r>
            <w:r w:rsidRPr="00A41F17">
              <w:rPr>
                <w:rStyle w:val="Znakapoznpodarou"/>
                <w:bCs/>
                <w:color w:val="000000"/>
                <w:spacing w:val="-4"/>
                <w:szCs w:val="20"/>
              </w:rPr>
              <w:footnoteReference w:id="41"/>
            </w:r>
            <w:r w:rsidRPr="00A41F17">
              <w:rPr>
                <w:rFonts w:cs="Arial"/>
                <w:bCs/>
                <w:color w:val="000000"/>
                <w:spacing w:val="-4"/>
                <w:szCs w:val="20"/>
              </w:rPr>
              <w:t>. Ten šel z poloviny na vrub uskupení</w:t>
            </w:r>
            <w:r w:rsidRPr="00B7530B">
              <w:rPr>
                <w:rFonts w:cs="Arial"/>
                <w:bCs/>
                <w:color w:val="000000"/>
                <w:spacing w:val="-4"/>
                <w:szCs w:val="20"/>
              </w:rPr>
              <w:t xml:space="preserve"> obchod, doprava, ubytování a</w:t>
            </w:r>
            <w:r>
              <w:rPr>
                <w:rFonts w:cs="Arial"/>
                <w:bCs/>
                <w:color w:val="000000"/>
                <w:spacing w:val="-4"/>
                <w:szCs w:val="20"/>
              </w:rPr>
              <w:t> </w:t>
            </w:r>
            <w:r w:rsidRPr="00B7530B">
              <w:rPr>
                <w:rFonts w:cs="Arial"/>
                <w:bCs/>
                <w:color w:val="000000"/>
                <w:spacing w:val="-4"/>
                <w:szCs w:val="20"/>
              </w:rPr>
              <w:t>pohostinství. Nepříznivě se ale vyvíjela i</w:t>
            </w:r>
            <w:r>
              <w:rPr>
                <w:rFonts w:cs="Arial"/>
                <w:bCs/>
                <w:color w:val="000000"/>
                <w:spacing w:val="-4"/>
                <w:szCs w:val="20"/>
              </w:rPr>
              <w:t> </w:t>
            </w:r>
            <w:r w:rsidRPr="00B7530B">
              <w:rPr>
                <w:rFonts w:cs="Arial"/>
                <w:bCs/>
                <w:color w:val="000000"/>
                <w:spacing w:val="-4"/>
                <w:szCs w:val="20"/>
              </w:rPr>
              <w:t xml:space="preserve">většina ostatních </w:t>
            </w:r>
            <w:r>
              <w:rPr>
                <w:rFonts w:cs="Arial"/>
                <w:bCs/>
                <w:color w:val="000000"/>
                <w:spacing w:val="-4"/>
                <w:szCs w:val="20"/>
              </w:rPr>
              <w:t>odvětví. K významnějšímu</w:t>
            </w:r>
            <w:r w:rsidRPr="00B7530B">
              <w:rPr>
                <w:rFonts w:cs="Arial"/>
                <w:bCs/>
                <w:color w:val="000000"/>
                <w:spacing w:val="-4"/>
                <w:szCs w:val="20"/>
              </w:rPr>
              <w:t xml:space="preserve"> růstu došlo jen v oblasti ICT. </w:t>
            </w:r>
            <w:r w:rsidRPr="00B7530B">
              <w:rPr>
                <w:spacing w:val="-4"/>
              </w:rPr>
              <w:t xml:space="preserve">Průměrný týdenní počet skutečně odpracovaných hodin se </w:t>
            </w:r>
            <w:r w:rsidRPr="00B7530B">
              <w:rPr>
                <w:rFonts w:cs="Arial"/>
                <w:bCs/>
                <w:color w:val="000000"/>
                <w:spacing w:val="-4"/>
                <w:szCs w:val="20"/>
              </w:rPr>
              <w:t>propadl</w:t>
            </w:r>
            <w:r w:rsidRPr="00B7530B">
              <w:rPr>
                <w:spacing w:val="-4"/>
              </w:rPr>
              <w:t xml:space="preserve"> u</w:t>
            </w:r>
            <w:r w:rsidRPr="00B7530B">
              <w:rPr>
                <w:rFonts w:cs="Arial"/>
                <w:bCs/>
                <w:color w:val="000000"/>
                <w:spacing w:val="-4"/>
                <w:szCs w:val="20"/>
              </w:rPr>
              <w:t> </w:t>
            </w:r>
            <w:r w:rsidRPr="00B7530B">
              <w:rPr>
                <w:spacing w:val="-4"/>
              </w:rPr>
              <w:t xml:space="preserve">podnikatelů </w:t>
            </w:r>
            <w:r w:rsidRPr="00B7530B">
              <w:rPr>
                <w:rFonts w:cs="Arial"/>
                <w:bCs/>
                <w:color w:val="000000"/>
                <w:spacing w:val="-4"/>
                <w:szCs w:val="20"/>
              </w:rPr>
              <w:t>(v hlavním zaměstnání) v letošním březnu oproti stejnému měsíci v období 2017 až 2019 o</w:t>
            </w:r>
            <w:r>
              <w:rPr>
                <w:rFonts w:cs="Arial"/>
                <w:bCs/>
                <w:color w:val="000000"/>
                <w:spacing w:val="-4"/>
                <w:szCs w:val="20"/>
              </w:rPr>
              <w:t> </w:t>
            </w:r>
            <w:r w:rsidRPr="00B7530B">
              <w:rPr>
                <w:rFonts w:cs="Arial"/>
                <w:bCs/>
                <w:color w:val="000000"/>
                <w:spacing w:val="-4"/>
                <w:szCs w:val="20"/>
              </w:rPr>
              <w:t>19,5</w:t>
            </w:r>
            <w:r>
              <w:rPr>
                <w:rFonts w:cs="Arial"/>
                <w:bCs/>
                <w:color w:val="000000"/>
                <w:spacing w:val="-4"/>
                <w:szCs w:val="20"/>
              </w:rPr>
              <w:t> %</w:t>
            </w:r>
            <w:r w:rsidRPr="00B7530B">
              <w:rPr>
                <w:rFonts w:cs="Arial"/>
                <w:bCs/>
                <w:color w:val="000000"/>
                <w:spacing w:val="-4"/>
                <w:szCs w:val="20"/>
              </w:rPr>
              <w:t>. V pásmu mezi 15 až 20</w:t>
            </w:r>
            <w:r>
              <w:rPr>
                <w:rFonts w:cs="Arial"/>
                <w:bCs/>
                <w:color w:val="000000"/>
                <w:spacing w:val="-4"/>
                <w:szCs w:val="20"/>
              </w:rPr>
              <w:t> %</w:t>
            </w:r>
            <w:r w:rsidRPr="00B7530B">
              <w:rPr>
                <w:rFonts w:cs="Arial"/>
                <w:bCs/>
                <w:color w:val="000000"/>
                <w:spacing w:val="-4"/>
                <w:szCs w:val="20"/>
              </w:rPr>
              <w:t xml:space="preserve"> se udržoval pátý měsíc v řadě a v tomto období byl tak jeho propad téměř třikrát vyšší než u zaměstnanců</w:t>
            </w:r>
            <w:r w:rsidRPr="00B7530B">
              <w:rPr>
                <w:rStyle w:val="Znakapoznpodarou"/>
                <w:bCs/>
                <w:color w:val="000000"/>
                <w:spacing w:val="-4"/>
                <w:szCs w:val="20"/>
              </w:rPr>
              <w:footnoteReference w:id="42"/>
            </w:r>
            <w:r w:rsidRPr="00B7530B">
              <w:rPr>
                <w:rFonts w:cs="Arial"/>
                <w:bCs/>
                <w:color w:val="000000"/>
                <w:spacing w:val="-4"/>
                <w:szCs w:val="20"/>
              </w:rPr>
              <w:t xml:space="preserve">. V dubnu 2021 se situace </w:t>
            </w:r>
            <w:r>
              <w:rPr>
                <w:rFonts w:cs="Arial"/>
                <w:bCs/>
                <w:color w:val="000000"/>
                <w:spacing w:val="-4"/>
                <w:szCs w:val="20"/>
              </w:rPr>
              <w:t xml:space="preserve">mírně </w:t>
            </w:r>
            <w:r w:rsidRPr="00B7530B">
              <w:rPr>
                <w:rFonts w:cs="Arial"/>
                <w:bCs/>
                <w:color w:val="000000"/>
                <w:spacing w:val="-4"/>
                <w:szCs w:val="20"/>
              </w:rPr>
              <w:t>zlepšila, i</w:t>
            </w:r>
            <w:r>
              <w:rPr>
                <w:rFonts w:cs="Arial"/>
                <w:bCs/>
                <w:color w:val="000000"/>
                <w:spacing w:val="-4"/>
                <w:szCs w:val="20"/>
              </w:rPr>
              <w:t> </w:t>
            </w:r>
            <w:r w:rsidRPr="00B7530B">
              <w:rPr>
                <w:rFonts w:cs="Arial"/>
                <w:bCs/>
                <w:color w:val="000000"/>
                <w:spacing w:val="-4"/>
                <w:szCs w:val="20"/>
              </w:rPr>
              <w:t>tak ale byla odpracovaná doba ve srovnání s</w:t>
            </w:r>
            <w:r>
              <w:rPr>
                <w:rFonts w:cs="Arial"/>
                <w:bCs/>
                <w:color w:val="000000"/>
                <w:spacing w:val="-4"/>
                <w:szCs w:val="20"/>
              </w:rPr>
              <w:t> </w:t>
            </w:r>
            <w:r w:rsidRPr="00B7530B">
              <w:rPr>
                <w:rFonts w:cs="Arial"/>
                <w:bCs/>
                <w:color w:val="000000"/>
                <w:spacing w:val="-4"/>
                <w:szCs w:val="20"/>
              </w:rPr>
              <w:t>„</w:t>
            </w:r>
            <w:proofErr w:type="spellStart"/>
            <w:r w:rsidRPr="00B7530B">
              <w:rPr>
                <w:rFonts w:cs="Arial"/>
                <w:bCs/>
                <w:color w:val="000000"/>
                <w:spacing w:val="-4"/>
                <w:szCs w:val="20"/>
              </w:rPr>
              <w:t>předcovidovým</w:t>
            </w:r>
            <w:proofErr w:type="spellEnd"/>
            <w:r w:rsidRPr="00B7530B">
              <w:rPr>
                <w:rFonts w:cs="Arial"/>
                <w:bCs/>
                <w:color w:val="000000"/>
                <w:spacing w:val="-4"/>
                <w:szCs w:val="20"/>
              </w:rPr>
              <w:t xml:space="preserve"> normálem“ stále nižší (u</w:t>
            </w:r>
            <w:r>
              <w:rPr>
                <w:rFonts w:cs="Arial"/>
                <w:bCs/>
                <w:color w:val="000000"/>
                <w:spacing w:val="-4"/>
                <w:szCs w:val="20"/>
              </w:rPr>
              <w:t> </w:t>
            </w:r>
            <w:r w:rsidRPr="00B7530B">
              <w:rPr>
                <w:rFonts w:cs="Arial"/>
                <w:bCs/>
                <w:color w:val="000000"/>
                <w:spacing w:val="-4"/>
                <w:szCs w:val="20"/>
              </w:rPr>
              <w:t>zaměstnanců o 2</w:t>
            </w:r>
            <w:r>
              <w:rPr>
                <w:rFonts w:cs="Arial"/>
                <w:bCs/>
                <w:color w:val="000000"/>
                <w:spacing w:val="-4"/>
                <w:szCs w:val="20"/>
              </w:rPr>
              <w:t> %</w:t>
            </w:r>
            <w:r w:rsidRPr="00B7530B">
              <w:rPr>
                <w:rFonts w:cs="Arial"/>
                <w:bCs/>
                <w:color w:val="000000"/>
                <w:spacing w:val="-4"/>
                <w:szCs w:val="20"/>
              </w:rPr>
              <w:t>, u</w:t>
            </w:r>
            <w:r>
              <w:rPr>
                <w:rFonts w:cs="Arial"/>
                <w:bCs/>
                <w:color w:val="000000"/>
                <w:spacing w:val="-4"/>
                <w:szCs w:val="20"/>
              </w:rPr>
              <w:t> </w:t>
            </w:r>
            <w:r w:rsidRPr="00B7530B">
              <w:rPr>
                <w:rFonts w:cs="Arial"/>
                <w:bCs/>
                <w:color w:val="000000"/>
                <w:spacing w:val="-4"/>
                <w:szCs w:val="20"/>
              </w:rPr>
              <w:t>podnikatelů o</w:t>
            </w:r>
            <w:r>
              <w:rPr>
                <w:rFonts w:cs="Arial"/>
                <w:bCs/>
                <w:color w:val="000000"/>
                <w:spacing w:val="-4"/>
                <w:szCs w:val="20"/>
              </w:rPr>
              <w:t> </w:t>
            </w:r>
            <w:r w:rsidRPr="00B7530B">
              <w:rPr>
                <w:rFonts w:cs="Arial"/>
                <w:bCs/>
                <w:color w:val="000000"/>
                <w:spacing w:val="-4"/>
                <w:szCs w:val="20"/>
              </w:rPr>
              <w:t>14</w:t>
            </w:r>
            <w:r>
              <w:rPr>
                <w:rFonts w:cs="Arial"/>
                <w:bCs/>
                <w:color w:val="000000"/>
                <w:spacing w:val="-4"/>
                <w:szCs w:val="20"/>
              </w:rPr>
              <w:t> %</w:t>
            </w:r>
            <w:r w:rsidRPr="00B7530B">
              <w:rPr>
                <w:rFonts w:cs="Arial"/>
                <w:bCs/>
                <w:color w:val="000000"/>
                <w:spacing w:val="-4"/>
                <w:szCs w:val="20"/>
              </w:rPr>
              <w:t>).</w:t>
            </w:r>
          </w:p>
        </w:tc>
      </w:tr>
      <w:tr w:rsidR="00F766BE" w:rsidRPr="006237E6" w14:paraId="17F6F94C" w14:textId="77777777" w:rsidTr="006F6FF2">
        <w:trPr>
          <w:trHeight w:val="155"/>
        </w:trPr>
        <w:tc>
          <w:tcPr>
            <w:tcW w:w="1792" w:type="dxa"/>
            <w:shd w:val="clear" w:color="auto" w:fill="auto"/>
            <w:tcMar>
              <w:left w:w="0" w:type="dxa"/>
            </w:tcMar>
          </w:tcPr>
          <w:p w14:paraId="22DD1550" w14:textId="77777777" w:rsidR="00F766BE" w:rsidRDefault="00F766BE" w:rsidP="006F6FF2">
            <w:pPr>
              <w:pStyle w:val="Marginlie"/>
              <w:spacing w:after="120"/>
              <w:rPr>
                <w:spacing w:val="-4"/>
              </w:rPr>
            </w:pPr>
            <w:r>
              <w:rPr>
                <w:spacing w:val="-4"/>
              </w:rPr>
              <w:lastRenderedPageBreak/>
              <w:t>Očekávání podniků v oblasti zaměstnanosti se v dubnu i květnu zlepšila. Nábor pracovníků signalizoval průmysl i obchod.</w:t>
            </w:r>
          </w:p>
        </w:tc>
        <w:tc>
          <w:tcPr>
            <w:tcW w:w="216" w:type="dxa"/>
            <w:shd w:val="clear" w:color="auto" w:fill="auto"/>
            <w:tcMar>
              <w:left w:w="0" w:type="dxa"/>
            </w:tcMar>
          </w:tcPr>
          <w:p w14:paraId="16875A9C" w14:textId="77777777" w:rsidR="00F766BE" w:rsidRPr="003B1401" w:rsidRDefault="00F766BE" w:rsidP="006F6FF2">
            <w:pPr>
              <w:pStyle w:val="Textpoznpodarou"/>
              <w:spacing w:after="120"/>
              <w:jc w:val="both"/>
              <w:rPr>
                <w:spacing w:val="-4"/>
              </w:rPr>
            </w:pPr>
          </w:p>
        </w:tc>
        <w:tc>
          <w:tcPr>
            <w:tcW w:w="7656" w:type="dxa"/>
            <w:shd w:val="clear" w:color="auto" w:fill="auto"/>
            <w:tcMar>
              <w:left w:w="0" w:type="dxa"/>
            </w:tcMar>
          </w:tcPr>
          <w:p w14:paraId="61ABD428" w14:textId="77777777" w:rsidR="00F766BE" w:rsidRPr="00327498" w:rsidRDefault="00F766BE" w:rsidP="006F6FF2">
            <w:pPr>
              <w:rPr>
                <w:rFonts w:cs="Arial"/>
                <w:bCs/>
                <w:color w:val="000000"/>
                <w:spacing w:val="-4"/>
                <w:szCs w:val="20"/>
              </w:rPr>
            </w:pPr>
            <w:r>
              <w:rPr>
                <w:rFonts w:cs="Arial"/>
                <w:bCs/>
                <w:color w:val="000000"/>
                <w:spacing w:val="-2"/>
                <w:szCs w:val="20"/>
              </w:rPr>
              <w:t xml:space="preserve">Krátkodobá </w:t>
            </w:r>
            <w:r w:rsidRPr="00D509DD">
              <w:rPr>
                <w:rFonts w:cs="Arial"/>
                <w:bCs/>
                <w:color w:val="0D0D0D" w:themeColor="text1" w:themeTint="F2"/>
                <w:spacing w:val="-2"/>
                <w:szCs w:val="20"/>
              </w:rPr>
              <w:t>očekávání podniků v oblasti zaměstnanosti</w:t>
            </w:r>
            <w:r>
              <w:rPr>
                <w:rFonts w:cs="Arial"/>
                <w:bCs/>
                <w:color w:val="0D0D0D" w:themeColor="text1" w:themeTint="F2"/>
                <w:spacing w:val="-2"/>
                <w:szCs w:val="20"/>
              </w:rPr>
              <w:t xml:space="preserve"> se s postupným uvolňováním vládních restrikcí během 2. čtvrtletí 2021 zlepšovala, a to zejména v obchodě. V průmyslu pokračovalo dlouhodobější oživení</w:t>
            </w:r>
            <w:r>
              <w:rPr>
                <w:rStyle w:val="Znakapoznpodarou"/>
                <w:bCs/>
                <w:color w:val="0D0D0D" w:themeColor="text1" w:themeTint="F2"/>
                <w:spacing w:val="-2"/>
                <w:szCs w:val="20"/>
              </w:rPr>
              <w:footnoteReference w:id="43"/>
            </w:r>
            <w:r>
              <w:rPr>
                <w:rFonts w:cs="Arial"/>
                <w:bCs/>
                <w:color w:val="0D0D0D" w:themeColor="text1" w:themeTint="F2"/>
                <w:spacing w:val="-2"/>
                <w:szCs w:val="20"/>
              </w:rPr>
              <w:t>. V květnu zde byla pozitivní růstová očekávání počtu zaměstnanců nejvyšší za posledního dva a půl roku. To ve službách</w:t>
            </w:r>
            <w:r>
              <w:rPr>
                <w:rStyle w:val="Znakapoznpodarou"/>
                <w:bCs/>
                <w:color w:val="000000"/>
                <w:spacing w:val="-2"/>
                <w:szCs w:val="20"/>
              </w:rPr>
              <w:footnoteReference w:id="44"/>
            </w:r>
            <w:r>
              <w:rPr>
                <w:rFonts w:cs="Arial"/>
                <w:bCs/>
                <w:color w:val="0D0D0D" w:themeColor="text1" w:themeTint="F2"/>
                <w:spacing w:val="-2"/>
                <w:szCs w:val="20"/>
              </w:rPr>
              <w:t xml:space="preserve"> k výraznějšímu posunu dosud nedošlo. Zvyšování zaměstnanosti plánoval jen každý dvacátý podnik, redukci stavů ale každý třetí. Situace v rámci služeb byla ale různorodá</w:t>
            </w:r>
            <w:r>
              <w:rPr>
                <w:rStyle w:val="Znakapoznpodarou"/>
                <w:bCs/>
                <w:color w:val="0D0D0D" w:themeColor="text1" w:themeTint="F2"/>
                <w:spacing w:val="-2"/>
                <w:szCs w:val="20"/>
              </w:rPr>
              <w:footnoteReference w:id="45"/>
            </w:r>
            <w:r>
              <w:rPr>
                <w:rFonts w:cs="Arial"/>
                <w:bCs/>
                <w:color w:val="0D0D0D" w:themeColor="text1" w:themeTint="F2"/>
                <w:spacing w:val="-2"/>
                <w:szCs w:val="20"/>
              </w:rPr>
              <w:t>.</w:t>
            </w:r>
          </w:p>
        </w:tc>
      </w:tr>
      <w:tr w:rsidR="00F766BE" w:rsidRPr="009F2A8A" w14:paraId="25700DA3" w14:textId="77777777" w:rsidTr="006F6FF2">
        <w:trPr>
          <w:trHeight w:val="155"/>
        </w:trPr>
        <w:tc>
          <w:tcPr>
            <w:tcW w:w="1792" w:type="dxa"/>
            <w:vMerge w:val="restart"/>
            <w:shd w:val="clear" w:color="auto" w:fill="auto"/>
            <w:tcMar>
              <w:left w:w="0" w:type="dxa"/>
            </w:tcMar>
          </w:tcPr>
          <w:p w14:paraId="78C68843" w14:textId="77777777" w:rsidR="00F766BE" w:rsidRPr="00B43216" w:rsidRDefault="00F766BE" w:rsidP="006F6FF2">
            <w:pPr>
              <w:pStyle w:val="Marginlie"/>
              <w:spacing w:after="120"/>
              <w:rPr>
                <w:spacing w:val="-4"/>
              </w:rPr>
            </w:pPr>
          </w:p>
        </w:tc>
        <w:tc>
          <w:tcPr>
            <w:tcW w:w="216" w:type="dxa"/>
            <w:vMerge w:val="restart"/>
            <w:shd w:val="clear" w:color="auto" w:fill="auto"/>
            <w:tcMar>
              <w:left w:w="0" w:type="dxa"/>
            </w:tcMar>
          </w:tcPr>
          <w:p w14:paraId="73666042"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3987AFCD" w14:textId="5E391521" w:rsidR="00F766BE" w:rsidRPr="00CA5850" w:rsidRDefault="00197D0E" w:rsidP="006F6FF2">
            <w:pPr>
              <w:spacing w:after="0"/>
              <w:rPr>
                <w:spacing w:val="-2"/>
              </w:rPr>
            </w:pPr>
            <w:r>
              <w:rPr>
                <w:rFonts w:cs="Arial"/>
                <w:b/>
                <w:bCs/>
                <w:color w:val="000000"/>
                <w:szCs w:val="20"/>
              </w:rPr>
              <w:t>Graf č. 12</w:t>
            </w:r>
            <w:r w:rsidR="00F766BE" w:rsidRPr="0068569E">
              <w:rPr>
                <w:rFonts w:cs="Arial"/>
                <w:b/>
                <w:bCs/>
                <w:color w:val="000000"/>
                <w:sz w:val="18"/>
                <w:szCs w:val="18"/>
              </w:rPr>
              <w:t xml:space="preserve">  </w:t>
            </w:r>
            <w:r w:rsidR="00F766BE" w:rsidRPr="0068569E">
              <w:rPr>
                <w:b/>
                <w:bCs/>
                <w:lang w:eastAsia="en-US"/>
              </w:rPr>
              <w:t xml:space="preserve">Celková zaměstnanost </w:t>
            </w:r>
            <w:r w:rsidR="00F766BE" w:rsidRPr="0068569E">
              <w:rPr>
                <w:lang w:eastAsia="en-US"/>
              </w:rPr>
              <w:t>(</w:t>
            </w:r>
            <w:r w:rsidR="00F766BE" w:rsidRPr="0068569E">
              <w:rPr>
                <w:spacing w:val="-2"/>
              </w:rPr>
              <w:t>meziročně v</w:t>
            </w:r>
            <w:r w:rsidR="00F766BE">
              <w:rPr>
                <w:spacing w:val="-2"/>
              </w:rPr>
              <w:t> %</w:t>
            </w:r>
            <w:r w:rsidR="00F766BE" w:rsidRPr="0068569E">
              <w:rPr>
                <w:spacing w:val="-2"/>
              </w:rPr>
              <w:t>)</w:t>
            </w:r>
            <w:r w:rsidR="00F766BE" w:rsidRPr="0068569E">
              <w:rPr>
                <w:b/>
                <w:bCs/>
                <w:spacing w:val="-2"/>
              </w:rPr>
              <w:t xml:space="preserve">, </w:t>
            </w:r>
            <w:r w:rsidR="00F766BE">
              <w:rPr>
                <w:b/>
                <w:bCs/>
                <w:spacing w:val="-2"/>
              </w:rPr>
              <w:t xml:space="preserve">příspěvky </w:t>
            </w:r>
            <w:r w:rsidR="00F766BE" w:rsidRPr="0068569E">
              <w:rPr>
                <w:b/>
                <w:bCs/>
                <w:spacing w:val="-2"/>
              </w:rPr>
              <w:t xml:space="preserve">odvětví k meziroční změně zaměstnanosti </w:t>
            </w:r>
            <w:r w:rsidR="00F766BE" w:rsidRPr="0068569E">
              <w:rPr>
                <w:spacing w:val="-2"/>
              </w:rPr>
              <w:t>(v</w:t>
            </w:r>
            <w:r w:rsidR="00F766BE">
              <w:rPr>
                <w:spacing w:val="-2"/>
              </w:rPr>
              <w:t> p. b.</w:t>
            </w:r>
            <w:r w:rsidR="00F766BE" w:rsidRPr="0068569E">
              <w:rPr>
                <w:spacing w:val="-2"/>
              </w:rPr>
              <w:t>)</w:t>
            </w:r>
            <w:r w:rsidR="00F766BE" w:rsidRPr="0068569E">
              <w:rPr>
                <w:b/>
                <w:bCs/>
                <w:spacing w:val="-2"/>
              </w:rPr>
              <w:t xml:space="preserve"> a očekávání vývoje zaměst</w:t>
            </w:r>
            <w:r w:rsidR="00F766BE">
              <w:rPr>
                <w:b/>
                <w:bCs/>
                <w:spacing w:val="-2"/>
              </w:rPr>
              <w:t>nanosti</w:t>
            </w:r>
            <w:r w:rsidR="00F766BE" w:rsidRPr="0068569E">
              <w:rPr>
                <w:b/>
                <w:bCs/>
                <w:spacing w:val="-2"/>
              </w:rPr>
              <w:t xml:space="preserve"> </w:t>
            </w:r>
            <w:r w:rsidR="00F766BE" w:rsidRPr="0068569E">
              <w:rPr>
                <w:spacing w:val="-2"/>
              </w:rPr>
              <w:t>(saldo v</w:t>
            </w:r>
            <w:r w:rsidR="00F766BE">
              <w:rPr>
                <w:spacing w:val="-2"/>
              </w:rPr>
              <w:t> p. b.)</w:t>
            </w:r>
          </w:p>
        </w:tc>
      </w:tr>
      <w:tr w:rsidR="00F766BE" w:rsidRPr="00B43216" w14:paraId="735C1C68" w14:textId="77777777" w:rsidTr="006F6FF2">
        <w:tblPrEx>
          <w:tblCellMar>
            <w:left w:w="70" w:type="dxa"/>
            <w:right w:w="70" w:type="dxa"/>
          </w:tblCellMar>
        </w:tblPrEx>
        <w:trPr>
          <w:trHeight w:val="155"/>
        </w:trPr>
        <w:tc>
          <w:tcPr>
            <w:tcW w:w="1792" w:type="dxa"/>
            <w:vMerge/>
            <w:shd w:val="clear" w:color="auto" w:fill="auto"/>
          </w:tcPr>
          <w:p w14:paraId="56C7E89A" w14:textId="77777777" w:rsidR="00F766BE" w:rsidRPr="00B43216" w:rsidRDefault="00F766BE" w:rsidP="006F6FF2">
            <w:pPr>
              <w:pStyle w:val="Marginlie"/>
              <w:spacing w:after="120"/>
              <w:rPr>
                <w:spacing w:val="-4"/>
              </w:rPr>
            </w:pPr>
          </w:p>
        </w:tc>
        <w:tc>
          <w:tcPr>
            <w:tcW w:w="216" w:type="dxa"/>
            <w:vMerge/>
            <w:shd w:val="clear" w:color="auto" w:fill="auto"/>
          </w:tcPr>
          <w:p w14:paraId="4E33333C" w14:textId="77777777" w:rsidR="00F766BE" w:rsidRPr="00B43216" w:rsidRDefault="00F766BE" w:rsidP="006F6FF2">
            <w:pPr>
              <w:pStyle w:val="Textpoznpodarou"/>
              <w:spacing w:after="120"/>
              <w:jc w:val="both"/>
              <w:rPr>
                <w:spacing w:val="-4"/>
              </w:rPr>
            </w:pPr>
          </w:p>
        </w:tc>
        <w:tc>
          <w:tcPr>
            <w:tcW w:w="7656" w:type="dxa"/>
            <w:shd w:val="clear" w:color="auto" w:fill="auto"/>
          </w:tcPr>
          <w:p w14:paraId="1D417617" w14:textId="77777777" w:rsidR="00F766BE" w:rsidRPr="00B43216" w:rsidRDefault="00F766BE" w:rsidP="006F6FF2">
            <w:pPr>
              <w:spacing w:after="0"/>
              <w:rPr>
                <w:spacing w:val="-4"/>
              </w:rPr>
            </w:pPr>
            <w:r>
              <w:rPr>
                <w:noProof/>
              </w:rPr>
              <w:drawing>
                <wp:inline distT="0" distB="0" distL="0" distR="0" wp14:anchorId="707153E2" wp14:editId="46ABFB6A">
                  <wp:extent cx="4741545" cy="3870773"/>
                  <wp:effectExtent l="0" t="0" r="1905"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F766BE" w:rsidRPr="00485ED5" w14:paraId="2C6D5973" w14:textId="77777777" w:rsidTr="006F6FF2">
        <w:trPr>
          <w:trHeight w:val="671"/>
        </w:trPr>
        <w:tc>
          <w:tcPr>
            <w:tcW w:w="1792" w:type="dxa"/>
            <w:vMerge/>
            <w:shd w:val="clear" w:color="auto" w:fill="auto"/>
            <w:tcMar>
              <w:left w:w="0" w:type="dxa"/>
            </w:tcMar>
          </w:tcPr>
          <w:p w14:paraId="2FBAA9A2" w14:textId="77777777" w:rsidR="00F766BE" w:rsidRPr="00B43216" w:rsidRDefault="00F766BE" w:rsidP="006F6FF2">
            <w:pPr>
              <w:pStyle w:val="Marginlie"/>
              <w:spacing w:after="120"/>
              <w:rPr>
                <w:spacing w:val="-4"/>
              </w:rPr>
            </w:pPr>
          </w:p>
        </w:tc>
        <w:tc>
          <w:tcPr>
            <w:tcW w:w="216" w:type="dxa"/>
            <w:vMerge/>
            <w:shd w:val="clear" w:color="auto" w:fill="auto"/>
            <w:tcMar>
              <w:left w:w="0" w:type="dxa"/>
            </w:tcMar>
          </w:tcPr>
          <w:p w14:paraId="270A7C67"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58533902" w14:textId="77777777" w:rsidR="00F766BE" w:rsidRDefault="00F766BE" w:rsidP="006F6FF2">
            <w:pPr>
              <w:spacing w:after="0" w:line="240" w:lineRule="auto"/>
              <w:rPr>
                <w:rFonts w:cs="Arial"/>
                <w:sz w:val="14"/>
                <w:szCs w:val="14"/>
              </w:rPr>
            </w:pPr>
            <w:r>
              <w:rPr>
                <w:rFonts w:cs="Arial"/>
                <w:color w:val="0D0D0D" w:themeColor="text1" w:themeTint="F2"/>
                <w:spacing w:val="-2"/>
                <w:sz w:val="14"/>
                <w:szCs w:val="14"/>
              </w:rPr>
              <w:t>*</w:t>
            </w:r>
            <w:r w:rsidRPr="00862F17">
              <w:rPr>
                <w:rFonts w:cs="Arial"/>
                <w:sz w:val="14"/>
                <w:szCs w:val="14"/>
              </w:rPr>
              <w:t xml:space="preserve"> Těžba a</w:t>
            </w:r>
            <w:r>
              <w:rPr>
                <w:rFonts w:cs="Arial"/>
                <w:sz w:val="14"/>
                <w:szCs w:val="14"/>
              </w:rPr>
              <w:t> </w:t>
            </w:r>
            <w:r w:rsidRPr="00862F17">
              <w:rPr>
                <w:rFonts w:cs="Arial"/>
                <w:sz w:val="14"/>
                <w:szCs w:val="14"/>
              </w:rPr>
              <w:t>energetika</w:t>
            </w:r>
            <w:r>
              <w:rPr>
                <w:rFonts w:cs="Arial"/>
                <w:sz w:val="14"/>
                <w:szCs w:val="14"/>
              </w:rPr>
              <w:t>;</w:t>
            </w:r>
            <w:r w:rsidRPr="00862F17">
              <w:rPr>
                <w:rFonts w:cs="Arial"/>
                <w:sz w:val="14"/>
                <w:szCs w:val="14"/>
              </w:rPr>
              <w:t xml:space="preserve"> Peněžnictví a</w:t>
            </w:r>
            <w:r>
              <w:rPr>
                <w:rFonts w:cs="Arial"/>
                <w:sz w:val="14"/>
                <w:szCs w:val="14"/>
              </w:rPr>
              <w:t> </w:t>
            </w:r>
            <w:r w:rsidRPr="00862F17">
              <w:rPr>
                <w:rFonts w:cs="Arial"/>
                <w:sz w:val="14"/>
                <w:szCs w:val="14"/>
              </w:rPr>
              <w:t>pojišťovnictví</w:t>
            </w:r>
            <w:r>
              <w:rPr>
                <w:rFonts w:cs="Arial"/>
                <w:sz w:val="14"/>
                <w:szCs w:val="14"/>
              </w:rPr>
              <w:t>;</w:t>
            </w:r>
            <w:r w:rsidRPr="00862F17">
              <w:rPr>
                <w:rFonts w:cs="Arial"/>
                <w:sz w:val="14"/>
                <w:szCs w:val="14"/>
              </w:rPr>
              <w:t xml:space="preserve"> Činnosti v</w:t>
            </w:r>
            <w:r>
              <w:rPr>
                <w:rFonts w:cs="Arial"/>
                <w:sz w:val="14"/>
                <w:szCs w:val="14"/>
              </w:rPr>
              <w:t> </w:t>
            </w:r>
            <w:r w:rsidRPr="00862F17">
              <w:rPr>
                <w:rFonts w:cs="Arial"/>
                <w:sz w:val="14"/>
                <w:szCs w:val="14"/>
              </w:rPr>
              <w:t>oblasti nemovitostí</w:t>
            </w:r>
            <w:r>
              <w:rPr>
                <w:rFonts w:cs="Arial"/>
                <w:sz w:val="14"/>
                <w:szCs w:val="14"/>
              </w:rPr>
              <w:t>;</w:t>
            </w:r>
            <w:r w:rsidRPr="00862F17">
              <w:rPr>
                <w:rFonts w:cs="Arial"/>
                <w:sz w:val="14"/>
                <w:szCs w:val="14"/>
              </w:rPr>
              <w:t xml:space="preserve"> Kulturní, zábavní a</w:t>
            </w:r>
            <w:r w:rsidRPr="00D47653">
              <w:rPr>
                <w:sz w:val="14"/>
                <w:szCs w:val="14"/>
              </w:rPr>
              <w:t> </w:t>
            </w:r>
            <w:r w:rsidRPr="00862F17">
              <w:rPr>
                <w:rFonts w:cs="Arial"/>
                <w:sz w:val="14"/>
                <w:szCs w:val="14"/>
              </w:rPr>
              <w:t>rekreační činnosti</w:t>
            </w:r>
            <w:r>
              <w:rPr>
                <w:rFonts w:cs="Arial"/>
                <w:sz w:val="14"/>
                <w:szCs w:val="14"/>
              </w:rPr>
              <w:t>.</w:t>
            </w:r>
          </w:p>
          <w:p w14:paraId="0BBEE768" w14:textId="77777777" w:rsidR="00F766BE" w:rsidRDefault="00F766BE" w:rsidP="006F6FF2">
            <w:pPr>
              <w:spacing w:after="0" w:line="240" w:lineRule="auto"/>
              <w:rPr>
                <w:rFonts w:cs="Arial"/>
                <w:sz w:val="14"/>
                <w:szCs w:val="14"/>
              </w:rPr>
            </w:pPr>
            <w:r>
              <w:rPr>
                <w:rFonts w:cs="Arial"/>
                <w:sz w:val="14"/>
                <w:szCs w:val="14"/>
              </w:rPr>
              <w:t xml:space="preserve">Poznámka: Saldo </w:t>
            </w:r>
            <w:r>
              <w:rPr>
                <w:rFonts w:cs="Arial"/>
                <w:color w:val="0D0D0D" w:themeColor="text1" w:themeTint="F2"/>
                <w:sz w:val="14"/>
                <w:szCs w:val="14"/>
              </w:rPr>
              <w:t xml:space="preserve">očekávání vyjadřuje rozdíl v p. b. </w:t>
            </w:r>
            <w:proofErr w:type="gramStart"/>
            <w:r>
              <w:rPr>
                <w:rFonts w:cs="Arial"/>
                <w:color w:val="0D0D0D" w:themeColor="text1" w:themeTint="F2"/>
                <w:sz w:val="14"/>
                <w:szCs w:val="14"/>
              </w:rPr>
              <w:t>mezi</w:t>
            </w:r>
            <w:proofErr w:type="gramEnd"/>
            <w:r>
              <w:rPr>
                <w:rFonts w:cs="Arial"/>
                <w:color w:val="0D0D0D" w:themeColor="text1" w:themeTint="F2"/>
                <w:sz w:val="14"/>
                <w:szCs w:val="14"/>
              </w:rPr>
              <w:t xml:space="preserve"> kategoriemi růst versus pokles zaměstnanosti v nejbližších třech měsících. Údaje jsou sezónně očištěny a vztahují se k druhému měsíci daného čtvrtletí.</w:t>
            </w:r>
          </w:p>
          <w:p w14:paraId="35C046EA" w14:textId="77777777" w:rsidR="00F766BE" w:rsidRPr="00485ED5" w:rsidRDefault="00F766BE" w:rsidP="006F6FF2">
            <w:pPr>
              <w:spacing w:after="220" w:line="240" w:lineRule="auto"/>
              <w:rPr>
                <w:rFonts w:cs="Arial"/>
                <w:color w:val="0D0D0D" w:themeColor="text1" w:themeTint="F2"/>
                <w:spacing w:val="-2"/>
                <w:sz w:val="14"/>
                <w:szCs w:val="14"/>
              </w:rPr>
            </w:pPr>
            <w:r w:rsidRPr="00862F17">
              <w:rPr>
                <w:rFonts w:cs="Arial"/>
                <w:sz w:val="14"/>
                <w:szCs w:val="14"/>
              </w:rPr>
              <w:t>Zdroj: ČSÚ (národní účty</w:t>
            </w:r>
            <w:r>
              <w:rPr>
                <w:rFonts w:cs="Arial"/>
                <w:sz w:val="14"/>
                <w:szCs w:val="14"/>
              </w:rPr>
              <w:t>, konjunkturální průzkumy)</w:t>
            </w:r>
          </w:p>
        </w:tc>
      </w:tr>
      <w:tr w:rsidR="00F766BE" w:rsidRPr="00D82DBD" w14:paraId="7902C1C1" w14:textId="77777777" w:rsidTr="006F6FF2">
        <w:trPr>
          <w:trHeight w:val="145"/>
        </w:trPr>
        <w:tc>
          <w:tcPr>
            <w:tcW w:w="1792" w:type="dxa"/>
            <w:shd w:val="clear" w:color="auto" w:fill="auto"/>
            <w:tcMar>
              <w:left w:w="0" w:type="dxa"/>
            </w:tcMar>
          </w:tcPr>
          <w:p w14:paraId="7A0D4D77" w14:textId="77777777" w:rsidR="00F766BE" w:rsidRPr="00EA508C" w:rsidRDefault="00F766BE" w:rsidP="006F6FF2">
            <w:pPr>
              <w:pStyle w:val="Marginlie"/>
              <w:spacing w:after="120"/>
              <w:rPr>
                <w:color w:val="0D0D0D" w:themeColor="text1" w:themeTint="F2"/>
                <w:spacing w:val="-5"/>
              </w:rPr>
            </w:pPr>
            <w:r>
              <w:rPr>
                <w:color w:val="0D0D0D" w:themeColor="text1" w:themeTint="F2"/>
                <w:spacing w:val="-5"/>
              </w:rPr>
              <w:t xml:space="preserve">Růst míry nezaměstnanosti byl výrazně utlumený. Selektivní dopady </w:t>
            </w:r>
            <w:proofErr w:type="spellStart"/>
            <w:r>
              <w:rPr>
                <w:color w:val="0D0D0D" w:themeColor="text1" w:themeTint="F2"/>
                <w:spacing w:val="-5"/>
              </w:rPr>
              <w:t>protipandemických</w:t>
            </w:r>
            <w:proofErr w:type="spellEnd"/>
            <w:r>
              <w:rPr>
                <w:color w:val="0D0D0D" w:themeColor="text1" w:themeTint="F2"/>
                <w:spacing w:val="-5"/>
              </w:rPr>
              <w:t xml:space="preserve"> opatření více oslabily </w:t>
            </w:r>
            <w:r>
              <w:rPr>
                <w:color w:val="0D0D0D" w:themeColor="text1" w:themeTint="F2"/>
                <w:spacing w:val="-5"/>
              </w:rPr>
              <w:lastRenderedPageBreak/>
              <w:t>pozici žen a mladých na trhu práce.</w:t>
            </w:r>
          </w:p>
        </w:tc>
        <w:tc>
          <w:tcPr>
            <w:tcW w:w="216" w:type="dxa"/>
            <w:shd w:val="clear" w:color="auto" w:fill="auto"/>
            <w:tcMar>
              <w:left w:w="0" w:type="dxa"/>
            </w:tcMar>
          </w:tcPr>
          <w:p w14:paraId="6B61D360" w14:textId="77777777" w:rsidR="00F766BE" w:rsidRPr="00EA508C" w:rsidRDefault="00F766BE" w:rsidP="006F6FF2">
            <w:pPr>
              <w:pStyle w:val="Textpoznpodarou"/>
              <w:spacing w:after="120"/>
              <w:jc w:val="both"/>
              <w:rPr>
                <w:color w:val="0D0D0D" w:themeColor="text1" w:themeTint="F2"/>
                <w:spacing w:val="-4"/>
              </w:rPr>
            </w:pPr>
          </w:p>
        </w:tc>
        <w:tc>
          <w:tcPr>
            <w:tcW w:w="7656" w:type="dxa"/>
            <w:shd w:val="clear" w:color="auto" w:fill="auto"/>
            <w:tcMar>
              <w:left w:w="0" w:type="dxa"/>
            </w:tcMar>
          </w:tcPr>
          <w:p w14:paraId="22F7018A" w14:textId="77777777" w:rsidR="00F766BE" w:rsidRPr="00D82DBD" w:rsidRDefault="00F766BE" w:rsidP="006F6FF2">
            <w:pPr>
              <w:rPr>
                <w:color w:val="0D0D0D" w:themeColor="text1" w:themeTint="F2"/>
                <w:spacing w:val="-4"/>
              </w:rPr>
            </w:pPr>
            <w:r w:rsidRPr="00D82DBD">
              <w:rPr>
                <w:color w:val="0D0D0D" w:themeColor="text1" w:themeTint="F2"/>
                <w:spacing w:val="-4"/>
              </w:rPr>
              <w:t>Ačkoli obecná míra nezaměstnanosti</w:t>
            </w:r>
            <w:r w:rsidRPr="00D82DBD">
              <w:rPr>
                <w:rStyle w:val="Znakapoznpodarou"/>
                <w:color w:val="0D0D0D" w:themeColor="text1" w:themeTint="F2"/>
                <w:spacing w:val="-4"/>
              </w:rPr>
              <w:footnoteReference w:id="46"/>
            </w:r>
            <w:r w:rsidRPr="00D82DBD">
              <w:rPr>
                <w:color w:val="0D0D0D" w:themeColor="text1" w:themeTint="F2"/>
                <w:spacing w:val="-4"/>
              </w:rPr>
              <w:t xml:space="preserve"> vzrostla od počátku letošního roku jen o</w:t>
            </w:r>
            <w:r>
              <w:rPr>
                <w:color w:val="0D0D0D" w:themeColor="text1" w:themeTint="F2"/>
                <w:spacing w:val="-4"/>
              </w:rPr>
              <w:t> </w:t>
            </w:r>
            <w:r w:rsidRPr="00D82DBD">
              <w:rPr>
                <w:color w:val="0D0D0D" w:themeColor="text1" w:themeTint="F2"/>
                <w:spacing w:val="-4"/>
              </w:rPr>
              <w:t>0,2</w:t>
            </w:r>
            <w:r>
              <w:rPr>
                <w:color w:val="0D0D0D" w:themeColor="text1" w:themeTint="F2"/>
                <w:spacing w:val="-4"/>
              </w:rPr>
              <w:t> p. b.</w:t>
            </w:r>
            <w:r w:rsidRPr="00D82DBD">
              <w:rPr>
                <w:color w:val="0D0D0D" w:themeColor="text1" w:themeTint="F2"/>
                <w:spacing w:val="-4"/>
              </w:rPr>
              <w:t>, dosáhla v dubnu 2021 na čtyřleté maximum (3,4</w:t>
            </w:r>
            <w:r>
              <w:rPr>
                <w:color w:val="0D0D0D" w:themeColor="text1" w:themeTint="F2"/>
                <w:spacing w:val="-4"/>
              </w:rPr>
              <w:t> %</w:t>
            </w:r>
            <w:r w:rsidRPr="00D82DBD">
              <w:rPr>
                <w:rStyle w:val="Znakapoznpodarou"/>
                <w:color w:val="0D0D0D" w:themeColor="text1" w:themeTint="F2"/>
                <w:spacing w:val="-4"/>
              </w:rPr>
              <w:footnoteReference w:id="47"/>
            </w:r>
            <w:r w:rsidRPr="00D82DBD">
              <w:rPr>
                <w:color w:val="0D0D0D" w:themeColor="text1" w:themeTint="F2"/>
                <w:spacing w:val="-4"/>
              </w:rPr>
              <w:t>). Ve srovnání s loňským únorem, kdy se nezaměstnanost nacházela na absolutním minimu v novodobé historii, se zvýšila o</w:t>
            </w:r>
            <w:r>
              <w:rPr>
                <w:color w:val="0D0D0D" w:themeColor="text1" w:themeTint="F2"/>
                <w:spacing w:val="-4"/>
              </w:rPr>
              <w:t> </w:t>
            </w:r>
            <w:r w:rsidRPr="00D82DBD">
              <w:rPr>
                <w:color w:val="0D0D0D" w:themeColor="text1" w:themeTint="F2"/>
                <w:spacing w:val="-4"/>
              </w:rPr>
              <w:t>1,6</w:t>
            </w:r>
            <w:r>
              <w:rPr>
                <w:color w:val="0D0D0D" w:themeColor="text1" w:themeTint="F2"/>
                <w:spacing w:val="-4"/>
              </w:rPr>
              <w:t> p. b.</w:t>
            </w:r>
            <w:r w:rsidRPr="00D82DBD">
              <w:rPr>
                <w:color w:val="0D0D0D" w:themeColor="text1" w:themeTint="F2"/>
                <w:spacing w:val="-4"/>
              </w:rPr>
              <w:t xml:space="preserve"> (u</w:t>
            </w:r>
            <w:r>
              <w:rPr>
                <w:color w:val="0D0D0D" w:themeColor="text1" w:themeTint="F2"/>
                <w:spacing w:val="-4"/>
              </w:rPr>
              <w:t> </w:t>
            </w:r>
            <w:r w:rsidRPr="00D82DBD">
              <w:rPr>
                <w:color w:val="0D0D0D" w:themeColor="text1" w:themeTint="F2"/>
                <w:spacing w:val="-4"/>
              </w:rPr>
              <w:t>žen posílila dvakrát více než u</w:t>
            </w:r>
            <w:r>
              <w:rPr>
                <w:color w:val="0D0D0D" w:themeColor="text1" w:themeTint="F2"/>
                <w:spacing w:val="-4"/>
              </w:rPr>
              <w:t> </w:t>
            </w:r>
            <w:r w:rsidRPr="00D82DBD">
              <w:rPr>
                <w:color w:val="0D0D0D" w:themeColor="text1" w:themeTint="F2"/>
                <w:spacing w:val="-4"/>
              </w:rPr>
              <w:t>mužů). Větší ztráty pracovních míst, zejména v oblastech souvisejících s cestovním ruchem a volnočasovými aktivitami</w:t>
            </w:r>
            <w:r>
              <w:rPr>
                <w:color w:val="0D0D0D" w:themeColor="text1" w:themeTint="F2"/>
                <w:spacing w:val="-4"/>
              </w:rPr>
              <w:t>,</w:t>
            </w:r>
            <w:r w:rsidRPr="00D82DBD">
              <w:rPr>
                <w:color w:val="0D0D0D" w:themeColor="text1" w:themeTint="F2"/>
                <w:spacing w:val="-4"/>
              </w:rPr>
              <w:t xml:space="preserve"> doprovázené </w:t>
            </w:r>
            <w:r w:rsidRPr="00D82DBD">
              <w:rPr>
                <w:color w:val="0D0D0D" w:themeColor="text1" w:themeTint="F2"/>
                <w:spacing w:val="-4"/>
              </w:rPr>
              <w:lastRenderedPageBreak/>
              <w:t>snížením nabídky flexibilních pracovních úvazků oslabily také pozici mladých na pracovním trhu</w:t>
            </w:r>
            <w:r w:rsidRPr="00D82DBD">
              <w:rPr>
                <w:rStyle w:val="Znakapoznpodarou"/>
                <w:color w:val="0D0D0D" w:themeColor="text1" w:themeTint="F2"/>
                <w:spacing w:val="-4"/>
              </w:rPr>
              <w:footnoteReference w:id="48"/>
            </w:r>
            <w:r w:rsidRPr="00D82DBD">
              <w:rPr>
                <w:color w:val="0D0D0D" w:themeColor="text1" w:themeTint="F2"/>
                <w:spacing w:val="-4"/>
              </w:rPr>
              <w:t>. Mezi lidmi mladšími 25</w:t>
            </w:r>
            <w:r>
              <w:rPr>
                <w:color w:val="0D0D0D" w:themeColor="text1" w:themeTint="F2"/>
                <w:spacing w:val="-4"/>
              </w:rPr>
              <w:t> </w:t>
            </w:r>
            <w:r w:rsidRPr="00D82DBD">
              <w:rPr>
                <w:color w:val="0D0D0D" w:themeColor="text1" w:themeTint="F2"/>
                <w:spacing w:val="-4"/>
              </w:rPr>
              <w:t>let činila v březnu nezaměstnanost mužů 8</w:t>
            </w:r>
            <w:r>
              <w:rPr>
                <w:color w:val="0D0D0D" w:themeColor="text1" w:themeTint="F2"/>
                <w:spacing w:val="-4"/>
              </w:rPr>
              <w:t> %</w:t>
            </w:r>
            <w:r w:rsidRPr="00D82DBD">
              <w:rPr>
                <w:color w:val="0D0D0D" w:themeColor="text1" w:themeTint="F2"/>
                <w:spacing w:val="-4"/>
              </w:rPr>
              <w:t>, žen 14</w:t>
            </w:r>
            <w:r>
              <w:rPr>
                <w:color w:val="0D0D0D" w:themeColor="text1" w:themeTint="F2"/>
                <w:spacing w:val="-4"/>
              </w:rPr>
              <w:t> %</w:t>
            </w:r>
            <w:r w:rsidRPr="00D82DBD">
              <w:rPr>
                <w:color w:val="0D0D0D" w:themeColor="text1" w:themeTint="F2"/>
                <w:spacing w:val="-4"/>
              </w:rPr>
              <w:t xml:space="preserve">. Pozitivní bylo, že </w:t>
            </w:r>
            <w:r w:rsidRPr="00D82DBD">
              <w:rPr>
                <w:spacing w:val="-4"/>
              </w:rPr>
              <w:t>počet dlouhodobě nezaměstnaných se meziročně významně nezvýšil. Déle než rok byla letos v 1.</w:t>
            </w:r>
            <w:r>
              <w:rPr>
                <w:spacing w:val="-4"/>
              </w:rPr>
              <w:t> čtvrt</w:t>
            </w:r>
            <w:r w:rsidRPr="00D82DBD">
              <w:rPr>
                <w:spacing w:val="-4"/>
              </w:rPr>
              <w:t>letí bez práce necelá pětina nezaměstnaných.</w:t>
            </w:r>
          </w:p>
        </w:tc>
      </w:tr>
      <w:tr w:rsidR="00F766BE" w:rsidRPr="00B43216" w14:paraId="5E28E56D" w14:textId="77777777" w:rsidTr="006F6FF2">
        <w:trPr>
          <w:trHeight w:val="145"/>
        </w:trPr>
        <w:tc>
          <w:tcPr>
            <w:tcW w:w="1792" w:type="dxa"/>
            <w:shd w:val="clear" w:color="auto" w:fill="auto"/>
            <w:tcMar>
              <w:left w:w="0" w:type="dxa"/>
            </w:tcMar>
          </w:tcPr>
          <w:p w14:paraId="79CFF2E9" w14:textId="77777777" w:rsidR="00F766BE" w:rsidRPr="00F335E5" w:rsidRDefault="00F766BE" w:rsidP="006F6FF2">
            <w:pPr>
              <w:pStyle w:val="Marginlie"/>
              <w:spacing w:after="120"/>
              <w:rPr>
                <w:spacing w:val="-5"/>
              </w:rPr>
            </w:pPr>
            <w:r>
              <w:lastRenderedPageBreak/>
              <w:t>Role vládních stabilizačních programů na podporu zaměstnanosti zůstávala v 1. čtvrtletí stále významná.</w:t>
            </w:r>
          </w:p>
        </w:tc>
        <w:tc>
          <w:tcPr>
            <w:tcW w:w="216" w:type="dxa"/>
            <w:shd w:val="clear" w:color="auto" w:fill="auto"/>
            <w:tcMar>
              <w:left w:w="0" w:type="dxa"/>
            </w:tcMar>
          </w:tcPr>
          <w:p w14:paraId="39A6C0C4"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4D3DFD3D" w14:textId="77777777" w:rsidR="00F766BE" w:rsidRPr="00980B60" w:rsidRDefault="00F766BE" w:rsidP="006F6FF2">
            <w:pPr>
              <w:rPr>
                <w:color w:val="0D0D0D" w:themeColor="text1" w:themeTint="F2"/>
                <w:spacing w:val="-3"/>
              </w:rPr>
            </w:pPr>
            <w:r w:rsidRPr="00980B60">
              <w:rPr>
                <w:color w:val="0D0D0D" w:themeColor="text1" w:themeTint="F2"/>
                <w:spacing w:val="-3"/>
              </w:rPr>
              <w:t xml:space="preserve">Proti citelnějšímu růstu </w:t>
            </w:r>
            <w:r>
              <w:rPr>
                <w:color w:val="0D0D0D" w:themeColor="text1" w:themeTint="F2"/>
                <w:spacing w:val="-3"/>
              </w:rPr>
              <w:t>nezaměstnanosti působily</w:t>
            </w:r>
            <w:r w:rsidRPr="00980B60">
              <w:rPr>
                <w:color w:val="0D0D0D" w:themeColor="text1" w:themeTint="F2"/>
                <w:spacing w:val="-3"/>
              </w:rPr>
              <w:t xml:space="preserve"> vládní stabilizační programy (Antivirus</w:t>
            </w:r>
            <w:r w:rsidRPr="00980B60">
              <w:rPr>
                <w:rStyle w:val="Znakapoznpodarou"/>
                <w:color w:val="0D0D0D" w:themeColor="text1" w:themeTint="F2"/>
                <w:spacing w:val="-3"/>
              </w:rPr>
              <w:footnoteReference w:id="49"/>
            </w:r>
            <w:r w:rsidRPr="00980B60">
              <w:rPr>
                <w:color w:val="0D0D0D" w:themeColor="text1" w:themeTint="F2"/>
                <w:spacing w:val="-3"/>
              </w:rPr>
              <w:t>, ošetřovné</w:t>
            </w:r>
            <w:r w:rsidRPr="00980B60">
              <w:rPr>
                <w:rStyle w:val="Znakapoznpodarou"/>
                <w:color w:val="0D0D0D" w:themeColor="text1" w:themeTint="F2"/>
                <w:spacing w:val="-3"/>
              </w:rPr>
              <w:footnoteReference w:id="50"/>
            </w:r>
            <w:r w:rsidRPr="00980B60">
              <w:rPr>
                <w:color w:val="0D0D0D" w:themeColor="text1" w:themeTint="F2"/>
                <w:spacing w:val="-3"/>
              </w:rPr>
              <w:t>). Roli sehrálo i to, že část pracovního trhu nebyla dosud nepříznivým vývojem příliš dotčena. Někteří lidé, kteří přišli o práci, tak mohli dočasně nalézt uplatnění v jiném oboru, a to zejména v regionech s pestrou nabídkou pozic ve službách. Pozitivně se mohlo projevit i</w:t>
            </w:r>
            <w:r>
              <w:rPr>
                <w:color w:val="0D0D0D" w:themeColor="text1" w:themeTint="F2"/>
                <w:spacing w:val="-3"/>
              </w:rPr>
              <w:t> </w:t>
            </w:r>
            <w:r w:rsidRPr="00980B60">
              <w:rPr>
                <w:color w:val="0D0D0D" w:themeColor="text1" w:themeTint="F2"/>
                <w:spacing w:val="-3"/>
              </w:rPr>
              <w:t xml:space="preserve">pokračující oživení průmyslu. </w:t>
            </w:r>
            <w:r w:rsidRPr="00980B60">
              <w:rPr>
                <w:color w:val="0D0D0D" w:themeColor="text1" w:themeTint="F2"/>
                <w:spacing w:val="-6"/>
              </w:rPr>
              <w:t>O</w:t>
            </w:r>
            <w:r w:rsidRPr="00980B60">
              <w:rPr>
                <w:color w:val="0D0D0D" w:themeColor="text1" w:themeTint="F2"/>
                <w:spacing w:val="-3"/>
              </w:rPr>
              <w:t>bavy domácností z růstu nezaměstnanosti, které kulminovaly na sklonku roku 2020</w:t>
            </w:r>
            <w:r w:rsidRPr="00980B60">
              <w:rPr>
                <w:rStyle w:val="Znakapoznpodarou"/>
                <w:color w:val="0D0D0D" w:themeColor="text1" w:themeTint="F2"/>
                <w:spacing w:val="-3"/>
              </w:rPr>
              <w:footnoteReference w:id="51"/>
            </w:r>
            <w:r w:rsidRPr="00980B60">
              <w:rPr>
                <w:color w:val="0D0D0D" w:themeColor="text1" w:themeTint="F2"/>
                <w:spacing w:val="-3"/>
              </w:rPr>
              <w:t>, se v průběhu 2. čtvrtletí 2021 podstatně zmírnily. I</w:t>
            </w:r>
            <w:r>
              <w:rPr>
                <w:color w:val="0D0D0D" w:themeColor="text1" w:themeTint="F2"/>
                <w:spacing w:val="-3"/>
              </w:rPr>
              <w:t> </w:t>
            </w:r>
            <w:r w:rsidRPr="00980B60">
              <w:rPr>
                <w:color w:val="0D0D0D" w:themeColor="text1" w:themeTint="F2"/>
                <w:spacing w:val="-3"/>
              </w:rPr>
              <w:t xml:space="preserve">tak ale byly v květnu </w:t>
            </w:r>
            <w:r>
              <w:rPr>
                <w:color w:val="0D0D0D" w:themeColor="text1" w:themeTint="F2"/>
                <w:spacing w:val="-3"/>
              </w:rPr>
              <w:t xml:space="preserve">stále </w:t>
            </w:r>
            <w:r w:rsidRPr="00980B60">
              <w:rPr>
                <w:color w:val="0D0D0D" w:themeColor="text1" w:themeTint="F2"/>
                <w:spacing w:val="-3"/>
              </w:rPr>
              <w:t xml:space="preserve">vyšší než </w:t>
            </w:r>
            <w:r>
              <w:rPr>
                <w:color w:val="0D0D0D" w:themeColor="text1" w:themeTint="F2"/>
                <w:spacing w:val="-3"/>
              </w:rPr>
              <w:t xml:space="preserve">vloni </w:t>
            </w:r>
            <w:r w:rsidRPr="00980B60">
              <w:rPr>
                <w:color w:val="0D0D0D" w:themeColor="text1" w:themeTint="F2"/>
                <w:spacing w:val="-3"/>
              </w:rPr>
              <w:t>před propuknutím pandemie.</w:t>
            </w:r>
          </w:p>
        </w:tc>
      </w:tr>
      <w:tr w:rsidR="00F766BE" w:rsidRPr="00B43216" w14:paraId="49783AF3" w14:textId="77777777" w:rsidTr="006F6FF2">
        <w:trPr>
          <w:trHeight w:val="155"/>
        </w:trPr>
        <w:tc>
          <w:tcPr>
            <w:tcW w:w="1792" w:type="dxa"/>
            <w:vMerge w:val="restart"/>
            <w:shd w:val="clear" w:color="auto" w:fill="auto"/>
            <w:tcMar>
              <w:left w:w="0" w:type="dxa"/>
            </w:tcMar>
          </w:tcPr>
          <w:p w14:paraId="61F65F63" w14:textId="77777777" w:rsidR="00F766BE" w:rsidRPr="00B43216" w:rsidRDefault="00F766BE" w:rsidP="006F6FF2">
            <w:pPr>
              <w:pStyle w:val="Marginlie"/>
              <w:spacing w:after="120"/>
              <w:rPr>
                <w:spacing w:val="-4"/>
              </w:rPr>
            </w:pPr>
          </w:p>
        </w:tc>
        <w:tc>
          <w:tcPr>
            <w:tcW w:w="216" w:type="dxa"/>
            <w:vMerge w:val="restart"/>
            <w:shd w:val="clear" w:color="auto" w:fill="auto"/>
            <w:tcMar>
              <w:left w:w="0" w:type="dxa"/>
            </w:tcMar>
          </w:tcPr>
          <w:p w14:paraId="43B63C2C"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412F2A58" w14:textId="368BE43E" w:rsidR="00F766BE" w:rsidRPr="00646F2C" w:rsidRDefault="00197D0E" w:rsidP="006F6FF2">
            <w:pPr>
              <w:spacing w:after="0"/>
              <w:rPr>
                <w:b/>
                <w:spacing w:val="-4"/>
              </w:rPr>
            </w:pPr>
            <w:r>
              <w:rPr>
                <w:b/>
                <w:spacing w:val="-4"/>
              </w:rPr>
              <w:t>Graf č. 13</w:t>
            </w:r>
            <w:r w:rsidR="00F766BE" w:rsidRPr="00646F2C">
              <w:rPr>
                <w:b/>
                <w:spacing w:val="-4"/>
              </w:rPr>
              <w:t xml:space="preserve">  </w:t>
            </w:r>
            <w:r w:rsidR="00F766BE" w:rsidRPr="00646F2C">
              <w:rPr>
                <w:rFonts w:cs="Arial"/>
                <w:b/>
                <w:spacing w:val="-4"/>
              </w:rPr>
              <w:t xml:space="preserve">Obecná míra nezaměstnanosti </w:t>
            </w:r>
            <w:r w:rsidR="00F766BE" w:rsidRPr="00646F2C">
              <w:rPr>
                <w:rFonts w:cs="Arial"/>
                <w:bCs/>
                <w:spacing w:val="-4"/>
              </w:rPr>
              <w:t>(v %)</w:t>
            </w:r>
            <w:r w:rsidR="00F766BE" w:rsidRPr="00646F2C">
              <w:rPr>
                <w:rFonts w:cs="Arial"/>
                <w:b/>
                <w:spacing w:val="-4"/>
              </w:rPr>
              <w:t>, podíl dlouhodobě nezaměstnaných a osob ve věku do</w:t>
            </w:r>
            <w:r w:rsidR="00F766BE">
              <w:rPr>
                <w:rFonts w:cs="Arial"/>
                <w:b/>
                <w:spacing w:val="-4"/>
              </w:rPr>
              <w:t> </w:t>
            </w:r>
            <w:r w:rsidR="00F766BE" w:rsidRPr="00646F2C">
              <w:rPr>
                <w:rFonts w:cs="Arial"/>
                <w:b/>
                <w:spacing w:val="-4"/>
              </w:rPr>
              <w:t>25 a</w:t>
            </w:r>
            <w:r w:rsidR="00F766BE">
              <w:rPr>
                <w:rFonts w:cs="Arial"/>
                <w:b/>
                <w:spacing w:val="-4"/>
              </w:rPr>
              <w:t> </w:t>
            </w:r>
            <w:r w:rsidR="00F766BE" w:rsidRPr="00646F2C">
              <w:rPr>
                <w:rFonts w:cs="Arial"/>
                <w:b/>
                <w:spacing w:val="-4"/>
              </w:rPr>
              <w:t>nad 50</w:t>
            </w:r>
            <w:r w:rsidR="00F766BE">
              <w:rPr>
                <w:rFonts w:cs="Arial"/>
                <w:b/>
                <w:spacing w:val="-4"/>
              </w:rPr>
              <w:t> </w:t>
            </w:r>
            <w:r w:rsidR="00F766BE" w:rsidRPr="00646F2C">
              <w:rPr>
                <w:rFonts w:cs="Arial"/>
                <w:b/>
                <w:spacing w:val="-4"/>
              </w:rPr>
              <w:t xml:space="preserve">let mezi nezaměstnanými </w:t>
            </w:r>
            <w:r w:rsidR="00F766BE" w:rsidRPr="00646F2C">
              <w:rPr>
                <w:rFonts w:cs="Arial"/>
                <w:bCs/>
                <w:spacing w:val="-4"/>
              </w:rPr>
              <w:t>(v %)</w:t>
            </w:r>
            <w:r w:rsidR="00F766BE" w:rsidRPr="00646F2C">
              <w:rPr>
                <w:rFonts w:cs="Arial"/>
                <w:b/>
                <w:spacing w:val="-4"/>
              </w:rPr>
              <w:t xml:space="preserve">, ekonomicky neaktivní chtějící pracovat </w:t>
            </w:r>
            <w:r w:rsidR="00F766BE" w:rsidRPr="00646F2C">
              <w:rPr>
                <w:rFonts w:cs="Arial"/>
                <w:bCs/>
                <w:spacing w:val="-4"/>
              </w:rPr>
              <w:t xml:space="preserve">(v tis.)* </w:t>
            </w:r>
            <w:r w:rsidR="00F766BE" w:rsidRPr="00646F2C">
              <w:rPr>
                <w:rFonts w:cs="Arial"/>
                <w:b/>
                <w:bCs/>
                <w:spacing w:val="-4"/>
              </w:rPr>
              <w:t>a očekávání nezaměstnanosti u domácností</w:t>
            </w:r>
            <w:r w:rsidR="00F766BE" w:rsidRPr="00646F2C">
              <w:rPr>
                <w:rFonts w:cs="Arial"/>
                <w:bCs/>
                <w:spacing w:val="-4"/>
              </w:rPr>
              <w:t xml:space="preserve"> (v %)**</w:t>
            </w:r>
          </w:p>
        </w:tc>
      </w:tr>
      <w:tr w:rsidR="00F766BE" w:rsidRPr="00B43216" w14:paraId="780D31AB" w14:textId="77777777" w:rsidTr="006F6FF2">
        <w:tblPrEx>
          <w:tblCellMar>
            <w:left w:w="70" w:type="dxa"/>
            <w:right w:w="70" w:type="dxa"/>
          </w:tblCellMar>
        </w:tblPrEx>
        <w:trPr>
          <w:trHeight w:val="155"/>
        </w:trPr>
        <w:tc>
          <w:tcPr>
            <w:tcW w:w="1792" w:type="dxa"/>
            <w:vMerge/>
            <w:shd w:val="clear" w:color="auto" w:fill="auto"/>
          </w:tcPr>
          <w:p w14:paraId="247A52F9" w14:textId="77777777" w:rsidR="00F766BE" w:rsidRPr="00B43216" w:rsidRDefault="00F766BE" w:rsidP="006F6FF2">
            <w:pPr>
              <w:pStyle w:val="Marginlie"/>
              <w:spacing w:after="120"/>
              <w:rPr>
                <w:spacing w:val="-4"/>
              </w:rPr>
            </w:pPr>
          </w:p>
        </w:tc>
        <w:tc>
          <w:tcPr>
            <w:tcW w:w="216" w:type="dxa"/>
            <w:vMerge/>
            <w:shd w:val="clear" w:color="auto" w:fill="auto"/>
          </w:tcPr>
          <w:p w14:paraId="03CDD402" w14:textId="77777777" w:rsidR="00F766BE" w:rsidRPr="00B43216" w:rsidRDefault="00F766BE" w:rsidP="006F6FF2">
            <w:pPr>
              <w:pStyle w:val="Textpoznpodarou"/>
              <w:spacing w:after="120"/>
              <w:jc w:val="both"/>
              <w:rPr>
                <w:spacing w:val="-4"/>
              </w:rPr>
            </w:pPr>
          </w:p>
        </w:tc>
        <w:tc>
          <w:tcPr>
            <w:tcW w:w="7656" w:type="dxa"/>
            <w:shd w:val="clear" w:color="auto" w:fill="auto"/>
          </w:tcPr>
          <w:p w14:paraId="0A4AF106" w14:textId="77777777" w:rsidR="00F766BE" w:rsidRPr="00B43216" w:rsidRDefault="00F766BE" w:rsidP="006F6FF2">
            <w:pPr>
              <w:spacing w:after="0"/>
              <w:rPr>
                <w:spacing w:val="-4"/>
              </w:rPr>
            </w:pPr>
            <w:r>
              <w:rPr>
                <w:noProof/>
              </w:rPr>
              <w:drawing>
                <wp:inline distT="0" distB="0" distL="0" distR="0" wp14:anchorId="4ED8E427" wp14:editId="71B5936B">
                  <wp:extent cx="4753610" cy="3467100"/>
                  <wp:effectExtent l="0" t="0" r="889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F766BE" w:rsidRPr="00B43216" w14:paraId="6058BFCA" w14:textId="77777777" w:rsidTr="006F6FF2">
        <w:trPr>
          <w:trHeight w:val="671"/>
        </w:trPr>
        <w:tc>
          <w:tcPr>
            <w:tcW w:w="1792" w:type="dxa"/>
            <w:vMerge/>
            <w:shd w:val="clear" w:color="auto" w:fill="auto"/>
            <w:tcMar>
              <w:left w:w="0" w:type="dxa"/>
            </w:tcMar>
          </w:tcPr>
          <w:p w14:paraId="2D3759B2" w14:textId="77777777" w:rsidR="00F766BE" w:rsidRPr="00B43216" w:rsidRDefault="00F766BE" w:rsidP="006F6FF2">
            <w:pPr>
              <w:pStyle w:val="Marginlie"/>
              <w:rPr>
                <w:spacing w:val="-4"/>
              </w:rPr>
            </w:pPr>
          </w:p>
        </w:tc>
        <w:tc>
          <w:tcPr>
            <w:tcW w:w="216" w:type="dxa"/>
            <w:vMerge/>
            <w:shd w:val="clear" w:color="auto" w:fill="auto"/>
            <w:tcMar>
              <w:left w:w="0" w:type="dxa"/>
            </w:tcMar>
          </w:tcPr>
          <w:p w14:paraId="3F78BCC8" w14:textId="77777777" w:rsidR="00F766BE" w:rsidRPr="00B43216" w:rsidRDefault="00F766BE" w:rsidP="006F6FF2">
            <w:pPr>
              <w:pStyle w:val="Textpoznpodarou"/>
              <w:jc w:val="both"/>
              <w:rPr>
                <w:spacing w:val="-4"/>
              </w:rPr>
            </w:pPr>
          </w:p>
        </w:tc>
        <w:tc>
          <w:tcPr>
            <w:tcW w:w="7656" w:type="dxa"/>
            <w:shd w:val="clear" w:color="auto" w:fill="auto"/>
            <w:tcMar>
              <w:left w:w="0" w:type="dxa"/>
            </w:tcMar>
          </w:tcPr>
          <w:p w14:paraId="15EF2A90" w14:textId="77777777" w:rsidR="00F766BE" w:rsidRPr="004E68B1" w:rsidRDefault="00F766BE" w:rsidP="006F6FF2">
            <w:pPr>
              <w:spacing w:after="0" w:line="240" w:lineRule="auto"/>
              <w:rPr>
                <w:rFonts w:cs="Arial"/>
                <w:color w:val="0D0D0D" w:themeColor="text1" w:themeTint="F2"/>
                <w:spacing w:val="-2"/>
                <w:sz w:val="14"/>
                <w:szCs w:val="14"/>
              </w:rPr>
            </w:pPr>
            <w:r w:rsidRPr="004E68B1">
              <w:rPr>
                <w:rFonts w:cs="Arial"/>
                <w:color w:val="0D0D0D" w:themeColor="text1" w:themeTint="F2"/>
                <w:spacing w:val="-2"/>
                <w:sz w:val="14"/>
                <w:szCs w:val="14"/>
              </w:rPr>
              <w:t>Pozn.: Údaje o míře nezaměstnanosti jsou po sezónním očištění, ostatní ukazatele nikoliv.</w:t>
            </w:r>
          </w:p>
          <w:p w14:paraId="13408AFD" w14:textId="77777777" w:rsidR="00F766BE" w:rsidRDefault="00F766BE" w:rsidP="006F6FF2">
            <w:pPr>
              <w:spacing w:after="0" w:line="240" w:lineRule="auto"/>
              <w:rPr>
                <w:rFonts w:cs="Arial"/>
                <w:color w:val="0D0D0D" w:themeColor="text1" w:themeTint="F2"/>
                <w:spacing w:val="-2"/>
                <w:sz w:val="14"/>
                <w:szCs w:val="14"/>
              </w:rPr>
            </w:pPr>
            <w:r>
              <w:rPr>
                <w:rFonts w:cs="Arial"/>
                <w:bCs/>
                <w:color w:val="0D0D0D" w:themeColor="text1" w:themeTint="F2"/>
                <w:spacing w:val="-2"/>
                <w:sz w:val="14"/>
                <w:szCs w:val="14"/>
              </w:rPr>
              <w:t>*</w:t>
            </w:r>
            <w:r w:rsidRPr="004E68B1">
              <w:rPr>
                <w:rFonts w:cs="Arial"/>
                <w:bCs/>
                <w:color w:val="0D0D0D" w:themeColor="text1" w:themeTint="F2"/>
                <w:spacing w:val="-2"/>
                <w:sz w:val="14"/>
                <w:szCs w:val="14"/>
              </w:rPr>
              <w:t>Jde o osoby, které nepracují, aktivně práci nehledají,</w:t>
            </w:r>
            <w:r w:rsidRPr="004E68B1">
              <w:rPr>
                <w:rFonts w:cs="Arial"/>
                <w:color w:val="0D0D0D" w:themeColor="text1" w:themeTint="F2"/>
                <w:spacing w:val="-2"/>
                <w:sz w:val="14"/>
                <w:szCs w:val="14"/>
              </w:rPr>
              <w:t xml:space="preserve"> ale přitom uvádějí, že by chtěly pracovat.</w:t>
            </w:r>
          </w:p>
          <w:p w14:paraId="2E20D9FD" w14:textId="77777777" w:rsidR="00F766BE" w:rsidRDefault="00F766BE" w:rsidP="006F6FF2">
            <w:pPr>
              <w:spacing w:after="0" w:line="240" w:lineRule="auto"/>
              <w:rPr>
                <w:rFonts w:cs="Arial"/>
                <w:color w:val="0D0D0D" w:themeColor="text1" w:themeTint="F2"/>
                <w:spacing w:val="-2"/>
                <w:sz w:val="14"/>
                <w:szCs w:val="14"/>
              </w:rPr>
            </w:pPr>
            <w:r>
              <w:rPr>
                <w:rFonts w:cs="Arial"/>
                <w:color w:val="0D0D0D" w:themeColor="text1" w:themeTint="F2"/>
                <w:spacing w:val="-2"/>
                <w:sz w:val="14"/>
                <w:szCs w:val="14"/>
              </w:rPr>
              <w:t>**Sezónně očištěné saldo očekávání nezaměstnanosti v nejbližších 12 měsících (rozdíl mezi procentuální četností odpovědí domácností „růst“ a „pokles“ vyjádřený v procentních bodech). Údaje se vztahují k prostřednímu měsíci daného čtvrtletí.</w:t>
            </w:r>
          </w:p>
          <w:p w14:paraId="3D577CBA" w14:textId="77777777" w:rsidR="00F766BE" w:rsidRPr="00485ED5" w:rsidRDefault="00F766BE" w:rsidP="006F6FF2">
            <w:pPr>
              <w:spacing w:line="240" w:lineRule="auto"/>
              <w:rPr>
                <w:rFonts w:cs="Arial"/>
                <w:color w:val="0D0D0D" w:themeColor="text1" w:themeTint="F2"/>
                <w:spacing w:val="-2"/>
                <w:sz w:val="14"/>
                <w:szCs w:val="14"/>
              </w:rPr>
            </w:pPr>
            <w:r>
              <w:rPr>
                <w:rFonts w:cs="Arial"/>
                <w:color w:val="0D0D0D" w:themeColor="text1" w:themeTint="F2"/>
                <w:spacing w:val="-2"/>
                <w:sz w:val="14"/>
                <w:szCs w:val="14"/>
              </w:rPr>
              <w:t>Zdroj: ČSÚ (VŠPS, konjunkturální průzkum)</w:t>
            </w:r>
          </w:p>
        </w:tc>
      </w:tr>
      <w:tr w:rsidR="00F766BE" w:rsidRPr="00191C35" w14:paraId="48BB9FBF" w14:textId="77777777" w:rsidTr="006F6FF2">
        <w:trPr>
          <w:trHeight w:val="145"/>
        </w:trPr>
        <w:tc>
          <w:tcPr>
            <w:tcW w:w="1792" w:type="dxa"/>
            <w:shd w:val="clear" w:color="auto" w:fill="auto"/>
            <w:tcMar>
              <w:left w:w="0" w:type="dxa"/>
            </w:tcMar>
          </w:tcPr>
          <w:p w14:paraId="47C28884" w14:textId="77777777" w:rsidR="00F766BE" w:rsidRDefault="00F766BE" w:rsidP="006F6FF2">
            <w:pPr>
              <w:pStyle w:val="Marginlie"/>
              <w:spacing w:after="120"/>
            </w:pPr>
            <w:r>
              <w:t xml:space="preserve">Počet volných pracovních míst se meziročně mírně snížil, zejména vlivem nižší nabídky pozic pro středoškoláky bez </w:t>
            </w:r>
            <w:r>
              <w:lastRenderedPageBreak/>
              <w:t>maturity. Významná část nejméně kvalifikovaných míst zůstává dlouhodobě neobsazena.</w:t>
            </w:r>
          </w:p>
        </w:tc>
        <w:tc>
          <w:tcPr>
            <w:tcW w:w="216" w:type="dxa"/>
            <w:shd w:val="clear" w:color="auto" w:fill="auto"/>
            <w:tcMar>
              <w:left w:w="0" w:type="dxa"/>
            </w:tcMar>
          </w:tcPr>
          <w:p w14:paraId="0CFC0B85"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3C529F72" w14:textId="77777777" w:rsidR="00F766BE" w:rsidRPr="008A4534" w:rsidRDefault="00F766BE" w:rsidP="006F6FF2">
            <w:pPr>
              <w:rPr>
                <w:color w:val="0D0D0D" w:themeColor="text1" w:themeTint="F2"/>
                <w:spacing w:val="-4"/>
              </w:rPr>
            </w:pPr>
            <w:r w:rsidRPr="008A4534">
              <w:rPr>
                <w:color w:val="0D0D0D" w:themeColor="text1" w:themeTint="F2"/>
                <w:spacing w:val="-4"/>
              </w:rPr>
              <w:t>Počet volných pracovních míst v nabídce úřadů práce v ČR od loňského listopadu nepřetržitě rostl. Na konci 1.</w:t>
            </w:r>
            <w:r>
              <w:rPr>
                <w:color w:val="0D0D0D" w:themeColor="text1" w:themeTint="F2"/>
                <w:spacing w:val="-4"/>
              </w:rPr>
              <w:t> čtvrt</w:t>
            </w:r>
            <w:r w:rsidRPr="008A4534">
              <w:rPr>
                <w:color w:val="0D0D0D" w:themeColor="text1" w:themeTint="F2"/>
                <w:spacing w:val="-4"/>
              </w:rPr>
              <w:t>letí 2021 bylo k dispozici bezmála 340</w:t>
            </w:r>
            <w:r>
              <w:rPr>
                <w:color w:val="0D0D0D" w:themeColor="text1" w:themeTint="F2"/>
                <w:spacing w:val="-4"/>
              </w:rPr>
              <w:t> tis.</w:t>
            </w:r>
            <w:r w:rsidRPr="008A4534">
              <w:rPr>
                <w:color w:val="0D0D0D" w:themeColor="text1" w:themeTint="F2"/>
                <w:spacing w:val="-4"/>
              </w:rPr>
              <w:t xml:space="preserve"> míst</w:t>
            </w:r>
            <w:r w:rsidRPr="008A4534">
              <w:rPr>
                <w:rStyle w:val="Znakapoznpodarou"/>
                <w:color w:val="0D0D0D" w:themeColor="text1" w:themeTint="F2"/>
                <w:spacing w:val="-4"/>
              </w:rPr>
              <w:footnoteReference w:id="52"/>
            </w:r>
            <w:r w:rsidRPr="008A4534">
              <w:rPr>
                <w:color w:val="0D0D0D" w:themeColor="text1" w:themeTint="F2"/>
                <w:spacing w:val="-4"/>
              </w:rPr>
              <w:t>. Zároveň však 45</w:t>
            </w:r>
            <w:r>
              <w:rPr>
                <w:color w:val="0D0D0D" w:themeColor="text1" w:themeTint="F2"/>
                <w:spacing w:val="-4"/>
              </w:rPr>
              <w:t> %</w:t>
            </w:r>
            <w:r w:rsidRPr="008A4534">
              <w:rPr>
                <w:color w:val="0D0D0D" w:themeColor="text1" w:themeTint="F2"/>
                <w:spacing w:val="-4"/>
              </w:rPr>
              <w:t xml:space="preserve"> nabízených pozic zůstávalo neobsazeno více než šest měsíců. Jde primárně o místa s nižšími kvalifikačními nároky, často cílící na zahraniční pracovníky z tzv.</w:t>
            </w:r>
            <w:r>
              <w:rPr>
                <w:color w:val="0D0D0D" w:themeColor="text1" w:themeTint="F2"/>
                <w:spacing w:val="-4"/>
              </w:rPr>
              <w:t> </w:t>
            </w:r>
            <w:r w:rsidRPr="008A4534">
              <w:rPr>
                <w:color w:val="0D0D0D" w:themeColor="text1" w:themeTint="F2"/>
                <w:spacing w:val="-4"/>
              </w:rPr>
              <w:t xml:space="preserve">třetích </w:t>
            </w:r>
            <w:r w:rsidRPr="008A4534">
              <w:rPr>
                <w:color w:val="0D0D0D" w:themeColor="text1" w:themeTint="F2"/>
                <w:spacing w:val="-4"/>
              </w:rPr>
              <w:lastRenderedPageBreak/>
              <w:t>zemí. Proti loňskému březnu, kdy trh práce ještě nebyl nastupující ekonomickou recesí dotčen, se počet všech volných míst mírně snížil o</w:t>
            </w:r>
            <w:r>
              <w:rPr>
                <w:color w:val="0D0D0D" w:themeColor="text1" w:themeTint="F2"/>
                <w:spacing w:val="-4"/>
              </w:rPr>
              <w:t> </w:t>
            </w:r>
            <w:r w:rsidRPr="008A4534">
              <w:rPr>
                <w:color w:val="0D0D0D" w:themeColor="text1" w:themeTint="F2"/>
                <w:spacing w:val="-4"/>
              </w:rPr>
              <w:t>3,4</w:t>
            </w:r>
            <w:r>
              <w:rPr>
                <w:color w:val="0D0D0D" w:themeColor="text1" w:themeTint="F2"/>
                <w:spacing w:val="-4"/>
              </w:rPr>
              <w:t> %</w:t>
            </w:r>
            <w:r w:rsidRPr="008A4534">
              <w:rPr>
                <w:color w:val="0D0D0D" w:themeColor="text1" w:themeTint="F2"/>
                <w:spacing w:val="-4"/>
              </w:rPr>
              <w:t>, zatímco registrovaných uchazečů o</w:t>
            </w:r>
            <w:r>
              <w:rPr>
                <w:color w:val="0D0D0D" w:themeColor="text1" w:themeTint="F2"/>
                <w:spacing w:val="-4"/>
              </w:rPr>
              <w:t> </w:t>
            </w:r>
            <w:r w:rsidRPr="008A4534">
              <w:rPr>
                <w:color w:val="0D0D0D" w:themeColor="text1" w:themeTint="F2"/>
                <w:spacing w:val="-4"/>
              </w:rPr>
              <w:t>práci přibyla více než třetina. Míst pro středoškoláky bez maturity ubylo o</w:t>
            </w:r>
            <w:r>
              <w:rPr>
                <w:color w:val="0D0D0D" w:themeColor="text1" w:themeTint="F2"/>
                <w:spacing w:val="-4"/>
              </w:rPr>
              <w:t> </w:t>
            </w:r>
            <w:r w:rsidRPr="008A4534">
              <w:rPr>
                <w:color w:val="0D0D0D" w:themeColor="text1" w:themeTint="F2"/>
                <w:spacing w:val="-4"/>
              </w:rPr>
              <w:t>10</w:t>
            </w:r>
            <w:r>
              <w:rPr>
                <w:color w:val="0D0D0D" w:themeColor="text1" w:themeTint="F2"/>
                <w:spacing w:val="-4"/>
              </w:rPr>
              <w:t> tis.</w:t>
            </w:r>
            <w:r w:rsidRPr="008A4534">
              <w:rPr>
                <w:color w:val="0D0D0D" w:themeColor="text1" w:themeTint="F2"/>
                <w:spacing w:val="-4"/>
              </w:rPr>
              <w:t xml:space="preserve"> (</w:t>
            </w:r>
            <w:r>
              <w:rPr>
                <w:color w:val="0D0D0D" w:themeColor="text1" w:themeTint="F2"/>
                <w:spacing w:val="-4"/>
              </w:rPr>
              <w:t>resp. o </w:t>
            </w:r>
            <w:r w:rsidRPr="008A4534">
              <w:rPr>
                <w:color w:val="0D0D0D" w:themeColor="text1" w:themeTint="F2"/>
                <w:spacing w:val="-4"/>
              </w:rPr>
              <w:t>17</w:t>
            </w:r>
            <w:r>
              <w:rPr>
                <w:color w:val="0D0D0D" w:themeColor="text1" w:themeTint="F2"/>
                <w:spacing w:val="-4"/>
              </w:rPr>
              <w:t> %</w:t>
            </w:r>
            <w:r w:rsidRPr="008A4534">
              <w:rPr>
                <w:color w:val="0D0D0D" w:themeColor="text1" w:themeTint="F2"/>
                <w:spacing w:val="-4"/>
              </w:rPr>
              <w:t>). Počet pozic pro osoby s</w:t>
            </w:r>
            <w:r>
              <w:rPr>
                <w:color w:val="0D0D0D" w:themeColor="text1" w:themeTint="F2"/>
                <w:spacing w:val="-4"/>
              </w:rPr>
              <w:t> </w:t>
            </w:r>
            <w:r w:rsidRPr="008A4534">
              <w:rPr>
                <w:color w:val="0D0D0D" w:themeColor="text1" w:themeTint="F2"/>
                <w:spacing w:val="-4"/>
              </w:rPr>
              <w:t>maximálně základním vzděláním ale vzrostl</w:t>
            </w:r>
            <w:r>
              <w:rPr>
                <w:color w:val="0D0D0D" w:themeColor="text1" w:themeTint="F2"/>
                <w:spacing w:val="-4"/>
              </w:rPr>
              <w:t xml:space="preserve"> o 8 tis. (+3 </w:t>
            </w:r>
            <w:r w:rsidRPr="008A4534">
              <w:rPr>
                <w:color w:val="0D0D0D" w:themeColor="text1" w:themeTint="F2"/>
                <w:spacing w:val="-4"/>
              </w:rPr>
              <w:t>%) a</w:t>
            </w:r>
            <w:r>
              <w:rPr>
                <w:color w:val="0D0D0D" w:themeColor="text1" w:themeTint="F2"/>
                <w:spacing w:val="-4"/>
              </w:rPr>
              <w:t> ty tak tvořily</w:t>
            </w:r>
            <w:r w:rsidRPr="008A4534">
              <w:rPr>
                <w:color w:val="0D0D0D" w:themeColor="text1" w:themeTint="F2"/>
                <w:spacing w:val="-4"/>
              </w:rPr>
              <w:t xml:space="preserve"> již tři čtvrtiny veškeré nabídky volných míst. Z hlediska tříd zaměstnání výrazně klesla nabídka míst pro pracovníky ve službách a prodeji (o 13 %), více pozic bylo naopak k dispozici pro nekvalifikované a</w:t>
            </w:r>
            <w:r>
              <w:rPr>
                <w:color w:val="0D0D0D" w:themeColor="text1" w:themeTint="F2"/>
                <w:spacing w:val="-4"/>
              </w:rPr>
              <w:t> </w:t>
            </w:r>
            <w:r w:rsidRPr="008A4534">
              <w:rPr>
                <w:color w:val="0D0D0D" w:themeColor="text1" w:themeTint="F2"/>
                <w:spacing w:val="-4"/>
              </w:rPr>
              <w:t>pomocné pracovníky a</w:t>
            </w:r>
            <w:r>
              <w:rPr>
                <w:color w:val="0D0D0D" w:themeColor="text1" w:themeTint="F2"/>
                <w:spacing w:val="-4"/>
              </w:rPr>
              <w:t> </w:t>
            </w:r>
            <w:r w:rsidRPr="008A4534">
              <w:rPr>
                <w:color w:val="0D0D0D" w:themeColor="text1" w:themeTint="F2"/>
                <w:spacing w:val="-4"/>
              </w:rPr>
              <w:t xml:space="preserve">též pro </w:t>
            </w:r>
            <w:r w:rsidRPr="008A4534">
              <w:rPr>
                <w:spacing w:val="-4"/>
              </w:rPr>
              <w:t>kvalifikované pracovníky v zemědělství a</w:t>
            </w:r>
            <w:r w:rsidRPr="008A4534">
              <w:rPr>
                <w:color w:val="0D0D0D" w:themeColor="text1" w:themeTint="F2"/>
                <w:spacing w:val="-4"/>
              </w:rPr>
              <w:t> </w:t>
            </w:r>
            <w:r w:rsidRPr="008A4534">
              <w:rPr>
                <w:spacing w:val="-4"/>
              </w:rPr>
              <w:t>lesnictví. O</w:t>
            </w:r>
            <w:r>
              <w:rPr>
                <w:spacing w:val="-4"/>
              </w:rPr>
              <w:t> </w:t>
            </w:r>
            <w:r w:rsidRPr="008A4534">
              <w:rPr>
                <w:spacing w:val="-4"/>
              </w:rPr>
              <w:t xml:space="preserve">více než pětinu klesl meziročně </w:t>
            </w:r>
            <w:r w:rsidRPr="008A4534">
              <w:rPr>
                <w:color w:val="0D0D0D" w:themeColor="text1" w:themeTint="F2"/>
                <w:spacing w:val="-4"/>
              </w:rPr>
              <w:t>celkový počet míst v Karlovarském a</w:t>
            </w:r>
            <w:r>
              <w:rPr>
                <w:color w:val="0D0D0D" w:themeColor="text1" w:themeTint="F2"/>
                <w:spacing w:val="-4"/>
              </w:rPr>
              <w:t> </w:t>
            </w:r>
            <w:r w:rsidRPr="008A4534">
              <w:rPr>
                <w:color w:val="0D0D0D" w:themeColor="text1" w:themeTint="F2"/>
                <w:spacing w:val="-4"/>
              </w:rPr>
              <w:t>Pardubickém kraji, naopak v Praze a</w:t>
            </w:r>
            <w:r>
              <w:rPr>
                <w:color w:val="0D0D0D" w:themeColor="text1" w:themeTint="F2"/>
                <w:spacing w:val="-4"/>
              </w:rPr>
              <w:t> </w:t>
            </w:r>
            <w:r w:rsidRPr="008A4534">
              <w:rPr>
                <w:color w:val="0D0D0D" w:themeColor="text1" w:themeTint="F2"/>
                <w:spacing w:val="-4"/>
              </w:rPr>
              <w:t>Jihomoravském kraji se nabídka rozšířila o</w:t>
            </w:r>
            <w:r>
              <w:rPr>
                <w:color w:val="0D0D0D" w:themeColor="text1" w:themeTint="F2"/>
                <w:spacing w:val="-4"/>
              </w:rPr>
              <w:t> </w:t>
            </w:r>
            <w:r w:rsidRPr="008A4534">
              <w:rPr>
                <w:color w:val="0D0D0D" w:themeColor="text1" w:themeTint="F2"/>
                <w:spacing w:val="-4"/>
              </w:rPr>
              <w:t>šestinu.</w:t>
            </w:r>
          </w:p>
        </w:tc>
      </w:tr>
      <w:tr w:rsidR="00F766BE" w:rsidRPr="00191C35" w14:paraId="21B930A0" w14:textId="77777777" w:rsidTr="006F6FF2">
        <w:trPr>
          <w:trHeight w:val="145"/>
        </w:trPr>
        <w:tc>
          <w:tcPr>
            <w:tcW w:w="1792" w:type="dxa"/>
            <w:shd w:val="clear" w:color="auto" w:fill="auto"/>
            <w:tcMar>
              <w:left w:w="0" w:type="dxa"/>
            </w:tcMar>
          </w:tcPr>
          <w:p w14:paraId="60EC393A" w14:textId="77777777" w:rsidR="00F766BE" w:rsidRDefault="00F766BE" w:rsidP="006F6FF2">
            <w:pPr>
              <w:pStyle w:val="Marginlie"/>
              <w:spacing w:after="120"/>
            </w:pPr>
            <w:r>
              <w:lastRenderedPageBreak/>
              <w:t>Loňský silný růst počtu ekonomicky neaktivních se v 1. čtvrtletí výrazně přibrzdil.</w:t>
            </w:r>
          </w:p>
        </w:tc>
        <w:tc>
          <w:tcPr>
            <w:tcW w:w="216" w:type="dxa"/>
            <w:shd w:val="clear" w:color="auto" w:fill="auto"/>
            <w:tcMar>
              <w:left w:w="0" w:type="dxa"/>
            </w:tcMar>
          </w:tcPr>
          <w:p w14:paraId="615C53EA"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2E0C1CCA" w14:textId="77777777" w:rsidR="00F766BE" w:rsidRPr="00630775" w:rsidRDefault="00F766BE" w:rsidP="006F6FF2">
            <w:pPr>
              <w:rPr>
                <w:color w:val="0D0D0D" w:themeColor="text1" w:themeTint="F2"/>
                <w:spacing w:val="-4"/>
              </w:rPr>
            </w:pPr>
            <w:r w:rsidRPr="00630775">
              <w:rPr>
                <w:color w:val="0D0D0D" w:themeColor="text1" w:themeTint="F2"/>
                <w:spacing w:val="-4"/>
              </w:rPr>
              <w:t>Počet ekonomicky neaktivních, který vloni narostl nejvíce od roku 2008 (+1,7</w:t>
            </w:r>
            <w:r>
              <w:rPr>
                <w:color w:val="0D0D0D" w:themeColor="text1" w:themeTint="F2"/>
                <w:spacing w:val="-4"/>
              </w:rPr>
              <w:t> %</w:t>
            </w:r>
            <w:r w:rsidRPr="00630775">
              <w:rPr>
                <w:color w:val="0D0D0D" w:themeColor="text1" w:themeTint="F2"/>
                <w:spacing w:val="-4"/>
              </w:rPr>
              <w:t xml:space="preserve">, resp. </w:t>
            </w:r>
            <w:r>
              <w:rPr>
                <w:color w:val="0D0D0D" w:themeColor="text1" w:themeTint="F2"/>
                <w:spacing w:val="-4"/>
              </w:rPr>
              <w:t>61</w:t>
            </w:r>
            <w:r>
              <w:rPr>
                <w:spacing w:val="-4"/>
              </w:rPr>
              <w:t> </w:t>
            </w:r>
            <w:r w:rsidRPr="00630775">
              <w:rPr>
                <w:color w:val="0D0D0D" w:themeColor="text1" w:themeTint="F2"/>
                <w:spacing w:val="-4"/>
              </w:rPr>
              <w:t>tis.), se zatím letos stabilizoval. V 1.</w:t>
            </w:r>
            <w:r>
              <w:rPr>
                <w:color w:val="0D0D0D" w:themeColor="text1" w:themeTint="F2"/>
                <w:spacing w:val="-4"/>
              </w:rPr>
              <w:t> čtvrt</w:t>
            </w:r>
            <w:r w:rsidRPr="00630775">
              <w:rPr>
                <w:color w:val="0D0D0D" w:themeColor="text1" w:themeTint="F2"/>
                <w:spacing w:val="-4"/>
              </w:rPr>
              <w:t>letí meziročně posílil o</w:t>
            </w:r>
            <w:r>
              <w:rPr>
                <w:color w:val="0D0D0D" w:themeColor="text1" w:themeTint="F2"/>
                <w:spacing w:val="-4"/>
              </w:rPr>
              <w:t> </w:t>
            </w:r>
            <w:r w:rsidRPr="00630775">
              <w:rPr>
                <w:color w:val="0D0D0D" w:themeColor="text1" w:themeTint="F2"/>
                <w:spacing w:val="-4"/>
              </w:rPr>
              <w:t>7</w:t>
            </w:r>
            <w:r>
              <w:rPr>
                <w:color w:val="0D0D0D" w:themeColor="text1" w:themeTint="F2"/>
                <w:spacing w:val="-4"/>
              </w:rPr>
              <w:t> </w:t>
            </w:r>
            <w:r w:rsidRPr="00630775">
              <w:rPr>
                <w:color w:val="0D0D0D" w:themeColor="text1" w:themeTint="F2"/>
                <w:spacing w:val="-4"/>
              </w:rPr>
              <w:t>tis</w:t>
            </w:r>
            <w:r>
              <w:rPr>
                <w:color w:val="0D0D0D" w:themeColor="text1" w:themeTint="F2"/>
                <w:spacing w:val="-4"/>
              </w:rPr>
              <w:t>.</w:t>
            </w:r>
            <w:r w:rsidRPr="00630775">
              <w:rPr>
                <w:color w:val="0D0D0D" w:themeColor="text1" w:themeTint="F2"/>
                <w:spacing w:val="-4"/>
              </w:rPr>
              <w:t xml:space="preserve"> osob, z drtivé většiny vlivem mladých ve věku 15</w:t>
            </w:r>
            <w:r w:rsidRPr="00630775">
              <w:rPr>
                <w:spacing w:val="-4"/>
              </w:rPr>
              <w:t>–</w:t>
            </w:r>
            <w:r w:rsidRPr="00630775">
              <w:rPr>
                <w:color w:val="0D0D0D" w:themeColor="text1" w:themeTint="F2"/>
                <w:spacing w:val="-4"/>
              </w:rPr>
              <w:t>19</w:t>
            </w:r>
            <w:r>
              <w:rPr>
                <w:color w:val="0D0D0D" w:themeColor="text1" w:themeTint="F2"/>
                <w:spacing w:val="-4"/>
              </w:rPr>
              <w:t> </w:t>
            </w:r>
            <w:r w:rsidRPr="00630775">
              <w:rPr>
                <w:color w:val="0D0D0D" w:themeColor="text1" w:themeTint="F2"/>
                <w:spacing w:val="-4"/>
              </w:rPr>
              <w:t>let (+14</w:t>
            </w:r>
            <w:r>
              <w:rPr>
                <w:color w:val="0D0D0D" w:themeColor="text1" w:themeTint="F2"/>
                <w:spacing w:val="-4"/>
              </w:rPr>
              <w:t> tis.</w:t>
            </w:r>
            <w:r w:rsidRPr="00630775">
              <w:rPr>
                <w:color w:val="0D0D0D" w:themeColor="text1" w:themeTint="F2"/>
                <w:spacing w:val="-4"/>
              </w:rPr>
              <w:t>) a</w:t>
            </w:r>
            <w:r>
              <w:rPr>
                <w:color w:val="0D0D0D" w:themeColor="text1" w:themeTint="F2"/>
                <w:spacing w:val="-4"/>
              </w:rPr>
              <w:t> </w:t>
            </w:r>
            <w:r w:rsidRPr="00630775">
              <w:rPr>
                <w:color w:val="0D0D0D" w:themeColor="text1" w:themeTint="F2"/>
                <w:spacing w:val="-4"/>
              </w:rPr>
              <w:t>seniorů nad 65</w:t>
            </w:r>
            <w:r>
              <w:rPr>
                <w:color w:val="0D0D0D" w:themeColor="text1" w:themeTint="F2"/>
                <w:spacing w:val="-4"/>
              </w:rPr>
              <w:t> </w:t>
            </w:r>
            <w:r w:rsidRPr="00630775">
              <w:rPr>
                <w:color w:val="0D0D0D" w:themeColor="text1" w:themeTint="F2"/>
                <w:spacing w:val="-4"/>
              </w:rPr>
              <w:t>let (+34</w:t>
            </w:r>
            <w:r>
              <w:rPr>
                <w:color w:val="0D0D0D" w:themeColor="text1" w:themeTint="F2"/>
                <w:spacing w:val="-4"/>
              </w:rPr>
              <w:t> tis.</w:t>
            </w:r>
            <w:r w:rsidRPr="00630775">
              <w:rPr>
                <w:color w:val="0D0D0D" w:themeColor="text1" w:themeTint="F2"/>
                <w:spacing w:val="-4"/>
              </w:rPr>
              <w:t xml:space="preserve">). To patrně souviselo </w:t>
            </w:r>
            <w:r>
              <w:rPr>
                <w:color w:val="0D0D0D" w:themeColor="text1" w:themeTint="F2"/>
                <w:spacing w:val="-4"/>
              </w:rPr>
              <w:t>s </w:t>
            </w:r>
            <w:r w:rsidRPr="00630775">
              <w:rPr>
                <w:spacing w:val="-4"/>
              </w:rPr>
              <w:t>omezenější nabídkou termínovaných a zkrácených pracovních úvazků. Počet všech neaktivních nehledajících práci, ale chtějících pracovat se meziročně mírně zvýšil (+14</w:t>
            </w:r>
            <w:r>
              <w:rPr>
                <w:spacing w:val="-4"/>
              </w:rPr>
              <w:t> tis.</w:t>
            </w:r>
            <w:r w:rsidRPr="00630775">
              <w:rPr>
                <w:spacing w:val="-4"/>
              </w:rPr>
              <w:t xml:space="preserve"> osob) a</w:t>
            </w:r>
            <w:r>
              <w:rPr>
                <w:spacing w:val="-4"/>
              </w:rPr>
              <w:t> </w:t>
            </w:r>
            <w:r w:rsidRPr="00630775">
              <w:rPr>
                <w:spacing w:val="-4"/>
              </w:rPr>
              <w:t>vrátil se tak na úroveň roku 2018 (108</w:t>
            </w:r>
            <w:r>
              <w:rPr>
                <w:spacing w:val="-4"/>
              </w:rPr>
              <w:t> tis.</w:t>
            </w:r>
            <w:r w:rsidRPr="00630775">
              <w:rPr>
                <w:spacing w:val="-4"/>
              </w:rPr>
              <w:t>). Ze sta osob ve věku 15</w:t>
            </w:r>
            <w:r>
              <w:rPr>
                <w:spacing w:val="-4"/>
              </w:rPr>
              <w:t> </w:t>
            </w:r>
            <w:r w:rsidRPr="00630775">
              <w:rPr>
                <w:spacing w:val="-4"/>
              </w:rPr>
              <w:t>až 64</w:t>
            </w:r>
            <w:r>
              <w:rPr>
                <w:spacing w:val="-4"/>
              </w:rPr>
              <w:t> </w:t>
            </w:r>
            <w:r w:rsidRPr="00630775">
              <w:rPr>
                <w:spacing w:val="-4"/>
              </w:rPr>
              <w:t xml:space="preserve">let bylo letos </w:t>
            </w:r>
            <w:r>
              <w:rPr>
                <w:spacing w:val="-4"/>
              </w:rPr>
              <w:t>v </w:t>
            </w:r>
            <w:r w:rsidRPr="00630775">
              <w:rPr>
                <w:spacing w:val="-4"/>
              </w:rPr>
              <w:t>dubnu ekonomicky aktivních 76,7</w:t>
            </w:r>
            <w:r>
              <w:rPr>
                <w:spacing w:val="-4"/>
              </w:rPr>
              <w:t> %</w:t>
            </w:r>
            <w:r w:rsidRPr="00630775">
              <w:rPr>
                <w:spacing w:val="-4"/>
              </w:rPr>
              <w:t xml:space="preserve">. Míra aktivity lidí v produktivním věku se tak vrátila </w:t>
            </w:r>
            <w:r>
              <w:rPr>
                <w:spacing w:val="-4"/>
              </w:rPr>
              <w:t xml:space="preserve">na úroveň </w:t>
            </w:r>
            <w:r w:rsidRPr="00630775">
              <w:rPr>
                <w:spacing w:val="-4"/>
              </w:rPr>
              <w:t xml:space="preserve">z roku 2019. Tato míra je v ČR ve srovnání </w:t>
            </w:r>
            <w:r>
              <w:rPr>
                <w:spacing w:val="-4"/>
              </w:rPr>
              <w:t>s</w:t>
            </w:r>
            <w:r w:rsidRPr="00630775">
              <w:rPr>
                <w:spacing w:val="-4"/>
              </w:rPr>
              <w:t> EU dlouhodobě nadprůměrná, což platí pro ženy (70,0</w:t>
            </w:r>
            <w:r>
              <w:rPr>
                <w:spacing w:val="-4"/>
              </w:rPr>
              <w:t> %</w:t>
            </w:r>
            <w:r w:rsidRPr="00630775">
              <w:rPr>
                <w:spacing w:val="-4"/>
              </w:rPr>
              <w:t>) a</w:t>
            </w:r>
            <w:r>
              <w:rPr>
                <w:spacing w:val="-4"/>
              </w:rPr>
              <w:t> </w:t>
            </w:r>
            <w:r w:rsidRPr="00630775">
              <w:rPr>
                <w:spacing w:val="-4"/>
              </w:rPr>
              <w:t>zejména pro muže (83,1</w:t>
            </w:r>
            <w:r>
              <w:rPr>
                <w:spacing w:val="-4"/>
              </w:rPr>
              <w:t> %</w:t>
            </w:r>
            <w:r w:rsidRPr="00630775">
              <w:rPr>
                <w:spacing w:val="-4"/>
              </w:rPr>
              <w:t>).</w:t>
            </w:r>
          </w:p>
        </w:tc>
      </w:tr>
      <w:tr w:rsidR="00F766BE" w:rsidRPr="00191C35" w14:paraId="6073FF50" w14:textId="77777777" w:rsidTr="006F6FF2">
        <w:trPr>
          <w:trHeight w:val="145"/>
        </w:trPr>
        <w:tc>
          <w:tcPr>
            <w:tcW w:w="1792" w:type="dxa"/>
            <w:shd w:val="clear" w:color="auto" w:fill="auto"/>
            <w:tcMar>
              <w:left w:w="0" w:type="dxa"/>
            </w:tcMar>
          </w:tcPr>
          <w:p w14:paraId="588B294A" w14:textId="77777777" w:rsidR="00F766BE" w:rsidRDefault="00F766BE" w:rsidP="006F6FF2">
            <w:pPr>
              <w:pStyle w:val="Marginlie"/>
              <w:spacing w:after="120"/>
            </w:pPr>
            <w:r>
              <w:t>Mezičtvrtletní růst průměrné mzdy byl nejslabší od počátku roku 2015.</w:t>
            </w:r>
          </w:p>
        </w:tc>
        <w:tc>
          <w:tcPr>
            <w:tcW w:w="216" w:type="dxa"/>
            <w:shd w:val="clear" w:color="auto" w:fill="auto"/>
            <w:tcMar>
              <w:left w:w="0" w:type="dxa"/>
            </w:tcMar>
          </w:tcPr>
          <w:p w14:paraId="6DBBDA71"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5AB803BB" w14:textId="77777777" w:rsidR="00F766BE" w:rsidRPr="00630775" w:rsidRDefault="00F766BE" w:rsidP="006F6FF2">
            <w:pPr>
              <w:rPr>
                <w:spacing w:val="-4"/>
              </w:rPr>
            </w:pPr>
            <w:r w:rsidRPr="00630775">
              <w:rPr>
                <w:spacing w:val="-4"/>
              </w:rPr>
              <w:t>Mzdový</w:t>
            </w:r>
            <w:r>
              <w:rPr>
                <w:spacing w:val="-4"/>
              </w:rPr>
              <w:t xml:space="preserve"> růst v ekonomice byl vinou dopadů pandemie </w:t>
            </w:r>
            <w:r w:rsidRPr="00630775">
              <w:rPr>
                <w:spacing w:val="-4"/>
              </w:rPr>
              <w:t>dále rozkolísaný. Průměrná mzda očištěná o</w:t>
            </w:r>
            <w:r>
              <w:rPr>
                <w:spacing w:val="-4"/>
              </w:rPr>
              <w:t> </w:t>
            </w:r>
            <w:r w:rsidRPr="00630775">
              <w:rPr>
                <w:spacing w:val="-4"/>
              </w:rPr>
              <w:t xml:space="preserve">sezónní vlivy se </w:t>
            </w:r>
            <w:r>
              <w:rPr>
                <w:spacing w:val="-4"/>
              </w:rPr>
              <w:t>mezičtvrtletně zvýšila o </w:t>
            </w:r>
            <w:r w:rsidRPr="00630775">
              <w:rPr>
                <w:spacing w:val="-4"/>
              </w:rPr>
              <w:t>0,6</w:t>
            </w:r>
            <w:r>
              <w:rPr>
                <w:spacing w:val="-4"/>
              </w:rPr>
              <w:t> %</w:t>
            </w:r>
            <w:r w:rsidRPr="00630775">
              <w:rPr>
                <w:spacing w:val="-4"/>
              </w:rPr>
              <w:t>. Odhlédneme-li od 2.</w:t>
            </w:r>
            <w:r>
              <w:rPr>
                <w:spacing w:val="-4"/>
              </w:rPr>
              <w:t> čtvrt</w:t>
            </w:r>
            <w:r w:rsidRPr="00630775">
              <w:rPr>
                <w:spacing w:val="-4"/>
              </w:rPr>
              <w:t xml:space="preserve">letí 2020, kdy byla dynamika mezd negativně ovlivněna prudkým poklesem odpracovaných hodin, je letošní tempo nejslabší od počátku roku 2015. Projevilo se citelné zvolnění růstu ve veřejných službách, neboť odměny pracovníkům ve zdravotnictví již nebyly </w:t>
            </w:r>
            <w:r>
              <w:rPr>
                <w:spacing w:val="-4"/>
              </w:rPr>
              <w:t>zdaleka vyplaceny v takové</w:t>
            </w:r>
            <w:r w:rsidRPr="00630775">
              <w:rPr>
                <w:spacing w:val="-4"/>
              </w:rPr>
              <w:t xml:space="preserve"> výši jako n</w:t>
            </w:r>
            <w:r>
              <w:rPr>
                <w:spacing w:val="-4"/>
              </w:rPr>
              <w:t>a konci loňského roku. Vliv měl i výrazně skromnější růst tabulkových platů</w:t>
            </w:r>
            <w:r w:rsidRPr="00630775">
              <w:rPr>
                <w:spacing w:val="-4"/>
              </w:rPr>
              <w:t xml:space="preserve"> pro letošní rok ve většině oblastí rozpočtové sféry (vyjma vzdělávání).</w:t>
            </w:r>
          </w:p>
        </w:tc>
      </w:tr>
      <w:tr w:rsidR="00F766BE" w:rsidRPr="00191C35" w14:paraId="64C748EC" w14:textId="77777777" w:rsidTr="006F6FF2">
        <w:trPr>
          <w:trHeight w:val="145"/>
        </w:trPr>
        <w:tc>
          <w:tcPr>
            <w:tcW w:w="1792" w:type="dxa"/>
            <w:shd w:val="clear" w:color="auto" w:fill="auto"/>
            <w:tcMar>
              <w:left w:w="0" w:type="dxa"/>
            </w:tcMar>
          </w:tcPr>
          <w:p w14:paraId="5D168CDB" w14:textId="77777777" w:rsidR="00F766BE" w:rsidRDefault="00F766BE" w:rsidP="006F6FF2">
            <w:pPr>
              <w:pStyle w:val="Marginlie"/>
              <w:spacing w:after="120"/>
            </w:pPr>
            <w:r>
              <w:t>Průměrná mzda vzrostla meziročně o 3,2 %. Její růst byl tlumen nižším počtem odpracovaných hodin.</w:t>
            </w:r>
          </w:p>
          <w:p w14:paraId="4526A3DF" w14:textId="77777777" w:rsidR="00F766BE" w:rsidRDefault="00F766BE" w:rsidP="006F6FF2">
            <w:pPr>
              <w:pStyle w:val="Marginlie"/>
              <w:spacing w:after="120" w:line="240" w:lineRule="auto"/>
            </w:pPr>
          </w:p>
          <w:p w14:paraId="76697494" w14:textId="77777777" w:rsidR="00F766BE" w:rsidRDefault="00F766BE" w:rsidP="006F6FF2">
            <w:pPr>
              <w:pStyle w:val="Marginlie"/>
              <w:spacing w:after="120" w:line="240" w:lineRule="auto"/>
            </w:pPr>
          </w:p>
          <w:p w14:paraId="46AA5869" w14:textId="77777777" w:rsidR="00F766BE" w:rsidRDefault="00F766BE" w:rsidP="006F6FF2">
            <w:pPr>
              <w:pStyle w:val="Marginlie"/>
              <w:spacing w:after="120" w:line="240" w:lineRule="auto"/>
            </w:pPr>
          </w:p>
          <w:p w14:paraId="100E9DB9" w14:textId="77777777" w:rsidR="00F766BE" w:rsidRDefault="00F766BE" w:rsidP="006F6FF2">
            <w:pPr>
              <w:pStyle w:val="Marginlie"/>
              <w:spacing w:after="120"/>
            </w:pPr>
          </w:p>
          <w:p w14:paraId="1BC57310" w14:textId="77777777" w:rsidR="00F766BE" w:rsidRDefault="00F766BE" w:rsidP="006F6FF2">
            <w:pPr>
              <w:pStyle w:val="Marginlie"/>
              <w:spacing w:after="120"/>
            </w:pPr>
            <w:r>
              <w:t>Svižný mzdový růst ve zdravotní a sociální péči souvisel s vyšším počtem odpracovaných hodin.</w:t>
            </w:r>
          </w:p>
        </w:tc>
        <w:tc>
          <w:tcPr>
            <w:tcW w:w="216" w:type="dxa"/>
            <w:shd w:val="clear" w:color="auto" w:fill="auto"/>
            <w:tcMar>
              <w:left w:w="0" w:type="dxa"/>
            </w:tcMar>
          </w:tcPr>
          <w:p w14:paraId="00DBF0C7"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10B0AC1B" w14:textId="77777777" w:rsidR="00F766BE" w:rsidRPr="00A31E8C" w:rsidRDefault="00F766BE" w:rsidP="006F6FF2">
            <w:pPr>
              <w:rPr>
                <w:spacing w:val="-4"/>
              </w:rPr>
            </w:pPr>
            <w:r w:rsidRPr="00A31E8C">
              <w:rPr>
                <w:spacing w:val="-4"/>
              </w:rPr>
              <w:t xml:space="preserve">Průměrná hrubá měsíční mzda dosáhla </w:t>
            </w:r>
            <w:r>
              <w:rPr>
                <w:spacing w:val="-4"/>
              </w:rPr>
              <w:t>v 1. čtvrtletí 35 285 korun</w:t>
            </w:r>
            <w:r w:rsidRPr="00A31E8C">
              <w:rPr>
                <w:spacing w:val="-4"/>
              </w:rPr>
              <w:t xml:space="preserve"> a</w:t>
            </w:r>
            <w:r>
              <w:rPr>
                <w:spacing w:val="-4"/>
              </w:rPr>
              <w:t> </w:t>
            </w:r>
            <w:r w:rsidRPr="00A31E8C">
              <w:rPr>
                <w:spacing w:val="-4"/>
              </w:rPr>
              <w:t>meziročně vzrostla</w:t>
            </w:r>
            <w:r>
              <w:rPr>
                <w:spacing w:val="-4"/>
              </w:rPr>
              <w:t xml:space="preserve"> o 1 089 korun</w:t>
            </w:r>
            <w:r w:rsidRPr="00A31E8C">
              <w:rPr>
                <w:spacing w:val="-4"/>
              </w:rPr>
              <w:t xml:space="preserve"> (3,2 %). Mzdové tempo ve srovnání s koncem loňského roku zvolnilo. Meziroční růst byl tlumen výpadkem mzdy zaměstnanců pobírajících ošetřovné či náhradu mzdy během karantény</w:t>
            </w:r>
            <w:r w:rsidRPr="00A31E8C">
              <w:rPr>
                <w:rStyle w:val="Znakapoznpodarou"/>
                <w:spacing w:val="-4"/>
              </w:rPr>
              <w:footnoteReference w:id="53"/>
            </w:r>
            <w:r w:rsidRPr="00A31E8C">
              <w:rPr>
                <w:spacing w:val="-4"/>
              </w:rPr>
              <w:t>. Určitý výpadek mezd pocítili i</w:t>
            </w:r>
            <w:r>
              <w:rPr>
                <w:spacing w:val="-4"/>
              </w:rPr>
              <w:t> </w:t>
            </w:r>
            <w:r w:rsidRPr="00A31E8C">
              <w:rPr>
                <w:spacing w:val="-4"/>
              </w:rPr>
              <w:t>ti, kteří nepracovali z</w:t>
            </w:r>
            <w:r>
              <w:rPr>
                <w:spacing w:val="-4"/>
              </w:rPr>
              <w:t> </w:t>
            </w:r>
            <w:r w:rsidRPr="00A31E8C">
              <w:rPr>
                <w:spacing w:val="-4"/>
              </w:rPr>
              <w:t>titulu překáž</w:t>
            </w:r>
            <w:r>
              <w:rPr>
                <w:spacing w:val="-4"/>
              </w:rPr>
              <w:t>ek v </w:t>
            </w:r>
            <w:r w:rsidRPr="00A31E8C">
              <w:rPr>
                <w:spacing w:val="-4"/>
              </w:rPr>
              <w:t>práci v</w:t>
            </w:r>
            <w:r>
              <w:rPr>
                <w:spacing w:val="-4"/>
              </w:rPr>
              <w:t> </w:t>
            </w:r>
            <w:r w:rsidRPr="00A31E8C">
              <w:rPr>
                <w:spacing w:val="-4"/>
              </w:rPr>
              <w:t>souvislosti s</w:t>
            </w:r>
            <w:r>
              <w:rPr>
                <w:spacing w:val="-4"/>
              </w:rPr>
              <w:t> </w:t>
            </w:r>
            <w:r w:rsidRPr="00A31E8C">
              <w:rPr>
                <w:spacing w:val="-4"/>
              </w:rPr>
              <w:t>pandemií, neboť někteří z</w:t>
            </w:r>
            <w:r>
              <w:rPr>
                <w:spacing w:val="-4"/>
              </w:rPr>
              <w:t> </w:t>
            </w:r>
            <w:r w:rsidRPr="00A31E8C">
              <w:rPr>
                <w:spacing w:val="-4"/>
              </w:rPr>
              <w:t>nich čerpali jen částečné náhrady mzdy. Skromnější mzdový růst mohl souviset i</w:t>
            </w:r>
            <w:r>
              <w:rPr>
                <w:spacing w:val="-4"/>
              </w:rPr>
              <w:t> </w:t>
            </w:r>
            <w:r w:rsidRPr="00A31E8C">
              <w:rPr>
                <w:spacing w:val="-4"/>
              </w:rPr>
              <w:t xml:space="preserve">se zrušením </w:t>
            </w:r>
            <w:proofErr w:type="spellStart"/>
            <w:r w:rsidRPr="00A31E8C">
              <w:rPr>
                <w:spacing w:val="-4"/>
              </w:rPr>
              <w:t>superhrubé</w:t>
            </w:r>
            <w:proofErr w:type="spellEnd"/>
            <w:r>
              <w:rPr>
                <w:spacing w:val="-4"/>
              </w:rPr>
              <w:t xml:space="preserve"> </w:t>
            </w:r>
            <w:r w:rsidRPr="00A31E8C">
              <w:rPr>
                <w:spacing w:val="-4"/>
              </w:rPr>
              <w:t>mzdy (od počátku letošního roku</w:t>
            </w:r>
            <w:r w:rsidRPr="00A31E8C">
              <w:rPr>
                <w:rStyle w:val="Znakapoznpodarou"/>
                <w:spacing w:val="-4"/>
              </w:rPr>
              <w:footnoteReference w:id="54"/>
            </w:r>
            <w:r w:rsidRPr="00A31E8C">
              <w:rPr>
                <w:spacing w:val="-4"/>
              </w:rPr>
              <w:t>), neboť část zaměstnavatelů zejména v</w:t>
            </w:r>
            <w:r>
              <w:rPr>
                <w:spacing w:val="-4"/>
              </w:rPr>
              <w:t> </w:t>
            </w:r>
            <w:r w:rsidRPr="00A31E8C">
              <w:rPr>
                <w:spacing w:val="-4"/>
              </w:rPr>
              <w:t>tržních odvětvích zohlednila fakt, že lidem stoupnou čisté výdělky i</w:t>
            </w:r>
            <w:r>
              <w:rPr>
                <w:spacing w:val="-4"/>
              </w:rPr>
              <w:t> </w:t>
            </w:r>
            <w:r w:rsidRPr="00A31E8C">
              <w:rPr>
                <w:spacing w:val="-4"/>
              </w:rPr>
              <w:t>bez zvyšování hrubých</w:t>
            </w:r>
            <w:r>
              <w:rPr>
                <w:spacing w:val="-4"/>
              </w:rPr>
              <w:t xml:space="preserve"> </w:t>
            </w:r>
            <w:r w:rsidRPr="00A31E8C">
              <w:rPr>
                <w:spacing w:val="-4"/>
              </w:rPr>
              <w:t>mezd. V některých především menších odvětvích se patrně uplatnil vliv propouštění méně kvalifikovaných pracovníků, což růst průměrných výdělků naopak podpořilo. V činnostech v oblasti nemovitostí</w:t>
            </w:r>
            <w:r>
              <w:rPr>
                <w:spacing w:val="-4"/>
              </w:rPr>
              <w:t xml:space="preserve"> tak v 1. </w:t>
            </w:r>
            <w:r w:rsidRPr="00A31E8C">
              <w:rPr>
                <w:spacing w:val="-4"/>
              </w:rPr>
              <w:t>čtvrtletí meziročně vzrostly průměrné mzdy o</w:t>
            </w:r>
            <w:r>
              <w:rPr>
                <w:spacing w:val="-4"/>
              </w:rPr>
              <w:t> </w:t>
            </w:r>
            <w:r w:rsidRPr="00A31E8C">
              <w:rPr>
                <w:spacing w:val="-4"/>
              </w:rPr>
              <w:t>12,2</w:t>
            </w:r>
            <w:r>
              <w:rPr>
                <w:spacing w:val="-4"/>
              </w:rPr>
              <w:t> %</w:t>
            </w:r>
            <w:r w:rsidRPr="00A31E8C">
              <w:rPr>
                <w:spacing w:val="-4"/>
              </w:rPr>
              <w:t>. Ve zdravotní a</w:t>
            </w:r>
            <w:r>
              <w:rPr>
                <w:spacing w:val="-4"/>
              </w:rPr>
              <w:t> </w:t>
            </w:r>
            <w:r w:rsidRPr="00A31E8C">
              <w:rPr>
                <w:spacing w:val="-4"/>
              </w:rPr>
              <w:t>sociální péči se mzdy zvýšily o</w:t>
            </w:r>
            <w:r>
              <w:rPr>
                <w:spacing w:val="-4"/>
              </w:rPr>
              <w:t> </w:t>
            </w:r>
            <w:r w:rsidRPr="00A31E8C">
              <w:rPr>
                <w:spacing w:val="-4"/>
              </w:rPr>
              <w:t>11,3</w:t>
            </w:r>
            <w:r>
              <w:rPr>
                <w:spacing w:val="-4"/>
              </w:rPr>
              <w:t> %</w:t>
            </w:r>
            <w:r w:rsidRPr="00A31E8C">
              <w:rPr>
                <w:spacing w:val="-4"/>
              </w:rPr>
              <w:t xml:space="preserve">, zčásti vlivem </w:t>
            </w:r>
            <w:r>
              <w:rPr>
                <w:spacing w:val="-4"/>
              </w:rPr>
              <w:t>vyššího průměrného počtu</w:t>
            </w:r>
            <w:r w:rsidRPr="00A31E8C">
              <w:rPr>
                <w:spacing w:val="-4"/>
              </w:rPr>
              <w:t xml:space="preserve"> odpracovaných hodin. K nadprůměrnému růstu mezd při souběžném mírném n</w:t>
            </w:r>
            <w:r>
              <w:rPr>
                <w:spacing w:val="-4"/>
              </w:rPr>
              <w:t>avyšování zaměstnanosti došlo i </w:t>
            </w:r>
            <w:r w:rsidRPr="00A31E8C">
              <w:rPr>
                <w:spacing w:val="-4"/>
              </w:rPr>
              <w:t>ve vzdělávání (4,1</w:t>
            </w:r>
            <w:r>
              <w:rPr>
                <w:spacing w:val="-4"/>
              </w:rPr>
              <w:t> %</w:t>
            </w:r>
            <w:r w:rsidRPr="00A31E8C">
              <w:rPr>
                <w:spacing w:val="-4"/>
              </w:rPr>
              <w:t>) a</w:t>
            </w:r>
            <w:r>
              <w:rPr>
                <w:spacing w:val="-4"/>
              </w:rPr>
              <w:t> </w:t>
            </w:r>
            <w:r w:rsidRPr="00A31E8C">
              <w:rPr>
                <w:spacing w:val="-4"/>
              </w:rPr>
              <w:t>také v informačních a</w:t>
            </w:r>
            <w:r>
              <w:rPr>
                <w:spacing w:val="-4"/>
              </w:rPr>
              <w:t> </w:t>
            </w:r>
            <w:r w:rsidRPr="00A31E8C">
              <w:rPr>
                <w:spacing w:val="-4"/>
              </w:rPr>
              <w:t>komunikačních činnostech (4,0</w:t>
            </w:r>
            <w:r>
              <w:rPr>
                <w:spacing w:val="-4"/>
              </w:rPr>
              <w:t> %</w:t>
            </w:r>
            <w:r w:rsidRPr="00A31E8C">
              <w:rPr>
                <w:spacing w:val="-4"/>
              </w:rPr>
              <w:t>), které patřily k nejvíce vytíženým odvětvím během pandemie.</w:t>
            </w:r>
          </w:p>
        </w:tc>
      </w:tr>
      <w:tr w:rsidR="00F766BE" w:rsidRPr="00191C35" w14:paraId="2EEE13A2" w14:textId="77777777" w:rsidTr="006F6FF2">
        <w:trPr>
          <w:trHeight w:val="145"/>
        </w:trPr>
        <w:tc>
          <w:tcPr>
            <w:tcW w:w="1792" w:type="dxa"/>
            <w:shd w:val="clear" w:color="auto" w:fill="auto"/>
            <w:tcMar>
              <w:left w:w="0" w:type="dxa"/>
            </w:tcMar>
          </w:tcPr>
          <w:p w14:paraId="4C456528" w14:textId="77777777" w:rsidR="00F766BE" w:rsidRDefault="00F766BE" w:rsidP="006F6FF2">
            <w:pPr>
              <w:pStyle w:val="Marginlie"/>
              <w:spacing w:after="120"/>
            </w:pPr>
            <w:r>
              <w:t>Mzdový růst v průmyslu, stavebnictví i klíčových tržních odvětvích služeb byl umírněný.</w:t>
            </w:r>
          </w:p>
        </w:tc>
        <w:tc>
          <w:tcPr>
            <w:tcW w:w="216" w:type="dxa"/>
            <w:shd w:val="clear" w:color="auto" w:fill="auto"/>
            <w:tcMar>
              <w:left w:w="0" w:type="dxa"/>
            </w:tcMar>
          </w:tcPr>
          <w:p w14:paraId="1D468268"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35057F36" w14:textId="77777777" w:rsidR="00F766BE" w:rsidRPr="00A31E8C" w:rsidRDefault="00F766BE" w:rsidP="006F6FF2">
            <w:pPr>
              <w:rPr>
                <w:spacing w:val="-4"/>
              </w:rPr>
            </w:pPr>
            <w:r w:rsidRPr="00A31E8C">
              <w:rPr>
                <w:spacing w:val="-4"/>
              </w:rPr>
              <w:t xml:space="preserve">Ve většině ostatních tržních odvětví rostly průměrné mzdy jen střídmě. Podniky se na počátku roku </w:t>
            </w:r>
            <w:r>
              <w:rPr>
                <w:spacing w:val="-4"/>
              </w:rPr>
              <w:t>potýkaly s nejistotami ohledně</w:t>
            </w:r>
            <w:r w:rsidRPr="00A31E8C">
              <w:rPr>
                <w:spacing w:val="-4"/>
              </w:rPr>
              <w:t xml:space="preserve"> délky trvání </w:t>
            </w:r>
            <w:proofErr w:type="spellStart"/>
            <w:r w:rsidRPr="00A31E8C">
              <w:rPr>
                <w:spacing w:val="-4"/>
              </w:rPr>
              <w:t>protipandemických</w:t>
            </w:r>
            <w:proofErr w:type="spellEnd"/>
            <w:r w:rsidRPr="00A31E8C">
              <w:rPr>
                <w:spacing w:val="-4"/>
              </w:rPr>
              <w:t xml:space="preserve"> restrikcí i</w:t>
            </w:r>
            <w:r>
              <w:rPr>
                <w:spacing w:val="-4"/>
              </w:rPr>
              <w:t> </w:t>
            </w:r>
            <w:r w:rsidRPr="00A31E8C">
              <w:rPr>
                <w:spacing w:val="-4"/>
              </w:rPr>
              <w:t>menší stabilitou oživení poptávky. To bylo doprovázeno i</w:t>
            </w:r>
            <w:r>
              <w:rPr>
                <w:spacing w:val="-4"/>
              </w:rPr>
              <w:t> </w:t>
            </w:r>
            <w:r w:rsidRPr="00A31E8C">
              <w:rPr>
                <w:spacing w:val="-4"/>
              </w:rPr>
              <w:t>utlumenou soukromou spotřebou a</w:t>
            </w:r>
            <w:r>
              <w:rPr>
                <w:spacing w:val="-4"/>
              </w:rPr>
              <w:t> </w:t>
            </w:r>
            <w:r w:rsidRPr="00A31E8C">
              <w:rPr>
                <w:spacing w:val="-4"/>
              </w:rPr>
              <w:t>zčásti i</w:t>
            </w:r>
            <w:r>
              <w:rPr>
                <w:spacing w:val="-4"/>
              </w:rPr>
              <w:t> </w:t>
            </w:r>
            <w:r w:rsidRPr="00A31E8C">
              <w:rPr>
                <w:spacing w:val="-4"/>
              </w:rPr>
              <w:t xml:space="preserve">investiční aktivitou. Ve zpracovatelském průmyslu průměrná mzda vzrostla meziročně jen </w:t>
            </w:r>
            <w:r w:rsidRPr="00A31E8C">
              <w:rPr>
                <w:spacing w:val="-4"/>
              </w:rPr>
              <w:lastRenderedPageBreak/>
              <w:t>o</w:t>
            </w:r>
            <w:r>
              <w:rPr>
                <w:spacing w:val="-4"/>
              </w:rPr>
              <w:t> </w:t>
            </w:r>
            <w:r w:rsidRPr="00A31E8C">
              <w:rPr>
                <w:spacing w:val="-4"/>
              </w:rPr>
              <w:t>2,0</w:t>
            </w:r>
            <w:r>
              <w:rPr>
                <w:spacing w:val="-4"/>
              </w:rPr>
              <w:t> %</w:t>
            </w:r>
            <w:r w:rsidRPr="00A31E8C">
              <w:rPr>
                <w:spacing w:val="-4"/>
              </w:rPr>
              <w:t>. Objem vyplacených mezd se zde dokonce snížil, neboť zaměstnanců o</w:t>
            </w:r>
            <w:r>
              <w:rPr>
                <w:spacing w:val="-4"/>
              </w:rPr>
              <w:t> </w:t>
            </w:r>
            <w:r w:rsidRPr="00A31E8C">
              <w:rPr>
                <w:spacing w:val="-4"/>
              </w:rPr>
              <w:t>2,5</w:t>
            </w:r>
            <w:r>
              <w:rPr>
                <w:spacing w:val="-4"/>
              </w:rPr>
              <w:t> %</w:t>
            </w:r>
            <w:r w:rsidRPr="00A31E8C">
              <w:rPr>
                <w:spacing w:val="-4"/>
              </w:rPr>
              <w:t xml:space="preserve"> ubylo. Z větších oborů se nejméně dařilo strojírenství a</w:t>
            </w:r>
            <w:r>
              <w:rPr>
                <w:spacing w:val="-4"/>
              </w:rPr>
              <w:t> </w:t>
            </w:r>
            <w:r w:rsidRPr="00A31E8C">
              <w:rPr>
                <w:spacing w:val="-4"/>
              </w:rPr>
              <w:t>elektrotechnice. Střídmě rostly průměrné výdělky i</w:t>
            </w:r>
            <w:r>
              <w:rPr>
                <w:spacing w:val="-4"/>
              </w:rPr>
              <w:t xml:space="preserve"> ve </w:t>
            </w:r>
            <w:r w:rsidRPr="00A31E8C">
              <w:rPr>
                <w:spacing w:val="-4"/>
              </w:rPr>
              <w:t>výrobě motorových vozidel (2,5</w:t>
            </w:r>
            <w:r>
              <w:rPr>
                <w:spacing w:val="-4"/>
              </w:rPr>
              <w:t> %</w:t>
            </w:r>
            <w:r w:rsidRPr="00A31E8C">
              <w:rPr>
                <w:spacing w:val="-4"/>
              </w:rPr>
              <w:t xml:space="preserve">). </w:t>
            </w:r>
            <w:r>
              <w:rPr>
                <w:spacing w:val="-4"/>
              </w:rPr>
              <w:t>Jejich měsíční výše činila 38,3</w:t>
            </w:r>
            <w:r w:rsidRPr="00A31E8C">
              <w:rPr>
                <w:spacing w:val="-4"/>
              </w:rPr>
              <w:t> </w:t>
            </w:r>
            <w:r>
              <w:rPr>
                <w:spacing w:val="-4"/>
              </w:rPr>
              <w:t>tis. korun</w:t>
            </w:r>
            <w:r w:rsidRPr="00A31E8C">
              <w:rPr>
                <w:spacing w:val="-4"/>
              </w:rPr>
              <w:t xml:space="preserve"> a</w:t>
            </w:r>
            <w:r>
              <w:rPr>
                <w:spacing w:val="-4"/>
              </w:rPr>
              <w:t> </w:t>
            </w:r>
            <w:r w:rsidRPr="00A31E8C">
              <w:rPr>
                <w:spacing w:val="-4"/>
              </w:rPr>
              <w:t>jako v jednom z mála průmyslových oborů převyšovala průměr celé ekonomiky. Za ním naopak o</w:t>
            </w:r>
            <w:r>
              <w:rPr>
                <w:spacing w:val="-4"/>
              </w:rPr>
              <w:t> </w:t>
            </w:r>
            <w:r w:rsidRPr="00A31E8C">
              <w:rPr>
                <w:spacing w:val="-4"/>
              </w:rPr>
              <w:t>šestinu zaostávaly průměrné mzdy ve stavebnictví, které meziročně vzrostly o</w:t>
            </w:r>
            <w:r>
              <w:rPr>
                <w:spacing w:val="-4"/>
              </w:rPr>
              <w:t> </w:t>
            </w:r>
            <w:r w:rsidRPr="00A31E8C">
              <w:rPr>
                <w:spacing w:val="-4"/>
              </w:rPr>
              <w:t>1,0</w:t>
            </w:r>
            <w:r>
              <w:rPr>
                <w:spacing w:val="-4"/>
              </w:rPr>
              <w:t> %</w:t>
            </w:r>
            <w:r w:rsidRPr="00A31E8C">
              <w:rPr>
                <w:spacing w:val="-4"/>
              </w:rPr>
              <w:t>. K vyššímu růstu nepomohlo ani to, že se stavební firmy stále významně potýkají s nedostatkem pracovníků. Utlumený mzdový růst zaznamenal i</w:t>
            </w:r>
            <w:r>
              <w:rPr>
                <w:spacing w:val="-4"/>
              </w:rPr>
              <w:t> </w:t>
            </w:r>
            <w:r w:rsidRPr="00A31E8C">
              <w:rPr>
                <w:spacing w:val="-4"/>
              </w:rPr>
              <w:t>obchod (2,2</w:t>
            </w:r>
            <w:r>
              <w:rPr>
                <w:spacing w:val="-4"/>
              </w:rPr>
              <w:t> %</w:t>
            </w:r>
            <w:r w:rsidRPr="00A31E8C">
              <w:rPr>
                <w:spacing w:val="-4"/>
              </w:rPr>
              <w:t>) a</w:t>
            </w:r>
            <w:r>
              <w:rPr>
                <w:spacing w:val="-4"/>
              </w:rPr>
              <w:t> </w:t>
            </w:r>
            <w:r w:rsidRPr="00A31E8C">
              <w:rPr>
                <w:spacing w:val="-4"/>
              </w:rPr>
              <w:t>odvětví dopravy a</w:t>
            </w:r>
            <w:r>
              <w:rPr>
                <w:spacing w:val="-4"/>
              </w:rPr>
              <w:t> </w:t>
            </w:r>
            <w:r w:rsidRPr="00A31E8C">
              <w:rPr>
                <w:spacing w:val="-4"/>
              </w:rPr>
              <w:t>skladování (0,9</w:t>
            </w:r>
            <w:r>
              <w:rPr>
                <w:spacing w:val="-4"/>
              </w:rPr>
              <w:t> %</w:t>
            </w:r>
            <w:r w:rsidRPr="00A31E8C">
              <w:rPr>
                <w:spacing w:val="-4"/>
              </w:rPr>
              <w:t>), v</w:t>
            </w:r>
            <w:r>
              <w:rPr>
                <w:spacing w:val="-4"/>
              </w:rPr>
              <w:t> </w:t>
            </w:r>
            <w:r w:rsidRPr="00A31E8C">
              <w:rPr>
                <w:spacing w:val="-4"/>
              </w:rPr>
              <w:t>němž navíc přetrvával i</w:t>
            </w:r>
            <w:r>
              <w:rPr>
                <w:spacing w:val="-4"/>
              </w:rPr>
              <w:t> </w:t>
            </w:r>
            <w:r w:rsidRPr="00A31E8C">
              <w:rPr>
                <w:spacing w:val="-4"/>
              </w:rPr>
              <w:t>citelný pokles zaměstnanosti. Na obě odvětví významně dopadala vládní opatření omezující nákupní možnosti i</w:t>
            </w:r>
            <w:r>
              <w:rPr>
                <w:spacing w:val="-4"/>
              </w:rPr>
              <w:t> </w:t>
            </w:r>
            <w:r w:rsidRPr="00A31E8C">
              <w:rPr>
                <w:spacing w:val="-4"/>
              </w:rPr>
              <w:t>celkovou mobilitu obyvatel, která byla letos v</w:t>
            </w:r>
            <w:r>
              <w:rPr>
                <w:spacing w:val="-4"/>
              </w:rPr>
              <w:t> </w:t>
            </w:r>
            <w:r w:rsidRPr="00A31E8C">
              <w:rPr>
                <w:spacing w:val="-4"/>
              </w:rPr>
              <w:t>březnu ještě zpřísněna.</w:t>
            </w:r>
          </w:p>
        </w:tc>
      </w:tr>
      <w:tr w:rsidR="00F766BE" w:rsidRPr="00191C35" w14:paraId="332A93E7" w14:textId="77777777" w:rsidTr="006F6FF2">
        <w:trPr>
          <w:trHeight w:val="145"/>
        </w:trPr>
        <w:tc>
          <w:tcPr>
            <w:tcW w:w="1792" w:type="dxa"/>
            <w:shd w:val="clear" w:color="auto" w:fill="auto"/>
            <w:tcMar>
              <w:left w:w="0" w:type="dxa"/>
            </w:tcMar>
          </w:tcPr>
          <w:p w14:paraId="7E73FF98" w14:textId="77777777" w:rsidR="00F766BE" w:rsidRDefault="00F766BE" w:rsidP="006F6FF2">
            <w:pPr>
              <w:pStyle w:val="Marginlie"/>
              <w:spacing w:after="120"/>
            </w:pPr>
            <w:r>
              <w:lastRenderedPageBreak/>
              <w:t>Pokles průměrných mezd v ubytování, stravování a pohostinství byl umocněn hlubokou redukcí zaměstnanosti.</w:t>
            </w:r>
          </w:p>
        </w:tc>
        <w:tc>
          <w:tcPr>
            <w:tcW w:w="216" w:type="dxa"/>
            <w:shd w:val="clear" w:color="auto" w:fill="auto"/>
            <w:tcMar>
              <w:left w:w="0" w:type="dxa"/>
            </w:tcMar>
          </w:tcPr>
          <w:p w14:paraId="432170F1"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74F697CD" w14:textId="77777777" w:rsidR="00F766BE" w:rsidRPr="00F70104" w:rsidRDefault="00F766BE" w:rsidP="006F6FF2">
            <w:pPr>
              <w:rPr>
                <w:spacing w:val="-3"/>
              </w:rPr>
            </w:pPr>
            <w:proofErr w:type="spellStart"/>
            <w:r w:rsidRPr="00F70104">
              <w:rPr>
                <w:spacing w:val="-3"/>
              </w:rPr>
              <w:t>Protipandemická</w:t>
            </w:r>
            <w:proofErr w:type="spellEnd"/>
            <w:r w:rsidRPr="00F70104">
              <w:rPr>
                <w:spacing w:val="-3"/>
              </w:rPr>
              <w:t xml:space="preserve"> opatření postihla vlivem plošné uzávěry provozoven zvlášť citelně odvětví ubytování, stravování a</w:t>
            </w:r>
            <w:r>
              <w:rPr>
                <w:spacing w:val="-3"/>
              </w:rPr>
              <w:t> </w:t>
            </w:r>
            <w:r w:rsidRPr="00F70104">
              <w:rPr>
                <w:spacing w:val="-3"/>
              </w:rPr>
              <w:t>pohostinství a</w:t>
            </w:r>
            <w:r>
              <w:rPr>
                <w:spacing w:val="-3"/>
              </w:rPr>
              <w:t> </w:t>
            </w:r>
            <w:r w:rsidRPr="00F70104">
              <w:rPr>
                <w:spacing w:val="-3"/>
              </w:rPr>
              <w:t>též kulturní, zábavní a</w:t>
            </w:r>
            <w:r>
              <w:rPr>
                <w:spacing w:val="-3"/>
              </w:rPr>
              <w:t> </w:t>
            </w:r>
            <w:r w:rsidRPr="00F70104">
              <w:rPr>
                <w:spacing w:val="-3"/>
              </w:rPr>
              <w:t>rekreační činnosti. Šlo o</w:t>
            </w:r>
            <w:r>
              <w:rPr>
                <w:spacing w:val="-3"/>
              </w:rPr>
              <w:t> </w:t>
            </w:r>
            <w:r w:rsidRPr="00F70104">
              <w:rPr>
                <w:spacing w:val="-3"/>
              </w:rPr>
              <w:t>jediná z hlavních odvětví, kde průměrná mzda v 1.</w:t>
            </w:r>
            <w:r>
              <w:rPr>
                <w:spacing w:val="-3"/>
              </w:rPr>
              <w:t> čtvrt</w:t>
            </w:r>
            <w:r w:rsidRPr="00F70104">
              <w:rPr>
                <w:spacing w:val="-3"/>
              </w:rPr>
              <w:t>letí 2021 meziročně klesla. Tíživou situaci v ubytování, stravování a</w:t>
            </w:r>
            <w:r>
              <w:rPr>
                <w:spacing w:val="-3"/>
              </w:rPr>
              <w:t> </w:t>
            </w:r>
            <w:r w:rsidRPr="00F70104">
              <w:rPr>
                <w:spacing w:val="-3"/>
              </w:rPr>
              <w:t>pohostinství podtrhuje i</w:t>
            </w:r>
            <w:r>
              <w:rPr>
                <w:spacing w:val="-3"/>
              </w:rPr>
              <w:t> </w:t>
            </w:r>
            <w:r w:rsidRPr="00F70104">
              <w:rPr>
                <w:spacing w:val="-3"/>
              </w:rPr>
              <w:t xml:space="preserve">hluboký pokles počtu </w:t>
            </w:r>
            <w:proofErr w:type="gramStart"/>
            <w:r w:rsidRPr="00F70104">
              <w:rPr>
                <w:spacing w:val="-3"/>
              </w:rPr>
              <w:t>zaměstnanců (</w:t>
            </w:r>
            <w:r>
              <w:rPr>
                <w:spacing w:val="-3"/>
              </w:rPr>
              <w:t>–</w:t>
            </w:r>
            <w:r w:rsidRPr="00F70104">
              <w:rPr>
                <w:spacing w:val="-3"/>
              </w:rPr>
              <w:t>12,6</w:t>
            </w:r>
            <w:proofErr w:type="gramEnd"/>
            <w:r>
              <w:rPr>
                <w:spacing w:val="-3"/>
              </w:rPr>
              <w:t> %</w:t>
            </w:r>
            <w:r w:rsidRPr="00F70104">
              <w:rPr>
                <w:spacing w:val="-3"/>
              </w:rPr>
              <w:t>), což vedlo k redukci objemu vyplacených mezd o</w:t>
            </w:r>
            <w:r>
              <w:rPr>
                <w:spacing w:val="-3"/>
              </w:rPr>
              <w:t> </w:t>
            </w:r>
            <w:r w:rsidRPr="00F70104">
              <w:rPr>
                <w:spacing w:val="-3"/>
              </w:rPr>
              <w:t>celých 15</w:t>
            </w:r>
            <w:r>
              <w:rPr>
                <w:spacing w:val="-3"/>
              </w:rPr>
              <w:t> %</w:t>
            </w:r>
            <w:r w:rsidRPr="00F70104">
              <w:rPr>
                <w:spacing w:val="-3"/>
              </w:rPr>
              <w:t>. To se odrazilo i</w:t>
            </w:r>
            <w:r>
              <w:rPr>
                <w:spacing w:val="-3"/>
              </w:rPr>
              <w:t> </w:t>
            </w:r>
            <w:r w:rsidRPr="00F70104">
              <w:rPr>
                <w:spacing w:val="-3"/>
              </w:rPr>
              <w:t>v nepříznivém vývoji zaměstnanosti a</w:t>
            </w:r>
            <w:r>
              <w:rPr>
                <w:spacing w:val="-3"/>
              </w:rPr>
              <w:t> </w:t>
            </w:r>
            <w:r w:rsidRPr="00F70104">
              <w:rPr>
                <w:spacing w:val="-3"/>
              </w:rPr>
              <w:t>nízké dynamice průměrných mezd v některých regionech specializovaných na cestovní ruch.</w:t>
            </w:r>
          </w:p>
        </w:tc>
      </w:tr>
      <w:tr w:rsidR="00F766BE" w:rsidRPr="00191C35" w14:paraId="261CA073" w14:textId="77777777" w:rsidTr="006F6FF2">
        <w:trPr>
          <w:trHeight w:val="145"/>
        </w:trPr>
        <w:tc>
          <w:tcPr>
            <w:tcW w:w="1792" w:type="dxa"/>
            <w:shd w:val="clear" w:color="auto" w:fill="auto"/>
            <w:tcMar>
              <w:left w:w="0" w:type="dxa"/>
            </w:tcMar>
          </w:tcPr>
          <w:p w14:paraId="0378C549" w14:textId="77777777" w:rsidR="00F766BE" w:rsidRDefault="00F766BE" w:rsidP="006F6FF2">
            <w:pPr>
              <w:pStyle w:val="Marginlie"/>
              <w:spacing w:after="120"/>
            </w:pPr>
            <w:r>
              <w:t>Mzdy žen se nadále zvyšovaly rychleji než u mužů.</w:t>
            </w:r>
          </w:p>
        </w:tc>
        <w:tc>
          <w:tcPr>
            <w:tcW w:w="216" w:type="dxa"/>
            <w:shd w:val="clear" w:color="auto" w:fill="auto"/>
            <w:tcMar>
              <w:left w:w="0" w:type="dxa"/>
            </w:tcMar>
          </w:tcPr>
          <w:p w14:paraId="4B35361E"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536A0A5E" w14:textId="77777777" w:rsidR="00F766BE" w:rsidRPr="00716203" w:rsidRDefault="00F766BE" w:rsidP="006F6FF2">
            <w:pPr>
              <w:rPr>
                <w:spacing w:val="-5"/>
              </w:rPr>
            </w:pPr>
            <w:r w:rsidRPr="00716203">
              <w:rPr>
                <w:spacing w:val="-5"/>
              </w:rPr>
              <w:t>Medián mezd v</w:t>
            </w:r>
            <w:r>
              <w:rPr>
                <w:spacing w:val="-5"/>
              </w:rPr>
              <w:t> </w:t>
            </w:r>
            <w:r w:rsidRPr="00716203">
              <w:rPr>
                <w:spacing w:val="-5"/>
              </w:rPr>
              <w:t>1.</w:t>
            </w:r>
            <w:r>
              <w:rPr>
                <w:spacing w:val="-5"/>
              </w:rPr>
              <w:t> čtvrtletí dosáhl u mužů 32,2 tis. korun, u žen 27,2 tis. korun</w:t>
            </w:r>
            <w:r w:rsidRPr="00716203">
              <w:rPr>
                <w:spacing w:val="-5"/>
              </w:rPr>
              <w:t>. Meziročně nadále posilovaly více výdělky žen (2,6</w:t>
            </w:r>
            <w:r>
              <w:rPr>
                <w:spacing w:val="-5"/>
              </w:rPr>
              <w:t> %</w:t>
            </w:r>
            <w:r w:rsidRPr="00716203">
              <w:rPr>
                <w:spacing w:val="-5"/>
              </w:rPr>
              <w:t>) než mužů (2,3</w:t>
            </w:r>
            <w:r>
              <w:rPr>
                <w:spacing w:val="-5"/>
              </w:rPr>
              <w:t> %</w:t>
            </w:r>
            <w:r w:rsidRPr="00716203">
              <w:rPr>
                <w:spacing w:val="-5"/>
              </w:rPr>
              <w:t>). Rozdíl však nebyl tak výrazný jako po celý loňský rok. Hrubou mzd</w:t>
            </w:r>
            <w:r>
              <w:rPr>
                <w:spacing w:val="-5"/>
              </w:rPr>
              <w:t>u mezi 15,4 tis. a 56,4 tis. korun</w:t>
            </w:r>
            <w:r w:rsidRPr="00716203">
              <w:rPr>
                <w:spacing w:val="-5"/>
              </w:rPr>
              <w:t xml:space="preserve"> pobíraly čtyři pětiny zaměstnanců. Výdělky </w:t>
            </w:r>
            <w:proofErr w:type="spellStart"/>
            <w:r w:rsidRPr="00716203">
              <w:rPr>
                <w:spacing w:val="-5"/>
              </w:rPr>
              <w:t>vysokopříjmových</w:t>
            </w:r>
            <w:proofErr w:type="spellEnd"/>
            <w:r w:rsidRPr="00716203">
              <w:rPr>
                <w:spacing w:val="-5"/>
              </w:rPr>
              <w:t xml:space="preserve"> zaměstnanců rostly, stejně jako na konci loňského roku, relativně svižněji než nízkopříjmových. Mzdová diferenciace se tak mírně prohlubovala.</w:t>
            </w:r>
          </w:p>
        </w:tc>
      </w:tr>
      <w:tr w:rsidR="00F766BE" w:rsidRPr="00191C35" w14:paraId="2D13592C" w14:textId="77777777" w:rsidTr="006F6FF2">
        <w:trPr>
          <w:trHeight w:val="145"/>
        </w:trPr>
        <w:tc>
          <w:tcPr>
            <w:tcW w:w="1792" w:type="dxa"/>
            <w:shd w:val="clear" w:color="auto" w:fill="auto"/>
            <w:tcMar>
              <w:left w:w="0" w:type="dxa"/>
            </w:tcMar>
          </w:tcPr>
          <w:p w14:paraId="33442FA0" w14:textId="77777777" w:rsidR="00F766BE" w:rsidRDefault="00F766BE" w:rsidP="006F6FF2">
            <w:pPr>
              <w:pStyle w:val="Marginlie"/>
              <w:spacing w:after="120"/>
            </w:pPr>
            <w:r>
              <w:t>Růst reálných mezd zvolnil na 1 %.</w:t>
            </w:r>
          </w:p>
        </w:tc>
        <w:tc>
          <w:tcPr>
            <w:tcW w:w="216" w:type="dxa"/>
            <w:shd w:val="clear" w:color="auto" w:fill="auto"/>
            <w:tcMar>
              <w:left w:w="0" w:type="dxa"/>
            </w:tcMar>
          </w:tcPr>
          <w:p w14:paraId="59E3CA6A"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12D934AE" w14:textId="77777777" w:rsidR="00F766BE" w:rsidRDefault="00F766BE" w:rsidP="006F6FF2">
            <w:pPr>
              <w:spacing w:after="0"/>
              <w:rPr>
                <w:spacing w:val="-4"/>
              </w:rPr>
            </w:pPr>
            <w:r w:rsidRPr="00716203">
              <w:rPr>
                <w:spacing w:val="-4"/>
              </w:rPr>
              <w:t>Přestože meziroční růst spotřebitelských cen v 1.</w:t>
            </w:r>
            <w:r>
              <w:rPr>
                <w:spacing w:val="-4"/>
              </w:rPr>
              <w:t> čtvrt</w:t>
            </w:r>
            <w:r w:rsidRPr="00716203">
              <w:rPr>
                <w:spacing w:val="-4"/>
              </w:rPr>
              <w:t>letí zmírnil, nestačil kompenzovat zvolnění dynamiky průměrných hrubých mezd. Jejich reálný růst se tak ztenčil na 1,0</w:t>
            </w:r>
            <w:r>
              <w:rPr>
                <w:spacing w:val="-4"/>
              </w:rPr>
              <w:t> %</w:t>
            </w:r>
            <w:r w:rsidRPr="00716203">
              <w:rPr>
                <w:spacing w:val="-4"/>
              </w:rPr>
              <w:t>. Skutečná koupěschopnost výdělků průměrného zaměstnance však posílila více, a</w:t>
            </w:r>
            <w:r>
              <w:rPr>
                <w:spacing w:val="-4"/>
              </w:rPr>
              <w:t> </w:t>
            </w:r>
            <w:r w:rsidRPr="00716203">
              <w:rPr>
                <w:spacing w:val="-4"/>
              </w:rPr>
              <w:t xml:space="preserve">to v důsledku snížení daňového zatížení díky zrušení </w:t>
            </w:r>
            <w:proofErr w:type="spellStart"/>
            <w:r w:rsidRPr="00716203">
              <w:rPr>
                <w:spacing w:val="-4"/>
              </w:rPr>
              <w:t>superhrubé</w:t>
            </w:r>
            <w:proofErr w:type="spellEnd"/>
            <w:r w:rsidRPr="00716203">
              <w:rPr>
                <w:spacing w:val="-4"/>
              </w:rPr>
              <w:t xml:space="preserve"> mzdy.</w:t>
            </w:r>
          </w:p>
          <w:p w14:paraId="31C6A777" w14:textId="77777777" w:rsidR="00F766BE" w:rsidRPr="00A31E8C" w:rsidRDefault="00F766BE" w:rsidP="006F6FF2">
            <w:pPr>
              <w:spacing w:after="0"/>
              <w:rPr>
                <w:spacing w:val="-4"/>
              </w:rPr>
            </w:pPr>
          </w:p>
        </w:tc>
      </w:tr>
      <w:tr w:rsidR="00F766BE" w:rsidRPr="00191C35" w14:paraId="6213FCF7" w14:textId="77777777" w:rsidTr="006F6FF2">
        <w:trPr>
          <w:trHeight w:val="145"/>
        </w:trPr>
        <w:tc>
          <w:tcPr>
            <w:tcW w:w="1792" w:type="dxa"/>
            <w:shd w:val="clear" w:color="auto" w:fill="auto"/>
            <w:tcMar>
              <w:left w:w="0" w:type="dxa"/>
            </w:tcMar>
          </w:tcPr>
          <w:p w14:paraId="5A50B7C3" w14:textId="77777777" w:rsidR="00F766BE" w:rsidRDefault="00F766BE" w:rsidP="006F6FF2">
            <w:pPr>
              <w:pStyle w:val="Marginlie"/>
              <w:spacing w:after="120"/>
            </w:pPr>
          </w:p>
        </w:tc>
        <w:tc>
          <w:tcPr>
            <w:tcW w:w="216" w:type="dxa"/>
            <w:shd w:val="clear" w:color="auto" w:fill="auto"/>
            <w:tcMar>
              <w:left w:w="0" w:type="dxa"/>
            </w:tcMar>
          </w:tcPr>
          <w:p w14:paraId="65A69851"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432E4B85" w14:textId="5759FCC4" w:rsidR="00F766BE" w:rsidRDefault="00197D0E" w:rsidP="006F6FF2">
            <w:pPr>
              <w:spacing w:after="0"/>
              <w:rPr>
                <w:spacing w:val="-4"/>
              </w:rPr>
            </w:pPr>
            <w:r>
              <w:rPr>
                <w:b/>
                <w:spacing w:val="-4"/>
              </w:rPr>
              <w:t>Graf č. 14</w:t>
            </w:r>
            <w:r w:rsidR="00F766BE" w:rsidRPr="003E01D3">
              <w:rPr>
                <w:b/>
                <w:spacing w:val="-4"/>
              </w:rPr>
              <w:t xml:space="preserve">  Průměrná nominální</w:t>
            </w:r>
            <w:r w:rsidR="00F766BE">
              <w:rPr>
                <w:b/>
                <w:spacing w:val="-4"/>
              </w:rPr>
              <w:t xml:space="preserve"> a </w:t>
            </w:r>
            <w:r w:rsidR="00F766BE" w:rsidRPr="003E01D3">
              <w:rPr>
                <w:b/>
                <w:spacing w:val="-4"/>
              </w:rPr>
              <w:t>reálná mzda a</w:t>
            </w:r>
            <w:r w:rsidR="00F766BE">
              <w:rPr>
                <w:b/>
                <w:spacing w:val="-4"/>
              </w:rPr>
              <w:t> </w:t>
            </w:r>
            <w:r w:rsidR="00F766BE" w:rsidRPr="003E01D3">
              <w:rPr>
                <w:b/>
                <w:spacing w:val="-4"/>
              </w:rPr>
              <w:t>mzdový medián</w:t>
            </w:r>
            <w:r w:rsidR="00F766BE">
              <w:rPr>
                <w:spacing w:val="-4"/>
              </w:rPr>
              <w:t xml:space="preserve"> </w:t>
            </w:r>
            <w:r w:rsidR="00F766BE" w:rsidRPr="003E01D3">
              <w:rPr>
                <w:spacing w:val="-4"/>
              </w:rPr>
              <w:t>(meziročně, v %)</w:t>
            </w:r>
          </w:p>
        </w:tc>
      </w:tr>
      <w:tr w:rsidR="00F766BE" w:rsidRPr="00191C35" w14:paraId="751CD42B" w14:textId="77777777" w:rsidTr="006F6FF2">
        <w:tblPrEx>
          <w:tblCellMar>
            <w:left w:w="70" w:type="dxa"/>
            <w:right w:w="70" w:type="dxa"/>
          </w:tblCellMar>
        </w:tblPrEx>
        <w:trPr>
          <w:trHeight w:val="145"/>
        </w:trPr>
        <w:tc>
          <w:tcPr>
            <w:tcW w:w="1792" w:type="dxa"/>
            <w:shd w:val="clear" w:color="auto" w:fill="auto"/>
          </w:tcPr>
          <w:p w14:paraId="33DC6CCB" w14:textId="77777777" w:rsidR="00F766BE" w:rsidRDefault="00F766BE" w:rsidP="006F6FF2">
            <w:pPr>
              <w:pStyle w:val="Marginlie"/>
              <w:spacing w:after="120"/>
            </w:pPr>
          </w:p>
        </w:tc>
        <w:tc>
          <w:tcPr>
            <w:tcW w:w="216" w:type="dxa"/>
            <w:shd w:val="clear" w:color="auto" w:fill="auto"/>
          </w:tcPr>
          <w:p w14:paraId="2A467227" w14:textId="77777777" w:rsidR="00F766BE" w:rsidRPr="00B43216" w:rsidRDefault="00F766BE" w:rsidP="006F6FF2">
            <w:pPr>
              <w:pStyle w:val="Textpoznpodarou"/>
              <w:spacing w:after="120"/>
              <w:jc w:val="both"/>
              <w:rPr>
                <w:spacing w:val="-4"/>
              </w:rPr>
            </w:pPr>
          </w:p>
        </w:tc>
        <w:tc>
          <w:tcPr>
            <w:tcW w:w="7656" w:type="dxa"/>
            <w:shd w:val="clear" w:color="auto" w:fill="auto"/>
          </w:tcPr>
          <w:p w14:paraId="6B9603CE" w14:textId="77777777" w:rsidR="00F766BE" w:rsidRDefault="00F766BE" w:rsidP="006F6FF2">
            <w:pPr>
              <w:spacing w:after="0"/>
              <w:rPr>
                <w:spacing w:val="-4"/>
              </w:rPr>
            </w:pPr>
            <w:r>
              <w:rPr>
                <w:noProof/>
              </w:rPr>
              <w:drawing>
                <wp:inline distT="0" distB="0" distL="0" distR="0" wp14:anchorId="5DE5553F" wp14:editId="420448F3">
                  <wp:extent cx="4726305" cy="35814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F766BE" w:rsidRPr="00191C35" w14:paraId="57D08A0A" w14:textId="77777777" w:rsidTr="006F6FF2">
        <w:trPr>
          <w:trHeight w:val="145"/>
        </w:trPr>
        <w:tc>
          <w:tcPr>
            <w:tcW w:w="1792" w:type="dxa"/>
            <w:shd w:val="clear" w:color="auto" w:fill="auto"/>
            <w:tcMar>
              <w:left w:w="0" w:type="dxa"/>
            </w:tcMar>
          </w:tcPr>
          <w:p w14:paraId="6E0469D5" w14:textId="77777777" w:rsidR="00F766BE" w:rsidRDefault="00F766BE" w:rsidP="006F6FF2">
            <w:pPr>
              <w:pStyle w:val="Marginlie"/>
              <w:spacing w:after="120"/>
            </w:pPr>
          </w:p>
        </w:tc>
        <w:tc>
          <w:tcPr>
            <w:tcW w:w="216" w:type="dxa"/>
            <w:shd w:val="clear" w:color="auto" w:fill="auto"/>
            <w:tcMar>
              <w:left w:w="0" w:type="dxa"/>
            </w:tcMar>
          </w:tcPr>
          <w:p w14:paraId="3A5D0618"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1DBF87FC" w14:textId="77777777" w:rsidR="00F766BE" w:rsidRPr="00F6214D" w:rsidRDefault="00F766BE" w:rsidP="006F6FF2">
            <w:pPr>
              <w:spacing w:after="0" w:line="240" w:lineRule="auto"/>
              <w:rPr>
                <w:bCs/>
                <w:sz w:val="16"/>
                <w:szCs w:val="16"/>
              </w:rPr>
            </w:pPr>
            <w:r w:rsidRPr="005F736C">
              <w:rPr>
                <w:bCs/>
                <w:sz w:val="16"/>
                <w:szCs w:val="16"/>
              </w:rPr>
              <w:t>* Zahrnuje odvětví s</w:t>
            </w:r>
            <w:r>
              <w:rPr>
                <w:bCs/>
                <w:sz w:val="16"/>
                <w:szCs w:val="16"/>
              </w:rPr>
              <w:t> </w:t>
            </w:r>
            <w:r w:rsidRPr="005F736C">
              <w:rPr>
                <w:bCs/>
                <w:sz w:val="16"/>
                <w:szCs w:val="16"/>
              </w:rPr>
              <w:t>významnou rolí státu: Veřejná správa a</w:t>
            </w:r>
            <w:r>
              <w:rPr>
                <w:bCs/>
                <w:sz w:val="16"/>
                <w:szCs w:val="16"/>
              </w:rPr>
              <w:t> </w:t>
            </w:r>
            <w:r w:rsidRPr="005F736C">
              <w:rPr>
                <w:bCs/>
                <w:sz w:val="16"/>
                <w:szCs w:val="16"/>
              </w:rPr>
              <w:t>obrana</w:t>
            </w:r>
            <w:r>
              <w:rPr>
                <w:bCs/>
                <w:sz w:val="16"/>
                <w:szCs w:val="16"/>
              </w:rPr>
              <w:t>; P</w:t>
            </w:r>
            <w:r w:rsidRPr="005F736C">
              <w:rPr>
                <w:bCs/>
                <w:sz w:val="16"/>
                <w:szCs w:val="16"/>
              </w:rPr>
              <w:t>ovinné sociální zabezpečení; Vzdělávání; Zdravotní a</w:t>
            </w:r>
            <w:r>
              <w:rPr>
                <w:bCs/>
                <w:sz w:val="16"/>
                <w:szCs w:val="16"/>
              </w:rPr>
              <w:t> </w:t>
            </w:r>
            <w:r w:rsidRPr="005F736C">
              <w:rPr>
                <w:bCs/>
                <w:sz w:val="16"/>
                <w:szCs w:val="16"/>
              </w:rPr>
              <w:t>sociální péče; Kulturní, zábavní a</w:t>
            </w:r>
            <w:r>
              <w:rPr>
                <w:bCs/>
                <w:sz w:val="16"/>
                <w:szCs w:val="16"/>
              </w:rPr>
              <w:t> </w:t>
            </w:r>
            <w:r w:rsidRPr="005F736C">
              <w:rPr>
                <w:bCs/>
                <w:sz w:val="16"/>
                <w:szCs w:val="16"/>
              </w:rPr>
              <w:t>rekreační činnosti.</w:t>
            </w:r>
            <w:r>
              <w:rPr>
                <w:bCs/>
                <w:sz w:val="16"/>
                <w:szCs w:val="16"/>
              </w:rPr>
              <w:t xml:space="preserve">                                    </w:t>
            </w:r>
            <w:r>
              <w:rPr>
                <w:rFonts w:cs="Arial"/>
                <w:color w:val="0D0D0D" w:themeColor="text1" w:themeTint="F2"/>
                <w:spacing w:val="-2"/>
                <w:sz w:val="14"/>
                <w:szCs w:val="14"/>
              </w:rPr>
              <w:t>Zdroj: ČSÚ</w:t>
            </w:r>
          </w:p>
        </w:tc>
      </w:tr>
    </w:tbl>
    <w:p w14:paraId="764C8403" w14:textId="77777777" w:rsidR="00F766BE" w:rsidRPr="009D0218" w:rsidRDefault="00F766BE" w:rsidP="00F766BE">
      <w:pPr>
        <w:spacing w:after="120"/>
        <w:jc w:val="left"/>
        <w:rPr>
          <w:b/>
          <w:color w:val="0D0D0D" w:themeColor="text1" w:themeTint="F2"/>
          <w:sz w:val="2"/>
          <w:szCs w:val="2"/>
        </w:rPr>
      </w:pPr>
    </w:p>
    <w:p w14:paraId="6AC43E5C" w14:textId="77777777" w:rsidR="007B74AA" w:rsidRDefault="007B74AA" w:rsidP="007B74AA">
      <w:pPr>
        <w:pStyle w:val="Nadpis11"/>
      </w:pPr>
      <w:bookmarkStart w:id="31" w:name="_Toc74643859"/>
      <w:r>
        <w:lastRenderedPageBreak/>
        <w:t>7. Měnové podmínky</w:t>
      </w:r>
      <w:bookmarkEnd w:id="28"/>
      <w:bookmarkEnd w:id="31"/>
    </w:p>
    <w:tbl>
      <w:tblPr>
        <w:tblW w:w="9641" w:type="dxa"/>
        <w:tblInd w:w="-15" w:type="dxa"/>
        <w:tblCellMar>
          <w:left w:w="0" w:type="dxa"/>
          <w:right w:w="0" w:type="dxa"/>
        </w:tblCellMar>
        <w:tblLook w:val="00A0" w:firstRow="1" w:lastRow="0" w:firstColumn="1" w:lastColumn="0" w:noHBand="0" w:noVBand="0"/>
      </w:tblPr>
      <w:tblGrid>
        <w:gridCol w:w="1802"/>
        <w:gridCol w:w="229"/>
        <w:gridCol w:w="7610"/>
      </w:tblGrid>
      <w:tr w:rsidR="007B74AA" w14:paraId="12BDC5A8" w14:textId="77777777" w:rsidTr="00D67D55">
        <w:trPr>
          <w:trHeight w:val="145"/>
        </w:trPr>
        <w:tc>
          <w:tcPr>
            <w:tcW w:w="1802" w:type="dxa"/>
          </w:tcPr>
          <w:p w14:paraId="05994836" w14:textId="77777777" w:rsidR="007B74AA" w:rsidRDefault="007B74AA" w:rsidP="00D67D55">
            <w:pPr>
              <w:pStyle w:val="Marginlie"/>
              <w:rPr>
                <w:lang w:eastAsia="en-US"/>
              </w:rPr>
            </w:pPr>
            <w:r>
              <w:rPr>
                <w:lang w:eastAsia="en-US"/>
              </w:rPr>
              <w:t xml:space="preserve">V 1. čtvrtletí 2021 se nastavení </w:t>
            </w:r>
            <w:proofErr w:type="spellStart"/>
            <w:r>
              <w:rPr>
                <w:lang w:eastAsia="en-US"/>
              </w:rPr>
              <w:t>měnověpolitických</w:t>
            </w:r>
            <w:proofErr w:type="spellEnd"/>
            <w:r>
              <w:rPr>
                <w:lang w:eastAsia="en-US"/>
              </w:rPr>
              <w:t xml:space="preserve"> sazeb neměnilo.</w:t>
            </w:r>
          </w:p>
        </w:tc>
        <w:tc>
          <w:tcPr>
            <w:tcW w:w="229" w:type="dxa"/>
          </w:tcPr>
          <w:p w14:paraId="6473EB99" w14:textId="77777777" w:rsidR="007B74AA" w:rsidRDefault="007B74AA" w:rsidP="00D67D55">
            <w:pPr>
              <w:pStyle w:val="Textpoznpodarou"/>
              <w:jc w:val="both"/>
              <w:rPr>
                <w:spacing w:val="-4"/>
                <w:lang w:eastAsia="en-US"/>
              </w:rPr>
            </w:pPr>
          </w:p>
        </w:tc>
        <w:tc>
          <w:tcPr>
            <w:tcW w:w="7610" w:type="dxa"/>
          </w:tcPr>
          <w:p w14:paraId="4E223E53" w14:textId="77777777" w:rsidR="007B74AA" w:rsidRDefault="007B74AA" w:rsidP="00D67D55">
            <w:pPr>
              <w:rPr>
                <w:spacing w:val="-2"/>
                <w:lang w:eastAsia="en-US"/>
              </w:rPr>
            </w:pPr>
            <w:r>
              <w:rPr>
                <w:spacing w:val="-2"/>
                <w:lang w:eastAsia="en-US"/>
              </w:rPr>
              <w:t xml:space="preserve">V prvních třech měsících roku 2021 nedošlo ke změnám v nastavení </w:t>
            </w:r>
            <w:proofErr w:type="spellStart"/>
            <w:r>
              <w:rPr>
                <w:spacing w:val="-2"/>
                <w:lang w:eastAsia="en-US"/>
              </w:rPr>
              <w:t>měnověpolitických</w:t>
            </w:r>
            <w:proofErr w:type="spellEnd"/>
            <w:r>
              <w:rPr>
                <w:spacing w:val="-2"/>
                <w:lang w:eastAsia="en-US"/>
              </w:rPr>
              <w:t xml:space="preserve"> sazeb. Ty tak od května 2020 zůstávají na úrovních 0,25 % – dvoutýdenní </w:t>
            </w:r>
            <w:proofErr w:type="spellStart"/>
            <w:r>
              <w:rPr>
                <w:spacing w:val="-2"/>
                <w:lang w:eastAsia="en-US"/>
              </w:rPr>
              <w:t>repo</w:t>
            </w:r>
            <w:proofErr w:type="spellEnd"/>
            <w:r>
              <w:rPr>
                <w:spacing w:val="-2"/>
                <w:lang w:eastAsia="en-US"/>
              </w:rPr>
              <w:t xml:space="preserve"> sazba, 0,05 % – diskontní sazba a 1,00 % – lombardní sazba</w:t>
            </w:r>
            <w:r>
              <w:rPr>
                <w:rStyle w:val="Znakapoznpodarou"/>
                <w:spacing w:val="-2"/>
                <w:lang w:eastAsia="en-US"/>
              </w:rPr>
              <w:footnoteReference w:id="55"/>
            </w:r>
            <w:r>
              <w:rPr>
                <w:spacing w:val="-2"/>
                <w:lang w:eastAsia="en-US"/>
              </w:rPr>
              <w:t>. Kurz koruny vůči euru se v průběhu celého čtvrtletí pohyboval okolo úrovně 26 CZK/EUR a až do poloviny března byl také meziročně slabší. V průběhu února posílil až na 25,68 CZK/EUR, ale následně opět oslabil a držel se velmi stabilně nad 26 korunami za euro. Březen kurz zakončil na 26,15 CZK/EUR. Kurz koruny vůči dolaru byl naopak v průběhu celého čtvrtletí silnější než v minulém roce. Až ve druhé polovině března také oslabil nad 22 CZK/USD.</w:t>
            </w:r>
          </w:p>
        </w:tc>
      </w:tr>
      <w:tr w:rsidR="007B74AA" w14:paraId="08063626" w14:textId="77777777" w:rsidTr="00D67D55">
        <w:trPr>
          <w:trHeight w:val="145"/>
        </w:trPr>
        <w:tc>
          <w:tcPr>
            <w:tcW w:w="1802" w:type="dxa"/>
            <w:hideMark/>
          </w:tcPr>
          <w:p w14:paraId="155466CC" w14:textId="77777777" w:rsidR="007B74AA" w:rsidRDefault="007B74AA" w:rsidP="00D67D55">
            <w:pPr>
              <w:pStyle w:val="Marginlie"/>
              <w:rPr>
                <w:lang w:eastAsia="en-US"/>
              </w:rPr>
            </w:pPr>
            <w:r>
              <w:rPr>
                <w:lang w:eastAsia="en-US"/>
              </w:rPr>
              <w:t>Výrazně rostly výnosy vládních dluhopisů.</w:t>
            </w:r>
          </w:p>
        </w:tc>
        <w:tc>
          <w:tcPr>
            <w:tcW w:w="229" w:type="dxa"/>
          </w:tcPr>
          <w:p w14:paraId="61F84C64" w14:textId="77777777" w:rsidR="007B74AA" w:rsidRDefault="007B74AA" w:rsidP="00D67D55">
            <w:pPr>
              <w:pStyle w:val="Textpoznpodarou"/>
              <w:jc w:val="both"/>
              <w:rPr>
                <w:spacing w:val="-4"/>
                <w:lang w:eastAsia="en-US"/>
              </w:rPr>
            </w:pPr>
          </w:p>
        </w:tc>
        <w:tc>
          <w:tcPr>
            <w:tcW w:w="7610" w:type="dxa"/>
          </w:tcPr>
          <w:p w14:paraId="0D977F95" w14:textId="77777777" w:rsidR="007B74AA" w:rsidRDefault="007B74AA" w:rsidP="00D67D55">
            <w:pPr>
              <w:rPr>
                <w:spacing w:val="-1"/>
                <w:lang w:eastAsia="en-US"/>
              </w:rPr>
            </w:pPr>
            <w:r>
              <w:rPr>
                <w:spacing w:val="-1"/>
                <w:lang w:eastAsia="en-US"/>
              </w:rPr>
              <w:t xml:space="preserve">Vzhledem k neměnné výši </w:t>
            </w:r>
            <w:proofErr w:type="spellStart"/>
            <w:r>
              <w:rPr>
                <w:spacing w:val="-1"/>
                <w:lang w:eastAsia="en-US"/>
              </w:rPr>
              <w:t>měnověpolitických</w:t>
            </w:r>
            <w:proofErr w:type="spellEnd"/>
            <w:r>
              <w:rPr>
                <w:spacing w:val="-1"/>
                <w:lang w:eastAsia="en-US"/>
              </w:rPr>
              <w:t xml:space="preserve"> sazeb se významněji neposouvala ani výše úrokových sazeb na mezibankovním trhu. Tříměsíční sazba PRIBOR tak během celého 1. kvartálu zůstala na 0,36 %. Výraznější byl vývoj úrokových sazeb u vládních dluhopisů, a to u všech druhů splatnosti. Zatímco v průběhu loňského roku se výnosy snižovaly, v posledních loňských měsících se tento trend zastavil a v 1. čtvrtletí 2021 akceleroval pohyb výnosů vzhůru. Průměrné úročení dluhopisů s krátkodobou splatností se zvýšilo z 0,16 % na konci prosince 2020 na 0,75 % na konci března. Podobně narostl výnos střednědobých dluhopisů z 0,8 % na 1,4 % a dlouhodobých dluhopisů z 1,26 % na 1,87 %.</w:t>
            </w:r>
          </w:p>
        </w:tc>
      </w:tr>
      <w:tr w:rsidR="007B74AA" w14:paraId="4E25E2F0" w14:textId="77777777" w:rsidTr="00D67D55">
        <w:trPr>
          <w:trHeight w:val="145"/>
        </w:trPr>
        <w:tc>
          <w:tcPr>
            <w:tcW w:w="1802" w:type="dxa"/>
            <w:hideMark/>
          </w:tcPr>
          <w:p w14:paraId="7157FA10" w14:textId="77777777" w:rsidR="007B74AA" w:rsidRDefault="007B74AA" w:rsidP="00D67D55">
            <w:pPr>
              <w:pStyle w:val="Marginlie"/>
              <w:rPr>
                <w:lang w:eastAsia="en-US"/>
              </w:rPr>
            </w:pPr>
            <w:r>
              <w:rPr>
                <w:lang w:eastAsia="en-US"/>
              </w:rPr>
              <w:t>Úročení vkladů klesalo.</w:t>
            </w:r>
          </w:p>
        </w:tc>
        <w:tc>
          <w:tcPr>
            <w:tcW w:w="229" w:type="dxa"/>
          </w:tcPr>
          <w:p w14:paraId="572122BC" w14:textId="77777777" w:rsidR="007B74AA" w:rsidRDefault="007B74AA" w:rsidP="00D67D55">
            <w:pPr>
              <w:pStyle w:val="Textpoznpodarou"/>
              <w:jc w:val="both"/>
              <w:rPr>
                <w:spacing w:val="-4"/>
                <w:lang w:eastAsia="en-US"/>
              </w:rPr>
            </w:pPr>
          </w:p>
        </w:tc>
        <w:tc>
          <w:tcPr>
            <w:tcW w:w="7610" w:type="dxa"/>
          </w:tcPr>
          <w:p w14:paraId="2D3E67EE" w14:textId="77777777" w:rsidR="007B74AA" w:rsidRDefault="007B74AA" w:rsidP="00D67D55">
            <w:pPr>
              <w:rPr>
                <w:spacing w:val="-3"/>
                <w:lang w:eastAsia="en-US"/>
              </w:rPr>
            </w:pPr>
            <w:r>
              <w:rPr>
                <w:spacing w:val="-3"/>
                <w:lang w:eastAsia="en-US"/>
              </w:rPr>
              <w:t>Úrokové sazby klientských vkladů klesaly, příp. stagnovaly. U běžných účtů se průměrné úročení dál prakticky rovná nule (0,02 %). Vklady s dohodnutou splatností byly ke konci března 2021 průměrně úročeny 0,45 %. Úroková sazba zde ve srovnání se závěrem roku 2020 klesla a srovnala se s hodnotou ze září 2020. Také úročení vkladů běžných účtů nefinančních podniků bylo v 1. čtvrtletí téměř nulové (0,03 %) a dál klesaly úrokové sazby i na jejich vkladech s dohodnutou splatností (0,12 %). Zejména přebytečná hotovost domácností, kterou způsobilo omezení možnosti jejich spotřeby, zatím zůstává hlavně na běžných účtech. Vklady domácností ke konci března 2021 byly meziročně vyšší o 367,5 mld. korun (13,1 %). U nefinančních podniků to bylo 99,8 mld. (8,8 %). Ke konci března 2021 byl objem netermínovaných vkladů meziročně vyšší o 18,6 %, zatímco u termínovaných vkladů došlo k poklesu o 7,8 %.</w:t>
            </w:r>
          </w:p>
        </w:tc>
      </w:tr>
      <w:tr w:rsidR="007B74AA" w14:paraId="373E944C" w14:textId="77777777" w:rsidTr="00D67D55">
        <w:trPr>
          <w:trHeight w:val="145"/>
        </w:trPr>
        <w:tc>
          <w:tcPr>
            <w:tcW w:w="1802" w:type="dxa"/>
          </w:tcPr>
          <w:p w14:paraId="1E7FE3FC" w14:textId="77777777" w:rsidR="007B74AA" w:rsidRDefault="007B74AA" w:rsidP="00D67D55">
            <w:pPr>
              <w:pStyle w:val="Marginlie"/>
              <w:rPr>
                <w:lang w:eastAsia="en-US"/>
              </w:rPr>
            </w:pPr>
            <w:r>
              <w:rPr>
                <w:lang w:eastAsia="en-US"/>
              </w:rPr>
              <w:t>Úvěrové financování pro domácnosti zlevňovalo.</w:t>
            </w:r>
          </w:p>
          <w:p w14:paraId="2B5A095F" w14:textId="77777777" w:rsidR="007B74AA" w:rsidRDefault="007B74AA" w:rsidP="00D67D55">
            <w:pPr>
              <w:pStyle w:val="Marginlie"/>
              <w:rPr>
                <w:lang w:eastAsia="en-US"/>
              </w:rPr>
            </w:pPr>
          </w:p>
          <w:p w14:paraId="38265EA6" w14:textId="77777777" w:rsidR="007B74AA" w:rsidRDefault="007B74AA" w:rsidP="00D67D55">
            <w:pPr>
              <w:pStyle w:val="Marginlie"/>
              <w:rPr>
                <w:lang w:eastAsia="en-US"/>
              </w:rPr>
            </w:pPr>
          </w:p>
          <w:p w14:paraId="3309D7AE" w14:textId="77777777" w:rsidR="007B74AA" w:rsidRDefault="007B74AA" w:rsidP="00D67D55">
            <w:pPr>
              <w:pStyle w:val="Marginlie"/>
              <w:rPr>
                <w:lang w:eastAsia="en-US"/>
              </w:rPr>
            </w:pPr>
          </w:p>
          <w:p w14:paraId="1BA3EBBB" w14:textId="77777777" w:rsidR="007B74AA" w:rsidRDefault="007B74AA" w:rsidP="00D67D55">
            <w:pPr>
              <w:pStyle w:val="Marginlie"/>
              <w:rPr>
                <w:lang w:eastAsia="en-US"/>
              </w:rPr>
            </w:pPr>
          </w:p>
          <w:p w14:paraId="7A971D47" w14:textId="77777777" w:rsidR="007B74AA" w:rsidRDefault="007B74AA" w:rsidP="00D67D55">
            <w:pPr>
              <w:pStyle w:val="Marginlie"/>
              <w:rPr>
                <w:lang w:eastAsia="en-US"/>
              </w:rPr>
            </w:pPr>
          </w:p>
          <w:p w14:paraId="124B1D6A" w14:textId="77777777" w:rsidR="007B74AA" w:rsidRDefault="007B74AA" w:rsidP="00D67D55">
            <w:pPr>
              <w:pStyle w:val="Marginlie"/>
              <w:rPr>
                <w:lang w:eastAsia="en-US"/>
              </w:rPr>
            </w:pPr>
            <w:r>
              <w:rPr>
                <w:lang w:eastAsia="en-US"/>
              </w:rPr>
              <w:t>Rostl objem poskytnutých úvěrů na bydlení.</w:t>
            </w:r>
          </w:p>
        </w:tc>
        <w:tc>
          <w:tcPr>
            <w:tcW w:w="229" w:type="dxa"/>
          </w:tcPr>
          <w:p w14:paraId="66B41F48" w14:textId="77777777" w:rsidR="007B74AA" w:rsidRDefault="007B74AA" w:rsidP="00D67D55">
            <w:pPr>
              <w:pStyle w:val="Textpoznpodarou"/>
              <w:jc w:val="both"/>
              <w:rPr>
                <w:spacing w:val="-4"/>
                <w:lang w:eastAsia="en-US"/>
              </w:rPr>
            </w:pPr>
          </w:p>
        </w:tc>
        <w:tc>
          <w:tcPr>
            <w:tcW w:w="7610" w:type="dxa"/>
          </w:tcPr>
          <w:p w14:paraId="2720FAB4" w14:textId="77777777" w:rsidR="007B74AA" w:rsidRDefault="007B74AA" w:rsidP="00D67D55">
            <w:pPr>
              <w:rPr>
                <w:lang w:eastAsia="en-US"/>
              </w:rPr>
            </w:pPr>
            <w:r>
              <w:rPr>
                <w:lang w:eastAsia="en-US"/>
              </w:rPr>
              <w:t>V 1. čtvrtletí dál pokračoval trend poklesu úrokových sazeb úvěrů na spotřebu domácností a sazby se poprvé dostaly pod 7 % (6,96 % ke konci března). Meziročně se ale objem poskytnutých úvěrů na spotřebu zvýšil jen o 1,4 %, což je v souladu s realitou omezeného maloobchodu i obav spotřebitelů z budoucího ekonomického vývoje. Také úročení úvěrů na nákup bytových nemovitostí v 1. čtvrtletí kleslo (2,06 %) a ke konci března bylo dokonce nižší než předchozí „rekordně nízká“ úroveň z konce roku 2016. Zlevňovaly hypoteční úvěry s fixací více než 1 rok. Na rozdíl od úvěrů na spotřebu meziroční růst objemu poskytnutých úvěrů na bydlení zrychlil na 8,6 %, což je nejvíce od konce roku 2017. V loňském roce do vývoje na hypotečním trhu výrazně promlouvalo tzv. úvěrové moratorium</w:t>
            </w:r>
            <w:r>
              <w:rPr>
                <w:rStyle w:val="Znakapoznpodarou"/>
                <w:lang w:eastAsia="en-US"/>
              </w:rPr>
              <w:footnoteReference w:id="56"/>
            </w:r>
            <w:r>
              <w:rPr>
                <w:lang w:eastAsia="en-US"/>
              </w:rPr>
              <w:t xml:space="preserve">, které navyšovalo objem nových hypotečních úvěrů. Objem tzv. ostatních nových ujednání (ta zahrnují úvěrová moratoria) zůstal i v 1. čtvrtletí vyšší, než byl před rokem 2020, růst objemu hypoték ale letos táhnou zejména čisté nové úvěry. Celkové zadlužení domácností meziročně vzrostlo o 6,4 %. Zadlužení na bydlení vzrostlo o 8,5 %, nejvíce od 1. čtvrtletí 2018. Naopak zadlužení domácností kvůli spotřebě podruhé v řadě </w:t>
            </w:r>
            <w:proofErr w:type="gramStart"/>
            <w:r>
              <w:rPr>
                <w:lang w:eastAsia="en-US"/>
              </w:rPr>
              <w:t>kleslo (–1,2</w:t>
            </w:r>
            <w:proofErr w:type="gramEnd"/>
            <w:r>
              <w:rPr>
                <w:lang w:eastAsia="en-US"/>
              </w:rPr>
              <w:t> %).</w:t>
            </w:r>
          </w:p>
        </w:tc>
      </w:tr>
      <w:tr w:rsidR="007B74AA" w14:paraId="61D8AF57" w14:textId="77777777" w:rsidTr="00D67D55">
        <w:trPr>
          <w:trHeight w:val="145"/>
        </w:trPr>
        <w:tc>
          <w:tcPr>
            <w:tcW w:w="1802" w:type="dxa"/>
          </w:tcPr>
          <w:p w14:paraId="76CBF754" w14:textId="77777777" w:rsidR="007B74AA" w:rsidRDefault="007B74AA" w:rsidP="00D67D55">
            <w:pPr>
              <w:pStyle w:val="Marginlie"/>
              <w:rPr>
                <w:lang w:eastAsia="en-US"/>
              </w:rPr>
            </w:pPr>
            <w:r>
              <w:rPr>
                <w:lang w:eastAsia="en-US"/>
              </w:rPr>
              <w:lastRenderedPageBreak/>
              <w:t>Naopak úrokové sazby úvěrů pro podniky mírně rostly.</w:t>
            </w:r>
          </w:p>
        </w:tc>
        <w:tc>
          <w:tcPr>
            <w:tcW w:w="229" w:type="dxa"/>
          </w:tcPr>
          <w:p w14:paraId="09DC5BE9" w14:textId="77777777" w:rsidR="007B74AA" w:rsidRDefault="007B74AA" w:rsidP="00D67D55">
            <w:pPr>
              <w:pStyle w:val="Textpoznpodarou"/>
              <w:jc w:val="both"/>
              <w:rPr>
                <w:spacing w:val="-4"/>
                <w:lang w:eastAsia="en-US"/>
              </w:rPr>
            </w:pPr>
          </w:p>
        </w:tc>
        <w:tc>
          <w:tcPr>
            <w:tcW w:w="7610" w:type="dxa"/>
          </w:tcPr>
          <w:p w14:paraId="65BEC000" w14:textId="77777777" w:rsidR="007B74AA" w:rsidRDefault="007B74AA" w:rsidP="00D67D55">
            <w:pPr>
              <w:rPr>
                <w:lang w:eastAsia="en-US"/>
              </w:rPr>
            </w:pPr>
            <w:r>
              <w:rPr>
                <w:lang w:eastAsia="en-US"/>
              </w:rPr>
              <w:t xml:space="preserve">Úrokové sazby úvěrů pro nefinanční podniky se vyvíjely v opačném směru než ty pro domácnosti. Jejich průměrná výše ve srovnání s koncem roku 2020 mírně vzrostla. Průměrná úroková sazba úvěrů do 7,5 mil. korun se zvýšila na 3,48 % a rostlo i úročení úvěrů nad 30 milionů korun (1,84 %). Mírný pokles průměrného úročení vykázala jen střední kategorie úvěrů mezi 7,5 a 30 miliony korun (2,47 %). Celkový objem úvěrů a pohledávek nefinančních podniků byl ke konci března 2021 meziročně nižší o 2,4 %. Zpomalování dynamiky ale probíhalo po celý loňský rok. Klesl především objem krátkodobých </w:t>
            </w:r>
            <w:proofErr w:type="gramStart"/>
            <w:r>
              <w:rPr>
                <w:lang w:eastAsia="en-US"/>
              </w:rPr>
              <w:t>úvěrů (–8,9</w:t>
            </w:r>
            <w:proofErr w:type="gramEnd"/>
            <w:r>
              <w:rPr>
                <w:lang w:eastAsia="en-US"/>
              </w:rPr>
              <w:t xml:space="preserve"> %) a mírně také dlouhodobé úvěry (–1,3 %). Objem střednědobých úvěrů byl ke konci března meziročně vyšší o 1,6 %. Propad nastal u všech kategorií úvěrů denominovaných v cizí měně, nejvíce u krátkodobých půjček. Z pohledu jednotlivých odvětví meziročně klesl objem poskytnutých úvěrů u většiny z nich. Poprvé od 2. čtvrtletí 2016 došlo k poklesu u zpracovatelského </w:t>
            </w:r>
            <w:proofErr w:type="gramStart"/>
            <w:r>
              <w:rPr>
                <w:lang w:eastAsia="en-US"/>
              </w:rPr>
              <w:t xml:space="preserve">průmyslu </w:t>
            </w:r>
            <w:r>
              <w:rPr>
                <w:lang w:eastAsia="en-US"/>
              </w:rPr>
              <w:br/>
              <w:t>(–6,1</w:t>
            </w:r>
            <w:proofErr w:type="gramEnd"/>
            <w:r>
              <w:rPr>
                <w:lang w:eastAsia="en-US"/>
              </w:rPr>
              <w:t xml:space="preserve"> %), úvěry se snížily také ve stavebnictví (–5,8 %). Silný byl pokles půjček ve velkoobchodě, maloobchodě a opravách a údržbě motorových </w:t>
            </w:r>
            <w:proofErr w:type="gramStart"/>
            <w:r>
              <w:rPr>
                <w:lang w:eastAsia="en-US"/>
              </w:rPr>
              <w:t>vozidel (–9,9</w:t>
            </w:r>
            <w:proofErr w:type="gramEnd"/>
            <w:r>
              <w:rPr>
                <w:lang w:eastAsia="en-US"/>
              </w:rPr>
              <w:t> %) a rovněž v informačních a komunikačních činnostech (–9,1 %). Objem úvěrů naopak rostl v dopravě a skladování (12,0 %). Velmi silná loňská dynamika úvěrů v ubytování, stravování a pohostinství v 1. čtvrtletí 2021 zmírnila (8,3 %).</w:t>
            </w:r>
          </w:p>
        </w:tc>
      </w:tr>
      <w:tr w:rsidR="007B74AA" w14:paraId="64C0DB20" w14:textId="77777777" w:rsidTr="00D67D55">
        <w:trPr>
          <w:trHeight w:val="304"/>
        </w:trPr>
        <w:tc>
          <w:tcPr>
            <w:tcW w:w="1802" w:type="dxa"/>
            <w:vMerge w:val="restart"/>
          </w:tcPr>
          <w:p w14:paraId="50CB99A9" w14:textId="77777777" w:rsidR="007B74AA" w:rsidRDefault="007B74AA" w:rsidP="00D67D55">
            <w:pPr>
              <w:pStyle w:val="Marginlie"/>
              <w:rPr>
                <w:lang w:eastAsia="en-US"/>
              </w:rPr>
            </w:pPr>
          </w:p>
        </w:tc>
        <w:tc>
          <w:tcPr>
            <w:tcW w:w="229" w:type="dxa"/>
            <w:vMerge w:val="restart"/>
          </w:tcPr>
          <w:p w14:paraId="2DD2C84E" w14:textId="77777777" w:rsidR="007B74AA" w:rsidRDefault="007B74AA" w:rsidP="00D67D55">
            <w:pPr>
              <w:pStyle w:val="Textpoznpodarou"/>
              <w:jc w:val="both"/>
              <w:rPr>
                <w:spacing w:val="-4"/>
                <w:lang w:eastAsia="en-US"/>
              </w:rPr>
            </w:pPr>
          </w:p>
        </w:tc>
        <w:tc>
          <w:tcPr>
            <w:tcW w:w="7610" w:type="dxa"/>
            <w:hideMark/>
          </w:tcPr>
          <w:p w14:paraId="0A5B1EFF" w14:textId="11843B3F" w:rsidR="007B74AA" w:rsidRPr="00D721B4" w:rsidRDefault="00197D0E" w:rsidP="00D67D55">
            <w:pPr>
              <w:spacing w:after="0"/>
              <w:rPr>
                <w:szCs w:val="20"/>
                <w:lang w:eastAsia="en-US"/>
              </w:rPr>
            </w:pPr>
            <w:r>
              <w:rPr>
                <w:rFonts w:cs="Arial"/>
                <w:b/>
                <w:bCs/>
                <w:color w:val="000000"/>
                <w:szCs w:val="20"/>
                <w:lang w:eastAsia="en-US"/>
              </w:rPr>
              <w:t>Graf č. 15</w:t>
            </w:r>
            <w:r w:rsidR="007B74AA" w:rsidRPr="00D721B4">
              <w:rPr>
                <w:rFonts w:cs="Arial"/>
                <w:b/>
                <w:bCs/>
                <w:color w:val="000000"/>
                <w:szCs w:val="20"/>
                <w:lang w:eastAsia="en-US"/>
              </w:rPr>
              <w:t xml:space="preserve">  </w:t>
            </w:r>
            <w:r w:rsidR="007B74AA" w:rsidRPr="00D721B4">
              <w:rPr>
                <w:b/>
                <w:spacing w:val="-4"/>
                <w:szCs w:val="20"/>
                <w:lang w:eastAsia="en-US"/>
              </w:rPr>
              <w:t xml:space="preserve">Tržní úrokové sazby </w:t>
            </w:r>
            <w:r w:rsidR="007B74AA" w:rsidRPr="00D721B4">
              <w:rPr>
                <w:bCs/>
                <w:spacing w:val="-4"/>
                <w:szCs w:val="20"/>
                <w:lang w:eastAsia="en-US"/>
              </w:rPr>
              <w:t>(v</w:t>
            </w:r>
            <w:r w:rsidR="007B74AA">
              <w:rPr>
                <w:bCs/>
                <w:spacing w:val="-4"/>
                <w:szCs w:val="20"/>
                <w:lang w:eastAsia="en-US"/>
              </w:rPr>
              <w:t> %</w:t>
            </w:r>
            <w:r w:rsidR="007B74AA" w:rsidRPr="00D721B4">
              <w:rPr>
                <w:bCs/>
                <w:spacing w:val="-4"/>
                <w:szCs w:val="20"/>
                <w:lang w:eastAsia="en-US"/>
              </w:rPr>
              <w:t>)</w:t>
            </w:r>
          </w:p>
        </w:tc>
      </w:tr>
      <w:tr w:rsidR="007B74AA" w14:paraId="0DF58CB2" w14:textId="77777777" w:rsidTr="00D67D55">
        <w:tblPrEx>
          <w:tblCellMar>
            <w:left w:w="70" w:type="dxa"/>
            <w:right w:w="70" w:type="dxa"/>
          </w:tblCellMar>
        </w:tblPrEx>
        <w:trPr>
          <w:trHeight w:val="170"/>
        </w:trPr>
        <w:tc>
          <w:tcPr>
            <w:tcW w:w="1802" w:type="dxa"/>
            <w:vMerge/>
            <w:vAlign w:val="center"/>
            <w:hideMark/>
          </w:tcPr>
          <w:p w14:paraId="55A34732" w14:textId="77777777" w:rsidR="007B74AA" w:rsidRDefault="007B74AA" w:rsidP="00D67D55">
            <w:pPr>
              <w:spacing w:after="0" w:line="240" w:lineRule="auto"/>
              <w:jc w:val="left"/>
              <w:rPr>
                <w:spacing w:val="-2"/>
                <w:sz w:val="16"/>
                <w:szCs w:val="16"/>
                <w:lang w:eastAsia="en-US"/>
              </w:rPr>
            </w:pPr>
          </w:p>
        </w:tc>
        <w:tc>
          <w:tcPr>
            <w:tcW w:w="229" w:type="dxa"/>
            <w:vMerge/>
            <w:vAlign w:val="center"/>
            <w:hideMark/>
          </w:tcPr>
          <w:p w14:paraId="73EF2A91" w14:textId="77777777" w:rsidR="007B74AA" w:rsidRDefault="007B74AA" w:rsidP="00D67D55">
            <w:pPr>
              <w:spacing w:after="0" w:line="240" w:lineRule="auto"/>
              <w:jc w:val="left"/>
              <w:rPr>
                <w:rFonts w:eastAsia="Calibri"/>
                <w:spacing w:val="-4"/>
                <w:szCs w:val="20"/>
                <w:lang w:eastAsia="en-US"/>
              </w:rPr>
            </w:pPr>
          </w:p>
        </w:tc>
        <w:tc>
          <w:tcPr>
            <w:tcW w:w="7610" w:type="dxa"/>
            <w:hideMark/>
          </w:tcPr>
          <w:p w14:paraId="394101F9" w14:textId="77777777" w:rsidR="007B74AA" w:rsidRDefault="007B74AA" w:rsidP="00D67D55">
            <w:pPr>
              <w:spacing w:after="0"/>
              <w:rPr>
                <w:sz w:val="14"/>
                <w:szCs w:val="14"/>
                <w:lang w:eastAsia="en-US"/>
              </w:rPr>
            </w:pPr>
            <w:r>
              <w:rPr>
                <w:noProof/>
              </w:rPr>
              <w:drawing>
                <wp:inline distT="0" distB="0" distL="0" distR="0" wp14:anchorId="197A0D67" wp14:editId="7A60D4EC">
                  <wp:extent cx="4737600" cy="3553200"/>
                  <wp:effectExtent l="0" t="0" r="6350" b="0"/>
                  <wp:docPr id="25" name="Graf 25">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7B74AA" w14:paraId="5BF3EA50" w14:textId="77777777" w:rsidTr="00D67D55">
        <w:trPr>
          <w:trHeight w:val="170"/>
        </w:trPr>
        <w:tc>
          <w:tcPr>
            <w:tcW w:w="0" w:type="auto"/>
            <w:vMerge/>
            <w:vAlign w:val="center"/>
            <w:hideMark/>
          </w:tcPr>
          <w:p w14:paraId="202336F9" w14:textId="77777777" w:rsidR="007B74AA" w:rsidRDefault="007B74AA" w:rsidP="00D67D55">
            <w:pPr>
              <w:spacing w:after="0" w:line="240" w:lineRule="auto"/>
              <w:jc w:val="left"/>
              <w:rPr>
                <w:spacing w:val="-2"/>
                <w:sz w:val="16"/>
                <w:szCs w:val="16"/>
                <w:lang w:eastAsia="en-US"/>
              </w:rPr>
            </w:pPr>
          </w:p>
        </w:tc>
        <w:tc>
          <w:tcPr>
            <w:tcW w:w="0" w:type="auto"/>
            <w:vMerge/>
            <w:vAlign w:val="center"/>
            <w:hideMark/>
          </w:tcPr>
          <w:p w14:paraId="0200ABAD" w14:textId="77777777" w:rsidR="007B74AA" w:rsidRDefault="007B74AA" w:rsidP="00D67D55">
            <w:pPr>
              <w:spacing w:after="0" w:line="240" w:lineRule="auto"/>
              <w:jc w:val="left"/>
              <w:rPr>
                <w:rFonts w:eastAsia="Calibri"/>
                <w:spacing w:val="-4"/>
                <w:szCs w:val="20"/>
                <w:lang w:eastAsia="en-US"/>
              </w:rPr>
            </w:pPr>
          </w:p>
        </w:tc>
        <w:tc>
          <w:tcPr>
            <w:tcW w:w="7610" w:type="dxa"/>
            <w:hideMark/>
          </w:tcPr>
          <w:p w14:paraId="6EC6CEAE" w14:textId="77777777" w:rsidR="007B74AA" w:rsidRDefault="007B74AA" w:rsidP="00D67D55">
            <w:pPr>
              <w:spacing w:after="0"/>
              <w:rPr>
                <w:sz w:val="14"/>
                <w:szCs w:val="14"/>
                <w:lang w:eastAsia="en-US"/>
              </w:rPr>
            </w:pPr>
            <w:r>
              <w:rPr>
                <w:sz w:val="14"/>
                <w:szCs w:val="14"/>
                <w:lang w:eastAsia="en-US"/>
              </w:rPr>
              <w:t>Zdroj: ČNB</w:t>
            </w:r>
          </w:p>
        </w:tc>
      </w:tr>
    </w:tbl>
    <w:p w14:paraId="3770EEA2" w14:textId="77777777" w:rsidR="007B74AA" w:rsidRDefault="007B74AA" w:rsidP="007B74AA">
      <w:pPr>
        <w:pStyle w:val="Nadpis11"/>
        <w:rPr>
          <w:b w:val="0"/>
          <w:sz w:val="2"/>
          <w:szCs w:val="2"/>
          <w:highlight w:val="yellow"/>
        </w:rPr>
      </w:pPr>
    </w:p>
    <w:p w14:paraId="027F8217" w14:textId="77777777" w:rsidR="007B74AA" w:rsidRDefault="007B74AA" w:rsidP="007B74AA">
      <w:pPr>
        <w:spacing w:after="0" w:line="240" w:lineRule="auto"/>
        <w:jc w:val="left"/>
        <w:rPr>
          <w:b/>
          <w:sz w:val="2"/>
          <w:szCs w:val="2"/>
          <w:highlight w:val="yellow"/>
        </w:rPr>
      </w:pPr>
    </w:p>
    <w:p w14:paraId="70AE5989" w14:textId="77777777" w:rsidR="007B74AA" w:rsidRPr="00E42054" w:rsidRDefault="007B74AA" w:rsidP="007B74AA">
      <w:pPr>
        <w:pStyle w:val="Nadpis11"/>
        <w:spacing w:after="0"/>
        <w:rPr>
          <w:b w:val="0"/>
          <w:sz w:val="2"/>
          <w:szCs w:val="2"/>
        </w:rPr>
      </w:pPr>
    </w:p>
    <w:p w14:paraId="6BADCAEA" w14:textId="77777777" w:rsidR="007B74AA" w:rsidRDefault="007B74AA" w:rsidP="007B74AA">
      <w:pPr>
        <w:pStyle w:val="Nadpis11"/>
        <w:rPr>
          <w:b w:val="0"/>
          <w:sz w:val="2"/>
          <w:szCs w:val="2"/>
          <w:highlight w:val="yellow"/>
        </w:rPr>
      </w:pPr>
    </w:p>
    <w:p w14:paraId="054E6461" w14:textId="77777777" w:rsidR="007B74AA" w:rsidRDefault="007B74AA" w:rsidP="007B74AA">
      <w:pPr>
        <w:spacing w:after="0" w:line="240" w:lineRule="auto"/>
        <w:jc w:val="left"/>
        <w:rPr>
          <w:b/>
          <w:sz w:val="2"/>
          <w:szCs w:val="2"/>
          <w:highlight w:val="yellow"/>
        </w:rPr>
      </w:pPr>
    </w:p>
    <w:p w14:paraId="2B6D89F9" w14:textId="77777777" w:rsidR="007B74AA" w:rsidRPr="00E42054" w:rsidRDefault="007B74AA" w:rsidP="007B74AA">
      <w:pPr>
        <w:spacing w:after="0" w:line="240" w:lineRule="auto"/>
        <w:jc w:val="left"/>
        <w:rPr>
          <w:b/>
          <w:sz w:val="2"/>
          <w:szCs w:val="2"/>
        </w:rPr>
      </w:pPr>
    </w:p>
    <w:p w14:paraId="2452D9CB" w14:textId="77777777" w:rsidR="007B74AA" w:rsidRPr="00E42054" w:rsidRDefault="007B74AA" w:rsidP="007B74AA">
      <w:pPr>
        <w:pStyle w:val="Nadpis11"/>
        <w:spacing w:after="0"/>
        <w:rPr>
          <w:b w:val="0"/>
          <w:sz w:val="2"/>
          <w:szCs w:val="2"/>
        </w:rPr>
      </w:pPr>
    </w:p>
    <w:p w14:paraId="4BA2109F" w14:textId="77777777" w:rsidR="007B74AA" w:rsidRDefault="007B74AA">
      <w:pPr>
        <w:spacing w:after="0" w:line="240" w:lineRule="auto"/>
        <w:jc w:val="left"/>
        <w:rPr>
          <w:rFonts w:eastAsia="MS Gothic"/>
          <w:b/>
          <w:bCs/>
          <w:color w:val="71818C"/>
          <w:sz w:val="32"/>
          <w:szCs w:val="32"/>
        </w:rPr>
      </w:pPr>
      <w:r>
        <w:rPr>
          <w:szCs w:val="32"/>
        </w:rPr>
        <w:br w:type="page"/>
      </w:r>
    </w:p>
    <w:p w14:paraId="68B0DC73" w14:textId="77777777" w:rsidR="00AB3BA7" w:rsidRDefault="00AB3BA7" w:rsidP="00AB3BA7">
      <w:pPr>
        <w:pStyle w:val="Nadpis11"/>
      </w:pPr>
      <w:bookmarkStart w:id="32" w:name="_Toc74643860"/>
      <w:bookmarkEnd w:id="29"/>
      <w:r w:rsidRPr="00787441">
        <w:rPr>
          <w:szCs w:val="32"/>
        </w:rPr>
        <w:lastRenderedPageBreak/>
        <w:t>8</w:t>
      </w:r>
      <w:r>
        <w:t>. </w:t>
      </w:r>
      <w:r w:rsidRPr="009110F7">
        <w:t>Státní rozpočet</w:t>
      </w:r>
      <w:bookmarkEnd w:id="32"/>
    </w:p>
    <w:tbl>
      <w:tblPr>
        <w:tblW w:w="9669" w:type="dxa"/>
        <w:tblInd w:w="-20" w:type="dxa"/>
        <w:tblCellMar>
          <w:left w:w="0" w:type="dxa"/>
          <w:right w:w="0" w:type="dxa"/>
        </w:tblCellMar>
        <w:tblLook w:val="00A0" w:firstRow="1" w:lastRow="0" w:firstColumn="1" w:lastColumn="0" w:noHBand="0" w:noVBand="0"/>
      </w:tblPr>
      <w:tblGrid>
        <w:gridCol w:w="1732"/>
        <w:gridCol w:w="217"/>
        <w:gridCol w:w="7720"/>
      </w:tblGrid>
      <w:tr w:rsidR="00AB3BA7" w:rsidRPr="003C07E6" w14:paraId="6AA45516" w14:textId="77777777" w:rsidTr="00D67D55">
        <w:trPr>
          <w:trHeight w:val="145"/>
        </w:trPr>
        <w:tc>
          <w:tcPr>
            <w:tcW w:w="1732" w:type="dxa"/>
            <w:shd w:val="clear" w:color="auto" w:fill="auto"/>
            <w:tcMar>
              <w:left w:w="0" w:type="dxa"/>
            </w:tcMar>
          </w:tcPr>
          <w:p w14:paraId="640617A5" w14:textId="77777777" w:rsidR="00AB3BA7" w:rsidRDefault="00AB3BA7" w:rsidP="00D67D55">
            <w:pPr>
              <w:pStyle w:val="Marginlie"/>
            </w:pPr>
            <w:r>
              <w:t>Deficit SR se v 1. čtvrtletí prohloubil na rekordních 125 mld. korun.</w:t>
            </w:r>
          </w:p>
          <w:p w14:paraId="58C5F60C" w14:textId="77777777" w:rsidR="00AB3BA7" w:rsidRDefault="00AB3BA7" w:rsidP="00D67D55">
            <w:pPr>
              <w:pStyle w:val="Marginlie"/>
            </w:pPr>
          </w:p>
          <w:p w14:paraId="3D7D13C9" w14:textId="77777777" w:rsidR="00AB3BA7" w:rsidRDefault="00AB3BA7" w:rsidP="00D67D55">
            <w:pPr>
              <w:pStyle w:val="Marginlie"/>
            </w:pPr>
          </w:p>
          <w:p w14:paraId="026CCF4E" w14:textId="77777777" w:rsidR="00AB3BA7" w:rsidRDefault="00AB3BA7" w:rsidP="00D67D55">
            <w:pPr>
              <w:pStyle w:val="Marginlie"/>
            </w:pPr>
            <w:r>
              <w:t xml:space="preserve">Byl ovlivněn pokračujícími </w:t>
            </w:r>
            <w:proofErr w:type="spellStart"/>
            <w:r>
              <w:t>protipandemickými</w:t>
            </w:r>
            <w:proofErr w:type="spellEnd"/>
            <w:r>
              <w:t xml:space="preserve"> opatřeními, ale i významnou změnou daňové legislativy.</w:t>
            </w:r>
          </w:p>
        </w:tc>
        <w:tc>
          <w:tcPr>
            <w:tcW w:w="217" w:type="dxa"/>
            <w:shd w:val="clear" w:color="auto" w:fill="auto"/>
            <w:tcMar>
              <w:left w:w="0" w:type="dxa"/>
            </w:tcMar>
          </w:tcPr>
          <w:p w14:paraId="2359892D" w14:textId="77777777" w:rsidR="00AB3BA7" w:rsidRDefault="00AB3BA7" w:rsidP="00D67D55">
            <w:pPr>
              <w:pStyle w:val="Textpoznpodarou"/>
              <w:jc w:val="both"/>
              <w:rPr>
                <w:spacing w:val="-4"/>
              </w:rPr>
            </w:pPr>
          </w:p>
        </w:tc>
        <w:tc>
          <w:tcPr>
            <w:tcW w:w="7720" w:type="dxa"/>
            <w:shd w:val="clear" w:color="auto" w:fill="auto"/>
            <w:tcMar>
              <w:left w:w="0" w:type="dxa"/>
            </w:tcMar>
          </w:tcPr>
          <w:p w14:paraId="3CF052C6" w14:textId="77777777" w:rsidR="00AB3BA7" w:rsidRDefault="00AB3BA7" w:rsidP="00D67D55">
            <w:pPr>
              <w:spacing w:after="200"/>
              <w:rPr>
                <w:spacing w:val="-4"/>
              </w:rPr>
            </w:pPr>
            <w:r>
              <w:rPr>
                <w:spacing w:val="-4"/>
              </w:rPr>
              <w:t xml:space="preserve">V 1. čtvrtletí 2021 skončilo hospodaření státního rozpočtu </w:t>
            </w:r>
            <w:r w:rsidRPr="00347DD9">
              <w:rPr>
                <w:spacing w:val="-4"/>
              </w:rPr>
              <w:t>(SR)</w:t>
            </w:r>
            <w:r w:rsidRPr="00347DD9">
              <w:rPr>
                <w:rStyle w:val="Znakapoznpodarou"/>
                <w:spacing w:val="-4"/>
              </w:rPr>
              <w:footnoteReference w:id="57"/>
            </w:r>
            <w:r>
              <w:rPr>
                <w:spacing w:val="-4"/>
              </w:rPr>
              <w:t xml:space="preserve"> s rekordním </w:t>
            </w:r>
            <w:r w:rsidRPr="002457FE">
              <w:rPr>
                <w:color w:val="0D0D0D" w:themeColor="text1" w:themeTint="F2"/>
                <w:spacing w:val="-4"/>
              </w:rPr>
              <w:t xml:space="preserve">schodkem ve výši </w:t>
            </w:r>
            <w:r>
              <w:rPr>
                <w:spacing w:val="-4"/>
              </w:rPr>
              <w:t>125,2 mld. korun</w:t>
            </w:r>
            <w:r>
              <w:rPr>
                <w:rStyle w:val="Znakapoznpodarou"/>
                <w:spacing w:val="-4"/>
              </w:rPr>
              <w:footnoteReference w:id="58"/>
            </w:r>
            <w:r>
              <w:rPr>
                <w:spacing w:val="-4"/>
              </w:rPr>
              <w:t xml:space="preserve">, jenž byl meziročně o více než 80 mld. hlubší. Šlo rovněž o skoro třikrát vyšší deficit než z počátku roku 2010, kdy byly veřejné rozpočty tvrdě zasaženy dopady globální finanční a hospodářské krize. Letošní výsledek odráží primárně dopad </w:t>
            </w:r>
            <w:proofErr w:type="spellStart"/>
            <w:r>
              <w:rPr>
                <w:spacing w:val="-4"/>
              </w:rPr>
              <w:t>protipandemických</w:t>
            </w:r>
            <w:proofErr w:type="spellEnd"/>
            <w:r>
              <w:rPr>
                <w:spacing w:val="-4"/>
              </w:rPr>
              <w:t xml:space="preserve"> opatření, která s menšími přestávkami již více než rok zásadně omezují ekonomickou aktivitu zejména v oblasti obchodu i ostatních služeb. To spolu s úlevami </w:t>
            </w:r>
            <w:r w:rsidRPr="00EA32C7">
              <w:rPr>
                <w:spacing w:val="-4"/>
              </w:rPr>
              <w:t>podnikatelským subjektům</w:t>
            </w:r>
            <w:r>
              <w:rPr>
                <w:spacing w:val="-4"/>
              </w:rPr>
              <w:t xml:space="preserve"> a letošním snížením daňového zatížení (především zrušení </w:t>
            </w:r>
            <w:proofErr w:type="spellStart"/>
            <w:r>
              <w:rPr>
                <w:spacing w:val="-4"/>
              </w:rPr>
              <w:t>superhrubé</w:t>
            </w:r>
            <w:proofErr w:type="spellEnd"/>
            <w:r>
              <w:rPr>
                <w:spacing w:val="-4"/>
              </w:rPr>
              <w:t xml:space="preserve"> mzdy)</w:t>
            </w:r>
            <w:r>
              <w:rPr>
                <w:rStyle w:val="Znakapoznpodarou"/>
                <w:spacing w:val="-4"/>
              </w:rPr>
              <w:footnoteReference w:id="59"/>
            </w:r>
            <w:r>
              <w:rPr>
                <w:spacing w:val="-4"/>
              </w:rPr>
              <w:t xml:space="preserve"> vyústilo ve významný pokles daňového inkasa. Zároveň vyvstala akutní potřeba posílení výdajových transferů na podporu zasažených odvětví i samotných pracovníků, ale také na kompenzaci zvýšených nároků zejména v oblasti zdravotní péče.</w:t>
            </w:r>
          </w:p>
        </w:tc>
      </w:tr>
      <w:tr w:rsidR="00AB3BA7" w:rsidRPr="003C07E6" w14:paraId="764D6CBA" w14:textId="77777777" w:rsidTr="00D67D55">
        <w:trPr>
          <w:trHeight w:val="145"/>
        </w:trPr>
        <w:tc>
          <w:tcPr>
            <w:tcW w:w="1732" w:type="dxa"/>
            <w:shd w:val="clear" w:color="auto" w:fill="auto"/>
            <w:tcMar>
              <w:left w:w="0" w:type="dxa"/>
            </w:tcMar>
          </w:tcPr>
          <w:p w14:paraId="3D61210E" w14:textId="77777777" w:rsidR="00AB3BA7" w:rsidRDefault="00AB3BA7" w:rsidP="00D67D55">
            <w:pPr>
              <w:pStyle w:val="Marginlie"/>
            </w:pPr>
            <w:r>
              <w:t>Daňové inkaso na úrovni veřejných rozpočtů propadlo o 15 %, tedy více než v krizovém roce 2009.</w:t>
            </w:r>
          </w:p>
        </w:tc>
        <w:tc>
          <w:tcPr>
            <w:tcW w:w="217" w:type="dxa"/>
            <w:shd w:val="clear" w:color="auto" w:fill="auto"/>
            <w:tcMar>
              <w:left w:w="0" w:type="dxa"/>
            </w:tcMar>
          </w:tcPr>
          <w:p w14:paraId="523DFDC9" w14:textId="77777777" w:rsidR="00AB3BA7" w:rsidRDefault="00AB3BA7" w:rsidP="00D67D55">
            <w:pPr>
              <w:pStyle w:val="Textpoznpodarou"/>
              <w:jc w:val="both"/>
              <w:rPr>
                <w:spacing w:val="-4"/>
              </w:rPr>
            </w:pPr>
          </w:p>
        </w:tc>
        <w:tc>
          <w:tcPr>
            <w:tcW w:w="7720" w:type="dxa"/>
            <w:shd w:val="clear" w:color="auto" w:fill="auto"/>
            <w:tcMar>
              <w:left w:w="0" w:type="dxa"/>
            </w:tcMar>
          </w:tcPr>
          <w:p w14:paraId="2F3DF0D8" w14:textId="77777777" w:rsidR="00AB3BA7" w:rsidRPr="00B25FF5" w:rsidRDefault="00AB3BA7" w:rsidP="00D67D55">
            <w:pPr>
              <w:spacing w:after="200"/>
              <w:rPr>
                <w:spacing w:val="-5"/>
              </w:rPr>
            </w:pPr>
            <w:r w:rsidRPr="00B25FF5">
              <w:rPr>
                <w:spacing w:val="-5"/>
              </w:rPr>
              <w:t>Celkové příjmy SR se v 1. čtvrtletí meziročně snížily o desetinu a poprvé za poslední čtyři roky klesly</w:t>
            </w:r>
            <w:r w:rsidRPr="00B25FF5">
              <w:rPr>
                <w:rStyle w:val="Znakapoznpodarou"/>
                <w:spacing w:val="-5"/>
              </w:rPr>
              <w:footnoteReference w:id="60"/>
            </w:r>
            <w:r w:rsidRPr="00B25FF5">
              <w:rPr>
                <w:spacing w:val="-5"/>
              </w:rPr>
              <w:t>. Kromě výše uvedených vlivů byly negativně ovlivněny i změnou rozpočtového určení daní ve prospěch územních rozpočtů</w:t>
            </w:r>
            <w:r w:rsidRPr="00B25FF5">
              <w:rPr>
                <w:rStyle w:val="Znakapoznpodarou"/>
                <w:spacing w:val="-5"/>
              </w:rPr>
              <w:footnoteReference w:id="61"/>
            </w:r>
            <w:r w:rsidRPr="00B25FF5">
              <w:rPr>
                <w:spacing w:val="-5"/>
              </w:rPr>
              <w:t>. Projevil se citelný výpadek celkových daňových příjmů (</w:t>
            </w:r>
            <w:proofErr w:type="gramStart"/>
            <w:r w:rsidRPr="00B25FF5">
              <w:rPr>
                <w:spacing w:val="-5"/>
              </w:rPr>
              <w:t>meziročně</w:t>
            </w:r>
            <w:proofErr w:type="gramEnd"/>
            <w:r w:rsidRPr="00B25FF5">
              <w:rPr>
                <w:spacing w:val="-5"/>
              </w:rPr>
              <w:t xml:space="preserve"> –</w:t>
            </w:r>
            <w:proofErr w:type="gramStart"/>
            <w:r w:rsidRPr="00B25FF5">
              <w:rPr>
                <w:spacing w:val="-5"/>
              </w:rPr>
              <w:t>32</w:t>
            </w:r>
            <w:proofErr w:type="gramEnd"/>
            <w:r w:rsidRPr="00B25FF5">
              <w:rPr>
                <w:spacing w:val="-5"/>
              </w:rPr>
              <w:t> mld</w:t>
            </w:r>
            <w:r>
              <w:rPr>
                <w:spacing w:val="-5"/>
              </w:rPr>
              <w:t>. korun), částečně</w:t>
            </w:r>
            <w:r w:rsidRPr="00B25FF5">
              <w:rPr>
                <w:spacing w:val="-5"/>
              </w:rPr>
              <w:t xml:space="preserve"> ale </w:t>
            </w:r>
            <w:r>
              <w:rPr>
                <w:spacing w:val="-5"/>
              </w:rPr>
              <w:t>také</w:t>
            </w:r>
            <w:r w:rsidRPr="00B25FF5">
              <w:rPr>
                <w:spacing w:val="-5"/>
              </w:rPr>
              <w:t> nedaňových a kapitálových příjmů a transferů (–6 mld.), a to přesto, že klíčová položka příjmů z rozpočtu EU nadále mírně rostla (+2,8 mld.)</w:t>
            </w:r>
            <w:r w:rsidRPr="00B25FF5">
              <w:rPr>
                <w:rStyle w:val="Znakapoznpodarou"/>
                <w:spacing w:val="-5"/>
              </w:rPr>
              <w:footnoteReference w:id="62"/>
            </w:r>
            <w:r w:rsidRPr="00B25FF5">
              <w:rPr>
                <w:spacing w:val="-5"/>
              </w:rPr>
              <w:t xml:space="preserve">. Souhrnné celostátní inkaso daní (bez pojistného) na úrovni všech veřejných rozpočtů meziročně propadlo o 15,0 %, tedy více než např. v 1. čtvrtletí krizového roku </w:t>
            </w:r>
            <w:proofErr w:type="gramStart"/>
            <w:r w:rsidRPr="00B25FF5">
              <w:rPr>
                <w:spacing w:val="-5"/>
              </w:rPr>
              <w:t>2009 (–11,1</w:t>
            </w:r>
            <w:proofErr w:type="gramEnd"/>
            <w:r w:rsidRPr="00B25FF5">
              <w:rPr>
                <w:spacing w:val="-5"/>
              </w:rPr>
              <w:t> %). Letošní výše tohoto inkasa dosahovala nominálně úrovně z počátku roku 2017.</w:t>
            </w:r>
          </w:p>
        </w:tc>
      </w:tr>
      <w:tr w:rsidR="00AB3BA7" w:rsidRPr="003C07E6" w14:paraId="69364CDA" w14:textId="77777777" w:rsidTr="00D67D55">
        <w:trPr>
          <w:trHeight w:val="145"/>
        </w:trPr>
        <w:tc>
          <w:tcPr>
            <w:tcW w:w="1732" w:type="dxa"/>
            <w:shd w:val="clear" w:color="auto" w:fill="auto"/>
            <w:tcMar>
              <w:left w:w="0" w:type="dxa"/>
            </w:tcMar>
          </w:tcPr>
          <w:p w14:paraId="135108BE" w14:textId="77777777" w:rsidR="00AB3BA7" w:rsidRDefault="00AB3BA7" w:rsidP="00D67D55">
            <w:pPr>
              <w:pStyle w:val="Marginlie"/>
            </w:pPr>
            <w:r>
              <w:t>Za propadem DPFO ze závislé činnosti stálo snížení daňového zatížení práce i pokračující výplata kompenzačních bonusů.</w:t>
            </w:r>
          </w:p>
        </w:tc>
        <w:tc>
          <w:tcPr>
            <w:tcW w:w="217" w:type="dxa"/>
            <w:shd w:val="clear" w:color="auto" w:fill="auto"/>
            <w:tcMar>
              <w:left w:w="0" w:type="dxa"/>
            </w:tcMar>
          </w:tcPr>
          <w:p w14:paraId="26C92D87" w14:textId="77777777" w:rsidR="00AB3BA7" w:rsidRDefault="00AB3BA7" w:rsidP="00D67D55">
            <w:pPr>
              <w:pStyle w:val="Textpoznpodarou"/>
              <w:jc w:val="both"/>
              <w:rPr>
                <w:spacing w:val="-4"/>
              </w:rPr>
            </w:pPr>
          </w:p>
        </w:tc>
        <w:tc>
          <w:tcPr>
            <w:tcW w:w="7720" w:type="dxa"/>
            <w:shd w:val="clear" w:color="auto" w:fill="auto"/>
            <w:tcMar>
              <w:left w:w="0" w:type="dxa"/>
            </w:tcMar>
          </w:tcPr>
          <w:p w14:paraId="0EE458FB" w14:textId="0D3D2B7C" w:rsidR="00AB3BA7" w:rsidRPr="0095443E" w:rsidRDefault="00AB3BA7" w:rsidP="006F6FF2">
            <w:pPr>
              <w:spacing w:after="200"/>
              <w:rPr>
                <w:spacing w:val="-4"/>
              </w:rPr>
            </w:pPr>
            <w:r w:rsidRPr="0095443E">
              <w:rPr>
                <w:spacing w:val="-4"/>
              </w:rPr>
              <w:t>Za nepříznivým vývojem</w:t>
            </w:r>
            <w:r>
              <w:rPr>
                <w:spacing w:val="-4"/>
              </w:rPr>
              <w:t xml:space="preserve"> celkového daňového inkasa</w:t>
            </w:r>
            <w:r w:rsidRPr="0095443E">
              <w:rPr>
                <w:spacing w:val="-4"/>
              </w:rPr>
              <w:t xml:space="preserve"> SR</w:t>
            </w:r>
            <w:r>
              <w:rPr>
                <w:spacing w:val="-4"/>
              </w:rPr>
              <w:t xml:space="preserve"> stál</w:t>
            </w:r>
            <w:r w:rsidRPr="0095443E">
              <w:rPr>
                <w:spacing w:val="-4"/>
              </w:rPr>
              <w:t xml:space="preserve"> v 1.</w:t>
            </w:r>
            <w:r>
              <w:rPr>
                <w:spacing w:val="-4"/>
              </w:rPr>
              <w:t> čtvrtlet</w:t>
            </w:r>
            <w:r w:rsidRPr="0095443E">
              <w:rPr>
                <w:spacing w:val="-4"/>
              </w:rPr>
              <w:t>í zejména</w:t>
            </w:r>
            <w:r>
              <w:rPr>
                <w:spacing w:val="-4"/>
              </w:rPr>
              <w:t xml:space="preserve"> slabší výběr </w:t>
            </w:r>
            <w:r w:rsidRPr="0095443E">
              <w:rPr>
                <w:spacing w:val="-4"/>
              </w:rPr>
              <w:t>daně</w:t>
            </w:r>
            <w:r>
              <w:rPr>
                <w:spacing w:val="-4"/>
              </w:rPr>
              <w:t xml:space="preserve"> z příjmu </w:t>
            </w:r>
            <w:r w:rsidRPr="0095443E">
              <w:rPr>
                <w:spacing w:val="-4"/>
              </w:rPr>
              <w:t xml:space="preserve">ze závislé činnosti </w:t>
            </w:r>
            <w:r>
              <w:rPr>
                <w:spacing w:val="-4"/>
              </w:rPr>
              <w:t>fyzických osob (FO)</w:t>
            </w:r>
            <w:r w:rsidRPr="0095443E">
              <w:rPr>
                <w:spacing w:val="-4"/>
              </w:rPr>
              <w:t xml:space="preserve">. </w:t>
            </w:r>
            <w:r>
              <w:rPr>
                <w:spacing w:val="-4"/>
              </w:rPr>
              <w:t>Ten meziročně propadl</w:t>
            </w:r>
            <w:r w:rsidRPr="0095443E">
              <w:rPr>
                <w:spacing w:val="-4"/>
              </w:rPr>
              <w:t xml:space="preserve"> o</w:t>
            </w:r>
            <w:r>
              <w:rPr>
                <w:spacing w:val="-4"/>
              </w:rPr>
              <w:t> </w:t>
            </w:r>
            <w:r w:rsidRPr="0095443E">
              <w:rPr>
                <w:spacing w:val="-4"/>
              </w:rPr>
              <w:t>40</w:t>
            </w:r>
            <w:r>
              <w:rPr>
                <w:spacing w:val="-4"/>
              </w:rPr>
              <w:t> %</w:t>
            </w:r>
            <w:r w:rsidRPr="0095443E">
              <w:rPr>
                <w:spacing w:val="-4"/>
              </w:rPr>
              <w:t xml:space="preserve"> (resp. o</w:t>
            </w:r>
            <w:r>
              <w:rPr>
                <w:spacing w:val="-4"/>
              </w:rPr>
              <w:t> </w:t>
            </w:r>
            <w:r w:rsidRPr="0095443E">
              <w:rPr>
                <w:spacing w:val="-4"/>
              </w:rPr>
              <w:t>14,4</w:t>
            </w:r>
            <w:r>
              <w:rPr>
                <w:spacing w:val="-4"/>
              </w:rPr>
              <w:t> mld.</w:t>
            </w:r>
            <w:r w:rsidRPr="0095443E">
              <w:rPr>
                <w:spacing w:val="-4"/>
              </w:rPr>
              <w:t xml:space="preserve"> korun). Klíčovou roli zde sehrálo snížení daňového zatížení práce</w:t>
            </w:r>
            <w:r w:rsidRPr="00285F04">
              <w:rPr>
                <w:vertAlign w:val="superscript"/>
              </w:rPr>
              <w:footnoteReference w:id="63"/>
            </w:r>
            <w:r w:rsidRPr="0095443E">
              <w:rPr>
                <w:spacing w:val="-4"/>
              </w:rPr>
              <w:t xml:space="preserve">. </w:t>
            </w:r>
            <w:r>
              <w:rPr>
                <w:spacing w:val="-4"/>
              </w:rPr>
              <w:t>Inkaso redukovala rovněž pokračující</w:t>
            </w:r>
            <w:r w:rsidRPr="00782CBF">
              <w:rPr>
                <w:spacing w:val="-4"/>
              </w:rPr>
              <w:t xml:space="preserve"> přímá podpora formou vyplácení kompenzačních bonusů</w:t>
            </w:r>
            <w:r>
              <w:rPr>
                <w:spacing w:val="-4"/>
              </w:rPr>
              <w:t>, zejména OSVČ (za 1. čtvrtletí ze SR 4,8</w:t>
            </w:r>
            <w:r w:rsidRPr="00782CBF">
              <w:rPr>
                <w:spacing w:val="-4"/>
              </w:rPr>
              <w:t> mld. korun</w:t>
            </w:r>
            <w:r>
              <w:rPr>
                <w:spacing w:val="-4"/>
              </w:rPr>
              <w:t>). P</w:t>
            </w:r>
            <w:r w:rsidRPr="00782CBF">
              <w:rPr>
                <w:spacing w:val="-4"/>
              </w:rPr>
              <w:t>rojevil se také vyšší počet osob pečujících o dítě v období uzavře</w:t>
            </w:r>
            <w:r>
              <w:rPr>
                <w:spacing w:val="-4"/>
              </w:rPr>
              <w:t xml:space="preserve">ní škol, pokles zaměstnanosti a patrně i meziročně </w:t>
            </w:r>
            <w:r w:rsidRPr="00782CBF">
              <w:rPr>
                <w:spacing w:val="-4"/>
              </w:rPr>
              <w:t xml:space="preserve">nižší dynamika růstu průměrných mezd v ekonomice. </w:t>
            </w:r>
            <w:r>
              <w:rPr>
                <w:spacing w:val="-4"/>
              </w:rPr>
              <w:t xml:space="preserve">Příjem SR z ostatních váhově méně významných daní FO se </w:t>
            </w:r>
            <w:r w:rsidRPr="0095443E">
              <w:rPr>
                <w:spacing w:val="-4"/>
              </w:rPr>
              <w:t>snížil jen mírně (o</w:t>
            </w:r>
            <w:r>
              <w:rPr>
                <w:spacing w:val="-4"/>
              </w:rPr>
              <w:t> </w:t>
            </w:r>
            <w:r w:rsidRPr="0095443E">
              <w:rPr>
                <w:spacing w:val="-4"/>
              </w:rPr>
              <w:t>0,8</w:t>
            </w:r>
            <w:r>
              <w:rPr>
                <w:spacing w:val="-4"/>
              </w:rPr>
              <w:t> mld.</w:t>
            </w:r>
            <w:r w:rsidRPr="0095443E">
              <w:rPr>
                <w:spacing w:val="-4"/>
              </w:rPr>
              <w:t xml:space="preserve"> korun). Negativně působil posun lhůty pro podání přiznání a</w:t>
            </w:r>
            <w:r>
              <w:rPr>
                <w:spacing w:val="-4"/>
              </w:rPr>
              <w:t> </w:t>
            </w:r>
            <w:r w:rsidRPr="0095443E">
              <w:rPr>
                <w:spacing w:val="-4"/>
              </w:rPr>
              <w:t>zaplacení daně</w:t>
            </w:r>
            <w:r>
              <w:rPr>
                <w:spacing w:val="-4"/>
              </w:rPr>
              <w:t xml:space="preserve"> či změna rozpočtového určení daně. Naopak inkaso DPFO vybírané srážkou v 1. čtvrtletí 2021 (podobně jako po celý loňský rok) rostlo.</w:t>
            </w:r>
          </w:p>
        </w:tc>
      </w:tr>
      <w:tr w:rsidR="00AB3BA7" w:rsidRPr="003C07E6" w14:paraId="11B0BC56" w14:textId="77777777" w:rsidTr="00D67D55">
        <w:trPr>
          <w:trHeight w:val="145"/>
        </w:trPr>
        <w:tc>
          <w:tcPr>
            <w:tcW w:w="1732" w:type="dxa"/>
            <w:shd w:val="clear" w:color="auto" w:fill="auto"/>
            <w:tcMar>
              <w:left w:w="0" w:type="dxa"/>
            </w:tcMar>
          </w:tcPr>
          <w:p w14:paraId="632F45D3" w14:textId="77777777" w:rsidR="00AB3BA7" w:rsidRDefault="00AB3BA7" w:rsidP="00D67D55">
            <w:pPr>
              <w:pStyle w:val="Marginlie"/>
            </w:pPr>
            <w:r>
              <w:t>Celostátní inkaso daně z příjmů právnických osob rostlo nejslabším tepem za posledních osm let.</w:t>
            </w:r>
          </w:p>
        </w:tc>
        <w:tc>
          <w:tcPr>
            <w:tcW w:w="217" w:type="dxa"/>
            <w:shd w:val="clear" w:color="auto" w:fill="auto"/>
            <w:tcMar>
              <w:left w:w="0" w:type="dxa"/>
            </w:tcMar>
          </w:tcPr>
          <w:p w14:paraId="27968872" w14:textId="77777777" w:rsidR="00AB3BA7" w:rsidRDefault="00AB3BA7" w:rsidP="00D67D55">
            <w:pPr>
              <w:pStyle w:val="Textpoznpodarou"/>
              <w:jc w:val="both"/>
              <w:rPr>
                <w:spacing w:val="-4"/>
              </w:rPr>
            </w:pPr>
          </w:p>
        </w:tc>
        <w:tc>
          <w:tcPr>
            <w:tcW w:w="7720" w:type="dxa"/>
            <w:shd w:val="clear" w:color="auto" w:fill="auto"/>
            <w:tcMar>
              <w:left w:w="0" w:type="dxa"/>
            </w:tcMar>
          </w:tcPr>
          <w:p w14:paraId="54FD3A41" w14:textId="77777777" w:rsidR="00AB3BA7" w:rsidRPr="00347DD9" w:rsidRDefault="00AB3BA7" w:rsidP="00D67D55">
            <w:pPr>
              <w:spacing w:after="200"/>
              <w:rPr>
                <w:spacing w:val="-4"/>
              </w:rPr>
            </w:pPr>
            <w:r>
              <w:rPr>
                <w:spacing w:val="-4"/>
              </w:rPr>
              <w:t>Na korporátní dani získal SR meziročně o 1,2 mld. korun méně. Celostátní inkaso této daně však v rámci 1. čtvrtletí nadále rostlo, byť nejslabším tempem od roku 2013 (+0,7 %). Část firem využila i letos možnosti individuálního nastavení záloh daně (snížení, prominutí)</w:t>
            </w:r>
            <w:r>
              <w:rPr>
                <w:rStyle w:val="Znakapoznpodarou"/>
                <w:spacing w:val="-4"/>
              </w:rPr>
              <w:footnoteReference w:id="64"/>
            </w:r>
            <w:r>
              <w:rPr>
                <w:spacing w:val="-4"/>
              </w:rPr>
              <w:t>.</w:t>
            </w:r>
            <w:r w:rsidRPr="00782CBF">
              <w:rPr>
                <w:spacing w:val="-4"/>
              </w:rPr>
              <w:t xml:space="preserve"> Nepříznivé výsledky hospodaření podniků v odvětvích služeb nejvíce zasažených </w:t>
            </w:r>
            <w:proofErr w:type="spellStart"/>
            <w:r w:rsidRPr="00782CBF">
              <w:rPr>
                <w:spacing w:val="-4"/>
              </w:rPr>
              <w:t>protipandemickými</w:t>
            </w:r>
            <w:proofErr w:type="spellEnd"/>
            <w:r w:rsidRPr="00782CBF">
              <w:rPr>
                <w:spacing w:val="-4"/>
              </w:rPr>
              <w:t xml:space="preserve"> restrikcemi se v</w:t>
            </w:r>
            <w:r>
              <w:rPr>
                <w:spacing w:val="-4"/>
              </w:rPr>
              <w:t> </w:t>
            </w:r>
            <w:r w:rsidRPr="00782CBF">
              <w:rPr>
                <w:spacing w:val="-4"/>
              </w:rPr>
              <w:t>inkasu korporátní daně zatím zdaleka plně neprojevily</w:t>
            </w:r>
            <w:r w:rsidRPr="00782CBF">
              <w:rPr>
                <w:rStyle w:val="Znakapoznpodarou"/>
                <w:spacing w:val="-4"/>
              </w:rPr>
              <w:footnoteReference w:id="65"/>
            </w:r>
            <w:r w:rsidRPr="00782CBF">
              <w:rPr>
                <w:spacing w:val="-4"/>
              </w:rPr>
              <w:t>.</w:t>
            </w:r>
          </w:p>
        </w:tc>
      </w:tr>
      <w:tr w:rsidR="00AB3BA7" w:rsidRPr="003C07E6" w14:paraId="74905363" w14:textId="77777777" w:rsidTr="00D67D55">
        <w:trPr>
          <w:trHeight w:val="145"/>
        </w:trPr>
        <w:tc>
          <w:tcPr>
            <w:tcW w:w="1732" w:type="dxa"/>
            <w:shd w:val="clear" w:color="auto" w:fill="auto"/>
            <w:tcMar>
              <w:left w:w="0" w:type="dxa"/>
            </w:tcMar>
          </w:tcPr>
          <w:p w14:paraId="4435F839" w14:textId="77777777" w:rsidR="00AB3BA7" w:rsidRDefault="00AB3BA7" w:rsidP="00D67D55">
            <w:pPr>
              <w:pStyle w:val="Marginlie"/>
            </w:pPr>
            <w:r>
              <w:t>Celostátní inkaso DPH v 1. čtvrtletí meziročně kleslo o 6,9 %, v březnu a dubnu však již vykazovalo růst.</w:t>
            </w:r>
          </w:p>
        </w:tc>
        <w:tc>
          <w:tcPr>
            <w:tcW w:w="217" w:type="dxa"/>
            <w:shd w:val="clear" w:color="auto" w:fill="auto"/>
            <w:tcMar>
              <w:left w:w="0" w:type="dxa"/>
            </w:tcMar>
          </w:tcPr>
          <w:p w14:paraId="65807966" w14:textId="77777777" w:rsidR="00AB3BA7" w:rsidRDefault="00AB3BA7" w:rsidP="00D67D55">
            <w:pPr>
              <w:pStyle w:val="Textpoznpodarou"/>
              <w:jc w:val="both"/>
              <w:rPr>
                <w:spacing w:val="-4"/>
              </w:rPr>
            </w:pPr>
          </w:p>
        </w:tc>
        <w:tc>
          <w:tcPr>
            <w:tcW w:w="7720" w:type="dxa"/>
            <w:shd w:val="clear" w:color="auto" w:fill="auto"/>
            <w:tcMar>
              <w:left w:w="0" w:type="dxa"/>
            </w:tcMar>
          </w:tcPr>
          <w:p w14:paraId="0CBE1DF7" w14:textId="77777777" w:rsidR="00AB3BA7" w:rsidRPr="00782CBF" w:rsidRDefault="00AB3BA7" w:rsidP="00D67D55">
            <w:pPr>
              <w:spacing w:after="200"/>
              <w:rPr>
                <w:spacing w:val="-4"/>
              </w:rPr>
            </w:pPr>
            <w:r>
              <w:rPr>
                <w:spacing w:val="-4"/>
              </w:rPr>
              <w:t xml:space="preserve">Z váhově dominantní daně – DPH – plynulo do SR v 1. čtvrtletí o 7,6 mld. korun méně, výběr tak meziročně oslabil o osminu. Na úrovni všech veřejných rozpočtů se však inkaso snížilo „jen“ o 6,9 %. Projevil se vliv vyšší loňské základny způsobené únorovým předzásobením před propuknutím pandemie i skutečnost, že restriktivní opatření začala vloni citelně </w:t>
            </w:r>
            <w:r>
              <w:rPr>
                <w:spacing w:val="-4"/>
              </w:rPr>
              <w:lastRenderedPageBreak/>
              <w:t>ovlivňovat soukromou spotřebu v ekonomice až od půlky března, zatímco letos působila negativně po celé 1. čtvrtletí</w:t>
            </w:r>
            <w:r>
              <w:rPr>
                <w:rStyle w:val="Znakapoznpodarou"/>
                <w:spacing w:val="-4"/>
              </w:rPr>
              <w:footnoteReference w:id="66"/>
            </w:r>
            <w:r>
              <w:rPr>
                <w:spacing w:val="-4"/>
              </w:rPr>
              <w:t xml:space="preserve">. </w:t>
            </w:r>
            <w:r>
              <w:rPr>
                <w:spacing w:val="-5"/>
              </w:rPr>
              <w:t>Inkaso bylo</w:t>
            </w:r>
            <w:r w:rsidRPr="00F033DA">
              <w:rPr>
                <w:spacing w:val="-5"/>
              </w:rPr>
              <w:t xml:space="preserve"> </w:t>
            </w:r>
            <w:r>
              <w:rPr>
                <w:spacing w:val="-5"/>
              </w:rPr>
              <w:t xml:space="preserve">letos </w:t>
            </w:r>
            <w:r w:rsidRPr="00F033DA">
              <w:rPr>
                <w:spacing w:val="-5"/>
              </w:rPr>
              <w:t xml:space="preserve">kromě omezení provozoven </w:t>
            </w:r>
            <w:r>
              <w:rPr>
                <w:spacing w:val="-5"/>
              </w:rPr>
              <w:t xml:space="preserve">negativně </w:t>
            </w:r>
            <w:r w:rsidRPr="00F033DA">
              <w:rPr>
                <w:spacing w:val="-5"/>
              </w:rPr>
              <w:t>ovlivněno i</w:t>
            </w:r>
            <w:r>
              <w:rPr>
                <w:spacing w:val="-5"/>
              </w:rPr>
              <w:t> </w:t>
            </w:r>
            <w:r w:rsidRPr="00F033DA">
              <w:rPr>
                <w:spacing w:val="-5"/>
              </w:rPr>
              <w:t>snížením saz</w:t>
            </w:r>
            <w:r>
              <w:rPr>
                <w:spacing w:val="-5"/>
              </w:rPr>
              <w:t>eb daně u některých služeb (zejména</w:t>
            </w:r>
            <w:r w:rsidRPr="00F033DA">
              <w:rPr>
                <w:spacing w:val="-5"/>
              </w:rPr>
              <w:t xml:space="preserve"> ve stravování).</w:t>
            </w:r>
          </w:p>
        </w:tc>
      </w:tr>
      <w:tr w:rsidR="00AB3BA7" w:rsidRPr="003C07E6" w14:paraId="6A723F36" w14:textId="77777777" w:rsidTr="00D67D55">
        <w:trPr>
          <w:trHeight w:val="145"/>
        </w:trPr>
        <w:tc>
          <w:tcPr>
            <w:tcW w:w="1732" w:type="dxa"/>
            <w:shd w:val="clear" w:color="auto" w:fill="auto"/>
            <w:tcMar>
              <w:left w:w="0" w:type="dxa"/>
            </w:tcMar>
          </w:tcPr>
          <w:p w14:paraId="5FDBE1D1" w14:textId="77777777" w:rsidR="00AB3BA7" w:rsidRDefault="00AB3BA7" w:rsidP="00D67D55">
            <w:pPr>
              <w:pStyle w:val="Marginlie"/>
            </w:pPr>
            <w:r>
              <w:lastRenderedPageBreak/>
              <w:t>Výběr spotřebních daní meziročně propadl skoro o pětinu. Citelně se projevilo uzavření pohostinských zařízení i další zpřísnění restrikcí v oblasti mobility obyvatelstva.</w:t>
            </w:r>
          </w:p>
        </w:tc>
        <w:tc>
          <w:tcPr>
            <w:tcW w:w="217" w:type="dxa"/>
            <w:shd w:val="clear" w:color="auto" w:fill="auto"/>
            <w:tcMar>
              <w:left w:w="0" w:type="dxa"/>
            </w:tcMar>
          </w:tcPr>
          <w:p w14:paraId="1172FBA6" w14:textId="77777777" w:rsidR="00AB3BA7" w:rsidRDefault="00AB3BA7" w:rsidP="00D67D55">
            <w:pPr>
              <w:pStyle w:val="Textpoznpodarou"/>
              <w:jc w:val="both"/>
              <w:rPr>
                <w:spacing w:val="-4"/>
              </w:rPr>
            </w:pPr>
          </w:p>
        </w:tc>
        <w:tc>
          <w:tcPr>
            <w:tcW w:w="7720" w:type="dxa"/>
            <w:shd w:val="clear" w:color="auto" w:fill="auto"/>
            <w:tcMar>
              <w:left w:w="0" w:type="dxa"/>
            </w:tcMar>
          </w:tcPr>
          <w:p w14:paraId="032CD84A" w14:textId="77777777" w:rsidR="00AB3BA7" w:rsidRPr="00460F0F" w:rsidRDefault="00AB3BA7" w:rsidP="00D67D55">
            <w:pPr>
              <w:spacing w:after="200"/>
              <w:rPr>
                <w:spacing w:val="-5"/>
              </w:rPr>
            </w:pPr>
            <w:r w:rsidRPr="00460F0F">
              <w:rPr>
                <w:color w:val="0D0D0D" w:themeColor="text1" w:themeTint="F2"/>
                <w:spacing w:val="-5"/>
              </w:rPr>
              <w:t>Celkové příjmy SR ze spotřebních daní se v 1.</w:t>
            </w:r>
            <w:r>
              <w:rPr>
                <w:color w:val="0D0D0D" w:themeColor="text1" w:themeTint="F2"/>
                <w:spacing w:val="-5"/>
              </w:rPr>
              <w:t xml:space="preserve"> čtvrtletí meziročně propadly </w:t>
            </w:r>
            <w:r w:rsidRPr="00460F0F">
              <w:rPr>
                <w:color w:val="0D0D0D" w:themeColor="text1" w:themeTint="F2"/>
                <w:spacing w:val="-5"/>
              </w:rPr>
              <w:t>o</w:t>
            </w:r>
            <w:r w:rsidRPr="00460F0F">
              <w:rPr>
                <w:spacing w:val="-5"/>
              </w:rPr>
              <w:t> </w:t>
            </w:r>
            <w:r>
              <w:rPr>
                <w:color w:val="0D0D0D" w:themeColor="text1" w:themeTint="F2"/>
                <w:spacing w:val="-5"/>
              </w:rPr>
              <w:t>pětinu a shod</w:t>
            </w:r>
            <w:r w:rsidRPr="00460F0F">
              <w:rPr>
                <w:color w:val="0D0D0D" w:themeColor="text1" w:themeTint="F2"/>
                <w:spacing w:val="-5"/>
              </w:rPr>
              <w:t xml:space="preserve">ně jako inkaso DPH zatím za rozpočtovým očekáváním zaostaly. Více než polovina meziročního poklesu šla na vrub slabšího </w:t>
            </w:r>
            <w:r>
              <w:rPr>
                <w:color w:val="0D0D0D" w:themeColor="text1" w:themeTint="F2"/>
                <w:spacing w:val="-5"/>
              </w:rPr>
              <w:t xml:space="preserve">inkasa daně z tabákových </w:t>
            </w:r>
            <w:proofErr w:type="gramStart"/>
            <w:r>
              <w:rPr>
                <w:color w:val="0D0D0D" w:themeColor="text1" w:themeTint="F2"/>
                <w:spacing w:val="-5"/>
              </w:rPr>
              <w:t>výrobků</w:t>
            </w:r>
            <w:r w:rsidRPr="00460F0F">
              <w:rPr>
                <w:color w:val="0D0D0D" w:themeColor="text1" w:themeTint="F2"/>
                <w:spacing w:val="-5"/>
              </w:rPr>
              <w:t xml:space="preserve"> (</w:t>
            </w:r>
            <w:r w:rsidRPr="00460F0F">
              <w:rPr>
                <w:spacing w:val="-5"/>
              </w:rPr>
              <w:t>–</w:t>
            </w:r>
            <w:r w:rsidRPr="00460F0F">
              <w:rPr>
                <w:color w:val="0D0D0D" w:themeColor="text1" w:themeTint="F2"/>
                <w:spacing w:val="-5"/>
              </w:rPr>
              <w:t>31</w:t>
            </w:r>
            <w:proofErr w:type="gramEnd"/>
            <w:r>
              <w:rPr>
                <w:color w:val="0D0D0D" w:themeColor="text1" w:themeTint="F2"/>
                <w:spacing w:val="-5"/>
              </w:rPr>
              <w:t> %</w:t>
            </w:r>
            <w:r w:rsidRPr="00460F0F">
              <w:rPr>
                <w:color w:val="0D0D0D" w:themeColor="text1" w:themeTint="F2"/>
                <w:spacing w:val="-5"/>
              </w:rPr>
              <w:t xml:space="preserve">). </w:t>
            </w:r>
            <w:r>
              <w:rPr>
                <w:color w:val="0D0D0D" w:themeColor="text1" w:themeTint="F2"/>
                <w:spacing w:val="-5"/>
              </w:rPr>
              <w:t>To</w:t>
            </w:r>
            <w:r w:rsidRPr="00460F0F">
              <w:rPr>
                <w:color w:val="0D0D0D" w:themeColor="text1" w:themeTint="F2"/>
                <w:spacing w:val="-5"/>
              </w:rPr>
              <w:t xml:space="preserve"> bývá ovšem na počátku roku tradičně rozkolísan</w:t>
            </w:r>
            <w:r>
              <w:rPr>
                <w:color w:val="0D0D0D" w:themeColor="text1" w:themeTint="F2"/>
                <w:spacing w:val="-5"/>
              </w:rPr>
              <w:t>é</w:t>
            </w:r>
            <w:r w:rsidRPr="00460F0F">
              <w:rPr>
                <w:color w:val="0D0D0D" w:themeColor="text1" w:themeTint="F2"/>
                <w:spacing w:val="-5"/>
              </w:rPr>
              <w:t>, zejména při souběžném růstu sazby daně</w:t>
            </w:r>
            <w:r w:rsidRPr="00460F0F">
              <w:rPr>
                <w:rStyle w:val="Znakapoznpodarou"/>
                <w:color w:val="0D0D0D" w:themeColor="text1" w:themeTint="F2"/>
                <w:spacing w:val="-5"/>
              </w:rPr>
              <w:footnoteReference w:id="67"/>
            </w:r>
            <w:r w:rsidRPr="00460F0F">
              <w:rPr>
                <w:color w:val="0D0D0D" w:themeColor="text1" w:themeTint="F2"/>
                <w:spacing w:val="-5"/>
              </w:rPr>
              <w:t>. Výběr této daně snižovalo i</w:t>
            </w:r>
            <w:r>
              <w:rPr>
                <w:color w:val="0D0D0D" w:themeColor="text1" w:themeTint="F2"/>
                <w:spacing w:val="-5"/>
              </w:rPr>
              <w:t> </w:t>
            </w:r>
            <w:r w:rsidRPr="00460F0F">
              <w:rPr>
                <w:color w:val="0D0D0D" w:themeColor="text1" w:themeTint="F2"/>
                <w:spacing w:val="-5"/>
              </w:rPr>
              <w:t xml:space="preserve">pokračující omezení přeshraničních nákupů, které se v prvních dvou měsících loňského roku neprojevovalo. </w:t>
            </w:r>
            <w:r w:rsidRPr="00460F0F">
              <w:rPr>
                <w:spacing w:val="-5"/>
              </w:rPr>
              <w:t>Inkaso váhově významné daně z minerálních olejů se za 1.</w:t>
            </w:r>
            <w:r>
              <w:rPr>
                <w:spacing w:val="-5"/>
              </w:rPr>
              <w:t> kvartál</w:t>
            </w:r>
            <w:r w:rsidRPr="00460F0F">
              <w:rPr>
                <w:spacing w:val="-5"/>
              </w:rPr>
              <w:t xml:space="preserve"> snížilo o</w:t>
            </w:r>
            <w:r>
              <w:rPr>
                <w:spacing w:val="-5"/>
              </w:rPr>
              <w:t> </w:t>
            </w:r>
            <w:r w:rsidRPr="00460F0F">
              <w:rPr>
                <w:spacing w:val="-5"/>
              </w:rPr>
              <w:t>13</w:t>
            </w:r>
            <w:r>
              <w:rPr>
                <w:spacing w:val="-5"/>
              </w:rPr>
              <w:t> %</w:t>
            </w:r>
            <w:r w:rsidRPr="00460F0F">
              <w:rPr>
                <w:spacing w:val="-5"/>
              </w:rPr>
              <w:t xml:space="preserve"> a</w:t>
            </w:r>
            <w:r>
              <w:rPr>
                <w:spacing w:val="-5"/>
              </w:rPr>
              <w:t> </w:t>
            </w:r>
            <w:r w:rsidRPr="00460F0F">
              <w:rPr>
                <w:spacing w:val="-5"/>
              </w:rPr>
              <w:t>v dubnu se jeho pokles dále prohloubil</w:t>
            </w:r>
            <w:r w:rsidRPr="00460F0F">
              <w:rPr>
                <w:rStyle w:val="Znakapoznpodarou"/>
                <w:spacing w:val="-5"/>
              </w:rPr>
              <w:footnoteReference w:id="68"/>
            </w:r>
            <w:r w:rsidRPr="00460F0F">
              <w:rPr>
                <w:spacing w:val="-5"/>
              </w:rPr>
              <w:t>. Výkony osobní dopravy byly nadále poznamenány zpřísněním restrikcí (uzavřením okresů), zčásti také snížením spotřební daně z</w:t>
            </w:r>
            <w:r>
              <w:rPr>
                <w:spacing w:val="-5"/>
              </w:rPr>
              <w:t> </w:t>
            </w:r>
            <w:r w:rsidRPr="00460F0F">
              <w:rPr>
                <w:spacing w:val="-5"/>
              </w:rPr>
              <w:t>nafty (o</w:t>
            </w:r>
            <w:r>
              <w:rPr>
                <w:spacing w:val="-5"/>
              </w:rPr>
              <w:t> </w:t>
            </w:r>
            <w:r w:rsidRPr="00460F0F">
              <w:rPr>
                <w:spacing w:val="-5"/>
              </w:rPr>
              <w:t>1</w:t>
            </w:r>
            <w:r>
              <w:rPr>
                <w:spacing w:val="-5"/>
              </w:rPr>
              <w:t> </w:t>
            </w:r>
            <w:r w:rsidRPr="00460F0F">
              <w:rPr>
                <w:spacing w:val="-5"/>
              </w:rPr>
              <w:t>korunu). O</w:t>
            </w:r>
            <w:r>
              <w:rPr>
                <w:spacing w:val="-5"/>
              </w:rPr>
              <w:t> </w:t>
            </w:r>
            <w:r w:rsidRPr="00460F0F">
              <w:rPr>
                <w:spacing w:val="-5"/>
              </w:rPr>
              <w:t>více než 20</w:t>
            </w:r>
            <w:r>
              <w:rPr>
                <w:spacing w:val="-5"/>
              </w:rPr>
              <w:t> %</w:t>
            </w:r>
            <w:r w:rsidRPr="00460F0F">
              <w:rPr>
                <w:spacing w:val="-5"/>
              </w:rPr>
              <w:t xml:space="preserve"> klesl v 1.</w:t>
            </w:r>
            <w:r w:rsidRPr="00460F0F">
              <w:rPr>
                <w:color w:val="0D0D0D" w:themeColor="text1" w:themeTint="F2"/>
                <w:spacing w:val="-5"/>
              </w:rPr>
              <w:t> </w:t>
            </w:r>
            <w:r w:rsidRPr="00460F0F">
              <w:rPr>
                <w:spacing w:val="-5"/>
              </w:rPr>
              <w:t>čtvrtletí výběr daně z</w:t>
            </w:r>
            <w:r>
              <w:rPr>
                <w:spacing w:val="-5"/>
              </w:rPr>
              <w:t> </w:t>
            </w:r>
            <w:r w:rsidRPr="00460F0F">
              <w:rPr>
                <w:spacing w:val="-5"/>
              </w:rPr>
              <w:t>lihu i</w:t>
            </w:r>
            <w:r>
              <w:rPr>
                <w:spacing w:val="-5"/>
              </w:rPr>
              <w:t> </w:t>
            </w:r>
            <w:r w:rsidRPr="00460F0F">
              <w:rPr>
                <w:spacing w:val="-5"/>
              </w:rPr>
              <w:t>piva, což souviselo s uzavřením pohostinských zařízení i</w:t>
            </w:r>
            <w:r>
              <w:rPr>
                <w:spacing w:val="-5"/>
              </w:rPr>
              <w:t> </w:t>
            </w:r>
            <w:r w:rsidRPr="00460F0F">
              <w:rPr>
                <w:spacing w:val="-5"/>
              </w:rPr>
              <w:t>ochromením cestovního ruchu. Naopak inkaso daně z vína pokleslo mírněji (o</w:t>
            </w:r>
            <w:r>
              <w:rPr>
                <w:spacing w:val="-5"/>
              </w:rPr>
              <w:t> </w:t>
            </w:r>
            <w:r w:rsidRPr="00460F0F">
              <w:rPr>
                <w:spacing w:val="-5"/>
              </w:rPr>
              <w:t>5</w:t>
            </w:r>
            <w:r>
              <w:rPr>
                <w:spacing w:val="-5"/>
              </w:rPr>
              <w:t> %</w:t>
            </w:r>
            <w:r w:rsidRPr="00460F0F">
              <w:rPr>
                <w:spacing w:val="-5"/>
              </w:rPr>
              <w:t>), neboť se část utlumené spotřeby přesunula do domácností. Ve vyšším výběru energetických daní (+5,5</w:t>
            </w:r>
            <w:r>
              <w:rPr>
                <w:spacing w:val="-5"/>
              </w:rPr>
              <w:t> %</w:t>
            </w:r>
            <w:r w:rsidRPr="00460F0F">
              <w:rPr>
                <w:spacing w:val="-5"/>
              </w:rPr>
              <w:t>)</w:t>
            </w:r>
            <w:r>
              <w:rPr>
                <w:spacing w:val="-5"/>
              </w:rPr>
              <w:t xml:space="preserve"> </w:t>
            </w:r>
            <w:r w:rsidRPr="00460F0F">
              <w:rPr>
                <w:spacing w:val="-5"/>
              </w:rPr>
              <w:t xml:space="preserve">se projevila solidní kondice průmyslu, v němž využití výrobních kapacit vzrostlo na </w:t>
            </w:r>
            <w:proofErr w:type="spellStart"/>
            <w:r w:rsidRPr="00460F0F">
              <w:rPr>
                <w:spacing w:val="-5"/>
              </w:rPr>
              <w:t>předpandemickou</w:t>
            </w:r>
            <w:proofErr w:type="spellEnd"/>
            <w:r w:rsidRPr="00460F0F">
              <w:rPr>
                <w:spacing w:val="-5"/>
              </w:rPr>
              <w:t xml:space="preserve"> úroveň.</w:t>
            </w:r>
          </w:p>
        </w:tc>
      </w:tr>
      <w:tr w:rsidR="00AB3BA7" w:rsidRPr="00F704D2" w14:paraId="41DD26D1" w14:textId="77777777" w:rsidTr="00D67D55">
        <w:trPr>
          <w:trHeight w:val="170"/>
        </w:trPr>
        <w:tc>
          <w:tcPr>
            <w:tcW w:w="1732" w:type="dxa"/>
            <w:vMerge w:val="restart"/>
            <w:shd w:val="clear" w:color="auto" w:fill="auto"/>
            <w:tcMar>
              <w:left w:w="0" w:type="dxa"/>
            </w:tcMar>
          </w:tcPr>
          <w:p w14:paraId="3BEFDA87" w14:textId="77777777" w:rsidR="00AB3BA7" w:rsidRDefault="00AB3BA7" w:rsidP="00D67D55">
            <w:pPr>
              <w:pStyle w:val="Marginlie"/>
            </w:pPr>
          </w:p>
        </w:tc>
        <w:tc>
          <w:tcPr>
            <w:tcW w:w="217" w:type="dxa"/>
            <w:vMerge w:val="restart"/>
            <w:shd w:val="clear" w:color="auto" w:fill="auto"/>
            <w:tcMar>
              <w:left w:w="0" w:type="dxa"/>
            </w:tcMar>
          </w:tcPr>
          <w:p w14:paraId="7B9F4AB3" w14:textId="77777777" w:rsidR="00AB3BA7" w:rsidRDefault="00AB3BA7" w:rsidP="00D67D55">
            <w:pPr>
              <w:pStyle w:val="Textpoznpodarou"/>
              <w:jc w:val="both"/>
              <w:rPr>
                <w:spacing w:val="-4"/>
              </w:rPr>
            </w:pPr>
          </w:p>
        </w:tc>
        <w:tc>
          <w:tcPr>
            <w:tcW w:w="7720" w:type="dxa"/>
            <w:shd w:val="clear" w:color="auto" w:fill="auto"/>
            <w:tcMar>
              <w:left w:w="0" w:type="dxa"/>
            </w:tcMar>
          </w:tcPr>
          <w:p w14:paraId="2901B72E" w14:textId="77777777" w:rsidR="00AB3BA7" w:rsidRPr="00B80CE9" w:rsidRDefault="00AB3BA7" w:rsidP="00D67D55">
            <w:pPr>
              <w:spacing w:after="0" w:line="240" w:lineRule="auto"/>
              <w:rPr>
                <w:rFonts w:cs="Arial"/>
                <w:bCs/>
              </w:rPr>
            </w:pPr>
            <w:r w:rsidRPr="00B80CE9">
              <w:rPr>
                <w:rFonts w:cs="Arial"/>
                <w:b/>
                <w:bCs/>
                <w:color w:val="000000"/>
                <w:szCs w:val="20"/>
              </w:rPr>
              <w:t>Graf č. 16</w:t>
            </w:r>
            <w:r w:rsidRPr="00B80CE9">
              <w:rPr>
                <w:rFonts w:cs="Arial"/>
                <w:b/>
                <w:bCs/>
                <w:color w:val="000000"/>
                <w:sz w:val="18"/>
                <w:szCs w:val="18"/>
              </w:rPr>
              <w:t xml:space="preserve">  </w:t>
            </w:r>
            <w:r>
              <w:rPr>
                <w:rFonts w:cs="Arial"/>
                <w:b/>
                <w:bCs/>
              </w:rPr>
              <w:t>Celostátní inkaso</w:t>
            </w:r>
            <w:r w:rsidRPr="00B80CE9">
              <w:rPr>
                <w:rFonts w:cs="Arial"/>
                <w:b/>
                <w:bCs/>
              </w:rPr>
              <w:t xml:space="preserve"> vybraných </w:t>
            </w:r>
            <w:r>
              <w:rPr>
                <w:rFonts w:cs="Arial"/>
                <w:b/>
                <w:bCs/>
              </w:rPr>
              <w:t>daní</w:t>
            </w:r>
            <w:r w:rsidRPr="00B80CE9">
              <w:rPr>
                <w:rFonts w:cs="Arial"/>
                <w:b/>
                <w:bCs/>
              </w:rPr>
              <w:t xml:space="preserve"> </w:t>
            </w:r>
            <w:r w:rsidRPr="00B80CE9">
              <w:rPr>
                <w:rFonts w:cs="Arial"/>
                <w:bCs/>
              </w:rPr>
              <w:t>(</w:t>
            </w:r>
            <w:r w:rsidRPr="00B80CE9">
              <w:t>meziročně</w:t>
            </w:r>
            <w:r w:rsidRPr="00B80CE9">
              <w:rPr>
                <w:bCs/>
              </w:rPr>
              <w:t xml:space="preserve"> v %)</w:t>
            </w:r>
            <w:r>
              <w:rPr>
                <w:bCs/>
              </w:rPr>
              <w:t xml:space="preserve"> </w:t>
            </w:r>
            <w:r w:rsidRPr="00B80CE9">
              <w:rPr>
                <w:rFonts w:cs="Arial"/>
                <w:b/>
                <w:bCs/>
              </w:rPr>
              <w:t>a saldo státního rozpočtu</w:t>
            </w:r>
            <w:r>
              <w:rPr>
                <w:rFonts w:cs="Arial"/>
                <w:b/>
                <w:bCs/>
              </w:rPr>
              <w:t xml:space="preserve"> v rámci 1. čtvrtletí</w:t>
            </w:r>
            <w:r w:rsidRPr="00B80CE9">
              <w:t xml:space="preserve"> </w:t>
            </w:r>
            <w:r>
              <w:rPr>
                <w:rFonts w:cs="Arial"/>
                <w:bCs/>
              </w:rPr>
              <w:t>(v mld. korun, pravá osa</w:t>
            </w:r>
            <w:r w:rsidRPr="00B80CE9">
              <w:rPr>
                <w:rFonts w:cs="Arial"/>
                <w:bCs/>
              </w:rPr>
              <w:t>)</w:t>
            </w:r>
          </w:p>
        </w:tc>
      </w:tr>
      <w:tr w:rsidR="00AB3BA7" w14:paraId="1F25B391" w14:textId="77777777" w:rsidTr="00D67D55">
        <w:tblPrEx>
          <w:tblCellMar>
            <w:left w:w="70" w:type="dxa"/>
            <w:right w:w="70" w:type="dxa"/>
          </w:tblCellMar>
        </w:tblPrEx>
        <w:trPr>
          <w:trHeight w:val="170"/>
        </w:trPr>
        <w:tc>
          <w:tcPr>
            <w:tcW w:w="1732" w:type="dxa"/>
            <w:vMerge/>
            <w:shd w:val="clear" w:color="auto" w:fill="auto"/>
          </w:tcPr>
          <w:p w14:paraId="5C270839" w14:textId="77777777" w:rsidR="00AB3BA7" w:rsidRDefault="00AB3BA7" w:rsidP="00D67D55">
            <w:pPr>
              <w:pStyle w:val="Marginlie"/>
            </w:pPr>
          </w:p>
        </w:tc>
        <w:tc>
          <w:tcPr>
            <w:tcW w:w="217" w:type="dxa"/>
            <w:vMerge/>
            <w:shd w:val="clear" w:color="auto" w:fill="auto"/>
          </w:tcPr>
          <w:p w14:paraId="60736CEA" w14:textId="77777777" w:rsidR="00AB3BA7" w:rsidRDefault="00AB3BA7" w:rsidP="00D67D55">
            <w:pPr>
              <w:pStyle w:val="Textpoznpodarou"/>
              <w:jc w:val="both"/>
              <w:rPr>
                <w:spacing w:val="-4"/>
              </w:rPr>
            </w:pPr>
          </w:p>
        </w:tc>
        <w:tc>
          <w:tcPr>
            <w:tcW w:w="7720" w:type="dxa"/>
            <w:shd w:val="clear" w:color="auto" w:fill="auto"/>
          </w:tcPr>
          <w:p w14:paraId="472630AA" w14:textId="77777777" w:rsidR="00AB3BA7" w:rsidRPr="0067514E" w:rsidRDefault="00AB3BA7" w:rsidP="00D67D55">
            <w:pPr>
              <w:spacing w:after="0"/>
              <w:rPr>
                <w:spacing w:val="-6"/>
              </w:rPr>
            </w:pPr>
            <w:r>
              <w:rPr>
                <w:noProof/>
              </w:rPr>
              <w:drawing>
                <wp:inline distT="0" distB="0" distL="0" distR="0" wp14:anchorId="355F142F" wp14:editId="5EF79A25">
                  <wp:extent cx="4761230" cy="3359150"/>
                  <wp:effectExtent l="0" t="0" r="1270" b="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AB3BA7" w:rsidRPr="007B3A78" w14:paraId="347877AC" w14:textId="77777777" w:rsidTr="00D67D55">
        <w:trPr>
          <w:trHeight w:val="170"/>
        </w:trPr>
        <w:tc>
          <w:tcPr>
            <w:tcW w:w="1732" w:type="dxa"/>
            <w:vMerge/>
            <w:shd w:val="clear" w:color="auto" w:fill="auto"/>
            <w:tcMar>
              <w:left w:w="0" w:type="dxa"/>
            </w:tcMar>
          </w:tcPr>
          <w:p w14:paraId="046671EF" w14:textId="77777777" w:rsidR="00AB3BA7" w:rsidRDefault="00AB3BA7" w:rsidP="00D67D55">
            <w:pPr>
              <w:pStyle w:val="Marginlie"/>
            </w:pPr>
          </w:p>
        </w:tc>
        <w:tc>
          <w:tcPr>
            <w:tcW w:w="217" w:type="dxa"/>
            <w:vMerge/>
            <w:shd w:val="clear" w:color="auto" w:fill="auto"/>
            <w:tcMar>
              <w:left w:w="0" w:type="dxa"/>
            </w:tcMar>
          </w:tcPr>
          <w:p w14:paraId="692D9066" w14:textId="77777777" w:rsidR="00AB3BA7" w:rsidRDefault="00AB3BA7" w:rsidP="00D67D55">
            <w:pPr>
              <w:pStyle w:val="Textpoznpodarou"/>
              <w:jc w:val="both"/>
              <w:rPr>
                <w:spacing w:val="-4"/>
              </w:rPr>
            </w:pPr>
          </w:p>
        </w:tc>
        <w:tc>
          <w:tcPr>
            <w:tcW w:w="7720" w:type="dxa"/>
            <w:shd w:val="clear" w:color="auto" w:fill="auto"/>
            <w:tcMar>
              <w:left w:w="0" w:type="dxa"/>
            </w:tcMar>
          </w:tcPr>
          <w:p w14:paraId="14098A33" w14:textId="77777777" w:rsidR="00AB3BA7" w:rsidRDefault="00AB3BA7" w:rsidP="00D67D55">
            <w:pPr>
              <w:spacing w:after="0" w:line="240" w:lineRule="auto"/>
              <w:jc w:val="left"/>
              <w:rPr>
                <w:spacing w:val="-2"/>
                <w:sz w:val="14"/>
                <w:szCs w:val="14"/>
              </w:rPr>
            </w:pPr>
            <w:r w:rsidRPr="00E52D45">
              <w:rPr>
                <w:spacing w:val="-2"/>
                <w:sz w:val="14"/>
                <w:szCs w:val="14"/>
              </w:rPr>
              <w:t>*Saldo očištěné o prostředky na programy a projekty z rozpočtu EU (vč</w:t>
            </w:r>
            <w:r>
              <w:rPr>
                <w:spacing w:val="-2"/>
                <w:sz w:val="14"/>
                <w:szCs w:val="14"/>
              </w:rPr>
              <w:t xml:space="preserve">etně </w:t>
            </w:r>
            <w:r w:rsidRPr="00E52D45">
              <w:rPr>
                <w:spacing w:val="-2"/>
                <w:sz w:val="14"/>
                <w:szCs w:val="14"/>
              </w:rPr>
              <w:t>finančních mechanismů), které byly předfinancovány ze SR a následně jsou</w:t>
            </w:r>
            <w:r>
              <w:rPr>
                <w:spacing w:val="-2"/>
                <w:sz w:val="14"/>
                <w:szCs w:val="14"/>
              </w:rPr>
              <w:t xml:space="preserve"> propláceny z rozpočtů EU a FM. Údaje před rokem 2013 nebyly dostupné.</w:t>
            </w:r>
          </w:p>
          <w:p w14:paraId="4D0784A4" w14:textId="77777777" w:rsidR="00AB3BA7" w:rsidRPr="00E52D45" w:rsidRDefault="00AB3BA7" w:rsidP="00D67D55">
            <w:pPr>
              <w:spacing w:after="180" w:line="240" w:lineRule="auto"/>
              <w:jc w:val="left"/>
              <w:rPr>
                <w:spacing w:val="-2"/>
                <w:sz w:val="14"/>
                <w:szCs w:val="14"/>
              </w:rPr>
            </w:pPr>
            <w:r w:rsidRPr="00E52D45">
              <w:rPr>
                <w:spacing w:val="-2"/>
                <w:sz w:val="14"/>
                <w:szCs w:val="14"/>
              </w:rPr>
              <w:t>Zdroj: MF ČR</w:t>
            </w:r>
          </w:p>
        </w:tc>
      </w:tr>
      <w:tr w:rsidR="00AB3BA7" w:rsidRPr="008266F0" w14:paraId="38B65847" w14:textId="77777777" w:rsidTr="00D67D55">
        <w:trPr>
          <w:trHeight w:val="145"/>
        </w:trPr>
        <w:tc>
          <w:tcPr>
            <w:tcW w:w="1732" w:type="dxa"/>
            <w:shd w:val="clear" w:color="auto" w:fill="auto"/>
            <w:tcMar>
              <w:left w:w="0" w:type="dxa"/>
            </w:tcMar>
          </w:tcPr>
          <w:p w14:paraId="0C93D123" w14:textId="77777777" w:rsidR="00AB3BA7" w:rsidRDefault="00AB3BA7" w:rsidP="00D67D55">
            <w:pPr>
              <w:pStyle w:val="Marginlie"/>
            </w:pPr>
            <w:r>
              <w:t>Silný růst celkových výdajů SR se udržoval třetím rokem v řadě.</w:t>
            </w:r>
          </w:p>
          <w:p w14:paraId="1DCAE26A" w14:textId="77777777" w:rsidR="00AB3BA7" w:rsidRDefault="00AB3BA7" w:rsidP="00D67D55">
            <w:pPr>
              <w:pStyle w:val="Marginlie"/>
            </w:pPr>
            <w:r>
              <w:t xml:space="preserve">Tři čtvrtiny meziročního růstu běžných výdajů souvisely s řešením </w:t>
            </w:r>
            <w:r>
              <w:lastRenderedPageBreak/>
              <w:t>negativních důsledků pandemie.</w:t>
            </w:r>
          </w:p>
        </w:tc>
        <w:tc>
          <w:tcPr>
            <w:tcW w:w="217" w:type="dxa"/>
            <w:shd w:val="clear" w:color="auto" w:fill="auto"/>
            <w:tcMar>
              <w:left w:w="0" w:type="dxa"/>
            </w:tcMar>
          </w:tcPr>
          <w:p w14:paraId="0B5CC6EA" w14:textId="77777777" w:rsidR="00AB3BA7" w:rsidRDefault="00AB3BA7" w:rsidP="00D67D55">
            <w:pPr>
              <w:pStyle w:val="Textpoznpodarou"/>
              <w:jc w:val="both"/>
              <w:rPr>
                <w:spacing w:val="-4"/>
              </w:rPr>
            </w:pPr>
          </w:p>
        </w:tc>
        <w:tc>
          <w:tcPr>
            <w:tcW w:w="7720" w:type="dxa"/>
            <w:shd w:val="clear" w:color="auto" w:fill="auto"/>
            <w:tcMar>
              <w:left w:w="0" w:type="dxa"/>
            </w:tcMar>
          </w:tcPr>
          <w:p w14:paraId="0147C0A6" w14:textId="77777777" w:rsidR="00AB3BA7" w:rsidRPr="00F93A77" w:rsidRDefault="00AB3BA7" w:rsidP="00D67D55">
            <w:pPr>
              <w:spacing w:after="210"/>
              <w:rPr>
                <w:spacing w:val="-5"/>
              </w:rPr>
            </w:pPr>
            <w:r w:rsidRPr="004725AE">
              <w:rPr>
                <w:color w:val="0D0D0D" w:themeColor="text1" w:themeTint="F2"/>
                <w:spacing w:val="-5"/>
              </w:rPr>
              <w:t xml:space="preserve">Celkové výdaje SR </w:t>
            </w:r>
            <w:r>
              <w:rPr>
                <w:spacing w:val="-5"/>
              </w:rPr>
              <w:t>posílily</w:t>
            </w:r>
            <w:r>
              <w:rPr>
                <w:color w:val="0D0D0D" w:themeColor="text1" w:themeTint="F2"/>
                <w:spacing w:val="-5"/>
              </w:rPr>
              <w:t xml:space="preserve"> v 1. čtvrtletí</w:t>
            </w:r>
            <w:r>
              <w:rPr>
                <w:spacing w:val="-5"/>
              </w:rPr>
              <w:t xml:space="preserve"> </w:t>
            </w:r>
            <w:r w:rsidRPr="004725AE">
              <w:rPr>
                <w:color w:val="0D0D0D" w:themeColor="text1" w:themeTint="F2"/>
                <w:spacing w:val="-5"/>
              </w:rPr>
              <w:t>meziročně</w:t>
            </w:r>
            <w:r>
              <w:rPr>
                <w:spacing w:val="-5"/>
              </w:rPr>
              <w:t xml:space="preserve"> o 10,2 % (resp. 43 mld. korun). Přestože vzrostly dvouciferným tempem již třetím rokem v řadě, letošní tempo bylo ve srovnání s počátky let 2019 i 2020 nejslabší. Rozdíl v tomto období byl i ve struktuře růstu, neboť k letošnímu navýšení celkových výdajů již nepřispívaly investice. Na meziročním přírůstku všech běžných výdajů (+10,8 %) se letos zhruba ze tří čtvrtin podílely náklady související </w:t>
            </w:r>
            <w:r>
              <w:rPr>
                <w:color w:val="0D0D0D" w:themeColor="text1" w:themeTint="F2"/>
                <w:spacing w:val="-5"/>
              </w:rPr>
              <w:lastRenderedPageBreak/>
              <w:t>s </w:t>
            </w:r>
            <w:r w:rsidRPr="00F91658">
              <w:rPr>
                <w:color w:val="0D0D0D" w:themeColor="text1" w:themeTint="F2"/>
                <w:spacing w:val="-5"/>
              </w:rPr>
              <w:t xml:space="preserve">opatřeními </w:t>
            </w:r>
            <w:r>
              <w:rPr>
                <w:color w:val="0D0D0D" w:themeColor="text1" w:themeTint="F2"/>
                <w:spacing w:val="-5"/>
              </w:rPr>
              <w:t xml:space="preserve">kompenzujícími negativní důsledky pandemie (na </w:t>
            </w:r>
            <w:r>
              <w:rPr>
                <w:spacing w:val="-5"/>
              </w:rPr>
              <w:t>podniky, jednotlivce i obce)</w:t>
            </w:r>
            <w:r w:rsidRPr="00456B08">
              <w:rPr>
                <w:spacing w:val="-5"/>
              </w:rPr>
              <w:t xml:space="preserve"> či </w:t>
            </w:r>
            <w:r>
              <w:rPr>
                <w:spacing w:val="-5"/>
              </w:rPr>
              <w:t>s </w:t>
            </w:r>
            <w:r w:rsidRPr="00456B08">
              <w:rPr>
                <w:spacing w:val="-5"/>
              </w:rPr>
              <w:t>podporou za</w:t>
            </w:r>
            <w:r>
              <w:rPr>
                <w:spacing w:val="-5"/>
              </w:rPr>
              <w:t xml:space="preserve">tíženého zdravotnického </w:t>
            </w:r>
            <w:r w:rsidRPr="00456B08">
              <w:rPr>
                <w:spacing w:val="-5"/>
              </w:rPr>
              <w:t>systému</w:t>
            </w:r>
            <w:r w:rsidRPr="00456B08">
              <w:rPr>
                <w:rStyle w:val="Znakapoznpodarou"/>
                <w:spacing w:val="-5"/>
              </w:rPr>
              <w:footnoteReference w:id="69"/>
            </w:r>
            <w:r w:rsidRPr="00456B08">
              <w:rPr>
                <w:spacing w:val="-5"/>
              </w:rPr>
              <w:t xml:space="preserve">. Z běžných výdajů </w:t>
            </w:r>
            <w:r>
              <w:rPr>
                <w:spacing w:val="-5"/>
              </w:rPr>
              <w:t>tak</w:t>
            </w:r>
            <w:r w:rsidRPr="00456B08">
              <w:rPr>
                <w:spacing w:val="-5"/>
              </w:rPr>
              <w:t xml:space="preserve"> </w:t>
            </w:r>
            <w:r>
              <w:rPr>
                <w:spacing w:val="-5"/>
              </w:rPr>
              <w:t>nejvíce vzrostl</w:t>
            </w:r>
            <w:r w:rsidRPr="00456B08">
              <w:rPr>
                <w:spacing w:val="-5"/>
              </w:rPr>
              <w:t xml:space="preserve">y </w:t>
            </w:r>
            <w:r w:rsidRPr="00456B08">
              <w:rPr>
                <w:color w:val="0D0D0D" w:themeColor="text1" w:themeTint="F2"/>
                <w:spacing w:val="-5"/>
              </w:rPr>
              <w:t>neinvestiční trans</w:t>
            </w:r>
            <w:r>
              <w:rPr>
                <w:color w:val="0D0D0D" w:themeColor="text1" w:themeTint="F2"/>
                <w:spacing w:val="-5"/>
              </w:rPr>
              <w:t>fery podnikatelským subjektům (+156 %, na</w:t>
            </w:r>
            <w:r>
              <w:rPr>
                <w:spacing w:val="-5"/>
              </w:rPr>
              <w:t xml:space="preserve"> 38,6 mld.</w:t>
            </w:r>
            <w:r w:rsidRPr="00456B08">
              <w:rPr>
                <w:spacing w:val="-5"/>
              </w:rPr>
              <w:t xml:space="preserve"> korun), v</w:t>
            </w:r>
            <w:r>
              <w:rPr>
                <w:spacing w:val="-5"/>
              </w:rPr>
              <w:t xml:space="preserve"> nichž se soustřeďovala rozhodující část </w:t>
            </w:r>
            <w:r w:rsidRPr="00456B08">
              <w:rPr>
                <w:spacing w:val="-5"/>
              </w:rPr>
              <w:t>podpůrných opatření (program Antivirus, podpora firem v nejvíce</w:t>
            </w:r>
            <w:r>
              <w:rPr>
                <w:spacing w:val="-5"/>
              </w:rPr>
              <w:t xml:space="preserve"> zasažených odvětvích, ošetřovné pro OSVČ), a neinvestiční</w:t>
            </w:r>
            <w:r w:rsidRPr="00371E6A">
              <w:rPr>
                <w:spacing w:val="-5"/>
              </w:rPr>
              <w:t xml:space="preserve"> transfery f</w:t>
            </w:r>
            <w:r>
              <w:rPr>
                <w:spacing w:val="-5"/>
              </w:rPr>
              <w:t>ondům sociálního a veřejného zdravotního pojištění (+67 %). Naopak nárůst běžných transferů územním rozpočtům (+10,7 %) souvisel s pokračujícím navyšováním průměrných platů v regionálním školství</w:t>
            </w:r>
            <w:r>
              <w:rPr>
                <w:rStyle w:val="Znakapoznpodarou"/>
                <w:spacing w:val="-5"/>
              </w:rPr>
              <w:footnoteReference w:id="70"/>
            </w:r>
            <w:r>
              <w:rPr>
                <w:spacing w:val="-5"/>
              </w:rPr>
              <w:t xml:space="preserve"> a s posílením prostředků na sociální služby.</w:t>
            </w:r>
          </w:p>
        </w:tc>
      </w:tr>
      <w:tr w:rsidR="00AB3BA7" w:rsidRPr="008266F0" w14:paraId="5BABF064" w14:textId="77777777" w:rsidTr="00D67D55">
        <w:trPr>
          <w:trHeight w:val="145"/>
        </w:trPr>
        <w:tc>
          <w:tcPr>
            <w:tcW w:w="1732" w:type="dxa"/>
            <w:shd w:val="clear" w:color="auto" w:fill="auto"/>
            <w:tcMar>
              <w:left w:w="0" w:type="dxa"/>
            </w:tcMar>
          </w:tcPr>
          <w:p w14:paraId="46656992" w14:textId="77777777" w:rsidR="00AB3BA7" w:rsidRDefault="00AB3BA7" w:rsidP="00D67D55">
            <w:pPr>
              <w:pStyle w:val="Marginlie"/>
            </w:pPr>
            <w:r>
              <w:lastRenderedPageBreak/>
              <w:t>Výdaje na platy v organizačních složkách státu citelně zvolnily. Objem neinvestičních nákupů se vrátil na úroveň roku 2019.</w:t>
            </w:r>
          </w:p>
        </w:tc>
        <w:tc>
          <w:tcPr>
            <w:tcW w:w="217" w:type="dxa"/>
            <w:shd w:val="clear" w:color="auto" w:fill="auto"/>
            <w:tcMar>
              <w:left w:w="0" w:type="dxa"/>
            </w:tcMar>
          </w:tcPr>
          <w:p w14:paraId="3B8FD9CF" w14:textId="77777777" w:rsidR="00AB3BA7" w:rsidRDefault="00AB3BA7" w:rsidP="00D67D55">
            <w:pPr>
              <w:pStyle w:val="Textpoznpodarou"/>
              <w:jc w:val="both"/>
              <w:rPr>
                <w:spacing w:val="-4"/>
              </w:rPr>
            </w:pPr>
          </w:p>
        </w:tc>
        <w:tc>
          <w:tcPr>
            <w:tcW w:w="7720" w:type="dxa"/>
            <w:shd w:val="clear" w:color="auto" w:fill="auto"/>
            <w:tcMar>
              <w:left w:w="0" w:type="dxa"/>
            </w:tcMar>
          </w:tcPr>
          <w:p w14:paraId="18A3B6E3" w14:textId="77777777" w:rsidR="00AB3BA7" w:rsidRPr="00456B08" w:rsidRDefault="00AB3BA7" w:rsidP="00D67D55">
            <w:pPr>
              <w:spacing w:after="210"/>
              <w:rPr>
                <w:spacing w:val="-5"/>
              </w:rPr>
            </w:pPr>
            <w:r>
              <w:rPr>
                <w:spacing w:val="-5"/>
              </w:rPr>
              <w:t>Podstatně menší vliv na růst běžných výdajů SR měly vyšší odvody do rozpočtu EU (způsobené vyšším předfinancováním na počátku roku) či vyšší běžné transfery neziskovým organizacím (tažené posílením v oblasti sportu). V</w:t>
            </w:r>
            <w:r w:rsidRPr="00456B08">
              <w:rPr>
                <w:spacing w:val="-5"/>
              </w:rPr>
              <w:t>ýdaje na platy v organizačních složkách státu</w:t>
            </w:r>
            <w:r>
              <w:rPr>
                <w:spacing w:val="-5"/>
              </w:rPr>
              <w:t xml:space="preserve"> vzrostly o 0,7 %, nejméně za posledních deset let. Naopak skoro o třetinu (resp. 10 mld. korun) klesly běžné transfery příspěvkovým organizacím, zčásti vlivem vysokého předfinancování na počátku loňského roku (v oblasti výzkumu, vývoje či u vysokých škol). Meziročně o čtvrtinu méně vydal stát i na neinvestiční nákupy</w:t>
            </w:r>
            <w:r>
              <w:rPr>
                <w:rStyle w:val="Znakapoznpodarou"/>
                <w:spacing w:val="-5"/>
              </w:rPr>
              <w:footnoteReference w:id="71"/>
            </w:r>
            <w:r>
              <w:rPr>
                <w:spacing w:val="-5"/>
              </w:rPr>
              <w:t>, a to vlivem vysoké loňské základny (navýšené nákupy ochranných pomůcek i zdravotnického materiálu před propuknutím pandemie). Objem těchto výdajů se tak letos vrátil na úroveň počátku roku 2019.</w:t>
            </w:r>
          </w:p>
        </w:tc>
      </w:tr>
      <w:tr w:rsidR="00AB3BA7" w:rsidRPr="008266F0" w14:paraId="0D20A874" w14:textId="77777777" w:rsidTr="00D67D55">
        <w:trPr>
          <w:trHeight w:val="145"/>
        </w:trPr>
        <w:tc>
          <w:tcPr>
            <w:tcW w:w="1732" w:type="dxa"/>
            <w:shd w:val="clear" w:color="auto" w:fill="auto"/>
            <w:tcMar>
              <w:left w:w="0" w:type="dxa"/>
            </w:tcMar>
          </w:tcPr>
          <w:p w14:paraId="6E320291" w14:textId="77777777" w:rsidR="00AB3BA7" w:rsidRDefault="00AB3BA7" w:rsidP="00D67D55">
            <w:pPr>
              <w:pStyle w:val="Marginlie"/>
            </w:pPr>
            <w:r>
              <w:t>Čerpání drtivé většiny nedůchodových sociálních dávek vzrostlo – nejvíce dávky nemocenského pojištění, podpora nezaměstnaným a dávky hmotné nouze.</w:t>
            </w:r>
          </w:p>
        </w:tc>
        <w:tc>
          <w:tcPr>
            <w:tcW w:w="217" w:type="dxa"/>
            <w:shd w:val="clear" w:color="auto" w:fill="auto"/>
            <w:tcMar>
              <w:left w:w="0" w:type="dxa"/>
            </w:tcMar>
          </w:tcPr>
          <w:p w14:paraId="0F997781" w14:textId="77777777" w:rsidR="00AB3BA7" w:rsidRDefault="00AB3BA7" w:rsidP="00D67D55">
            <w:pPr>
              <w:pStyle w:val="Textpoznpodarou"/>
              <w:jc w:val="both"/>
              <w:rPr>
                <w:spacing w:val="-4"/>
              </w:rPr>
            </w:pPr>
          </w:p>
        </w:tc>
        <w:tc>
          <w:tcPr>
            <w:tcW w:w="7720" w:type="dxa"/>
            <w:shd w:val="clear" w:color="auto" w:fill="auto"/>
            <w:tcMar>
              <w:left w:w="0" w:type="dxa"/>
            </w:tcMar>
          </w:tcPr>
          <w:p w14:paraId="0D8A4909" w14:textId="77777777" w:rsidR="00AB3BA7" w:rsidRPr="005F6DCB" w:rsidRDefault="00AB3BA7" w:rsidP="00D67D55">
            <w:pPr>
              <w:spacing w:after="210"/>
              <w:rPr>
                <w:spacing w:val="-5"/>
              </w:rPr>
            </w:pPr>
            <w:r w:rsidRPr="005F6DCB">
              <w:rPr>
                <w:spacing w:val="-5"/>
              </w:rPr>
              <w:t>Čerpání sociálních dávek</w:t>
            </w:r>
            <w:r>
              <w:rPr>
                <w:spacing w:val="-5"/>
              </w:rPr>
              <w:t> </w:t>
            </w:r>
            <w:r w:rsidRPr="005F6DCB">
              <w:rPr>
                <w:spacing w:val="-5"/>
              </w:rPr>
              <w:t>– tradičně nejvýznamnější výdajové položky SR</w:t>
            </w:r>
            <w:r>
              <w:rPr>
                <w:spacing w:val="-5"/>
              </w:rPr>
              <w:t> </w:t>
            </w:r>
            <w:r w:rsidRPr="005F6DCB">
              <w:rPr>
                <w:spacing w:val="-5"/>
              </w:rPr>
              <w:t>– se v</w:t>
            </w:r>
            <w:r>
              <w:rPr>
                <w:spacing w:val="-5"/>
              </w:rPr>
              <w:t> </w:t>
            </w:r>
            <w:r w:rsidRPr="005F6DCB">
              <w:rPr>
                <w:spacing w:val="-5"/>
              </w:rPr>
              <w:t>1.</w:t>
            </w:r>
            <w:r>
              <w:rPr>
                <w:spacing w:val="-5"/>
              </w:rPr>
              <w:t> čtvrtlet</w:t>
            </w:r>
            <w:r w:rsidRPr="005F6DCB">
              <w:rPr>
                <w:spacing w:val="-5"/>
              </w:rPr>
              <w:t>í meziročně zvýšilo o</w:t>
            </w:r>
            <w:r>
              <w:rPr>
                <w:spacing w:val="-5"/>
              </w:rPr>
              <w:t> </w:t>
            </w:r>
            <w:r w:rsidRPr="005F6DCB">
              <w:rPr>
                <w:spacing w:val="-5"/>
              </w:rPr>
              <w:t>7,6</w:t>
            </w:r>
            <w:r>
              <w:rPr>
                <w:spacing w:val="-5"/>
              </w:rPr>
              <w:t> %</w:t>
            </w:r>
            <w:r w:rsidRPr="005F6DCB">
              <w:rPr>
                <w:spacing w:val="-5"/>
              </w:rPr>
              <w:t>, resp. 12,4</w:t>
            </w:r>
            <w:r>
              <w:rPr>
                <w:spacing w:val="-5"/>
              </w:rPr>
              <w:t> mld.</w:t>
            </w:r>
            <w:r w:rsidRPr="005F6DCB">
              <w:rPr>
                <w:spacing w:val="-5"/>
              </w:rPr>
              <w:t xml:space="preserve"> korun.</w:t>
            </w:r>
            <w:r>
              <w:rPr>
                <w:spacing w:val="-5"/>
              </w:rPr>
              <w:t xml:space="preserve"> Podíl dávek na všech výdajích SR se však dále snižoval a dosáhl minima v desetileté srovnatelné řadě (37,9 %). Podobně jako po většinu loňského roku rostly i letos výdaje na důchody (+7,0 %) pomaleji než na ostatní sociální dávky (+9,6 %). V nich se nejvíce projevovalo vyšší čerpání dávek nemocenského pojištění (+21 %) související z velké části s dopady pandemie. O pětinu se zvýšily i vyplacené podpory v nezaměstnanosti, jejichž objem byl i díky cenovému pohybu v ekonomice nejvyšší za posledních deset let (3 mld. korun). Vyšší výdaje na státní sociální podporu (+2,9 %) byly taženy takřka výhradně nárůstem u rodičovského příspěvku, neboť u většiny příjmově testovaných dávek bylo čerpání stále pod úrovní počátku loňského roku. Naopak objem dávek hmotné nouze vzrostl o více než čtvrtinu a meziročně byl vyšší již čtvrtý kvartál v řadě. Příspěvky na péči osobám pečujícím o vážně nemocné dosáhly v 1. čtvrtletí 8,2 mld. korun a jako jediné z hlavních druhů sociálních dávek meziročně </w:t>
            </w:r>
            <w:proofErr w:type="gramStart"/>
            <w:r>
              <w:rPr>
                <w:spacing w:val="-5"/>
              </w:rPr>
              <w:t>neposílily (</w:t>
            </w:r>
            <w:r w:rsidRPr="005F6DCB">
              <w:rPr>
                <w:spacing w:val="-5"/>
              </w:rPr>
              <w:t>–</w:t>
            </w:r>
            <w:r>
              <w:rPr>
                <w:spacing w:val="-5"/>
              </w:rPr>
              <w:t>0,3</w:t>
            </w:r>
            <w:proofErr w:type="gramEnd"/>
            <w:r>
              <w:rPr>
                <w:spacing w:val="-5"/>
              </w:rPr>
              <w:t> %).</w:t>
            </w:r>
          </w:p>
        </w:tc>
      </w:tr>
      <w:tr w:rsidR="00AB3BA7" w:rsidRPr="008266F0" w14:paraId="4A4E0D70" w14:textId="77777777" w:rsidTr="00D67D55">
        <w:trPr>
          <w:trHeight w:val="145"/>
        </w:trPr>
        <w:tc>
          <w:tcPr>
            <w:tcW w:w="1732" w:type="dxa"/>
            <w:shd w:val="clear" w:color="auto" w:fill="auto"/>
            <w:tcMar>
              <w:left w:w="0" w:type="dxa"/>
            </w:tcMar>
          </w:tcPr>
          <w:p w14:paraId="38EB16E0" w14:textId="77777777" w:rsidR="00AB3BA7" w:rsidRDefault="00AB3BA7" w:rsidP="00D67D55">
            <w:pPr>
              <w:pStyle w:val="Marginlie"/>
            </w:pPr>
            <w:r>
              <w:t>Příjmy i deficit důchodového pojištění vykázaly nejhorší výsledky od recese z roku 2013.</w:t>
            </w:r>
          </w:p>
        </w:tc>
        <w:tc>
          <w:tcPr>
            <w:tcW w:w="217" w:type="dxa"/>
            <w:shd w:val="clear" w:color="auto" w:fill="auto"/>
            <w:tcMar>
              <w:left w:w="0" w:type="dxa"/>
            </w:tcMar>
          </w:tcPr>
          <w:p w14:paraId="2DD953B6" w14:textId="77777777" w:rsidR="00AB3BA7" w:rsidRDefault="00AB3BA7" w:rsidP="00D67D55">
            <w:pPr>
              <w:pStyle w:val="Textpoznpodarou"/>
              <w:jc w:val="both"/>
              <w:rPr>
                <w:spacing w:val="-4"/>
              </w:rPr>
            </w:pPr>
          </w:p>
        </w:tc>
        <w:tc>
          <w:tcPr>
            <w:tcW w:w="7720" w:type="dxa"/>
            <w:shd w:val="clear" w:color="auto" w:fill="auto"/>
            <w:tcMar>
              <w:left w:w="0" w:type="dxa"/>
            </w:tcMar>
          </w:tcPr>
          <w:p w14:paraId="056D39C6" w14:textId="77777777" w:rsidR="00AB3BA7" w:rsidRPr="00D863C6" w:rsidRDefault="00AB3BA7" w:rsidP="00D67D55">
            <w:pPr>
              <w:spacing w:after="210"/>
              <w:rPr>
                <w:rFonts w:cs="Arial"/>
                <w:color w:val="0D0D0D" w:themeColor="text1" w:themeTint="F2"/>
                <w:spacing w:val="-5"/>
              </w:rPr>
            </w:pPr>
            <w:r w:rsidRPr="00D863C6">
              <w:rPr>
                <w:spacing w:val="-5"/>
              </w:rPr>
              <w:t>Počet příjemců důchodů se oproti březnu 2020 meziročně významně snížil (o</w:t>
            </w:r>
            <w:r>
              <w:rPr>
                <w:spacing w:val="-5"/>
              </w:rPr>
              <w:t> </w:t>
            </w:r>
            <w:r w:rsidRPr="00D863C6">
              <w:rPr>
                <w:spacing w:val="-5"/>
              </w:rPr>
              <w:t>1,0</w:t>
            </w:r>
            <w:r>
              <w:rPr>
                <w:spacing w:val="-5"/>
              </w:rPr>
              <w:t> %</w:t>
            </w:r>
            <w:r w:rsidRPr="00D863C6">
              <w:rPr>
                <w:spacing w:val="-5"/>
              </w:rPr>
              <w:t>), patrně vinou zvýšené úmrtnosti. P</w:t>
            </w:r>
            <w:r w:rsidRPr="00D863C6">
              <w:rPr>
                <w:rFonts w:cs="Arial"/>
                <w:color w:val="0D0D0D" w:themeColor="text1" w:themeTint="F2"/>
                <w:spacing w:val="-5"/>
              </w:rPr>
              <w:t>říjmy důchodového pojištění se navýšily jen o</w:t>
            </w:r>
            <w:r>
              <w:rPr>
                <w:rFonts w:cs="Arial"/>
                <w:color w:val="0D0D0D" w:themeColor="text1" w:themeTint="F2"/>
                <w:spacing w:val="-5"/>
              </w:rPr>
              <w:t> </w:t>
            </w:r>
            <w:r w:rsidRPr="00D863C6">
              <w:rPr>
                <w:rFonts w:cs="Arial"/>
                <w:color w:val="0D0D0D" w:themeColor="text1" w:themeTint="F2"/>
                <w:spacing w:val="-5"/>
              </w:rPr>
              <w:t>1,9</w:t>
            </w:r>
            <w:r>
              <w:rPr>
                <w:rFonts w:cs="Arial"/>
                <w:color w:val="0D0D0D" w:themeColor="text1" w:themeTint="F2"/>
                <w:spacing w:val="-5"/>
              </w:rPr>
              <w:t> %,</w:t>
            </w:r>
            <w:r w:rsidRPr="00D863C6">
              <w:rPr>
                <w:rFonts w:cs="Arial"/>
                <w:color w:val="0D0D0D" w:themeColor="text1" w:themeTint="F2"/>
                <w:spacing w:val="-5"/>
              </w:rPr>
              <w:t xml:space="preserve"> nejméně od konce recese v roce 2013</w:t>
            </w:r>
            <w:r w:rsidRPr="00D863C6">
              <w:rPr>
                <w:rStyle w:val="Znakapoznpodarou"/>
                <w:color w:val="0D0D0D" w:themeColor="text1" w:themeTint="F2"/>
                <w:spacing w:val="-5"/>
              </w:rPr>
              <w:footnoteReference w:id="72"/>
            </w:r>
            <w:r w:rsidRPr="00D863C6">
              <w:rPr>
                <w:rFonts w:cs="Arial"/>
                <w:color w:val="0D0D0D" w:themeColor="text1" w:themeTint="F2"/>
                <w:spacing w:val="-5"/>
              </w:rPr>
              <w:t>. Saldo důchodového účtu</w:t>
            </w:r>
            <w:r w:rsidRPr="00D863C6">
              <w:rPr>
                <w:rStyle w:val="Znakapoznpodarou"/>
                <w:color w:val="0D0D0D" w:themeColor="text1" w:themeTint="F2"/>
                <w:spacing w:val="-5"/>
              </w:rPr>
              <w:footnoteReference w:id="73"/>
            </w:r>
            <w:r w:rsidRPr="00D863C6">
              <w:rPr>
                <w:rFonts w:cs="Arial"/>
                <w:color w:val="0D0D0D" w:themeColor="text1" w:themeTint="F2"/>
                <w:spacing w:val="-5"/>
              </w:rPr>
              <w:t xml:space="preserve"> se ve srovnání s počátkem loňského roku prohloubilo o</w:t>
            </w:r>
            <w:r>
              <w:rPr>
                <w:rFonts w:cs="Arial"/>
                <w:color w:val="0D0D0D" w:themeColor="text1" w:themeTint="F2"/>
                <w:spacing w:val="-5"/>
              </w:rPr>
              <w:t> </w:t>
            </w:r>
            <w:r w:rsidRPr="00D863C6">
              <w:rPr>
                <w:rFonts w:cs="Arial"/>
                <w:color w:val="0D0D0D" w:themeColor="text1" w:themeTint="F2"/>
                <w:spacing w:val="-5"/>
              </w:rPr>
              <w:t>6</w:t>
            </w:r>
            <w:r>
              <w:rPr>
                <w:rFonts w:cs="Arial"/>
                <w:color w:val="0D0D0D" w:themeColor="text1" w:themeTint="F2"/>
                <w:spacing w:val="-5"/>
              </w:rPr>
              <w:t> mld.</w:t>
            </w:r>
            <w:r w:rsidRPr="00D863C6">
              <w:rPr>
                <w:rFonts w:cs="Arial"/>
                <w:color w:val="0D0D0D" w:themeColor="text1" w:themeTint="F2"/>
                <w:spacing w:val="-5"/>
              </w:rPr>
              <w:t xml:space="preserve"> korun (</w:t>
            </w:r>
            <w:proofErr w:type="gramStart"/>
            <w:r w:rsidRPr="00D863C6">
              <w:rPr>
                <w:rFonts w:cs="Arial"/>
                <w:color w:val="0D0D0D" w:themeColor="text1" w:themeTint="F2"/>
                <w:spacing w:val="-5"/>
              </w:rPr>
              <w:t xml:space="preserve">na </w:t>
            </w:r>
            <w:r w:rsidRPr="00D863C6">
              <w:rPr>
                <w:spacing w:val="-5"/>
              </w:rPr>
              <w:t>–</w:t>
            </w:r>
            <w:r w:rsidRPr="00D863C6">
              <w:rPr>
                <w:rFonts w:cs="Arial"/>
                <w:color w:val="0D0D0D" w:themeColor="text1" w:themeTint="F2"/>
                <w:spacing w:val="-5"/>
              </w:rPr>
              <w:t>9</w:t>
            </w:r>
            <w:r>
              <w:rPr>
                <w:rFonts w:cs="Arial"/>
                <w:color w:val="0D0D0D" w:themeColor="text1" w:themeTint="F2"/>
                <w:spacing w:val="-5"/>
              </w:rPr>
              <w:t> mld.</w:t>
            </w:r>
            <w:proofErr w:type="gramEnd"/>
            <w:r w:rsidRPr="00D863C6">
              <w:rPr>
                <w:rFonts w:cs="Arial"/>
                <w:color w:val="0D0D0D" w:themeColor="text1" w:themeTint="F2"/>
                <w:spacing w:val="-5"/>
              </w:rPr>
              <w:t xml:space="preserve"> korun)</w:t>
            </w:r>
            <w:r>
              <w:rPr>
                <w:rFonts w:cs="Arial"/>
                <w:color w:val="0D0D0D" w:themeColor="text1" w:themeTint="F2"/>
                <w:spacing w:val="-5"/>
              </w:rPr>
              <w:t>,</w:t>
            </w:r>
            <w:r w:rsidRPr="00D863C6">
              <w:rPr>
                <w:rFonts w:cs="Arial"/>
                <w:color w:val="0D0D0D" w:themeColor="text1" w:themeTint="F2"/>
                <w:spacing w:val="-5"/>
              </w:rPr>
              <w:t xml:space="preserve"> a</w:t>
            </w:r>
            <w:r>
              <w:rPr>
                <w:rFonts w:cs="Arial"/>
                <w:color w:val="0D0D0D" w:themeColor="text1" w:themeTint="F2"/>
                <w:spacing w:val="-5"/>
              </w:rPr>
              <w:t xml:space="preserve"> bylo </w:t>
            </w:r>
            <w:r w:rsidRPr="00D863C6">
              <w:rPr>
                <w:rFonts w:cs="Arial"/>
                <w:color w:val="0D0D0D" w:themeColor="text1" w:themeTint="F2"/>
                <w:spacing w:val="-5"/>
              </w:rPr>
              <w:t>nejhorší za posledních devět let.</w:t>
            </w:r>
          </w:p>
        </w:tc>
      </w:tr>
      <w:tr w:rsidR="00AB3BA7" w:rsidRPr="008266F0" w14:paraId="4CDA9249" w14:textId="77777777" w:rsidTr="00D67D55">
        <w:trPr>
          <w:trHeight w:val="145"/>
        </w:trPr>
        <w:tc>
          <w:tcPr>
            <w:tcW w:w="1732" w:type="dxa"/>
            <w:shd w:val="clear" w:color="auto" w:fill="auto"/>
            <w:tcMar>
              <w:left w:w="0" w:type="dxa"/>
            </w:tcMar>
          </w:tcPr>
          <w:p w14:paraId="2F66577B" w14:textId="77777777" w:rsidR="00AB3BA7" w:rsidRDefault="00AB3BA7" w:rsidP="00D67D55">
            <w:pPr>
              <w:pStyle w:val="Marginlie"/>
            </w:pPr>
            <w:r>
              <w:t>Výše investic ze SR meziročně stagnovala. Náběh investiční aktivity byl s ohledem na ambiciózní rozpočtový cíl velmi pozvolný.</w:t>
            </w:r>
          </w:p>
        </w:tc>
        <w:tc>
          <w:tcPr>
            <w:tcW w:w="217" w:type="dxa"/>
            <w:shd w:val="clear" w:color="auto" w:fill="auto"/>
            <w:tcMar>
              <w:left w:w="0" w:type="dxa"/>
            </w:tcMar>
          </w:tcPr>
          <w:p w14:paraId="0436E2B4" w14:textId="77777777" w:rsidR="00AB3BA7" w:rsidRDefault="00AB3BA7" w:rsidP="00D67D55">
            <w:pPr>
              <w:pStyle w:val="Textpoznpodarou"/>
              <w:jc w:val="both"/>
              <w:rPr>
                <w:spacing w:val="-4"/>
              </w:rPr>
            </w:pPr>
          </w:p>
        </w:tc>
        <w:tc>
          <w:tcPr>
            <w:tcW w:w="7720" w:type="dxa"/>
            <w:shd w:val="clear" w:color="auto" w:fill="auto"/>
            <w:tcMar>
              <w:left w:w="0" w:type="dxa"/>
            </w:tcMar>
          </w:tcPr>
          <w:p w14:paraId="48A3BEC6" w14:textId="77777777" w:rsidR="00AB3BA7" w:rsidRPr="00456B08" w:rsidRDefault="00AB3BA7" w:rsidP="00D67D55">
            <w:pPr>
              <w:rPr>
                <w:spacing w:val="-5"/>
              </w:rPr>
            </w:pPr>
            <w:r w:rsidRPr="00B93556">
              <w:rPr>
                <w:color w:val="0D0D0D" w:themeColor="text1" w:themeTint="F2"/>
                <w:spacing w:val="-5"/>
              </w:rPr>
              <w:t>Kapitálové výdaje SR</w:t>
            </w:r>
            <w:r>
              <w:rPr>
                <w:color w:val="0D0D0D" w:themeColor="text1" w:themeTint="F2"/>
                <w:spacing w:val="-5"/>
              </w:rPr>
              <w:t xml:space="preserve"> dosáhly v 1. čtvrtletí 23,3 mld. korun, z toho 14,2 mld. bylo určeno na spolufinancování společných programů ČR a EU (hlavně v rámci Integrovaného regionálního operačního programu a OP Doprava). V obou případech jde o podobné hodnoty jako ve stejném období loňského roku. Za první čtvrtinu roku byla investována jen osmina celoroční rozpočtem plánované částky. Náběh investic na počátku roku bývá tradičně pozvolný, letošní procento plnění je ale jedno z nejnižších za poslední roky</w:t>
            </w:r>
            <w:r>
              <w:rPr>
                <w:rStyle w:val="Znakapoznpodarou"/>
                <w:color w:val="0D0D0D" w:themeColor="text1" w:themeTint="F2"/>
                <w:spacing w:val="-5"/>
              </w:rPr>
              <w:footnoteReference w:id="74"/>
            </w:r>
            <w:r>
              <w:rPr>
                <w:color w:val="0D0D0D" w:themeColor="text1" w:themeTint="F2"/>
                <w:spacing w:val="-5"/>
              </w:rPr>
              <w:t>. Je to však dáno i rekordní výší plánovaných investic (za celý rok 188 mld. korun, což odpovídá desetině všech výdajů SR).</w:t>
            </w:r>
          </w:p>
        </w:tc>
      </w:tr>
      <w:tr w:rsidR="00AB3BA7" w:rsidRPr="00F704D2" w14:paraId="60C5DEA1" w14:textId="77777777" w:rsidTr="00D67D55">
        <w:trPr>
          <w:trHeight w:val="170"/>
        </w:trPr>
        <w:tc>
          <w:tcPr>
            <w:tcW w:w="1732" w:type="dxa"/>
            <w:vMerge w:val="restart"/>
            <w:shd w:val="clear" w:color="auto" w:fill="auto"/>
            <w:tcMar>
              <w:left w:w="0" w:type="dxa"/>
            </w:tcMar>
          </w:tcPr>
          <w:p w14:paraId="782AEAFC" w14:textId="77777777" w:rsidR="00AB3BA7" w:rsidRDefault="00AB3BA7" w:rsidP="00D67D55">
            <w:pPr>
              <w:pStyle w:val="Marginlie"/>
            </w:pPr>
          </w:p>
        </w:tc>
        <w:tc>
          <w:tcPr>
            <w:tcW w:w="217" w:type="dxa"/>
            <w:vMerge w:val="restart"/>
            <w:shd w:val="clear" w:color="auto" w:fill="auto"/>
            <w:tcMar>
              <w:left w:w="0" w:type="dxa"/>
            </w:tcMar>
          </w:tcPr>
          <w:p w14:paraId="2185B80A" w14:textId="77777777" w:rsidR="00AB3BA7" w:rsidRDefault="00AB3BA7" w:rsidP="00D67D55">
            <w:pPr>
              <w:pStyle w:val="Textpoznpodarou"/>
              <w:jc w:val="both"/>
              <w:rPr>
                <w:spacing w:val="-4"/>
              </w:rPr>
            </w:pPr>
          </w:p>
        </w:tc>
        <w:tc>
          <w:tcPr>
            <w:tcW w:w="7720" w:type="dxa"/>
            <w:shd w:val="clear" w:color="auto" w:fill="auto"/>
            <w:tcMar>
              <w:left w:w="0" w:type="dxa"/>
            </w:tcMar>
          </w:tcPr>
          <w:p w14:paraId="21F22017" w14:textId="77777777" w:rsidR="00AB3BA7" w:rsidRPr="00D232BB" w:rsidRDefault="00AB3BA7" w:rsidP="00D67D55">
            <w:pPr>
              <w:spacing w:after="20" w:line="240" w:lineRule="auto"/>
              <w:jc w:val="left"/>
              <w:rPr>
                <w:rFonts w:cs="Arial"/>
                <w:bCs/>
              </w:rPr>
            </w:pPr>
            <w:r w:rsidRPr="00D232BB">
              <w:rPr>
                <w:b/>
              </w:rPr>
              <w:t xml:space="preserve">Graf č. 17  </w:t>
            </w:r>
            <w:r>
              <w:rPr>
                <w:rFonts w:cs="Arial"/>
                <w:b/>
                <w:bCs/>
              </w:rPr>
              <w:t>Vybrané výdaje státního rozpočtu v rámci 1. čtvrtletí</w:t>
            </w:r>
          </w:p>
        </w:tc>
      </w:tr>
      <w:tr w:rsidR="00AB3BA7" w14:paraId="6379FBBA" w14:textId="77777777" w:rsidTr="00D67D55">
        <w:tblPrEx>
          <w:tblCellMar>
            <w:left w:w="70" w:type="dxa"/>
            <w:right w:w="70" w:type="dxa"/>
          </w:tblCellMar>
        </w:tblPrEx>
        <w:trPr>
          <w:trHeight w:val="170"/>
        </w:trPr>
        <w:tc>
          <w:tcPr>
            <w:tcW w:w="1732" w:type="dxa"/>
            <w:vMerge/>
            <w:shd w:val="clear" w:color="auto" w:fill="auto"/>
          </w:tcPr>
          <w:p w14:paraId="21FAC33F" w14:textId="77777777" w:rsidR="00AB3BA7" w:rsidRDefault="00AB3BA7" w:rsidP="00D67D55">
            <w:pPr>
              <w:pStyle w:val="Marginlie"/>
            </w:pPr>
          </w:p>
        </w:tc>
        <w:tc>
          <w:tcPr>
            <w:tcW w:w="217" w:type="dxa"/>
            <w:vMerge/>
            <w:shd w:val="clear" w:color="auto" w:fill="auto"/>
          </w:tcPr>
          <w:p w14:paraId="2C210BEC" w14:textId="77777777" w:rsidR="00AB3BA7" w:rsidRDefault="00AB3BA7" w:rsidP="00D67D55">
            <w:pPr>
              <w:pStyle w:val="Textpoznpodarou"/>
              <w:jc w:val="both"/>
              <w:rPr>
                <w:spacing w:val="-4"/>
              </w:rPr>
            </w:pPr>
          </w:p>
        </w:tc>
        <w:tc>
          <w:tcPr>
            <w:tcW w:w="7720" w:type="dxa"/>
            <w:shd w:val="clear" w:color="auto" w:fill="auto"/>
          </w:tcPr>
          <w:p w14:paraId="0AD333E1" w14:textId="77777777" w:rsidR="00AB3BA7" w:rsidRPr="0067514E" w:rsidRDefault="00AB3BA7" w:rsidP="00D67D55">
            <w:pPr>
              <w:spacing w:after="0"/>
              <w:rPr>
                <w:spacing w:val="-6"/>
              </w:rPr>
            </w:pPr>
            <w:r>
              <w:rPr>
                <w:noProof/>
              </w:rPr>
              <w:drawing>
                <wp:inline distT="0" distB="0" distL="0" distR="0" wp14:anchorId="685F2530" wp14:editId="2522A304">
                  <wp:extent cx="4792149" cy="3486546"/>
                  <wp:effectExtent l="0" t="0" r="8890" b="0"/>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AB3BA7" w:rsidRPr="00343AC1" w14:paraId="5CF058B5" w14:textId="77777777" w:rsidTr="00D67D55">
        <w:trPr>
          <w:trHeight w:val="170"/>
        </w:trPr>
        <w:tc>
          <w:tcPr>
            <w:tcW w:w="1732" w:type="dxa"/>
            <w:vMerge/>
            <w:shd w:val="clear" w:color="auto" w:fill="auto"/>
            <w:tcMar>
              <w:left w:w="0" w:type="dxa"/>
            </w:tcMar>
          </w:tcPr>
          <w:p w14:paraId="59BB093A" w14:textId="77777777" w:rsidR="00AB3BA7" w:rsidRDefault="00AB3BA7" w:rsidP="00D67D55">
            <w:pPr>
              <w:pStyle w:val="Marginlie"/>
            </w:pPr>
          </w:p>
        </w:tc>
        <w:tc>
          <w:tcPr>
            <w:tcW w:w="217" w:type="dxa"/>
            <w:vMerge/>
            <w:shd w:val="clear" w:color="auto" w:fill="auto"/>
            <w:tcMar>
              <w:left w:w="0" w:type="dxa"/>
            </w:tcMar>
          </w:tcPr>
          <w:p w14:paraId="775DDD2B" w14:textId="77777777" w:rsidR="00AB3BA7" w:rsidRDefault="00AB3BA7" w:rsidP="00D67D55">
            <w:pPr>
              <w:pStyle w:val="Textpoznpodarou"/>
              <w:jc w:val="both"/>
              <w:rPr>
                <w:spacing w:val="-4"/>
              </w:rPr>
            </w:pPr>
          </w:p>
        </w:tc>
        <w:tc>
          <w:tcPr>
            <w:tcW w:w="7720" w:type="dxa"/>
            <w:shd w:val="clear" w:color="auto" w:fill="auto"/>
            <w:tcMar>
              <w:left w:w="0" w:type="dxa"/>
            </w:tcMar>
          </w:tcPr>
          <w:p w14:paraId="66FAB86C" w14:textId="77777777" w:rsidR="00AB3BA7" w:rsidRPr="008F2BE2" w:rsidRDefault="00AB3BA7" w:rsidP="00D67D55">
            <w:pPr>
              <w:pStyle w:val="Textpoznpodarou"/>
              <w:rPr>
                <w:spacing w:val="-4"/>
                <w:sz w:val="14"/>
                <w:szCs w:val="14"/>
              </w:rPr>
            </w:pPr>
            <w:r w:rsidRPr="008F2BE2">
              <w:rPr>
                <w:spacing w:val="-4"/>
                <w:sz w:val="14"/>
                <w:szCs w:val="14"/>
              </w:rPr>
              <w:t>*Pokrývají výdaje na platy v organizačních složkách státu. Nezahrnují například mzdové výdaje na regionální školství.</w:t>
            </w:r>
          </w:p>
          <w:p w14:paraId="3B82068A" w14:textId="77777777" w:rsidR="00AB3BA7" w:rsidRPr="008F2BE2" w:rsidRDefault="00AB3BA7" w:rsidP="00D67D55">
            <w:pPr>
              <w:pStyle w:val="Textpoznpodarou"/>
              <w:rPr>
                <w:spacing w:val="-4"/>
                <w:sz w:val="14"/>
                <w:szCs w:val="14"/>
              </w:rPr>
            </w:pPr>
            <w:r w:rsidRPr="008F2BE2">
              <w:rPr>
                <w:spacing w:val="-4"/>
                <w:sz w:val="14"/>
                <w:szCs w:val="14"/>
              </w:rPr>
              <w:t>**Zahrnuje i dávky pěstounské péče.</w:t>
            </w:r>
          </w:p>
          <w:p w14:paraId="0641A6EA" w14:textId="77777777" w:rsidR="00AB3BA7" w:rsidRPr="008F2BE2" w:rsidRDefault="00AB3BA7" w:rsidP="00D67D55">
            <w:pPr>
              <w:pStyle w:val="Textpoznpodarou"/>
              <w:rPr>
                <w:spacing w:val="-4"/>
                <w:sz w:val="14"/>
                <w:szCs w:val="14"/>
              </w:rPr>
            </w:pPr>
            <w:r w:rsidRPr="008F2BE2">
              <w:rPr>
                <w:spacing w:val="-4"/>
                <w:sz w:val="14"/>
                <w:szCs w:val="14"/>
              </w:rPr>
              <w:t>***Zahrnují dávky pomoci v hmotné nouzi, dávky osobám se zdravotním postižením, příspěvek na péči dle zákona o soc. službách.</w:t>
            </w:r>
          </w:p>
          <w:p w14:paraId="1FAD1D20" w14:textId="77777777" w:rsidR="00AB3BA7" w:rsidRPr="008F2BE2" w:rsidRDefault="00AB3BA7" w:rsidP="00D67D55">
            <w:pPr>
              <w:pStyle w:val="Textpoznpodarou"/>
              <w:rPr>
                <w:spacing w:val="-4"/>
                <w:sz w:val="14"/>
                <w:szCs w:val="14"/>
              </w:rPr>
            </w:pPr>
            <w:r w:rsidRPr="008F2BE2">
              <w:rPr>
                <w:spacing w:val="-4"/>
                <w:sz w:val="14"/>
                <w:szCs w:val="14"/>
              </w:rPr>
              <w:t>****Obsahují zejména výdaje na nákup služeb, materiálu, energií či ostatních služeb (například výdaje na opravy a udržování).</w:t>
            </w:r>
          </w:p>
          <w:p w14:paraId="4F431E5B" w14:textId="77777777" w:rsidR="00AB3BA7" w:rsidRPr="008F2BE2" w:rsidRDefault="00AB3BA7" w:rsidP="00D67D55">
            <w:pPr>
              <w:pStyle w:val="Textpoznpodarou"/>
              <w:spacing w:after="200"/>
              <w:rPr>
                <w:spacing w:val="-4"/>
                <w:sz w:val="14"/>
                <w:szCs w:val="14"/>
              </w:rPr>
            </w:pPr>
            <w:r w:rsidRPr="000F45E7">
              <w:rPr>
                <w:spacing w:val="-4"/>
                <w:sz w:val="14"/>
                <w:szCs w:val="14"/>
              </w:rPr>
              <w:t>Zdroj: MF ČR, MPSV</w:t>
            </w:r>
          </w:p>
        </w:tc>
      </w:tr>
      <w:tr w:rsidR="00AB3BA7" w:rsidRPr="00343AC1" w14:paraId="1888E0BC" w14:textId="77777777" w:rsidTr="00D67D55">
        <w:trPr>
          <w:trHeight w:val="170"/>
        </w:trPr>
        <w:tc>
          <w:tcPr>
            <w:tcW w:w="1732" w:type="dxa"/>
            <w:shd w:val="clear" w:color="auto" w:fill="auto"/>
            <w:tcMar>
              <w:left w:w="0" w:type="dxa"/>
            </w:tcMar>
          </w:tcPr>
          <w:p w14:paraId="0B87F4D2" w14:textId="77777777" w:rsidR="00AB3BA7" w:rsidRDefault="00AB3BA7" w:rsidP="00D67D55">
            <w:pPr>
              <w:pStyle w:val="Marginlie"/>
            </w:pPr>
            <w:r>
              <w:t>Pod vlivem hlubokých krizových schodků SR pokračovala akcelerace výše státního dluhu. Za 1. čtvrtletí narostl jen o desetinu méně než za celý rok 2020.</w:t>
            </w:r>
          </w:p>
          <w:p w14:paraId="79C7C054" w14:textId="77777777" w:rsidR="00AB3BA7" w:rsidRDefault="00AB3BA7" w:rsidP="00D67D55">
            <w:pPr>
              <w:pStyle w:val="Marginlie"/>
            </w:pPr>
          </w:p>
        </w:tc>
        <w:tc>
          <w:tcPr>
            <w:tcW w:w="217" w:type="dxa"/>
            <w:shd w:val="clear" w:color="auto" w:fill="auto"/>
            <w:tcMar>
              <w:left w:w="0" w:type="dxa"/>
            </w:tcMar>
          </w:tcPr>
          <w:p w14:paraId="7F2A3E83" w14:textId="77777777" w:rsidR="00AB3BA7" w:rsidRDefault="00AB3BA7" w:rsidP="00D67D55">
            <w:pPr>
              <w:pStyle w:val="Textpoznpodarou"/>
              <w:jc w:val="both"/>
              <w:rPr>
                <w:spacing w:val="-4"/>
              </w:rPr>
            </w:pPr>
          </w:p>
        </w:tc>
        <w:tc>
          <w:tcPr>
            <w:tcW w:w="7720" w:type="dxa"/>
            <w:shd w:val="clear" w:color="auto" w:fill="auto"/>
            <w:tcMar>
              <w:left w:w="0" w:type="dxa"/>
            </w:tcMar>
          </w:tcPr>
          <w:p w14:paraId="12AD2C4A" w14:textId="77777777" w:rsidR="00AB3BA7" w:rsidRPr="000D151F" w:rsidRDefault="00AB3BA7" w:rsidP="00D67D55">
            <w:pPr>
              <w:rPr>
                <w:spacing w:val="-4"/>
              </w:rPr>
            </w:pPr>
            <w:r w:rsidRPr="00794328">
              <w:rPr>
                <w:color w:val="0D0D0D" w:themeColor="text1" w:themeTint="F2"/>
                <w:spacing w:val="-4"/>
              </w:rPr>
              <w:t>Silně rostoucí potřeba financování související s nutností pokrytí krizového schodku SR vyústila v akceleraci výše státního dluhu.</w:t>
            </w:r>
            <w:r w:rsidRPr="000D151F">
              <w:rPr>
                <w:spacing w:val="-4"/>
              </w:rPr>
              <w:t xml:space="preserve"> </w:t>
            </w:r>
            <w:r>
              <w:rPr>
                <w:spacing w:val="-4"/>
              </w:rPr>
              <w:t>Ten činil na konci března 2 420 mld. korun a jen za první letošní čtvrtletí narostl o 370 mld. korun – tedy zhruba jen o desetinu méně než za celý loňský rok. Meziročně posílil o 647 mld., resp. 36,5 %. Vyšší relativní tempo zadlužování zažily státní finance naposledy v období 2001 až 2002. Klíčovými dluhovými nástroji byly</w:t>
            </w:r>
            <w:r w:rsidRPr="000D151F">
              <w:rPr>
                <w:spacing w:val="-4"/>
              </w:rPr>
              <w:t xml:space="preserve"> tradičně emise středně</w:t>
            </w:r>
            <w:r>
              <w:rPr>
                <w:spacing w:val="-4"/>
              </w:rPr>
              <w:t>-</w:t>
            </w:r>
            <w:r w:rsidRPr="000D151F">
              <w:rPr>
                <w:spacing w:val="-4"/>
              </w:rPr>
              <w:t xml:space="preserve"> a</w:t>
            </w:r>
            <w:r>
              <w:rPr>
                <w:spacing w:val="-4"/>
              </w:rPr>
              <w:t> </w:t>
            </w:r>
            <w:r w:rsidRPr="000D151F">
              <w:rPr>
                <w:spacing w:val="-4"/>
              </w:rPr>
              <w:t>dlouhodobých státních</w:t>
            </w:r>
            <w:r>
              <w:rPr>
                <w:spacing w:val="-4"/>
              </w:rPr>
              <w:t xml:space="preserve"> dluhopisů umístěné na domácím trhu. V 1. čtvrtletí stát prodal dluhopisy za 231,7 mld. korun</w:t>
            </w:r>
            <w:r>
              <w:rPr>
                <w:rStyle w:val="Znakapoznpodarou"/>
                <w:spacing w:val="-4"/>
              </w:rPr>
              <w:footnoteReference w:id="75"/>
            </w:r>
            <w:r>
              <w:rPr>
                <w:spacing w:val="-4"/>
              </w:rPr>
              <w:t>, které stačily s rezervou pokrýt veškeré letošní plánované splátky státního dluhu. Na rozdíl od předchozích let byly pro posílení likvidity státní pokladny intenzivněji využity krátkodobé zápůjčky a směnky (174,8 mld. korun). Nově byly přijaty i úvěry od Evropské komise (52,3 mld. korun)</w:t>
            </w:r>
            <w:r>
              <w:rPr>
                <w:rStyle w:val="Znakapoznpodarou"/>
                <w:spacing w:val="-4"/>
              </w:rPr>
              <w:footnoteReference w:id="76"/>
            </w:r>
            <w:r>
              <w:rPr>
                <w:spacing w:val="-4"/>
              </w:rPr>
              <w:t>, což vedlo k tomu, že korunová hodnota vnějšího dluhu poprvé od počátku roku 2014 meziročně vzrostla (+2,3 %). Vnější dluh ale stále tvořil méně než desetinu celkového státního dluhu.</w:t>
            </w:r>
          </w:p>
        </w:tc>
      </w:tr>
      <w:tr w:rsidR="00AB3BA7" w:rsidRPr="00343AC1" w14:paraId="40CB273F" w14:textId="77777777" w:rsidTr="00D67D55">
        <w:trPr>
          <w:trHeight w:val="1520"/>
        </w:trPr>
        <w:tc>
          <w:tcPr>
            <w:tcW w:w="1732" w:type="dxa"/>
            <w:shd w:val="clear" w:color="auto" w:fill="auto"/>
            <w:tcMar>
              <w:left w:w="0" w:type="dxa"/>
            </w:tcMar>
          </w:tcPr>
          <w:p w14:paraId="56225B92" w14:textId="77777777" w:rsidR="00AB3BA7" w:rsidRDefault="00AB3BA7" w:rsidP="00D67D55">
            <w:pPr>
              <w:pStyle w:val="Marginlie"/>
            </w:pPr>
            <w:r>
              <w:t>Míra deficitu hospodaření sektoru vládních institucí dosáhla loni nejhoršího výsledku od roku 2003. Míra zadlužení rekordně narostla a stanovila pětileté maximum.</w:t>
            </w:r>
          </w:p>
          <w:p w14:paraId="7F1FD09E" w14:textId="77777777" w:rsidR="00AB3BA7" w:rsidRDefault="00AB3BA7" w:rsidP="00D67D55">
            <w:pPr>
              <w:pStyle w:val="Marginlie"/>
            </w:pPr>
          </w:p>
        </w:tc>
        <w:tc>
          <w:tcPr>
            <w:tcW w:w="217" w:type="dxa"/>
            <w:shd w:val="clear" w:color="auto" w:fill="auto"/>
            <w:tcMar>
              <w:left w:w="0" w:type="dxa"/>
            </w:tcMar>
          </w:tcPr>
          <w:p w14:paraId="029342C6" w14:textId="77777777" w:rsidR="00AB3BA7" w:rsidRDefault="00AB3BA7" w:rsidP="00D67D55">
            <w:pPr>
              <w:pStyle w:val="Textpoznpodarou"/>
              <w:jc w:val="both"/>
              <w:rPr>
                <w:spacing w:val="-4"/>
              </w:rPr>
            </w:pPr>
          </w:p>
        </w:tc>
        <w:tc>
          <w:tcPr>
            <w:tcW w:w="7720" w:type="dxa"/>
            <w:shd w:val="clear" w:color="auto" w:fill="auto"/>
            <w:tcMar>
              <w:left w:w="0" w:type="dxa"/>
            </w:tcMar>
          </w:tcPr>
          <w:p w14:paraId="667565B1" w14:textId="77777777" w:rsidR="00AB3BA7" w:rsidRPr="000D151F" w:rsidRDefault="00AB3BA7" w:rsidP="00612B07">
            <w:pPr>
              <w:spacing w:after="0"/>
              <w:rPr>
                <w:spacing w:val="-4"/>
              </w:rPr>
            </w:pPr>
            <w:r w:rsidRPr="000F45E7">
              <w:rPr>
                <w:rFonts w:cs="Arial"/>
                <w:color w:val="0D0D0D" w:themeColor="text1" w:themeTint="F2"/>
                <w:spacing w:val="-6"/>
              </w:rPr>
              <w:t>Sektor vládních institucí (VI) v ČR hospodařil</w:t>
            </w:r>
            <w:r>
              <w:rPr>
                <w:rFonts w:cs="Arial"/>
                <w:color w:val="0D0D0D" w:themeColor="text1" w:themeTint="F2"/>
                <w:spacing w:val="-6"/>
              </w:rPr>
              <w:t xml:space="preserve"> v roce </w:t>
            </w:r>
            <w:r w:rsidRPr="000F45E7">
              <w:rPr>
                <w:rFonts w:cs="Arial"/>
                <w:color w:val="0D0D0D" w:themeColor="text1" w:themeTint="F2"/>
                <w:spacing w:val="-6"/>
              </w:rPr>
              <w:t>2020</w:t>
            </w:r>
            <w:r>
              <w:rPr>
                <w:rStyle w:val="Znakapoznpodarou"/>
                <w:color w:val="0D0D0D" w:themeColor="text1" w:themeTint="F2"/>
                <w:spacing w:val="-6"/>
              </w:rPr>
              <w:footnoteReference w:id="77"/>
            </w:r>
            <w:r w:rsidRPr="000F45E7">
              <w:rPr>
                <w:rFonts w:cs="Arial"/>
                <w:color w:val="0D0D0D" w:themeColor="text1" w:themeTint="F2"/>
                <w:spacing w:val="-6"/>
              </w:rPr>
              <w:t xml:space="preserve"> se schodkem</w:t>
            </w:r>
            <w:r>
              <w:rPr>
                <w:rFonts w:cs="Arial"/>
                <w:color w:val="0D0D0D" w:themeColor="text1" w:themeTint="F2"/>
                <w:spacing w:val="-6"/>
              </w:rPr>
              <w:t xml:space="preserve"> 348 mld. korun. To v relaci k nominálnímu HDP </w:t>
            </w:r>
            <w:proofErr w:type="gramStart"/>
            <w:r>
              <w:rPr>
                <w:rFonts w:cs="Arial"/>
                <w:color w:val="0D0D0D" w:themeColor="text1" w:themeTint="F2"/>
                <w:spacing w:val="-6"/>
              </w:rPr>
              <w:t>činilo</w:t>
            </w:r>
            <w:proofErr w:type="gramEnd"/>
            <w:r>
              <w:rPr>
                <w:rFonts w:cs="Arial"/>
                <w:color w:val="0D0D0D" w:themeColor="text1" w:themeTint="F2"/>
                <w:spacing w:val="-6"/>
              </w:rPr>
              <w:t xml:space="preserve"> –</w:t>
            </w:r>
            <w:proofErr w:type="gramStart"/>
            <w:r>
              <w:rPr>
                <w:rFonts w:cs="Arial"/>
                <w:color w:val="0D0D0D" w:themeColor="text1" w:themeTint="F2"/>
                <w:spacing w:val="-6"/>
              </w:rPr>
              <w:t>6,2</w:t>
            </w:r>
            <w:proofErr w:type="gramEnd"/>
            <w:r>
              <w:rPr>
                <w:rFonts w:cs="Arial"/>
                <w:color w:val="0D0D0D" w:themeColor="text1" w:themeTint="F2"/>
                <w:spacing w:val="-6"/>
              </w:rPr>
              <w:t> %, což představovalo nejhorší výsledek od roku 2003. P</w:t>
            </w:r>
            <w:r w:rsidRPr="000F45E7">
              <w:rPr>
                <w:rFonts w:cs="Arial"/>
                <w:color w:val="0D0D0D" w:themeColor="text1" w:themeTint="F2"/>
                <w:spacing w:val="-6"/>
              </w:rPr>
              <w:t xml:space="preserve">říjmy </w:t>
            </w:r>
            <w:r>
              <w:rPr>
                <w:rFonts w:cs="Arial"/>
                <w:color w:val="0D0D0D" w:themeColor="text1" w:themeTint="F2"/>
                <w:spacing w:val="-6"/>
              </w:rPr>
              <w:t xml:space="preserve">VI </w:t>
            </w:r>
            <w:r w:rsidRPr="000F45E7">
              <w:rPr>
                <w:rFonts w:cs="Arial"/>
                <w:color w:val="0D0D0D" w:themeColor="text1" w:themeTint="F2"/>
                <w:spacing w:val="-6"/>
              </w:rPr>
              <w:t>mezir</w:t>
            </w:r>
            <w:r>
              <w:rPr>
                <w:rFonts w:cs="Arial"/>
                <w:color w:val="0D0D0D" w:themeColor="text1" w:themeTint="F2"/>
                <w:spacing w:val="-6"/>
              </w:rPr>
              <w:t>očně klesly o 2,4 %</w:t>
            </w:r>
            <w:r w:rsidRPr="000F45E7">
              <w:rPr>
                <w:rFonts w:cs="Arial"/>
                <w:color w:val="0D0D0D" w:themeColor="text1" w:themeTint="F2"/>
                <w:spacing w:val="-6"/>
              </w:rPr>
              <w:t>,</w:t>
            </w:r>
            <w:r>
              <w:rPr>
                <w:rFonts w:cs="Arial"/>
                <w:color w:val="0D0D0D" w:themeColor="text1" w:themeTint="F2"/>
                <w:spacing w:val="-6"/>
              </w:rPr>
              <w:t xml:space="preserve"> růst výdajů akceleroval na 12,9 %</w:t>
            </w:r>
            <w:r w:rsidRPr="000F45E7">
              <w:rPr>
                <w:rFonts w:cs="Arial"/>
                <w:color w:val="0D0D0D" w:themeColor="text1" w:themeTint="F2"/>
                <w:spacing w:val="-6"/>
              </w:rPr>
              <w:t xml:space="preserve"> (v</w:t>
            </w:r>
            <w:r>
              <w:rPr>
                <w:rFonts w:cs="Arial"/>
                <w:color w:val="0D0D0D" w:themeColor="text1" w:themeTint="F2"/>
                <w:spacing w:val="-6"/>
              </w:rPr>
              <w:t> </w:t>
            </w:r>
            <w:r w:rsidRPr="000F45E7">
              <w:rPr>
                <w:rFonts w:cs="Arial"/>
                <w:color w:val="0D0D0D" w:themeColor="text1" w:themeTint="F2"/>
                <w:spacing w:val="-6"/>
              </w:rPr>
              <w:t>obou případech šlo o</w:t>
            </w:r>
            <w:r>
              <w:rPr>
                <w:rFonts w:cs="Arial"/>
                <w:color w:val="0D0D0D" w:themeColor="text1" w:themeTint="F2"/>
                <w:spacing w:val="-6"/>
              </w:rPr>
              <w:t> </w:t>
            </w:r>
            <w:r w:rsidRPr="000F45E7">
              <w:rPr>
                <w:rFonts w:cs="Arial"/>
                <w:color w:val="0D0D0D" w:themeColor="text1" w:themeTint="F2"/>
                <w:spacing w:val="-6"/>
              </w:rPr>
              <w:t xml:space="preserve">rekordní tempa </w:t>
            </w:r>
            <w:r>
              <w:rPr>
                <w:rFonts w:cs="Arial"/>
                <w:color w:val="0D0D0D" w:themeColor="text1" w:themeTint="F2"/>
                <w:spacing w:val="-6"/>
              </w:rPr>
              <w:t xml:space="preserve">za poslední dekádu). Saldo hospodaření se </w:t>
            </w:r>
            <w:r w:rsidRPr="000F45E7">
              <w:rPr>
                <w:rFonts w:cs="Arial"/>
                <w:color w:val="0D0D0D" w:themeColor="text1" w:themeTint="F2"/>
                <w:spacing w:val="-6"/>
              </w:rPr>
              <w:t>zhoršilo ve všec</w:t>
            </w:r>
            <w:r>
              <w:rPr>
                <w:rFonts w:cs="Arial"/>
                <w:color w:val="0D0D0D" w:themeColor="text1" w:themeTint="F2"/>
                <w:spacing w:val="-6"/>
              </w:rPr>
              <w:t xml:space="preserve">h </w:t>
            </w:r>
            <w:proofErr w:type="spellStart"/>
            <w:r>
              <w:rPr>
                <w:rFonts w:cs="Arial"/>
                <w:color w:val="0D0D0D" w:themeColor="text1" w:themeTint="F2"/>
                <w:spacing w:val="-6"/>
              </w:rPr>
              <w:t>subsektorech</w:t>
            </w:r>
            <w:proofErr w:type="spellEnd"/>
            <w:r>
              <w:rPr>
                <w:rFonts w:cs="Arial"/>
                <w:color w:val="0D0D0D" w:themeColor="text1" w:themeTint="F2"/>
                <w:spacing w:val="-6"/>
              </w:rPr>
              <w:t xml:space="preserve"> VI, především </w:t>
            </w:r>
            <w:r w:rsidRPr="000F45E7">
              <w:rPr>
                <w:rFonts w:cs="Arial"/>
                <w:color w:val="0D0D0D" w:themeColor="text1" w:themeTint="F2"/>
                <w:spacing w:val="-6"/>
              </w:rPr>
              <w:t>u</w:t>
            </w:r>
            <w:r>
              <w:rPr>
                <w:rFonts w:cs="Arial"/>
                <w:color w:val="0D0D0D" w:themeColor="text1" w:themeTint="F2"/>
                <w:spacing w:val="-6"/>
              </w:rPr>
              <w:t> </w:t>
            </w:r>
            <w:r w:rsidRPr="000F45E7">
              <w:rPr>
                <w:rFonts w:cs="Arial"/>
                <w:color w:val="0D0D0D" w:themeColor="text1" w:themeTint="F2"/>
                <w:spacing w:val="-6"/>
              </w:rPr>
              <w:t xml:space="preserve">ústředních VI, jež nesly </w:t>
            </w:r>
            <w:r>
              <w:rPr>
                <w:rFonts w:cs="Arial"/>
                <w:color w:val="0D0D0D" w:themeColor="text1" w:themeTint="F2"/>
                <w:spacing w:val="-6"/>
              </w:rPr>
              <w:t>hlavní břímě</w:t>
            </w:r>
            <w:r w:rsidRPr="000F45E7">
              <w:rPr>
                <w:rFonts w:cs="Arial"/>
                <w:color w:val="0D0D0D" w:themeColor="text1" w:themeTint="F2"/>
                <w:spacing w:val="-6"/>
              </w:rPr>
              <w:t xml:space="preserve"> nákladů spojených </w:t>
            </w:r>
            <w:r>
              <w:rPr>
                <w:rFonts w:cs="Arial"/>
                <w:color w:val="0D0D0D" w:themeColor="text1" w:themeTint="F2"/>
                <w:spacing w:val="-6"/>
              </w:rPr>
              <w:t>s </w:t>
            </w:r>
            <w:proofErr w:type="spellStart"/>
            <w:r w:rsidRPr="000F45E7">
              <w:rPr>
                <w:rFonts w:cs="Arial"/>
                <w:color w:val="0D0D0D" w:themeColor="text1" w:themeTint="F2"/>
                <w:spacing w:val="-6"/>
              </w:rPr>
              <w:t>protipandemickými</w:t>
            </w:r>
            <w:proofErr w:type="spellEnd"/>
            <w:r w:rsidRPr="000F45E7">
              <w:rPr>
                <w:rFonts w:cs="Arial"/>
                <w:color w:val="0D0D0D" w:themeColor="text1" w:themeTint="F2"/>
                <w:spacing w:val="-6"/>
              </w:rPr>
              <w:t xml:space="preserve"> opatřeními.</w:t>
            </w:r>
            <w:r>
              <w:rPr>
                <w:rFonts w:cs="Arial"/>
                <w:color w:val="0D0D0D" w:themeColor="text1" w:themeTint="F2"/>
                <w:spacing w:val="-6"/>
              </w:rPr>
              <w:t xml:space="preserve"> Místní VI ale stále vykazovaly přebytek (+14,5 mld. korun)</w:t>
            </w:r>
            <w:r w:rsidRPr="000F45E7">
              <w:rPr>
                <w:rFonts w:cs="Arial"/>
                <w:color w:val="0D0D0D" w:themeColor="text1" w:themeTint="F2"/>
                <w:spacing w:val="-6"/>
              </w:rPr>
              <w:t xml:space="preserve">, </w:t>
            </w:r>
            <w:r>
              <w:rPr>
                <w:rFonts w:cs="Arial"/>
                <w:color w:val="0D0D0D" w:themeColor="text1" w:themeTint="F2"/>
                <w:spacing w:val="-6"/>
              </w:rPr>
              <w:t>a to i při pokračujícím růstu</w:t>
            </w:r>
            <w:r w:rsidRPr="000F45E7">
              <w:rPr>
                <w:rFonts w:cs="Arial"/>
                <w:color w:val="0D0D0D" w:themeColor="text1" w:themeTint="F2"/>
                <w:spacing w:val="-6"/>
              </w:rPr>
              <w:t xml:space="preserve"> investiční</w:t>
            </w:r>
            <w:r>
              <w:rPr>
                <w:rFonts w:cs="Arial"/>
                <w:color w:val="0D0D0D" w:themeColor="text1" w:themeTint="F2"/>
                <w:spacing w:val="-6"/>
              </w:rPr>
              <w:t xml:space="preserve"> aktivity (+4,2 %). Na konci roku 2020 dosáhl dluh sektoru VI 2 153 mld. korun. Míra zadlužení činila 38,1 % HDP, nejvíce za posledních pět let. Její meziroční navýšení bylo zároveň nejvyšší v historii samostatné ČR.</w:t>
            </w:r>
          </w:p>
        </w:tc>
      </w:tr>
    </w:tbl>
    <w:p w14:paraId="4CAD749A" w14:textId="77777777" w:rsidR="00AB3BA7" w:rsidRPr="000F45E7" w:rsidRDefault="00AB3BA7" w:rsidP="00AB3BA7">
      <w:pPr>
        <w:pStyle w:val="Nadpis11"/>
        <w:spacing w:after="0"/>
        <w:rPr>
          <w:b w:val="0"/>
          <w:sz w:val="2"/>
          <w:szCs w:val="2"/>
        </w:rPr>
      </w:pPr>
    </w:p>
    <w:p w14:paraId="3E974863" w14:textId="23A1735E" w:rsidR="000663F0" w:rsidRPr="00E42054" w:rsidRDefault="000663F0" w:rsidP="00AB3BA7">
      <w:pPr>
        <w:pStyle w:val="Nadpis11"/>
        <w:rPr>
          <w:b w:val="0"/>
          <w:sz w:val="2"/>
          <w:szCs w:val="2"/>
        </w:rPr>
      </w:pPr>
    </w:p>
    <w:sectPr w:rsidR="000663F0" w:rsidRPr="00E42054" w:rsidSect="00A03B10">
      <w:headerReference w:type="even" r:id="rId26"/>
      <w:headerReference w:type="default" r:id="rId27"/>
      <w:footerReference w:type="even" r:id="rId28"/>
      <w:footerReference w:type="default" r:id="rId29"/>
      <w:pgSz w:w="11906" w:h="16838" w:code="9"/>
      <w:pgMar w:top="1134" w:right="1134" w:bottom="1418" w:left="1134" w:header="680" w:footer="73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8F09B" w16cid:durableId="246F10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40181" w14:textId="77777777" w:rsidR="00671D85" w:rsidRDefault="00671D85" w:rsidP="00E71A58">
      <w:r>
        <w:separator/>
      </w:r>
    </w:p>
  </w:endnote>
  <w:endnote w:type="continuationSeparator" w:id="0">
    <w:p w14:paraId="64BAABBF" w14:textId="77777777" w:rsidR="00671D85" w:rsidRDefault="00671D8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1A0D" w14:textId="75CBF6B0" w:rsidR="006F6FF2" w:rsidRPr="00932443" w:rsidRDefault="006F6FF2" w:rsidP="00A418BC">
    <w:pPr>
      <w:pStyle w:val="Zpat"/>
      <w:rPr>
        <w:szCs w:val="16"/>
      </w:rPr>
    </w:pPr>
    <w:r>
      <w:rPr>
        <w:szCs w:val="16"/>
        <w:lang w:eastAsia="cs-CZ"/>
      </w:rPr>
      <w:drawing>
        <wp:anchor distT="0" distB="0" distL="114300" distR="114300" simplePos="0" relativeHeight="251667968" behindDoc="0" locked="0" layoutInCell="1" allowOverlap="1" wp14:anchorId="71F0B6E3" wp14:editId="3AA519D4">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474646">
      <w:rPr>
        <w:szCs w:val="16"/>
      </w:rPr>
      <w:t>6</w:t>
    </w:r>
    <w:r w:rsidRPr="00932443">
      <w:rPr>
        <w:szCs w:val="16"/>
      </w:rPr>
      <w:fldChar w:fldCharType="end"/>
    </w:r>
    <w:r w:rsidRPr="00932443">
      <w:rPr>
        <w:szCs w:val="16"/>
      </w:rPr>
      <w:tab/>
    </w:r>
    <w:r>
      <w:rPr>
        <w:szCs w:val="16"/>
      </w:rPr>
      <w:t>1. čtvrtletí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7E4B" w14:textId="6FB2233F" w:rsidR="006F6FF2" w:rsidRPr="00932443" w:rsidRDefault="006F6FF2" w:rsidP="00FA6CB6">
    <w:pPr>
      <w:pStyle w:val="Zpat"/>
      <w:rPr>
        <w:szCs w:val="16"/>
      </w:rPr>
    </w:pPr>
    <w:r w:rsidRPr="00FA6CB6">
      <w:rPr>
        <w:szCs w:val="16"/>
      </w:rPr>
      <w:tab/>
    </w:r>
    <w:r>
      <w:rPr>
        <w:szCs w:val="16"/>
      </w:rPr>
      <w:t>1. čtvrtletí 2021</w:t>
    </w:r>
    <w:r>
      <w:rPr>
        <w:szCs w:val="16"/>
        <w:lang w:eastAsia="cs-CZ"/>
      </w:rPr>
      <w:drawing>
        <wp:anchor distT="0" distB="0" distL="114300" distR="114300" simplePos="0" relativeHeight="251658752" behindDoc="0" locked="0" layoutInCell="1" allowOverlap="1" wp14:anchorId="6ADC9B20" wp14:editId="2C3814E9">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474646">
      <w:rPr>
        <w:rStyle w:val="ZpatChar"/>
        <w:szCs w:val="16"/>
      </w:rPr>
      <w:t>5</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0BB5C" w14:textId="77777777" w:rsidR="00671D85" w:rsidRDefault="00671D85" w:rsidP="00A21B4D">
      <w:pPr>
        <w:spacing w:after="0"/>
      </w:pPr>
      <w:r>
        <w:separator/>
      </w:r>
    </w:p>
  </w:footnote>
  <w:footnote w:type="continuationSeparator" w:id="0">
    <w:p w14:paraId="572718C3" w14:textId="77777777" w:rsidR="00671D85" w:rsidRDefault="00671D85" w:rsidP="00E71A58">
      <w:r>
        <w:continuationSeparator/>
      </w:r>
    </w:p>
  </w:footnote>
  <w:footnote w:id="1">
    <w:p w14:paraId="0895AD09" w14:textId="77777777" w:rsidR="006F6FF2" w:rsidRPr="00957140" w:rsidRDefault="006F6FF2" w:rsidP="006C3495">
      <w:pPr>
        <w:pStyle w:val="Textpoznpodarou"/>
        <w:rPr>
          <w:spacing w:val="-2"/>
          <w:sz w:val="16"/>
          <w:szCs w:val="16"/>
        </w:rPr>
      </w:pPr>
      <w:r w:rsidRPr="00957140">
        <w:rPr>
          <w:rStyle w:val="Znakapoznpodarou"/>
          <w:spacing w:val="-2"/>
          <w:sz w:val="16"/>
          <w:szCs w:val="16"/>
        </w:rPr>
        <w:footnoteRef/>
      </w:r>
      <w:r w:rsidRPr="00957140">
        <w:rPr>
          <w:spacing w:val="-2"/>
          <w:sz w:val="16"/>
          <w:szCs w:val="16"/>
        </w:rPr>
        <w:t xml:space="preserve"> Data o HDP, hrubé přidané hodnotě a jejich složkách jsou vyjádřena ve stálých cenách a v očištění o sezónní a kalendářní vlivy.</w:t>
      </w:r>
    </w:p>
  </w:footnote>
  <w:footnote w:id="2">
    <w:p w14:paraId="711BD8B5" w14:textId="77777777" w:rsidR="006F6FF2" w:rsidRPr="00957140" w:rsidRDefault="006F6FF2" w:rsidP="006C3495">
      <w:pPr>
        <w:pStyle w:val="Textpoznpodarou"/>
        <w:rPr>
          <w:sz w:val="16"/>
          <w:szCs w:val="16"/>
        </w:rPr>
      </w:pPr>
      <w:r w:rsidRPr="00957140">
        <w:rPr>
          <w:rStyle w:val="Znakapoznpodarou"/>
          <w:sz w:val="16"/>
          <w:szCs w:val="16"/>
        </w:rPr>
        <w:footnoteRef/>
      </w:r>
      <w:r w:rsidRPr="00957140">
        <w:rPr>
          <w:sz w:val="16"/>
          <w:szCs w:val="16"/>
        </w:rPr>
        <w:t xml:space="preserve"> Podle metodiky čtvrtletních národních účtů (vývoz a dovoz v ocenění FOB/FOB).</w:t>
      </w:r>
    </w:p>
  </w:footnote>
  <w:footnote w:id="3">
    <w:p w14:paraId="5455788F" w14:textId="77777777" w:rsidR="006F6FF2" w:rsidRPr="00957140" w:rsidRDefault="006F6FF2" w:rsidP="006C3495">
      <w:pPr>
        <w:pStyle w:val="Textpoznpodarou"/>
        <w:jc w:val="both"/>
        <w:rPr>
          <w:sz w:val="16"/>
          <w:szCs w:val="16"/>
        </w:rPr>
      </w:pPr>
      <w:r w:rsidRPr="00957140">
        <w:rPr>
          <w:rStyle w:val="Znakapoznpodarou"/>
          <w:spacing w:val="-2"/>
          <w:sz w:val="16"/>
          <w:szCs w:val="16"/>
        </w:rPr>
        <w:footnoteRef/>
      </w:r>
      <w:r w:rsidRPr="00957140">
        <w:rPr>
          <w:spacing w:val="-2"/>
          <w:sz w:val="16"/>
          <w:szCs w:val="16"/>
        </w:rPr>
        <w:t xml:space="preserve"> Údaje o zaměstnanosti jsou uvedeny v pojetí národních účtů a očištěny o sezónní vlivy.</w:t>
      </w:r>
    </w:p>
  </w:footnote>
  <w:footnote w:id="4">
    <w:p w14:paraId="1EB26039" w14:textId="77777777" w:rsidR="006F6FF2" w:rsidRPr="000348AF" w:rsidRDefault="006F6FF2" w:rsidP="00DF57D6">
      <w:pPr>
        <w:pStyle w:val="Textpoznpodarou"/>
        <w:rPr>
          <w:sz w:val="16"/>
          <w:szCs w:val="16"/>
        </w:rPr>
      </w:pPr>
      <w:r w:rsidRPr="000348AF">
        <w:rPr>
          <w:rStyle w:val="Znakapoznpodarou"/>
          <w:sz w:val="16"/>
          <w:szCs w:val="16"/>
        </w:rPr>
        <w:footnoteRef/>
      </w:r>
      <w:r w:rsidRPr="000348AF">
        <w:rPr>
          <w:sz w:val="16"/>
          <w:szCs w:val="16"/>
        </w:rPr>
        <w:t xml:space="preserve"> Vývoj HDP, hrubé přidané hodnoty a jejich složek je vyjádřen prostřednictvím objemových indexů (tj. očištěn o vliv cen) a po očištění o sezónní a kalendářní vlivy. Údaje jsou platné k </w:t>
      </w:r>
      <w:r>
        <w:rPr>
          <w:sz w:val="16"/>
          <w:szCs w:val="16"/>
        </w:rPr>
        <w:t>1</w:t>
      </w:r>
      <w:r w:rsidRPr="000348AF">
        <w:rPr>
          <w:sz w:val="16"/>
          <w:szCs w:val="16"/>
        </w:rPr>
        <w:t>. </w:t>
      </w:r>
      <w:r>
        <w:rPr>
          <w:sz w:val="16"/>
          <w:szCs w:val="16"/>
        </w:rPr>
        <w:t>6</w:t>
      </w:r>
      <w:r w:rsidRPr="000348AF">
        <w:rPr>
          <w:sz w:val="16"/>
          <w:szCs w:val="16"/>
        </w:rPr>
        <w:t>. 2021.</w:t>
      </w:r>
    </w:p>
  </w:footnote>
  <w:footnote w:id="5">
    <w:p w14:paraId="04965B1F" w14:textId="77777777" w:rsidR="006F6FF2" w:rsidRDefault="006F6FF2" w:rsidP="00DF57D6">
      <w:pPr>
        <w:pStyle w:val="Textpoznpodarou"/>
      </w:pPr>
      <w:r w:rsidRPr="009C6EA8">
        <w:rPr>
          <w:rStyle w:val="Znakapoznpodarou"/>
          <w:sz w:val="16"/>
          <w:szCs w:val="16"/>
        </w:rPr>
        <w:footnoteRef/>
      </w:r>
      <w:r w:rsidRPr="009C6EA8">
        <w:rPr>
          <w:sz w:val="16"/>
          <w:szCs w:val="16"/>
        </w:rPr>
        <w:t xml:space="preserve"> </w:t>
      </w:r>
      <w:r>
        <w:rPr>
          <w:sz w:val="16"/>
          <w:szCs w:val="16"/>
        </w:rPr>
        <w:t>Zaměstnanost v</w:t>
      </w:r>
      <w:r w:rsidRPr="009C6EA8">
        <w:rPr>
          <w:sz w:val="16"/>
          <w:szCs w:val="16"/>
        </w:rPr>
        <w:t> pojetí národních účtů</w:t>
      </w:r>
      <w:r>
        <w:rPr>
          <w:sz w:val="16"/>
          <w:szCs w:val="16"/>
        </w:rPr>
        <w:t xml:space="preserve"> (osoby)</w:t>
      </w:r>
      <w:r w:rsidRPr="009C6EA8">
        <w:rPr>
          <w:sz w:val="16"/>
          <w:szCs w:val="16"/>
        </w:rPr>
        <w:t xml:space="preserve">, </w:t>
      </w:r>
      <w:r>
        <w:rPr>
          <w:sz w:val="16"/>
          <w:szCs w:val="16"/>
        </w:rPr>
        <w:t xml:space="preserve">údaj je </w:t>
      </w:r>
      <w:r w:rsidRPr="009C6EA8">
        <w:rPr>
          <w:sz w:val="16"/>
          <w:szCs w:val="16"/>
        </w:rPr>
        <w:t>sezónně očištěn</w:t>
      </w:r>
      <w:r w:rsidRPr="00004BA8">
        <w:rPr>
          <w:sz w:val="16"/>
        </w:rPr>
        <w:t>.</w:t>
      </w:r>
    </w:p>
  </w:footnote>
  <w:footnote w:id="6">
    <w:p w14:paraId="17325A54" w14:textId="77777777" w:rsidR="006F6FF2" w:rsidRPr="005F75B1" w:rsidRDefault="006F6FF2" w:rsidP="00DF57D6">
      <w:pPr>
        <w:pStyle w:val="Textpoznpodarou"/>
        <w:rPr>
          <w:sz w:val="16"/>
          <w:szCs w:val="16"/>
        </w:rPr>
      </w:pPr>
      <w:r w:rsidRPr="005F75B1">
        <w:rPr>
          <w:rStyle w:val="Znakapoznpodarou"/>
          <w:sz w:val="16"/>
          <w:szCs w:val="16"/>
        </w:rPr>
        <w:footnoteRef/>
      </w:r>
      <w:r w:rsidRPr="005F75B1">
        <w:rPr>
          <w:sz w:val="16"/>
          <w:szCs w:val="16"/>
        </w:rPr>
        <w:t xml:space="preserve"> Do reálného vyjádření převedeno s pomocí deflátoru spotřeby domácností.</w:t>
      </w:r>
    </w:p>
  </w:footnote>
  <w:footnote w:id="7">
    <w:p w14:paraId="01C0067C" w14:textId="77777777" w:rsidR="006F6FF2" w:rsidRPr="00771972" w:rsidRDefault="006F6FF2" w:rsidP="00DF57D6">
      <w:pPr>
        <w:pStyle w:val="Textpoznpodarou"/>
        <w:rPr>
          <w:sz w:val="16"/>
          <w:szCs w:val="16"/>
        </w:rPr>
      </w:pPr>
      <w:r w:rsidRPr="00771972">
        <w:rPr>
          <w:rStyle w:val="Znakapoznpodarou"/>
          <w:sz w:val="16"/>
          <w:szCs w:val="16"/>
        </w:rPr>
        <w:footnoteRef/>
      </w:r>
      <w:r w:rsidRPr="00771972">
        <w:rPr>
          <w:sz w:val="16"/>
          <w:szCs w:val="16"/>
        </w:rPr>
        <w:t xml:space="preserve"> Veřejná správa a</w:t>
      </w:r>
      <w:r>
        <w:rPr>
          <w:sz w:val="16"/>
          <w:szCs w:val="16"/>
        </w:rPr>
        <w:t> </w:t>
      </w:r>
      <w:r w:rsidRPr="00771972">
        <w:rPr>
          <w:sz w:val="16"/>
          <w:szCs w:val="16"/>
        </w:rPr>
        <w:t>obrana, vzdělávání, zdravotní a</w:t>
      </w:r>
      <w:r>
        <w:rPr>
          <w:sz w:val="16"/>
          <w:szCs w:val="16"/>
        </w:rPr>
        <w:t> </w:t>
      </w:r>
      <w:r w:rsidRPr="00771972">
        <w:rPr>
          <w:sz w:val="16"/>
          <w:szCs w:val="16"/>
        </w:rPr>
        <w:t>sociální péče.</w:t>
      </w:r>
    </w:p>
  </w:footnote>
  <w:footnote w:id="8">
    <w:p w14:paraId="3EC57ED7" w14:textId="77777777" w:rsidR="006F6FF2" w:rsidRPr="009C6EA8" w:rsidRDefault="006F6FF2" w:rsidP="00DF57D6">
      <w:pPr>
        <w:pStyle w:val="Textpoznpodarou"/>
        <w:rPr>
          <w:sz w:val="16"/>
          <w:szCs w:val="16"/>
        </w:rPr>
      </w:pPr>
      <w:r w:rsidRPr="009C6EA8">
        <w:rPr>
          <w:rStyle w:val="Znakapoznpodarou"/>
          <w:sz w:val="16"/>
          <w:szCs w:val="16"/>
        </w:rPr>
        <w:footnoteRef/>
      </w:r>
      <w:r w:rsidRPr="009C6EA8">
        <w:rPr>
          <w:sz w:val="16"/>
          <w:szCs w:val="16"/>
        </w:rPr>
        <w:t xml:space="preserve"> Příspěvky ke změně HDP po vyloučení dovozu pro konečné užití.</w:t>
      </w:r>
    </w:p>
  </w:footnote>
  <w:footnote w:id="9">
    <w:p w14:paraId="399FD600" w14:textId="77777777" w:rsidR="006F6FF2" w:rsidRPr="00954992" w:rsidRDefault="006F6FF2" w:rsidP="00DF57D6">
      <w:pPr>
        <w:pStyle w:val="Textpoznpodarou"/>
        <w:rPr>
          <w:sz w:val="16"/>
          <w:szCs w:val="16"/>
        </w:rPr>
      </w:pPr>
      <w:r w:rsidRPr="00954992">
        <w:rPr>
          <w:rStyle w:val="Znakapoznpodarou"/>
          <w:sz w:val="16"/>
          <w:szCs w:val="16"/>
        </w:rPr>
        <w:footnoteRef/>
      </w:r>
      <w:r w:rsidRPr="00954992">
        <w:rPr>
          <w:sz w:val="16"/>
          <w:szCs w:val="16"/>
        </w:rPr>
        <w:t xml:space="preserve"> Údaje o</w:t>
      </w:r>
      <w:r>
        <w:rPr>
          <w:sz w:val="16"/>
          <w:szCs w:val="16"/>
        </w:rPr>
        <w:t> </w:t>
      </w:r>
      <w:r w:rsidRPr="00954992">
        <w:rPr>
          <w:sz w:val="16"/>
          <w:szCs w:val="16"/>
        </w:rPr>
        <w:t>spotřebě dle trvanlivosti jsou v domácím pojetí a</w:t>
      </w:r>
      <w:r>
        <w:rPr>
          <w:sz w:val="16"/>
          <w:szCs w:val="16"/>
        </w:rPr>
        <w:t> </w:t>
      </w:r>
      <w:r w:rsidRPr="00954992">
        <w:rPr>
          <w:sz w:val="16"/>
          <w:szCs w:val="16"/>
        </w:rPr>
        <w:t>bez sezónního očištění.</w:t>
      </w:r>
    </w:p>
  </w:footnote>
  <w:footnote w:id="10">
    <w:p w14:paraId="43E18AF4" w14:textId="77777777" w:rsidR="006F6FF2" w:rsidRPr="00AA3676" w:rsidRDefault="006F6FF2" w:rsidP="00DF57D6">
      <w:pPr>
        <w:pStyle w:val="Textpoznpodarou"/>
        <w:rPr>
          <w:sz w:val="16"/>
          <w:szCs w:val="16"/>
        </w:rPr>
      </w:pPr>
      <w:r w:rsidRPr="00AA3676">
        <w:rPr>
          <w:rStyle w:val="Znakapoznpodarou"/>
          <w:sz w:val="16"/>
          <w:szCs w:val="16"/>
        </w:rPr>
        <w:footnoteRef/>
      </w:r>
      <w:r w:rsidRPr="00AA3676">
        <w:rPr>
          <w:sz w:val="16"/>
          <w:szCs w:val="16"/>
        </w:rPr>
        <w:t xml:space="preserve"> </w:t>
      </w:r>
      <w:r>
        <w:rPr>
          <w:sz w:val="16"/>
          <w:szCs w:val="16"/>
        </w:rPr>
        <w:t>D</w:t>
      </w:r>
      <w:r w:rsidRPr="00AA3676">
        <w:rPr>
          <w:spacing w:val="-2"/>
          <w:sz w:val="16"/>
          <w:szCs w:val="16"/>
        </w:rPr>
        <w:t>o</w:t>
      </w:r>
      <w:r>
        <w:rPr>
          <w:spacing w:val="-2"/>
          <w:sz w:val="16"/>
          <w:szCs w:val="16"/>
        </w:rPr>
        <w:t xml:space="preserve"> střednědobé</w:t>
      </w:r>
      <w:r w:rsidRPr="00AA3676">
        <w:rPr>
          <w:spacing w:val="-2"/>
          <w:sz w:val="16"/>
          <w:szCs w:val="16"/>
        </w:rPr>
        <w:t xml:space="preserve"> kategorie spadá velká část omezeného maloobchodu</w:t>
      </w:r>
      <w:r>
        <w:rPr>
          <w:spacing w:val="-2"/>
          <w:sz w:val="16"/>
          <w:szCs w:val="16"/>
        </w:rPr>
        <w:t> </w:t>
      </w:r>
      <w:r w:rsidRPr="00AA3676">
        <w:rPr>
          <w:spacing w:val="-2"/>
          <w:sz w:val="16"/>
          <w:szCs w:val="16"/>
        </w:rPr>
        <w:t>– oděvy, rekreační a</w:t>
      </w:r>
      <w:r>
        <w:rPr>
          <w:spacing w:val="-2"/>
          <w:sz w:val="16"/>
          <w:szCs w:val="16"/>
        </w:rPr>
        <w:t> </w:t>
      </w:r>
      <w:r w:rsidRPr="00AA3676">
        <w:rPr>
          <w:spacing w:val="-2"/>
          <w:sz w:val="16"/>
          <w:szCs w:val="16"/>
        </w:rPr>
        <w:t>sportovní potřeby apod.</w:t>
      </w:r>
    </w:p>
  </w:footnote>
  <w:footnote w:id="11">
    <w:p w14:paraId="3E9C7B06" w14:textId="77777777" w:rsidR="006F6FF2" w:rsidRPr="0021552C" w:rsidRDefault="006F6FF2" w:rsidP="00DF57D6">
      <w:pPr>
        <w:pStyle w:val="Textpoznpodarou"/>
        <w:rPr>
          <w:sz w:val="16"/>
          <w:szCs w:val="16"/>
        </w:rPr>
      </w:pPr>
      <w:r w:rsidRPr="0021552C">
        <w:rPr>
          <w:rStyle w:val="Znakapoznpodarou"/>
          <w:sz w:val="16"/>
          <w:szCs w:val="16"/>
        </w:rPr>
        <w:footnoteRef/>
      </w:r>
      <w:r w:rsidRPr="0021552C">
        <w:rPr>
          <w:sz w:val="16"/>
          <w:szCs w:val="16"/>
        </w:rPr>
        <w:t xml:space="preserve"> </w:t>
      </w:r>
      <w:r>
        <w:rPr>
          <w:rFonts w:cs="Arial"/>
          <w:sz w:val="16"/>
          <w:szCs w:val="16"/>
        </w:rPr>
        <w:t>D</w:t>
      </w:r>
      <w:r w:rsidRPr="0021552C">
        <w:rPr>
          <w:rFonts w:cs="Arial"/>
          <w:sz w:val="16"/>
          <w:szCs w:val="16"/>
        </w:rPr>
        <w:t>ata o</w:t>
      </w:r>
      <w:r>
        <w:rPr>
          <w:rFonts w:cs="Arial"/>
          <w:sz w:val="16"/>
          <w:szCs w:val="16"/>
        </w:rPr>
        <w:t> </w:t>
      </w:r>
      <w:r w:rsidRPr="0021552C">
        <w:rPr>
          <w:rFonts w:cs="Arial"/>
          <w:sz w:val="16"/>
          <w:szCs w:val="16"/>
        </w:rPr>
        <w:t xml:space="preserve">věcném členění tvorby </w:t>
      </w:r>
      <w:r>
        <w:rPr>
          <w:rFonts w:cs="Arial"/>
          <w:sz w:val="16"/>
          <w:szCs w:val="16"/>
        </w:rPr>
        <w:t>hrubého fixního kapitálu</w:t>
      </w:r>
      <w:r w:rsidRPr="0021552C">
        <w:rPr>
          <w:rFonts w:cs="Arial"/>
          <w:sz w:val="16"/>
          <w:szCs w:val="16"/>
        </w:rPr>
        <w:t xml:space="preserve"> nejsou sezónně očištěna</w:t>
      </w:r>
      <w:r>
        <w:rPr>
          <w:rFonts w:cs="Arial"/>
          <w:sz w:val="16"/>
          <w:szCs w:val="16"/>
        </w:rPr>
        <w:t>.</w:t>
      </w:r>
    </w:p>
  </w:footnote>
  <w:footnote w:id="12">
    <w:p w14:paraId="14285A7E" w14:textId="77777777" w:rsidR="006F6FF2" w:rsidRPr="00167B30" w:rsidRDefault="006F6FF2" w:rsidP="00DF57D6">
      <w:pPr>
        <w:pStyle w:val="Textpoznpodarou"/>
        <w:rPr>
          <w:sz w:val="16"/>
          <w:szCs w:val="16"/>
        </w:rPr>
      </w:pPr>
      <w:r w:rsidRPr="00167B30">
        <w:rPr>
          <w:rStyle w:val="Znakapoznpodarou"/>
          <w:sz w:val="16"/>
          <w:szCs w:val="16"/>
        </w:rPr>
        <w:footnoteRef/>
      </w:r>
      <w:r w:rsidRPr="00167B30">
        <w:rPr>
          <w:sz w:val="16"/>
          <w:szCs w:val="16"/>
        </w:rPr>
        <w:t xml:space="preserve"> Podle metodiky čtvrtletních národních účtů (vývoz a</w:t>
      </w:r>
      <w:r>
        <w:rPr>
          <w:sz w:val="16"/>
          <w:szCs w:val="16"/>
        </w:rPr>
        <w:t> </w:t>
      </w:r>
      <w:r w:rsidRPr="00167B30">
        <w:rPr>
          <w:sz w:val="16"/>
          <w:szCs w:val="16"/>
        </w:rPr>
        <w:t>dovoz v ocenění FOB/FOB)</w:t>
      </w:r>
      <w:r>
        <w:rPr>
          <w:sz w:val="16"/>
          <w:szCs w:val="16"/>
        </w:rPr>
        <w:t>.</w:t>
      </w:r>
    </w:p>
  </w:footnote>
  <w:footnote w:id="13">
    <w:p w14:paraId="10D323C8" w14:textId="77777777" w:rsidR="006F6FF2" w:rsidRPr="00FB58F4" w:rsidRDefault="006F6FF2" w:rsidP="00E87CE2">
      <w:pPr>
        <w:pStyle w:val="Textpoznpodarou"/>
        <w:jc w:val="both"/>
        <w:rPr>
          <w:rFonts w:cs="Arial"/>
          <w:color w:val="0D0D0D" w:themeColor="text1" w:themeTint="F2"/>
          <w:spacing w:val="-2"/>
          <w:sz w:val="16"/>
          <w:szCs w:val="16"/>
        </w:rPr>
      </w:pPr>
      <w:r w:rsidRPr="00FB58F4">
        <w:rPr>
          <w:rStyle w:val="Znakapoznpodarou"/>
          <w:rFonts w:cs="Arial"/>
          <w:color w:val="0D0D0D" w:themeColor="text1" w:themeTint="F2"/>
          <w:spacing w:val="-2"/>
          <w:sz w:val="16"/>
          <w:szCs w:val="16"/>
        </w:rPr>
        <w:footnoteRef/>
      </w:r>
      <w:r w:rsidRPr="00FB58F4">
        <w:rPr>
          <w:rFonts w:cs="Arial"/>
          <w:color w:val="0D0D0D" w:themeColor="text1" w:themeTint="F2"/>
          <w:spacing w:val="-2"/>
          <w:sz w:val="16"/>
          <w:szCs w:val="16"/>
        </w:rPr>
        <w:t xml:space="preserve"> Údaje o</w:t>
      </w:r>
      <w:r>
        <w:rPr>
          <w:rFonts w:cs="Arial"/>
          <w:color w:val="0D0D0D" w:themeColor="text1" w:themeTint="F2"/>
          <w:spacing w:val="-2"/>
          <w:sz w:val="16"/>
          <w:szCs w:val="16"/>
        </w:rPr>
        <w:t> </w:t>
      </w:r>
      <w:r w:rsidRPr="00FB58F4">
        <w:rPr>
          <w:rFonts w:cs="Arial"/>
          <w:color w:val="0D0D0D" w:themeColor="text1" w:themeTint="F2"/>
          <w:spacing w:val="-2"/>
          <w:sz w:val="16"/>
          <w:szCs w:val="16"/>
        </w:rPr>
        <w:t>HPH jsou vyjádřeny ve stálých cenách a</w:t>
      </w:r>
      <w:r>
        <w:rPr>
          <w:rFonts w:cs="Arial"/>
          <w:color w:val="0D0D0D" w:themeColor="text1" w:themeTint="F2"/>
          <w:spacing w:val="-2"/>
          <w:sz w:val="16"/>
          <w:szCs w:val="16"/>
        </w:rPr>
        <w:t> </w:t>
      </w:r>
      <w:r w:rsidRPr="00FB58F4">
        <w:rPr>
          <w:rFonts w:cs="Arial"/>
          <w:color w:val="0D0D0D" w:themeColor="text1" w:themeTint="F2"/>
          <w:spacing w:val="-2"/>
          <w:sz w:val="16"/>
          <w:szCs w:val="16"/>
        </w:rPr>
        <w:t>v očištění o</w:t>
      </w:r>
      <w:r>
        <w:rPr>
          <w:rFonts w:cs="Arial"/>
          <w:color w:val="0D0D0D" w:themeColor="text1" w:themeTint="F2"/>
          <w:spacing w:val="-2"/>
          <w:sz w:val="16"/>
          <w:szCs w:val="16"/>
        </w:rPr>
        <w:t> </w:t>
      </w:r>
      <w:r w:rsidRPr="00FB58F4">
        <w:rPr>
          <w:rFonts w:cs="Arial"/>
          <w:color w:val="0D0D0D" w:themeColor="text1" w:themeTint="F2"/>
          <w:spacing w:val="-2"/>
          <w:sz w:val="16"/>
          <w:szCs w:val="16"/>
        </w:rPr>
        <w:t>sezónní a</w:t>
      </w:r>
      <w:r>
        <w:rPr>
          <w:rFonts w:cs="Arial"/>
          <w:color w:val="0D0D0D" w:themeColor="text1" w:themeTint="F2"/>
          <w:spacing w:val="-2"/>
          <w:sz w:val="16"/>
          <w:szCs w:val="16"/>
        </w:rPr>
        <w:t> </w:t>
      </w:r>
      <w:r w:rsidRPr="00FB58F4">
        <w:rPr>
          <w:rFonts w:cs="Arial"/>
          <w:color w:val="0D0D0D" w:themeColor="text1" w:themeTint="F2"/>
          <w:spacing w:val="-2"/>
          <w:sz w:val="16"/>
          <w:szCs w:val="16"/>
        </w:rPr>
        <w:t>kalendářní vlivy.</w:t>
      </w:r>
    </w:p>
  </w:footnote>
  <w:footnote w:id="14">
    <w:p w14:paraId="0F106F59" w14:textId="77777777" w:rsidR="006F6FF2" w:rsidRPr="00B1683A" w:rsidRDefault="006F6FF2" w:rsidP="00E87CE2">
      <w:pPr>
        <w:pStyle w:val="Textpoznpodarou"/>
        <w:rPr>
          <w:sz w:val="16"/>
          <w:szCs w:val="16"/>
        </w:rPr>
      </w:pPr>
      <w:r w:rsidRPr="00B1683A">
        <w:rPr>
          <w:rStyle w:val="Znakapoznpodarou"/>
          <w:sz w:val="16"/>
          <w:szCs w:val="16"/>
        </w:rPr>
        <w:footnoteRef/>
      </w:r>
      <w:r w:rsidRPr="00B1683A">
        <w:rPr>
          <w:sz w:val="16"/>
          <w:szCs w:val="16"/>
        </w:rPr>
        <w:t xml:space="preserve"> V této kapitole </w:t>
      </w:r>
      <w:r>
        <w:rPr>
          <w:sz w:val="16"/>
          <w:szCs w:val="16"/>
        </w:rPr>
        <w:t>jsou pojímány</w:t>
      </w:r>
      <w:r w:rsidRPr="00B1683A">
        <w:rPr>
          <w:sz w:val="16"/>
          <w:szCs w:val="16"/>
        </w:rPr>
        <w:t xml:space="preserve"> jako shluk odvětví Veřejná správa a</w:t>
      </w:r>
      <w:r>
        <w:rPr>
          <w:sz w:val="16"/>
          <w:szCs w:val="16"/>
        </w:rPr>
        <w:t> </w:t>
      </w:r>
      <w:r w:rsidRPr="00B1683A">
        <w:rPr>
          <w:sz w:val="16"/>
          <w:szCs w:val="16"/>
        </w:rPr>
        <w:t>obrana; Vzdělávání</w:t>
      </w:r>
      <w:r>
        <w:rPr>
          <w:sz w:val="16"/>
          <w:szCs w:val="16"/>
        </w:rPr>
        <w:t>;</w:t>
      </w:r>
      <w:r w:rsidRPr="00B1683A">
        <w:rPr>
          <w:sz w:val="16"/>
          <w:szCs w:val="16"/>
        </w:rPr>
        <w:t xml:space="preserve"> Zdravotní a</w:t>
      </w:r>
      <w:r>
        <w:rPr>
          <w:sz w:val="16"/>
          <w:szCs w:val="16"/>
        </w:rPr>
        <w:t> </w:t>
      </w:r>
      <w:r w:rsidRPr="00B1683A">
        <w:rPr>
          <w:sz w:val="16"/>
          <w:szCs w:val="16"/>
        </w:rPr>
        <w:t>sociální péče.</w:t>
      </w:r>
    </w:p>
  </w:footnote>
  <w:footnote w:id="15">
    <w:p w14:paraId="048C6BF2" w14:textId="77777777" w:rsidR="006F6FF2" w:rsidRPr="001117E9" w:rsidRDefault="006F6FF2" w:rsidP="00E87CE2">
      <w:pPr>
        <w:pStyle w:val="Textpoznpodarou"/>
        <w:rPr>
          <w:sz w:val="16"/>
          <w:szCs w:val="16"/>
        </w:rPr>
      </w:pPr>
      <w:r w:rsidRPr="001117E9">
        <w:rPr>
          <w:rStyle w:val="Znakapoznpodarou"/>
          <w:sz w:val="16"/>
          <w:szCs w:val="16"/>
        </w:rPr>
        <w:footnoteRef/>
      </w:r>
      <w:r w:rsidRPr="001117E9">
        <w:rPr>
          <w:sz w:val="16"/>
          <w:szCs w:val="16"/>
        </w:rPr>
        <w:t xml:space="preserve"> Jako v jediném z jedenácti hlavních odvětvových uskupení zde letos klesl počet odpracovaných hodin</w:t>
      </w:r>
      <w:r>
        <w:rPr>
          <w:sz w:val="16"/>
          <w:szCs w:val="16"/>
        </w:rPr>
        <w:t xml:space="preserve"> i </w:t>
      </w:r>
      <w:proofErr w:type="gramStart"/>
      <w:r>
        <w:rPr>
          <w:sz w:val="16"/>
          <w:szCs w:val="16"/>
        </w:rPr>
        <w:t>mezičtvrtletně</w:t>
      </w:r>
      <w:r w:rsidRPr="001117E9">
        <w:rPr>
          <w:sz w:val="16"/>
          <w:szCs w:val="16"/>
        </w:rPr>
        <w:t xml:space="preserve"> (–0,2</w:t>
      </w:r>
      <w:proofErr w:type="gramEnd"/>
      <w:r>
        <w:rPr>
          <w:sz w:val="16"/>
          <w:szCs w:val="16"/>
        </w:rPr>
        <w:t> %</w:t>
      </w:r>
      <w:r w:rsidRPr="001117E9">
        <w:rPr>
          <w:sz w:val="16"/>
          <w:szCs w:val="16"/>
        </w:rPr>
        <w:t>).</w:t>
      </w:r>
    </w:p>
  </w:footnote>
  <w:footnote w:id="16">
    <w:p w14:paraId="1A15E8C0" w14:textId="77777777" w:rsidR="006F6FF2" w:rsidRPr="00C079B7" w:rsidRDefault="006F6FF2" w:rsidP="00E87CE2">
      <w:pPr>
        <w:pStyle w:val="Textpoznpodarou"/>
        <w:rPr>
          <w:sz w:val="16"/>
          <w:szCs w:val="16"/>
        </w:rPr>
      </w:pPr>
      <w:r w:rsidRPr="001F719B">
        <w:rPr>
          <w:rStyle w:val="Znakapoznpodarou"/>
          <w:sz w:val="16"/>
          <w:szCs w:val="16"/>
        </w:rPr>
        <w:footnoteRef/>
      </w:r>
      <w:r w:rsidRPr="001F719B">
        <w:rPr>
          <w:sz w:val="16"/>
          <w:szCs w:val="16"/>
        </w:rPr>
        <w:t xml:space="preserve"> Zahrnuj</w:t>
      </w:r>
      <w:r>
        <w:rPr>
          <w:sz w:val="16"/>
          <w:szCs w:val="16"/>
        </w:rPr>
        <w:t>í</w:t>
      </w:r>
      <w:r w:rsidRPr="003B5B59">
        <w:rPr>
          <w:sz w:val="16"/>
          <w:szCs w:val="16"/>
        </w:rPr>
        <w:t xml:space="preserve"> kulturní, zábavní a</w:t>
      </w:r>
      <w:r>
        <w:rPr>
          <w:sz w:val="16"/>
          <w:szCs w:val="16"/>
        </w:rPr>
        <w:t> </w:t>
      </w:r>
      <w:r w:rsidRPr="003B5B59">
        <w:rPr>
          <w:sz w:val="16"/>
          <w:szCs w:val="16"/>
        </w:rPr>
        <w:t>rekreační činnosti a</w:t>
      </w:r>
      <w:r>
        <w:rPr>
          <w:sz w:val="16"/>
          <w:szCs w:val="16"/>
        </w:rPr>
        <w:t> </w:t>
      </w:r>
      <w:r w:rsidRPr="003B5B59">
        <w:rPr>
          <w:sz w:val="16"/>
          <w:szCs w:val="16"/>
        </w:rPr>
        <w:t xml:space="preserve">dále zejména poskytování osobních služeb (např. kadeřnictví, kosmetické služby, </w:t>
      </w:r>
      <w:r>
        <w:rPr>
          <w:rFonts w:cs="Arial"/>
          <w:color w:val="0D0D0D" w:themeColor="text1" w:themeTint="F2"/>
          <w:spacing w:val="-2"/>
          <w:sz w:val="16"/>
          <w:szCs w:val="16"/>
        </w:rPr>
        <w:t xml:space="preserve">čisticí služby či </w:t>
      </w:r>
      <w:r w:rsidRPr="003B5B59">
        <w:rPr>
          <w:sz w:val="16"/>
          <w:szCs w:val="16"/>
        </w:rPr>
        <w:t>opravy výrobků pro osobní potřebu a převážně pro</w:t>
      </w:r>
      <w:r>
        <w:rPr>
          <w:sz w:val="16"/>
          <w:szCs w:val="16"/>
        </w:rPr>
        <w:t xml:space="preserve"> </w:t>
      </w:r>
      <w:r w:rsidRPr="003B5B59">
        <w:rPr>
          <w:sz w:val="16"/>
          <w:szCs w:val="16"/>
        </w:rPr>
        <w:t>domácnost).</w:t>
      </w:r>
    </w:p>
  </w:footnote>
  <w:footnote w:id="17">
    <w:p w14:paraId="558ECC50" w14:textId="77777777" w:rsidR="006F6FF2" w:rsidRPr="00CE71E4" w:rsidRDefault="006F6FF2" w:rsidP="00E87CE2">
      <w:pPr>
        <w:pStyle w:val="Textpoznpodarou"/>
        <w:jc w:val="both"/>
        <w:rPr>
          <w:rFonts w:cs="Arial"/>
          <w:color w:val="0D0D0D" w:themeColor="text1" w:themeTint="F2"/>
          <w:spacing w:val="-2"/>
          <w:sz w:val="16"/>
          <w:szCs w:val="16"/>
        </w:rPr>
      </w:pPr>
      <w:r w:rsidRPr="00CE71E4">
        <w:rPr>
          <w:rStyle w:val="Znakapoznpodarou"/>
          <w:rFonts w:cs="Arial"/>
          <w:color w:val="0D0D0D" w:themeColor="text1" w:themeTint="F2"/>
          <w:spacing w:val="-2"/>
          <w:sz w:val="16"/>
          <w:szCs w:val="16"/>
        </w:rPr>
        <w:footnoteRef/>
      </w:r>
      <w:r w:rsidRPr="00CE71E4">
        <w:rPr>
          <w:rFonts w:cs="Arial"/>
          <w:color w:val="0D0D0D" w:themeColor="text1" w:themeTint="F2"/>
          <w:spacing w:val="-2"/>
          <w:sz w:val="16"/>
          <w:szCs w:val="16"/>
        </w:rPr>
        <w:t xml:space="preserve"> Zahrnuje odvětví těžby a dobývání, zpracovatelského průmyslu a také energetiky (zde pojímané jako odvětví výroby a rozvodu elektřiny, plynu, tepla a klimatizovaného vzduchu). Všechna meziroční tempa produkce (na úrovni odvětvových sekcí i oddílů) jsou očištěna o kalendářní vlivy, mezičtvrtletní i meziměsíční tempa pak také o vliv sezónnosti.</w:t>
      </w:r>
    </w:p>
  </w:footnote>
  <w:footnote w:id="18">
    <w:p w14:paraId="62410C9A" w14:textId="77777777" w:rsidR="006F6FF2" w:rsidRPr="00CE71E4" w:rsidRDefault="006F6FF2" w:rsidP="00E87CE2">
      <w:pPr>
        <w:pStyle w:val="Textpoznpodarou"/>
        <w:rPr>
          <w:spacing w:val="-2"/>
          <w:sz w:val="16"/>
          <w:szCs w:val="16"/>
        </w:rPr>
      </w:pPr>
      <w:r w:rsidRPr="00CE71E4">
        <w:rPr>
          <w:rStyle w:val="Znakapoznpodarou"/>
          <w:spacing w:val="-2"/>
          <w:sz w:val="16"/>
          <w:szCs w:val="16"/>
        </w:rPr>
        <w:footnoteRef/>
      </w:r>
      <w:r w:rsidRPr="00CE71E4">
        <w:rPr>
          <w:spacing w:val="-2"/>
          <w:sz w:val="16"/>
          <w:szCs w:val="16"/>
        </w:rPr>
        <w:t xml:space="preserve"> Průmyslová produkce v březnu </w:t>
      </w:r>
      <w:r>
        <w:rPr>
          <w:spacing w:val="-2"/>
          <w:sz w:val="16"/>
          <w:szCs w:val="16"/>
        </w:rPr>
        <w:t>2020 meziměsíčně klesla o osminu</w:t>
      </w:r>
      <w:r w:rsidRPr="00CE71E4">
        <w:rPr>
          <w:spacing w:val="-2"/>
          <w:sz w:val="16"/>
          <w:szCs w:val="16"/>
        </w:rPr>
        <w:t>, v </w:t>
      </w:r>
      <w:r>
        <w:rPr>
          <w:spacing w:val="-2"/>
          <w:sz w:val="16"/>
          <w:szCs w:val="16"/>
        </w:rPr>
        <w:t>dubnu došlo k dalšímu meziměsíčnímu propadu (o čtvrtinu).</w:t>
      </w:r>
    </w:p>
  </w:footnote>
  <w:footnote w:id="19">
    <w:p w14:paraId="748D4D3A" w14:textId="77777777" w:rsidR="006F6FF2" w:rsidRPr="005D3416" w:rsidRDefault="006F6FF2" w:rsidP="00E87CE2">
      <w:pPr>
        <w:pStyle w:val="Textpoznpodarou"/>
        <w:rPr>
          <w:sz w:val="16"/>
          <w:szCs w:val="16"/>
        </w:rPr>
      </w:pPr>
      <w:r w:rsidRPr="00CE71E4">
        <w:rPr>
          <w:rStyle w:val="Znakapoznpodarou"/>
          <w:spacing w:val="-2"/>
          <w:sz w:val="16"/>
          <w:szCs w:val="16"/>
        </w:rPr>
        <w:footnoteRef/>
      </w:r>
      <w:r>
        <w:rPr>
          <w:spacing w:val="-2"/>
          <w:sz w:val="16"/>
          <w:szCs w:val="16"/>
        </w:rPr>
        <w:t xml:space="preserve"> To</w:t>
      </w:r>
      <w:r w:rsidRPr="00CE71E4">
        <w:rPr>
          <w:spacing w:val="-2"/>
          <w:sz w:val="16"/>
          <w:szCs w:val="16"/>
        </w:rPr>
        <w:t xml:space="preserve"> se vlivem cyklického útlumu, kterým tuzemský </w:t>
      </w:r>
      <w:r>
        <w:rPr>
          <w:spacing w:val="-2"/>
          <w:sz w:val="16"/>
          <w:szCs w:val="16"/>
        </w:rPr>
        <w:t xml:space="preserve">průmysl </w:t>
      </w:r>
      <w:r w:rsidRPr="00CE71E4">
        <w:rPr>
          <w:spacing w:val="-2"/>
          <w:sz w:val="16"/>
          <w:szCs w:val="16"/>
        </w:rPr>
        <w:t xml:space="preserve">procházel již během </w:t>
      </w:r>
      <w:r>
        <w:rPr>
          <w:spacing w:val="-2"/>
          <w:sz w:val="16"/>
          <w:szCs w:val="16"/>
        </w:rPr>
        <w:t>předloňského roku, nacházelo</w:t>
      </w:r>
      <w:r w:rsidRPr="00CE71E4">
        <w:rPr>
          <w:spacing w:val="-2"/>
          <w:sz w:val="16"/>
          <w:szCs w:val="16"/>
        </w:rPr>
        <w:t xml:space="preserve"> v květnu 2019. Ve srovnání s</w:t>
      </w:r>
      <w:r>
        <w:rPr>
          <w:spacing w:val="-2"/>
          <w:sz w:val="16"/>
          <w:szCs w:val="16"/>
        </w:rPr>
        <w:t> </w:t>
      </w:r>
      <w:r w:rsidRPr="00CE71E4">
        <w:rPr>
          <w:spacing w:val="-2"/>
          <w:sz w:val="16"/>
          <w:szCs w:val="16"/>
        </w:rPr>
        <w:t>touto úrovn</w:t>
      </w:r>
      <w:r>
        <w:rPr>
          <w:spacing w:val="-2"/>
          <w:sz w:val="16"/>
          <w:szCs w:val="16"/>
        </w:rPr>
        <w:t>í</w:t>
      </w:r>
      <w:r w:rsidRPr="00CE71E4">
        <w:rPr>
          <w:spacing w:val="-2"/>
          <w:sz w:val="16"/>
          <w:szCs w:val="16"/>
        </w:rPr>
        <w:t xml:space="preserve"> byl</w:t>
      </w:r>
      <w:r>
        <w:rPr>
          <w:spacing w:val="-2"/>
          <w:sz w:val="16"/>
          <w:szCs w:val="16"/>
        </w:rPr>
        <w:t>a produkce v březnu 2021 o 3,0 %</w:t>
      </w:r>
      <w:r w:rsidRPr="00CE71E4">
        <w:rPr>
          <w:spacing w:val="-2"/>
          <w:sz w:val="16"/>
          <w:szCs w:val="16"/>
        </w:rPr>
        <w:t xml:space="preserve"> nižší.</w:t>
      </w:r>
      <w:r>
        <w:rPr>
          <w:spacing w:val="-2"/>
          <w:sz w:val="16"/>
          <w:szCs w:val="16"/>
        </w:rPr>
        <w:t xml:space="preserve"> Celé odvětví ale pokračovalo v solidní dynamice v letošním dubnu, kdy reálná výše produkce ve váhově dominantním zpracovatelském průmyslu poprvé po bezmála dvou letech převýšila své předkrizové maximum.</w:t>
      </w:r>
    </w:p>
  </w:footnote>
  <w:footnote w:id="20">
    <w:p w14:paraId="6BD8AFBD" w14:textId="77777777" w:rsidR="006F6FF2" w:rsidRPr="00665377" w:rsidRDefault="006F6FF2" w:rsidP="00E87CE2">
      <w:pPr>
        <w:pStyle w:val="Textpoznpodarou"/>
        <w:rPr>
          <w:sz w:val="16"/>
          <w:szCs w:val="16"/>
        </w:rPr>
      </w:pPr>
      <w:r w:rsidRPr="00665377">
        <w:rPr>
          <w:rStyle w:val="Znakapoznpodarou"/>
          <w:sz w:val="16"/>
          <w:szCs w:val="16"/>
        </w:rPr>
        <w:footnoteRef/>
      </w:r>
      <w:r w:rsidRPr="00665377">
        <w:rPr>
          <w:sz w:val="16"/>
          <w:szCs w:val="16"/>
        </w:rPr>
        <w:t xml:space="preserve"> Dle údaje Sdružení automobilového průmyslu</w:t>
      </w:r>
      <w:r>
        <w:rPr>
          <w:sz w:val="16"/>
          <w:szCs w:val="16"/>
        </w:rPr>
        <w:t> </w:t>
      </w:r>
      <w:r w:rsidRPr="00665377">
        <w:rPr>
          <w:sz w:val="16"/>
          <w:szCs w:val="16"/>
        </w:rPr>
        <w:t xml:space="preserve">ČR bylo od ledna do dubna 2021 v tuzemsku vyrobeno </w:t>
      </w:r>
      <w:r>
        <w:rPr>
          <w:sz w:val="16"/>
          <w:szCs w:val="16"/>
        </w:rPr>
        <w:t>453 tis. osobních vozů, což</w:t>
      </w:r>
      <w:r w:rsidRPr="00665377">
        <w:rPr>
          <w:sz w:val="16"/>
          <w:szCs w:val="16"/>
        </w:rPr>
        <w:t xml:space="preserve"> představovalo meziroční nárůst o</w:t>
      </w:r>
      <w:r>
        <w:rPr>
          <w:sz w:val="16"/>
          <w:szCs w:val="16"/>
        </w:rPr>
        <w:t> </w:t>
      </w:r>
      <w:r w:rsidRPr="00665377">
        <w:rPr>
          <w:sz w:val="16"/>
          <w:szCs w:val="16"/>
        </w:rPr>
        <w:t>více než třetinu. Ve srovnání se stejným obdobím roku 2019 ovšem výroba stále lehce zaostávala, a</w:t>
      </w:r>
      <w:r>
        <w:rPr>
          <w:sz w:val="16"/>
          <w:szCs w:val="16"/>
        </w:rPr>
        <w:t> </w:t>
      </w:r>
      <w:r w:rsidRPr="00665377">
        <w:rPr>
          <w:sz w:val="16"/>
          <w:szCs w:val="16"/>
        </w:rPr>
        <w:t>to jak v úhrnu (o</w:t>
      </w:r>
      <w:r>
        <w:rPr>
          <w:sz w:val="16"/>
          <w:szCs w:val="16"/>
        </w:rPr>
        <w:t> </w:t>
      </w:r>
      <w:r w:rsidRPr="00665377">
        <w:rPr>
          <w:sz w:val="16"/>
          <w:szCs w:val="16"/>
        </w:rPr>
        <w:t>4</w:t>
      </w:r>
      <w:r>
        <w:rPr>
          <w:sz w:val="16"/>
          <w:szCs w:val="16"/>
        </w:rPr>
        <w:t> %</w:t>
      </w:r>
      <w:r w:rsidRPr="00665377">
        <w:rPr>
          <w:sz w:val="16"/>
          <w:szCs w:val="16"/>
        </w:rPr>
        <w:t xml:space="preserve">), tak v každém ze čtyř </w:t>
      </w:r>
      <w:r>
        <w:rPr>
          <w:sz w:val="16"/>
          <w:szCs w:val="16"/>
        </w:rPr>
        <w:t xml:space="preserve">dosavadních </w:t>
      </w:r>
      <w:r w:rsidRPr="00665377">
        <w:rPr>
          <w:sz w:val="16"/>
          <w:szCs w:val="16"/>
        </w:rPr>
        <w:t>měsíců.</w:t>
      </w:r>
    </w:p>
  </w:footnote>
  <w:footnote w:id="21">
    <w:p w14:paraId="72DAE7A8" w14:textId="77777777" w:rsidR="006F6FF2" w:rsidRPr="009F2A79" w:rsidRDefault="006F6FF2" w:rsidP="00E87CE2">
      <w:pPr>
        <w:pStyle w:val="Textpoznpodarou"/>
        <w:rPr>
          <w:sz w:val="16"/>
          <w:szCs w:val="16"/>
        </w:rPr>
      </w:pPr>
      <w:r w:rsidRPr="009F2A79">
        <w:rPr>
          <w:rStyle w:val="Znakapoznpodarou"/>
          <w:sz w:val="16"/>
          <w:szCs w:val="16"/>
        </w:rPr>
        <w:footnoteRef/>
      </w:r>
      <w:r w:rsidRPr="009F2A79">
        <w:rPr>
          <w:sz w:val="16"/>
          <w:szCs w:val="16"/>
        </w:rPr>
        <w:t xml:space="preserve"> Objem výdajů na tvorbu hrubého fixního kapitálu z</w:t>
      </w:r>
      <w:r>
        <w:rPr>
          <w:sz w:val="16"/>
          <w:szCs w:val="16"/>
        </w:rPr>
        <w:t> </w:t>
      </w:r>
      <w:r w:rsidRPr="009F2A79">
        <w:rPr>
          <w:sz w:val="16"/>
          <w:szCs w:val="16"/>
        </w:rPr>
        <w:t>1.</w:t>
      </w:r>
      <w:r>
        <w:rPr>
          <w:sz w:val="16"/>
          <w:szCs w:val="16"/>
        </w:rPr>
        <w:t> čtvrtlet</w:t>
      </w:r>
      <w:r w:rsidRPr="009F2A79">
        <w:rPr>
          <w:sz w:val="16"/>
          <w:szCs w:val="16"/>
        </w:rPr>
        <w:t>í 2021 byl ve srovnání s </w:t>
      </w:r>
      <w:proofErr w:type="spellStart"/>
      <w:r w:rsidRPr="009F2A79">
        <w:rPr>
          <w:sz w:val="16"/>
          <w:szCs w:val="16"/>
        </w:rPr>
        <w:t>předpandemickou</w:t>
      </w:r>
      <w:proofErr w:type="spellEnd"/>
      <w:r w:rsidRPr="009F2A79">
        <w:rPr>
          <w:sz w:val="16"/>
          <w:szCs w:val="16"/>
        </w:rPr>
        <w:t xml:space="preserve"> úrovní (4.</w:t>
      </w:r>
      <w:r>
        <w:rPr>
          <w:sz w:val="16"/>
          <w:szCs w:val="16"/>
        </w:rPr>
        <w:t> čtvrtlet</w:t>
      </w:r>
      <w:r w:rsidRPr="009F2A79">
        <w:rPr>
          <w:sz w:val="16"/>
          <w:szCs w:val="16"/>
        </w:rPr>
        <w:t>í 2019) v Česku nižší o</w:t>
      </w:r>
      <w:r>
        <w:rPr>
          <w:sz w:val="16"/>
          <w:szCs w:val="16"/>
        </w:rPr>
        <w:t> </w:t>
      </w:r>
      <w:r w:rsidRPr="009F2A79">
        <w:rPr>
          <w:sz w:val="16"/>
          <w:szCs w:val="16"/>
        </w:rPr>
        <w:t>11,3</w:t>
      </w:r>
      <w:r>
        <w:rPr>
          <w:sz w:val="16"/>
          <w:szCs w:val="16"/>
        </w:rPr>
        <w:t> %</w:t>
      </w:r>
      <w:r w:rsidRPr="009F2A79">
        <w:rPr>
          <w:sz w:val="16"/>
          <w:szCs w:val="16"/>
        </w:rPr>
        <w:t>, v eurozóně o</w:t>
      </w:r>
      <w:r>
        <w:rPr>
          <w:sz w:val="16"/>
          <w:szCs w:val="16"/>
        </w:rPr>
        <w:t> 7,7 %. Pokles reálného</w:t>
      </w:r>
      <w:r w:rsidRPr="009F2A79">
        <w:rPr>
          <w:sz w:val="16"/>
          <w:szCs w:val="16"/>
        </w:rPr>
        <w:t xml:space="preserve"> výkon</w:t>
      </w:r>
      <w:r>
        <w:rPr>
          <w:sz w:val="16"/>
          <w:szCs w:val="16"/>
        </w:rPr>
        <w:t>u</w:t>
      </w:r>
      <w:r w:rsidRPr="009F2A79">
        <w:rPr>
          <w:sz w:val="16"/>
          <w:szCs w:val="16"/>
        </w:rPr>
        <w:t xml:space="preserve"> celé ekonomiky </w:t>
      </w:r>
      <w:r>
        <w:rPr>
          <w:sz w:val="16"/>
          <w:szCs w:val="16"/>
        </w:rPr>
        <w:t xml:space="preserve">(HDP) ve stejném období činil </w:t>
      </w:r>
      <w:r w:rsidRPr="009F2A79">
        <w:rPr>
          <w:sz w:val="16"/>
          <w:szCs w:val="16"/>
        </w:rPr>
        <w:t xml:space="preserve">v obou těchto uskupeních shodně </w:t>
      </w:r>
      <w:r>
        <w:rPr>
          <w:sz w:val="16"/>
          <w:szCs w:val="16"/>
        </w:rPr>
        <w:t xml:space="preserve">„jen“ </w:t>
      </w:r>
      <w:r w:rsidRPr="009F2A79">
        <w:rPr>
          <w:sz w:val="16"/>
          <w:szCs w:val="16"/>
        </w:rPr>
        <w:t>5,1</w:t>
      </w:r>
      <w:r>
        <w:rPr>
          <w:sz w:val="16"/>
          <w:szCs w:val="16"/>
        </w:rPr>
        <w:t> %</w:t>
      </w:r>
      <w:r w:rsidRPr="009F2A79">
        <w:rPr>
          <w:sz w:val="16"/>
          <w:szCs w:val="16"/>
        </w:rPr>
        <w:t>.</w:t>
      </w:r>
    </w:p>
  </w:footnote>
  <w:footnote w:id="22">
    <w:p w14:paraId="52F61DED" w14:textId="77777777" w:rsidR="006F6FF2" w:rsidRPr="00E02F22" w:rsidRDefault="006F6FF2" w:rsidP="00E87CE2">
      <w:pPr>
        <w:pStyle w:val="Textpoznpodarou"/>
        <w:rPr>
          <w:sz w:val="16"/>
          <w:szCs w:val="16"/>
        </w:rPr>
      </w:pPr>
      <w:r w:rsidRPr="00E02F22">
        <w:rPr>
          <w:rStyle w:val="Znakapoznpodarou"/>
          <w:sz w:val="16"/>
          <w:szCs w:val="16"/>
        </w:rPr>
        <w:footnoteRef/>
      </w:r>
      <w:r w:rsidRPr="00E02F22">
        <w:rPr>
          <w:sz w:val="16"/>
          <w:szCs w:val="16"/>
        </w:rPr>
        <w:t xml:space="preserve"> Poslední celoroční růst produkce si toto odvětví připsalo v roce 2011. V úhrnu za posledních deset let zde výkon propadl o</w:t>
      </w:r>
      <w:r>
        <w:rPr>
          <w:sz w:val="16"/>
          <w:szCs w:val="16"/>
        </w:rPr>
        <w:t> </w:t>
      </w:r>
      <w:r w:rsidRPr="00E02F22">
        <w:rPr>
          <w:sz w:val="16"/>
          <w:szCs w:val="16"/>
        </w:rPr>
        <w:t>37</w:t>
      </w:r>
      <w:r>
        <w:rPr>
          <w:sz w:val="16"/>
          <w:szCs w:val="16"/>
        </w:rPr>
        <w:t> %</w:t>
      </w:r>
      <w:r w:rsidRPr="00E02F22">
        <w:rPr>
          <w:sz w:val="16"/>
          <w:szCs w:val="16"/>
        </w:rPr>
        <w:t>.</w:t>
      </w:r>
    </w:p>
  </w:footnote>
  <w:footnote w:id="23">
    <w:p w14:paraId="46E6FDB7" w14:textId="77777777" w:rsidR="006F6FF2" w:rsidRPr="00B36B45" w:rsidRDefault="006F6FF2" w:rsidP="00E87CE2">
      <w:pPr>
        <w:pStyle w:val="Textpoznpodarou"/>
        <w:rPr>
          <w:sz w:val="16"/>
          <w:szCs w:val="16"/>
        </w:rPr>
      </w:pPr>
      <w:r w:rsidRPr="00B36B45">
        <w:rPr>
          <w:rStyle w:val="Znakapoznpodarou"/>
          <w:sz w:val="16"/>
          <w:szCs w:val="16"/>
        </w:rPr>
        <w:footnoteRef/>
      </w:r>
      <w:r w:rsidRPr="00B36B45">
        <w:rPr>
          <w:sz w:val="16"/>
          <w:szCs w:val="16"/>
        </w:rPr>
        <w:t xml:space="preserve"> Dle údaje Energetického regulačního úřadu činila v 1.</w:t>
      </w:r>
      <w:r>
        <w:rPr>
          <w:sz w:val="16"/>
          <w:szCs w:val="16"/>
        </w:rPr>
        <w:t> čtvrtlet</w:t>
      </w:r>
      <w:r w:rsidRPr="00B36B45">
        <w:rPr>
          <w:sz w:val="16"/>
          <w:szCs w:val="16"/>
        </w:rPr>
        <w:t>í 2021 v Česku hrubá výroba elektřiny 23</w:t>
      </w:r>
      <w:r>
        <w:rPr>
          <w:sz w:val="16"/>
          <w:szCs w:val="16"/>
        </w:rPr>
        <w:t>,0 </w:t>
      </w:r>
      <w:proofErr w:type="spellStart"/>
      <w:r w:rsidRPr="00B36B45">
        <w:rPr>
          <w:sz w:val="16"/>
          <w:szCs w:val="16"/>
        </w:rPr>
        <w:t>TWh</w:t>
      </w:r>
      <w:proofErr w:type="spellEnd"/>
      <w:r w:rsidRPr="00B36B45">
        <w:rPr>
          <w:sz w:val="16"/>
          <w:szCs w:val="16"/>
        </w:rPr>
        <w:t xml:space="preserve"> (meziročně o</w:t>
      </w:r>
      <w:r>
        <w:rPr>
          <w:sz w:val="16"/>
          <w:szCs w:val="16"/>
        </w:rPr>
        <w:t> </w:t>
      </w:r>
      <w:r w:rsidRPr="00B36B45">
        <w:rPr>
          <w:sz w:val="16"/>
          <w:szCs w:val="16"/>
        </w:rPr>
        <w:t>3,6</w:t>
      </w:r>
      <w:r>
        <w:rPr>
          <w:sz w:val="16"/>
          <w:szCs w:val="16"/>
        </w:rPr>
        <w:t> %</w:t>
      </w:r>
      <w:r w:rsidRPr="00B36B45">
        <w:rPr>
          <w:sz w:val="16"/>
          <w:szCs w:val="16"/>
        </w:rPr>
        <w:t xml:space="preserve"> více). </w:t>
      </w:r>
      <w:r>
        <w:rPr>
          <w:sz w:val="16"/>
          <w:szCs w:val="16"/>
        </w:rPr>
        <w:t>Tento nárůst byl převážně pokryt vyšší produkcí jaderných elektráren, zčásti i vodních elektráren. Hrubá tuzemská spotřeba (20,3</w:t>
      </w:r>
      <w:r w:rsidRPr="00665377">
        <w:rPr>
          <w:sz w:val="16"/>
          <w:szCs w:val="16"/>
        </w:rPr>
        <w:t> </w:t>
      </w:r>
      <w:proofErr w:type="spellStart"/>
      <w:r>
        <w:rPr>
          <w:sz w:val="16"/>
          <w:szCs w:val="16"/>
        </w:rPr>
        <w:t>TWh</w:t>
      </w:r>
      <w:proofErr w:type="spellEnd"/>
      <w:r>
        <w:rPr>
          <w:sz w:val="16"/>
          <w:szCs w:val="16"/>
        </w:rPr>
        <w:t>) se navýšila jen mírně (+0,7 %), výhradně zásluhou domácností (+14,8 %), jejichž spotřeba vzrostla ve všech krajích ČR. Pokles spotřeby velkoodběratelů i podnikatelů se pohyboval v rozmezí 2 až 3 %. Celková spotřeba zemního plynu se oproti 1.</w:t>
      </w:r>
      <w:r w:rsidRPr="009F2A79">
        <w:rPr>
          <w:sz w:val="16"/>
          <w:szCs w:val="16"/>
        </w:rPr>
        <w:t> </w:t>
      </w:r>
      <w:r>
        <w:rPr>
          <w:sz w:val="16"/>
          <w:szCs w:val="16"/>
        </w:rPr>
        <w:t>čtvrtletí 2020 navýšila o 13,4 %, po přepočtu pomocí dlouhodobého teplotního gradientu o 5,7 %. Letošní 1. čtvrtletí bylo teplotně mírně podprůměrné, loňské naopak výrazněji nadprůměrné.</w:t>
      </w:r>
    </w:p>
  </w:footnote>
  <w:footnote w:id="24">
    <w:p w14:paraId="26A02F8C" w14:textId="77777777" w:rsidR="006F6FF2" w:rsidRPr="004670E0" w:rsidRDefault="006F6FF2" w:rsidP="00E87CE2">
      <w:pPr>
        <w:pStyle w:val="Textpoznpodarou"/>
        <w:rPr>
          <w:sz w:val="16"/>
          <w:szCs w:val="16"/>
        </w:rPr>
      </w:pPr>
      <w:r w:rsidRPr="004670E0">
        <w:rPr>
          <w:rStyle w:val="Znakapoznpodarou"/>
          <w:sz w:val="16"/>
          <w:szCs w:val="16"/>
        </w:rPr>
        <w:footnoteRef/>
      </w:r>
      <w:r>
        <w:rPr>
          <w:sz w:val="16"/>
          <w:szCs w:val="16"/>
        </w:rPr>
        <w:t xml:space="preserve"> </w:t>
      </w:r>
      <w:r>
        <w:rPr>
          <w:rFonts w:cs="Arial"/>
          <w:color w:val="0D0D0D" w:themeColor="text1" w:themeTint="F2"/>
          <w:spacing w:val="-2"/>
          <w:sz w:val="16"/>
          <w:szCs w:val="16"/>
        </w:rPr>
        <w:t>M</w:t>
      </w:r>
      <w:r w:rsidRPr="00CE71E4">
        <w:rPr>
          <w:rFonts w:cs="Arial"/>
          <w:color w:val="0D0D0D" w:themeColor="text1" w:themeTint="F2"/>
          <w:spacing w:val="-2"/>
          <w:sz w:val="16"/>
          <w:szCs w:val="16"/>
        </w:rPr>
        <w:t>eziroční tempa</w:t>
      </w:r>
      <w:r>
        <w:rPr>
          <w:rFonts w:cs="Arial"/>
          <w:color w:val="0D0D0D" w:themeColor="text1" w:themeTint="F2"/>
          <w:spacing w:val="-2"/>
          <w:sz w:val="16"/>
          <w:szCs w:val="16"/>
        </w:rPr>
        <w:t xml:space="preserve"> tržeb</w:t>
      </w:r>
      <w:r w:rsidRPr="00CE71E4">
        <w:rPr>
          <w:rFonts w:cs="Arial"/>
          <w:color w:val="0D0D0D" w:themeColor="text1" w:themeTint="F2"/>
          <w:spacing w:val="-2"/>
          <w:sz w:val="16"/>
          <w:szCs w:val="16"/>
        </w:rPr>
        <w:t xml:space="preserve"> jsou očištěna o kalendářní vlivy, mezičtvrtletní i meziměsíční tempa pak také o vliv sezónnosti.</w:t>
      </w:r>
    </w:p>
  </w:footnote>
  <w:footnote w:id="25">
    <w:p w14:paraId="6A4CCE12" w14:textId="0B6E084B" w:rsidR="006F6FF2" w:rsidRPr="00FB58F4" w:rsidRDefault="006F6FF2" w:rsidP="00E87CE2">
      <w:pPr>
        <w:pStyle w:val="Textpoznpodarou"/>
        <w:jc w:val="both"/>
        <w:rPr>
          <w:rFonts w:cs="Arial"/>
          <w:color w:val="0D0D0D" w:themeColor="text1" w:themeTint="F2"/>
          <w:spacing w:val="-2"/>
          <w:sz w:val="16"/>
          <w:szCs w:val="16"/>
        </w:rPr>
      </w:pPr>
      <w:r w:rsidRPr="007A20EB">
        <w:rPr>
          <w:rStyle w:val="Znakapoznpodarou"/>
          <w:rFonts w:cs="Arial"/>
          <w:color w:val="0D0D0D" w:themeColor="text1" w:themeTint="F2"/>
          <w:spacing w:val="-2"/>
          <w:sz w:val="16"/>
          <w:szCs w:val="16"/>
        </w:rPr>
        <w:footnoteRef/>
      </w:r>
      <w:r w:rsidRPr="007A20EB">
        <w:rPr>
          <w:rFonts w:cs="Arial"/>
          <w:color w:val="0D0D0D" w:themeColor="text1" w:themeTint="F2"/>
          <w:spacing w:val="-2"/>
          <w:sz w:val="16"/>
          <w:szCs w:val="16"/>
        </w:rPr>
        <w:t xml:space="preserve"> </w:t>
      </w:r>
      <w:r w:rsidRPr="007A20EB">
        <w:rPr>
          <w:rFonts w:cs="Arial"/>
          <w:color w:val="0D0D0D" w:themeColor="text1" w:themeTint="F2"/>
          <w:sz w:val="16"/>
          <w:szCs w:val="16"/>
        </w:rPr>
        <w:t>Zjišťování zaká</w:t>
      </w:r>
      <w:r>
        <w:rPr>
          <w:rFonts w:cs="Arial"/>
          <w:color w:val="0D0D0D" w:themeColor="text1" w:themeTint="F2"/>
          <w:sz w:val="16"/>
          <w:szCs w:val="16"/>
        </w:rPr>
        <w:t>zek probíhá pouze ve dvanácti zpracovatelských odvětvích</w:t>
      </w:r>
      <w:r w:rsidRPr="007A20EB">
        <w:rPr>
          <w:rFonts w:cs="Arial"/>
          <w:color w:val="0D0D0D" w:themeColor="text1" w:themeTint="F2"/>
          <w:sz w:val="16"/>
          <w:szCs w:val="16"/>
        </w:rPr>
        <w:t>, kter</w:t>
      </w:r>
      <w:r>
        <w:rPr>
          <w:rFonts w:cs="Arial"/>
          <w:color w:val="0D0D0D" w:themeColor="text1" w:themeTint="F2"/>
          <w:sz w:val="16"/>
          <w:szCs w:val="16"/>
        </w:rPr>
        <w:t>á</w:t>
      </w:r>
      <w:r w:rsidRPr="007A20EB">
        <w:rPr>
          <w:rFonts w:cs="Arial"/>
          <w:color w:val="0D0D0D" w:themeColor="text1" w:themeTint="F2"/>
          <w:sz w:val="16"/>
          <w:szCs w:val="16"/>
        </w:rPr>
        <w:t xml:space="preserve"> vyrábějí převážně na zakázku, s dlouhodobějším výrobním cyklem a s většími zásobami zakázek.</w:t>
      </w:r>
      <w:r>
        <w:rPr>
          <w:rFonts w:cs="Arial"/>
          <w:color w:val="0D0D0D" w:themeColor="text1" w:themeTint="F2"/>
          <w:sz w:val="16"/>
          <w:szCs w:val="16"/>
        </w:rPr>
        <w:t xml:space="preserve"> Meziměsíční údaje o zakázkách jsou očištěny </w:t>
      </w:r>
      <w:r w:rsidRPr="00C94BE8">
        <w:rPr>
          <w:rFonts w:cs="Arial"/>
          <w:color w:val="0D0D0D" w:themeColor="text1" w:themeTint="F2"/>
          <w:spacing w:val="-2"/>
          <w:sz w:val="16"/>
          <w:szCs w:val="16"/>
        </w:rPr>
        <w:t>o vliv sezónnosti</w:t>
      </w:r>
      <w:r>
        <w:rPr>
          <w:rFonts w:cs="Arial"/>
          <w:color w:val="0D0D0D" w:themeColor="text1" w:themeTint="F2"/>
          <w:spacing w:val="-2"/>
          <w:sz w:val="16"/>
          <w:szCs w:val="16"/>
        </w:rPr>
        <w:t xml:space="preserve">,, meziroční tempa </w:t>
      </w:r>
      <w:r w:rsidRPr="00C94BE8">
        <w:rPr>
          <w:rFonts w:cs="Arial"/>
          <w:color w:val="0D0D0D" w:themeColor="text1" w:themeTint="F2"/>
          <w:spacing w:val="-2"/>
          <w:sz w:val="16"/>
          <w:szCs w:val="16"/>
        </w:rPr>
        <w:t>jsou očištěn</w:t>
      </w:r>
      <w:r>
        <w:rPr>
          <w:rFonts w:cs="Arial"/>
          <w:color w:val="0D0D0D" w:themeColor="text1" w:themeTint="F2"/>
          <w:spacing w:val="-2"/>
          <w:sz w:val="16"/>
          <w:szCs w:val="16"/>
        </w:rPr>
        <w:t>a</w:t>
      </w:r>
      <w:r w:rsidRPr="00C94BE8">
        <w:rPr>
          <w:rFonts w:cs="Arial"/>
          <w:color w:val="0D0D0D" w:themeColor="text1" w:themeTint="F2"/>
          <w:spacing w:val="-2"/>
          <w:sz w:val="16"/>
          <w:szCs w:val="16"/>
        </w:rPr>
        <w:t xml:space="preserve"> o kalendá</w:t>
      </w:r>
      <w:r>
        <w:rPr>
          <w:rFonts w:cs="Arial"/>
          <w:color w:val="0D0D0D" w:themeColor="text1" w:themeTint="F2"/>
          <w:spacing w:val="-2"/>
          <w:sz w:val="16"/>
          <w:szCs w:val="16"/>
        </w:rPr>
        <w:t>řní vlivy.</w:t>
      </w:r>
    </w:p>
  </w:footnote>
  <w:footnote w:id="26">
    <w:p w14:paraId="1F8A7BEE" w14:textId="77777777" w:rsidR="006F6FF2" w:rsidRPr="000A1518" w:rsidRDefault="006F6FF2" w:rsidP="00E87CE2">
      <w:pPr>
        <w:pStyle w:val="Textpoznpodarou"/>
        <w:rPr>
          <w:sz w:val="16"/>
          <w:szCs w:val="16"/>
        </w:rPr>
      </w:pPr>
      <w:r w:rsidRPr="000A1518">
        <w:rPr>
          <w:rStyle w:val="Znakapoznpodarou"/>
          <w:sz w:val="16"/>
          <w:szCs w:val="16"/>
        </w:rPr>
        <w:footnoteRef/>
      </w:r>
      <w:r w:rsidRPr="000A1518">
        <w:rPr>
          <w:sz w:val="16"/>
          <w:szCs w:val="16"/>
        </w:rPr>
        <w:t xml:space="preserve"> P</w:t>
      </w:r>
      <w:r>
        <w:rPr>
          <w:sz w:val="16"/>
          <w:szCs w:val="16"/>
        </w:rPr>
        <w:t>odniky mohly uv</w:t>
      </w:r>
      <w:r w:rsidRPr="000A1518">
        <w:rPr>
          <w:sz w:val="16"/>
          <w:szCs w:val="16"/>
        </w:rPr>
        <w:t>ést více bariér současně.</w:t>
      </w:r>
    </w:p>
  </w:footnote>
  <w:footnote w:id="27">
    <w:p w14:paraId="1EC128D0" w14:textId="77777777" w:rsidR="006F6FF2" w:rsidRPr="00C94BE8" w:rsidRDefault="006F6FF2" w:rsidP="00E87CE2">
      <w:pPr>
        <w:pStyle w:val="Textpoznpodarou"/>
        <w:jc w:val="both"/>
        <w:rPr>
          <w:spacing w:val="-2"/>
          <w:sz w:val="16"/>
          <w:szCs w:val="16"/>
        </w:rPr>
      </w:pPr>
      <w:r w:rsidRPr="00C94BE8">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Ú</w:t>
      </w:r>
      <w:r w:rsidRPr="00C94BE8">
        <w:rPr>
          <w:rFonts w:cs="Arial"/>
          <w:color w:val="0D0D0D" w:themeColor="text1" w:themeTint="F2"/>
          <w:spacing w:val="-2"/>
          <w:sz w:val="16"/>
          <w:szCs w:val="16"/>
        </w:rPr>
        <w:t xml:space="preserve">daje o stavební produkci </w:t>
      </w:r>
      <w:r>
        <w:rPr>
          <w:rFonts w:cs="Arial"/>
          <w:color w:val="0D0D0D" w:themeColor="text1" w:themeTint="F2"/>
          <w:spacing w:val="-2"/>
          <w:sz w:val="16"/>
          <w:szCs w:val="16"/>
        </w:rPr>
        <w:t xml:space="preserve">jsou ve stálých cenách, meziroční tempa </w:t>
      </w:r>
      <w:r w:rsidRPr="00C94BE8">
        <w:rPr>
          <w:rFonts w:cs="Arial"/>
          <w:color w:val="0D0D0D" w:themeColor="text1" w:themeTint="F2"/>
          <w:spacing w:val="-2"/>
          <w:sz w:val="16"/>
          <w:szCs w:val="16"/>
        </w:rPr>
        <w:t>jsou očištěn</w:t>
      </w:r>
      <w:r>
        <w:rPr>
          <w:rFonts w:cs="Arial"/>
          <w:color w:val="0D0D0D" w:themeColor="text1" w:themeTint="F2"/>
          <w:spacing w:val="-2"/>
          <w:sz w:val="16"/>
          <w:szCs w:val="16"/>
        </w:rPr>
        <w:t>a</w:t>
      </w:r>
      <w:r w:rsidRPr="00C94BE8">
        <w:rPr>
          <w:rFonts w:cs="Arial"/>
          <w:color w:val="0D0D0D" w:themeColor="text1" w:themeTint="F2"/>
          <w:spacing w:val="-2"/>
          <w:sz w:val="16"/>
          <w:szCs w:val="16"/>
        </w:rPr>
        <w:t xml:space="preserve"> o kalendá</w:t>
      </w:r>
      <w:r>
        <w:rPr>
          <w:rFonts w:cs="Arial"/>
          <w:color w:val="0D0D0D" w:themeColor="text1" w:themeTint="F2"/>
          <w:spacing w:val="-2"/>
          <w:sz w:val="16"/>
          <w:szCs w:val="16"/>
        </w:rPr>
        <w:t>řní vlivy, mezičtvrtletní též</w:t>
      </w:r>
      <w:r w:rsidRPr="00C94BE8">
        <w:rPr>
          <w:rFonts w:cs="Arial"/>
          <w:color w:val="0D0D0D" w:themeColor="text1" w:themeTint="F2"/>
          <w:spacing w:val="-2"/>
          <w:sz w:val="16"/>
          <w:szCs w:val="16"/>
        </w:rPr>
        <w:t xml:space="preserve"> o vliv sezónnosti.</w:t>
      </w:r>
    </w:p>
  </w:footnote>
  <w:footnote w:id="28">
    <w:p w14:paraId="734774BF" w14:textId="77777777" w:rsidR="006F6FF2" w:rsidRPr="0034138E" w:rsidRDefault="006F6FF2" w:rsidP="00E87CE2">
      <w:pPr>
        <w:pStyle w:val="Textpoznpodarou"/>
        <w:rPr>
          <w:sz w:val="16"/>
          <w:szCs w:val="16"/>
        </w:rPr>
      </w:pPr>
      <w:r w:rsidRPr="0034138E">
        <w:rPr>
          <w:rStyle w:val="Znakapoznpodarou"/>
          <w:sz w:val="16"/>
          <w:szCs w:val="16"/>
        </w:rPr>
        <w:footnoteRef/>
      </w:r>
      <w:r w:rsidRPr="0034138E">
        <w:rPr>
          <w:sz w:val="16"/>
          <w:szCs w:val="16"/>
        </w:rPr>
        <w:t xml:space="preserve"> Meziroční srovnání zde není na rozdíl od většiny ostatních odvětví ekonomiky zatíženo „nestandardní“ loňskou základnou, neboť dopad</w:t>
      </w:r>
      <w:r>
        <w:rPr>
          <w:sz w:val="16"/>
          <w:szCs w:val="16"/>
        </w:rPr>
        <w:t>y</w:t>
      </w:r>
      <w:r w:rsidRPr="0034138E">
        <w:rPr>
          <w:sz w:val="16"/>
          <w:szCs w:val="16"/>
        </w:rPr>
        <w:t xml:space="preserve"> pandemie se ve stavební produkci začaly více projevovat až </w:t>
      </w:r>
      <w:r>
        <w:rPr>
          <w:sz w:val="16"/>
          <w:szCs w:val="16"/>
        </w:rPr>
        <w:t>v </w:t>
      </w:r>
      <w:r w:rsidRPr="0034138E">
        <w:rPr>
          <w:sz w:val="16"/>
          <w:szCs w:val="16"/>
        </w:rPr>
        <w:t>pozdější části roku.</w:t>
      </w:r>
    </w:p>
  </w:footnote>
  <w:footnote w:id="29">
    <w:p w14:paraId="1756C4A4" w14:textId="77777777" w:rsidR="006F6FF2" w:rsidRPr="00655E03" w:rsidRDefault="006F6FF2" w:rsidP="00E87CE2">
      <w:pPr>
        <w:pStyle w:val="Textpoznpodarou"/>
        <w:rPr>
          <w:spacing w:val="-3"/>
          <w:sz w:val="16"/>
          <w:szCs w:val="16"/>
        </w:rPr>
      </w:pPr>
      <w:r w:rsidRPr="00655E03">
        <w:rPr>
          <w:rStyle w:val="Znakapoznpodarou"/>
          <w:spacing w:val="-3"/>
          <w:sz w:val="16"/>
          <w:szCs w:val="16"/>
        </w:rPr>
        <w:footnoteRef/>
      </w:r>
      <w:r w:rsidRPr="00655E03">
        <w:rPr>
          <w:spacing w:val="-3"/>
          <w:sz w:val="16"/>
          <w:szCs w:val="16"/>
        </w:rPr>
        <w:t xml:space="preserve"> Investiční transfery </w:t>
      </w:r>
      <w:r>
        <w:rPr>
          <w:spacing w:val="-3"/>
          <w:sz w:val="16"/>
          <w:szCs w:val="16"/>
        </w:rPr>
        <w:t>S</w:t>
      </w:r>
      <w:r w:rsidRPr="00655E03">
        <w:rPr>
          <w:spacing w:val="-3"/>
          <w:sz w:val="16"/>
          <w:szCs w:val="16"/>
        </w:rPr>
        <w:t>tátnímu fondu dopravní infrastruktury ze státního rozpočtu byly v roce 2020 meziročně o</w:t>
      </w:r>
      <w:r>
        <w:rPr>
          <w:spacing w:val="-3"/>
          <w:sz w:val="16"/>
          <w:szCs w:val="16"/>
        </w:rPr>
        <w:t> </w:t>
      </w:r>
      <w:r w:rsidRPr="00655E03">
        <w:rPr>
          <w:spacing w:val="-3"/>
          <w:sz w:val="16"/>
          <w:szCs w:val="16"/>
        </w:rPr>
        <w:t>41</w:t>
      </w:r>
      <w:r>
        <w:rPr>
          <w:spacing w:val="-3"/>
          <w:sz w:val="16"/>
          <w:szCs w:val="16"/>
        </w:rPr>
        <w:t> %</w:t>
      </w:r>
      <w:r w:rsidRPr="00655E03">
        <w:rPr>
          <w:spacing w:val="-3"/>
          <w:sz w:val="16"/>
          <w:szCs w:val="16"/>
        </w:rPr>
        <w:t xml:space="preserve"> vyšší, v 1.</w:t>
      </w:r>
      <w:r>
        <w:rPr>
          <w:spacing w:val="-3"/>
          <w:sz w:val="16"/>
          <w:szCs w:val="16"/>
        </w:rPr>
        <w:t> čtvrtlet</w:t>
      </w:r>
      <w:r w:rsidRPr="00655E03">
        <w:rPr>
          <w:spacing w:val="-3"/>
          <w:sz w:val="16"/>
          <w:szCs w:val="16"/>
        </w:rPr>
        <w:t>í 2021 o</w:t>
      </w:r>
      <w:r>
        <w:rPr>
          <w:spacing w:val="-3"/>
          <w:sz w:val="16"/>
          <w:szCs w:val="16"/>
        </w:rPr>
        <w:t> </w:t>
      </w:r>
      <w:r w:rsidRPr="00655E03">
        <w:rPr>
          <w:spacing w:val="-3"/>
          <w:sz w:val="16"/>
          <w:szCs w:val="16"/>
        </w:rPr>
        <w:t>16</w:t>
      </w:r>
      <w:r>
        <w:rPr>
          <w:spacing w:val="-3"/>
          <w:sz w:val="16"/>
          <w:szCs w:val="16"/>
        </w:rPr>
        <w:t> %</w:t>
      </w:r>
      <w:r w:rsidRPr="00655E03">
        <w:rPr>
          <w:spacing w:val="-3"/>
          <w:sz w:val="16"/>
          <w:szCs w:val="16"/>
        </w:rPr>
        <w:t>. Vyšší byl i</w:t>
      </w:r>
      <w:r>
        <w:rPr>
          <w:spacing w:val="-3"/>
          <w:sz w:val="16"/>
          <w:szCs w:val="16"/>
        </w:rPr>
        <w:t> </w:t>
      </w:r>
      <w:r w:rsidRPr="00655E03">
        <w:rPr>
          <w:spacing w:val="-3"/>
          <w:sz w:val="16"/>
          <w:szCs w:val="16"/>
        </w:rPr>
        <w:t>celkový příliv financí ze strukturálních fondů EU (loni +21</w:t>
      </w:r>
      <w:r>
        <w:rPr>
          <w:spacing w:val="-3"/>
          <w:sz w:val="16"/>
          <w:szCs w:val="16"/>
        </w:rPr>
        <w:t> %</w:t>
      </w:r>
      <w:r w:rsidRPr="00655E03">
        <w:rPr>
          <w:spacing w:val="-3"/>
          <w:sz w:val="16"/>
          <w:szCs w:val="16"/>
        </w:rPr>
        <w:t>, na 75,8</w:t>
      </w:r>
      <w:r>
        <w:rPr>
          <w:spacing w:val="-3"/>
          <w:sz w:val="16"/>
          <w:szCs w:val="16"/>
        </w:rPr>
        <w:t> mld.</w:t>
      </w:r>
      <w:r w:rsidRPr="00655E03">
        <w:rPr>
          <w:spacing w:val="-3"/>
          <w:sz w:val="16"/>
          <w:szCs w:val="16"/>
        </w:rPr>
        <w:t xml:space="preserve"> korun, v 1.</w:t>
      </w:r>
      <w:r>
        <w:rPr>
          <w:spacing w:val="-3"/>
          <w:sz w:val="16"/>
          <w:szCs w:val="16"/>
        </w:rPr>
        <w:t> čtvrtlet</w:t>
      </w:r>
      <w:r w:rsidRPr="00655E03">
        <w:rPr>
          <w:spacing w:val="-3"/>
          <w:sz w:val="16"/>
          <w:szCs w:val="16"/>
        </w:rPr>
        <w:t>í 2021 +9</w:t>
      </w:r>
      <w:r>
        <w:rPr>
          <w:spacing w:val="-3"/>
          <w:sz w:val="16"/>
          <w:szCs w:val="16"/>
        </w:rPr>
        <w:t> %,</w:t>
      </w:r>
      <w:r w:rsidRPr="00655E03">
        <w:rPr>
          <w:spacing w:val="-3"/>
          <w:sz w:val="16"/>
          <w:szCs w:val="16"/>
        </w:rPr>
        <w:t xml:space="preserve"> na 33,6</w:t>
      </w:r>
      <w:r>
        <w:rPr>
          <w:spacing w:val="-3"/>
          <w:sz w:val="16"/>
          <w:szCs w:val="16"/>
        </w:rPr>
        <w:t> mld.</w:t>
      </w:r>
      <w:r w:rsidRPr="00655E03">
        <w:rPr>
          <w:spacing w:val="-3"/>
          <w:sz w:val="16"/>
          <w:szCs w:val="16"/>
        </w:rPr>
        <w:t>).</w:t>
      </w:r>
    </w:p>
  </w:footnote>
  <w:footnote w:id="30">
    <w:p w14:paraId="76C287CA" w14:textId="77777777" w:rsidR="006F6FF2" w:rsidRPr="003156B3" w:rsidRDefault="006F6FF2" w:rsidP="00E87CE2">
      <w:pPr>
        <w:pStyle w:val="Textpoznpodarou"/>
        <w:rPr>
          <w:sz w:val="16"/>
          <w:szCs w:val="16"/>
        </w:rPr>
      </w:pPr>
      <w:r w:rsidRPr="003156B3">
        <w:rPr>
          <w:rStyle w:val="Znakapoznpodarou"/>
          <w:sz w:val="16"/>
          <w:szCs w:val="16"/>
        </w:rPr>
        <w:footnoteRef/>
      </w:r>
      <w:r w:rsidRPr="003156B3">
        <w:rPr>
          <w:sz w:val="16"/>
          <w:szCs w:val="16"/>
        </w:rPr>
        <w:t xml:space="preserve"> </w:t>
      </w:r>
      <w:r w:rsidRPr="003156B3">
        <w:rPr>
          <w:rFonts w:cs="Arial"/>
          <w:bCs/>
          <w:color w:val="0D0D0D" w:themeColor="text1" w:themeTint="F2"/>
          <w:sz w:val="16"/>
          <w:szCs w:val="16"/>
        </w:rPr>
        <w:t xml:space="preserve">Souhrnný cenový index stavebních prací vzrostl za </w:t>
      </w:r>
      <w:r>
        <w:rPr>
          <w:rFonts w:cs="Arial"/>
          <w:bCs/>
          <w:color w:val="0D0D0D" w:themeColor="text1" w:themeTint="F2"/>
          <w:sz w:val="16"/>
          <w:szCs w:val="16"/>
        </w:rPr>
        <w:t>srovnatelné</w:t>
      </w:r>
      <w:r w:rsidRPr="003156B3">
        <w:rPr>
          <w:rFonts w:cs="Arial"/>
          <w:bCs/>
          <w:color w:val="0D0D0D" w:themeColor="text1" w:themeTint="F2"/>
          <w:sz w:val="16"/>
          <w:szCs w:val="16"/>
        </w:rPr>
        <w:t xml:space="preserve"> dvouleté období o</w:t>
      </w:r>
      <w:r>
        <w:rPr>
          <w:rFonts w:cs="Arial"/>
          <w:bCs/>
          <w:color w:val="0D0D0D" w:themeColor="text1" w:themeTint="F2"/>
          <w:sz w:val="16"/>
          <w:szCs w:val="16"/>
        </w:rPr>
        <w:t> </w:t>
      </w:r>
      <w:r w:rsidRPr="003156B3">
        <w:rPr>
          <w:rFonts w:cs="Arial"/>
          <w:bCs/>
          <w:color w:val="0D0D0D" w:themeColor="text1" w:themeTint="F2"/>
          <w:sz w:val="16"/>
          <w:szCs w:val="16"/>
        </w:rPr>
        <w:t>6,5</w:t>
      </w:r>
      <w:r>
        <w:rPr>
          <w:rFonts w:cs="Arial"/>
          <w:bCs/>
          <w:color w:val="0D0D0D" w:themeColor="text1" w:themeTint="F2"/>
          <w:sz w:val="16"/>
          <w:szCs w:val="16"/>
        </w:rPr>
        <w:t> %</w:t>
      </w:r>
      <w:r w:rsidRPr="003156B3">
        <w:rPr>
          <w:rFonts w:cs="Arial"/>
          <w:bCs/>
          <w:color w:val="0D0D0D" w:themeColor="text1" w:themeTint="F2"/>
          <w:sz w:val="16"/>
          <w:szCs w:val="16"/>
        </w:rPr>
        <w:t>.</w:t>
      </w:r>
    </w:p>
  </w:footnote>
  <w:footnote w:id="31">
    <w:p w14:paraId="1FE043C6" w14:textId="77777777" w:rsidR="006F6FF2" w:rsidRPr="00365591" w:rsidRDefault="006F6FF2" w:rsidP="00E87CE2">
      <w:pPr>
        <w:spacing w:after="0" w:line="240" w:lineRule="auto"/>
        <w:rPr>
          <w:sz w:val="16"/>
          <w:szCs w:val="16"/>
        </w:rPr>
      </w:pPr>
      <w:r w:rsidRPr="004A26AF">
        <w:rPr>
          <w:rStyle w:val="Znakapoznpodarou"/>
          <w:color w:val="0D0D0D" w:themeColor="text1" w:themeTint="F2"/>
          <w:sz w:val="16"/>
          <w:szCs w:val="16"/>
        </w:rPr>
        <w:footnoteRef/>
      </w:r>
      <w:r>
        <w:rPr>
          <w:color w:val="0D0D0D" w:themeColor="text1" w:themeTint="F2"/>
          <w:sz w:val="16"/>
          <w:szCs w:val="16"/>
        </w:rPr>
        <w:t xml:space="preserve"> </w:t>
      </w:r>
      <w:r w:rsidRPr="004A26AF">
        <w:rPr>
          <w:color w:val="0D0D0D" w:themeColor="text1" w:themeTint="F2"/>
          <w:sz w:val="16"/>
          <w:szCs w:val="16"/>
        </w:rPr>
        <w:t>Bez obchodu, peněžnictví, poji</w:t>
      </w:r>
      <w:r>
        <w:rPr>
          <w:color w:val="0D0D0D" w:themeColor="text1" w:themeTint="F2"/>
          <w:sz w:val="16"/>
          <w:szCs w:val="16"/>
        </w:rPr>
        <w:t>šťovnictví, vědy, výzkumu a veřejných</w:t>
      </w:r>
      <w:r w:rsidRPr="004A26AF">
        <w:rPr>
          <w:color w:val="0D0D0D" w:themeColor="text1" w:themeTint="F2"/>
          <w:sz w:val="16"/>
          <w:szCs w:val="16"/>
        </w:rPr>
        <w:t xml:space="preserve"> služeb. Všechny údaje za služby jsou </w:t>
      </w:r>
      <w:r>
        <w:rPr>
          <w:color w:val="0D0D0D" w:themeColor="text1" w:themeTint="F2"/>
          <w:sz w:val="16"/>
          <w:szCs w:val="16"/>
        </w:rPr>
        <w:t xml:space="preserve">ve stálých cenách, meziroční údaje jsou </w:t>
      </w:r>
      <w:r w:rsidRPr="004A26AF">
        <w:rPr>
          <w:color w:val="0D0D0D" w:themeColor="text1" w:themeTint="F2"/>
          <w:sz w:val="16"/>
          <w:szCs w:val="16"/>
        </w:rPr>
        <w:t>očištěny o</w:t>
      </w:r>
      <w:r>
        <w:rPr>
          <w:color w:val="0D0D0D" w:themeColor="text1" w:themeTint="F2"/>
          <w:sz w:val="16"/>
          <w:szCs w:val="16"/>
        </w:rPr>
        <w:t> </w:t>
      </w:r>
      <w:r w:rsidRPr="004A26AF">
        <w:rPr>
          <w:color w:val="0D0D0D" w:themeColor="text1" w:themeTint="F2"/>
          <w:sz w:val="16"/>
          <w:szCs w:val="16"/>
        </w:rPr>
        <w:t>kal</w:t>
      </w:r>
      <w:r>
        <w:rPr>
          <w:color w:val="0D0D0D" w:themeColor="text1" w:themeTint="F2"/>
          <w:sz w:val="16"/>
          <w:szCs w:val="16"/>
        </w:rPr>
        <w:t>endářní vlivy, mezičtvrtletní i meziměsíční jsou očištěny o sezónní vlivy (včetně vlivu počtu pracovních dnů)</w:t>
      </w:r>
      <w:r w:rsidRPr="004A26AF">
        <w:rPr>
          <w:color w:val="0D0D0D" w:themeColor="text1" w:themeTint="F2"/>
          <w:sz w:val="16"/>
          <w:szCs w:val="16"/>
        </w:rPr>
        <w:t>.</w:t>
      </w:r>
    </w:p>
  </w:footnote>
  <w:footnote w:id="32">
    <w:p w14:paraId="7994D247" w14:textId="77777777" w:rsidR="006F6FF2" w:rsidRPr="00847F9A" w:rsidRDefault="006F6FF2" w:rsidP="00E87CE2">
      <w:pPr>
        <w:pStyle w:val="Textpoznpodarou"/>
        <w:rPr>
          <w:sz w:val="16"/>
          <w:szCs w:val="16"/>
        </w:rPr>
      </w:pPr>
      <w:r w:rsidRPr="00847F9A">
        <w:rPr>
          <w:rStyle w:val="Znakapoznpodarou"/>
          <w:sz w:val="16"/>
          <w:szCs w:val="16"/>
        </w:rPr>
        <w:footnoteRef/>
      </w:r>
      <w:r w:rsidRPr="00847F9A">
        <w:rPr>
          <w:sz w:val="16"/>
          <w:szCs w:val="16"/>
        </w:rPr>
        <w:t xml:space="preserve"> Propad tržeb za celý loňský rok činil 11,8</w:t>
      </w:r>
      <w:r>
        <w:rPr>
          <w:sz w:val="16"/>
          <w:szCs w:val="16"/>
        </w:rPr>
        <w:t> %,</w:t>
      </w:r>
      <w:r w:rsidRPr="00847F9A">
        <w:rPr>
          <w:sz w:val="16"/>
          <w:szCs w:val="16"/>
        </w:rPr>
        <w:t xml:space="preserve"> a</w:t>
      </w:r>
      <w:r>
        <w:rPr>
          <w:sz w:val="16"/>
          <w:szCs w:val="16"/>
        </w:rPr>
        <w:t> </w:t>
      </w:r>
      <w:r w:rsidRPr="00847F9A">
        <w:rPr>
          <w:sz w:val="16"/>
          <w:szCs w:val="16"/>
        </w:rPr>
        <w:t>mírně tak převýšil dosud rekordní útlum z roku 2009 (o</w:t>
      </w:r>
      <w:r>
        <w:rPr>
          <w:sz w:val="16"/>
          <w:szCs w:val="16"/>
        </w:rPr>
        <w:t> </w:t>
      </w:r>
      <w:r w:rsidRPr="00847F9A">
        <w:rPr>
          <w:sz w:val="16"/>
          <w:szCs w:val="16"/>
        </w:rPr>
        <w:t>10,2</w:t>
      </w:r>
      <w:r>
        <w:rPr>
          <w:sz w:val="16"/>
          <w:szCs w:val="16"/>
        </w:rPr>
        <w:t> %</w:t>
      </w:r>
      <w:r w:rsidRPr="00847F9A">
        <w:rPr>
          <w:sz w:val="16"/>
          <w:szCs w:val="16"/>
        </w:rPr>
        <w:t>).</w:t>
      </w:r>
    </w:p>
  </w:footnote>
  <w:footnote w:id="33">
    <w:p w14:paraId="5D53D558" w14:textId="77777777" w:rsidR="006F6FF2" w:rsidRPr="00365591" w:rsidRDefault="006F6FF2" w:rsidP="00E87CE2">
      <w:pPr>
        <w:spacing w:after="0" w:line="240" w:lineRule="auto"/>
        <w:jc w:val="left"/>
        <w:rPr>
          <w:rFonts w:cs="Arial"/>
          <w:bCs/>
          <w:spacing w:val="-2"/>
          <w:sz w:val="16"/>
          <w:szCs w:val="16"/>
        </w:rPr>
      </w:pPr>
      <w:r w:rsidRPr="00954045">
        <w:rPr>
          <w:rFonts w:eastAsia="Calibri"/>
          <w:sz w:val="16"/>
          <w:szCs w:val="16"/>
          <w:vertAlign w:val="superscript"/>
        </w:rPr>
        <w:footnoteRef/>
      </w:r>
      <w:r w:rsidRPr="00954045">
        <w:rPr>
          <w:rFonts w:eastAsia="Calibri"/>
          <w:sz w:val="16"/>
          <w:szCs w:val="16"/>
          <w:vertAlign w:val="superscript"/>
        </w:rPr>
        <w:t xml:space="preserve"> </w:t>
      </w:r>
      <w:r w:rsidRPr="00954045">
        <w:rPr>
          <w:rFonts w:eastAsia="Calibri"/>
          <w:sz w:val="16"/>
          <w:szCs w:val="16"/>
        </w:rPr>
        <w:t xml:space="preserve">V hromadných ubytovacích zařízeních </w:t>
      </w:r>
      <w:r>
        <w:rPr>
          <w:rFonts w:eastAsia="Calibri"/>
          <w:sz w:val="16"/>
          <w:szCs w:val="16"/>
        </w:rPr>
        <w:t>se v </w:t>
      </w:r>
      <w:r w:rsidRPr="00954045">
        <w:rPr>
          <w:rFonts w:eastAsia="Calibri"/>
          <w:sz w:val="16"/>
          <w:szCs w:val="16"/>
        </w:rPr>
        <w:t>1.</w:t>
      </w:r>
      <w:r>
        <w:rPr>
          <w:rFonts w:eastAsia="Calibri"/>
          <w:sz w:val="16"/>
          <w:szCs w:val="16"/>
        </w:rPr>
        <w:t> čtvrtlet</w:t>
      </w:r>
      <w:r w:rsidRPr="00954045">
        <w:rPr>
          <w:rFonts w:eastAsia="Calibri"/>
          <w:sz w:val="16"/>
          <w:szCs w:val="16"/>
        </w:rPr>
        <w:t xml:space="preserve">í 2021 </w:t>
      </w:r>
      <w:r>
        <w:rPr>
          <w:rFonts w:eastAsia="Calibri"/>
          <w:sz w:val="16"/>
          <w:szCs w:val="16"/>
        </w:rPr>
        <w:t>počet hostů meziročně propadl</w:t>
      </w:r>
      <w:r w:rsidRPr="00954045">
        <w:rPr>
          <w:rFonts w:eastAsia="Calibri"/>
          <w:sz w:val="16"/>
          <w:szCs w:val="16"/>
        </w:rPr>
        <w:t xml:space="preserve"> o</w:t>
      </w:r>
      <w:r>
        <w:rPr>
          <w:rFonts w:eastAsia="Calibri"/>
          <w:sz w:val="16"/>
          <w:szCs w:val="16"/>
        </w:rPr>
        <w:t> </w:t>
      </w:r>
      <w:r w:rsidRPr="00954045">
        <w:rPr>
          <w:rFonts w:eastAsia="Calibri"/>
          <w:sz w:val="16"/>
          <w:szCs w:val="16"/>
        </w:rPr>
        <w:t>91</w:t>
      </w:r>
      <w:r>
        <w:rPr>
          <w:rFonts w:eastAsia="Calibri"/>
          <w:sz w:val="16"/>
          <w:szCs w:val="16"/>
        </w:rPr>
        <w:t> %</w:t>
      </w:r>
      <w:r w:rsidRPr="00954045">
        <w:rPr>
          <w:rFonts w:eastAsia="Calibri"/>
          <w:sz w:val="16"/>
          <w:szCs w:val="16"/>
        </w:rPr>
        <w:t xml:space="preserve"> a</w:t>
      </w:r>
      <w:r>
        <w:rPr>
          <w:rFonts w:eastAsia="Calibri"/>
          <w:sz w:val="16"/>
          <w:szCs w:val="16"/>
        </w:rPr>
        <w:t> </w:t>
      </w:r>
      <w:r w:rsidRPr="00954045">
        <w:rPr>
          <w:rFonts w:eastAsia="Calibri"/>
          <w:sz w:val="16"/>
          <w:szCs w:val="16"/>
        </w:rPr>
        <w:t>jejich přenocování o</w:t>
      </w:r>
      <w:r>
        <w:rPr>
          <w:rFonts w:eastAsia="Calibri"/>
          <w:sz w:val="16"/>
          <w:szCs w:val="16"/>
        </w:rPr>
        <w:t> </w:t>
      </w:r>
      <w:r w:rsidRPr="00954045">
        <w:rPr>
          <w:rFonts w:eastAsia="Calibri"/>
          <w:sz w:val="16"/>
          <w:szCs w:val="16"/>
        </w:rPr>
        <w:t>88</w:t>
      </w:r>
      <w:r>
        <w:rPr>
          <w:rFonts w:eastAsia="Calibri"/>
          <w:sz w:val="16"/>
          <w:szCs w:val="16"/>
        </w:rPr>
        <w:t> %</w:t>
      </w:r>
      <w:r w:rsidRPr="00954045">
        <w:rPr>
          <w:rFonts w:eastAsia="Calibri"/>
          <w:sz w:val="16"/>
          <w:szCs w:val="16"/>
        </w:rPr>
        <w:t>. Cestovních ruch se fakticky omezil jen na nutné pracovní cesty a</w:t>
      </w:r>
      <w:r>
        <w:rPr>
          <w:rFonts w:eastAsia="Calibri"/>
          <w:sz w:val="16"/>
          <w:szCs w:val="16"/>
        </w:rPr>
        <w:t> </w:t>
      </w:r>
      <w:r w:rsidRPr="00954045">
        <w:rPr>
          <w:rFonts w:eastAsia="Calibri"/>
          <w:sz w:val="16"/>
          <w:szCs w:val="16"/>
        </w:rPr>
        <w:t>lázeňské pobyty hrazené z veřejného zdravotního pojištění.</w:t>
      </w:r>
      <w:r>
        <w:rPr>
          <w:rFonts w:eastAsia="Calibri"/>
          <w:sz w:val="16"/>
          <w:szCs w:val="16"/>
        </w:rPr>
        <w:t xml:space="preserve"> Po celý březen</w:t>
      </w:r>
      <w:r w:rsidRPr="00954045">
        <w:rPr>
          <w:rFonts w:eastAsia="Calibri"/>
          <w:sz w:val="16"/>
          <w:szCs w:val="16"/>
        </w:rPr>
        <w:t xml:space="preserve"> platila i</w:t>
      </w:r>
      <w:r>
        <w:rPr>
          <w:rFonts w:eastAsia="Calibri"/>
          <w:sz w:val="16"/>
          <w:szCs w:val="16"/>
        </w:rPr>
        <w:t> </w:t>
      </w:r>
      <w:r w:rsidRPr="00954045">
        <w:rPr>
          <w:rFonts w:eastAsia="Calibri"/>
          <w:sz w:val="16"/>
          <w:szCs w:val="16"/>
        </w:rPr>
        <w:t>striktní omezení mobility obyvatelstva, která zásadně limitovala i</w:t>
      </w:r>
      <w:r>
        <w:rPr>
          <w:rFonts w:eastAsia="Calibri"/>
          <w:sz w:val="16"/>
          <w:szCs w:val="16"/>
        </w:rPr>
        <w:t> </w:t>
      </w:r>
      <w:r w:rsidRPr="00954045">
        <w:rPr>
          <w:rFonts w:eastAsia="Calibri"/>
          <w:sz w:val="16"/>
          <w:szCs w:val="16"/>
        </w:rPr>
        <w:t>jednodenní turistické cesty nespojené s ubytováním. Ve srovnání se 4.</w:t>
      </w:r>
      <w:r>
        <w:rPr>
          <w:rFonts w:eastAsia="Calibri"/>
          <w:sz w:val="16"/>
          <w:szCs w:val="16"/>
        </w:rPr>
        <w:t> čtvrtlet</w:t>
      </w:r>
      <w:r w:rsidRPr="00954045">
        <w:rPr>
          <w:rFonts w:eastAsia="Calibri"/>
          <w:sz w:val="16"/>
          <w:szCs w:val="16"/>
        </w:rPr>
        <w:t xml:space="preserve">ím 2020, po jehož převážnou část platila také striktní </w:t>
      </w:r>
      <w:proofErr w:type="spellStart"/>
      <w:r w:rsidRPr="00954045">
        <w:rPr>
          <w:rFonts w:eastAsia="Calibri"/>
          <w:sz w:val="16"/>
          <w:szCs w:val="16"/>
        </w:rPr>
        <w:t>protipandemická</w:t>
      </w:r>
      <w:proofErr w:type="spellEnd"/>
      <w:r w:rsidRPr="00954045">
        <w:rPr>
          <w:rFonts w:eastAsia="Calibri"/>
          <w:sz w:val="16"/>
          <w:szCs w:val="16"/>
        </w:rPr>
        <w:t xml:space="preserve"> opatření, klesl počet přenocování o</w:t>
      </w:r>
      <w:r>
        <w:rPr>
          <w:rFonts w:eastAsia="Calibri"/>
          <w:sz w:val="16"/>
          <w:szCs w:val="16"/>
        </w:rPr>
        <w:t> </w:t>
      </w:r>
      <w:r w:rsidRPr="00954045">
        <w:rPr>
          <w:rFonts w:eastAsia="Calibri"/>
          <w:sz w:val="16"/>
          <w:szCs w:val="16"/>
        </w:rPr>
        <w:t>polovinu. Počet ubytovaných nerezidentů dosáhl pouze 3,7</w:t>
      </w:r>
      <w:r>
        <w:rPr>
          <w:rFonts w:eastAsia="Calibri"/>
          <w:sz w:val="16"/>
          <w:szCs w:val="16"/>
        </w:rPr>
        <w:t>%</w:t>
      </w:r>
      <w:r w:rsidRPr="00954045">
        <w:rPr>
          <w:rFonts w:eastAsia="Calibri"/>
          <w:sz w:val="16"/>
          <w:szCs w:val="16"/>
        </w:rPr>
        <w:t xml:space="preserve"> úrovně z</w:t>
      </w:r>
      <w:r>
        <w:rPr>
          <w:rFonts w:eastAsia="Calibri"/>
          <w:sz w:val="16"/>
          <w:szCs w:val="16"/>
        </w:rPr>
        <w:t> </w:t>
      </w:r>
      <w:r w:rsidRPr="00954045">
        <w:rPr>
          <w:rFonts w:eastAsia="Calibri"/>
          <w:sz w:val="16"/>
          <w:szCs w:val="16"/>
        </w:rPr>
        <w:t>1.</w:t>
      </w:r>
      <w:r>
        <w:rPr>
          <w:rFonts w:eastAsia="Calibri"/>
          <w:sz w:val="16"/>
          <w:szCs w:val="16"/>
        </w:rPr>
        <w:t> čtvrtlet</w:t>
      </w:r>
      <w:r w:rsidRPr="00954045">
        <w:rPr>
          <w:rFonts w:eastAsia="Calibri"/>
          <w:sz w:val="16"/>
          <w:szCs w:val="16"/>
        </w:rPr>
        <w:t>í 2020. Příjezdový cestovní ruch byl v 1.</w:t>
      </w:r>
      <w:r>
        <w:rPr>
          <w:rFonts w:eastAsia="Calibri"/>
          <w:sz w:val="16"/>
          <w:szCs w:val="16"/>
        </w:rPr>
        <w:t> čtvrtlet</w:t>
      </w:r>
      <w:r w:rsidRPr="00954045">
        <w:rPr>
          <w:rFonts w:eastAsia="Calibri"/>
          <w:sz w:val="16"/>
          <w:szCs w:val="16"/>
        </w:rPr>
        <w:t>í 2021, obdobně jako po většinu loňského roku, fakticky omezen na vztahy se středoevropskými státy.</w:t>
      </w:r>
    </w:p>
  </w:footnote>
  <w:footnote w:id="34">
    <w:p w14:paraId="742C6C01" w14:textId="77777777" w:rsidR="006F6FF2" w:rsidRPr="00864235" w:rsidRDefault="006F6FF2" w:rsidP="00E87CE2">
      <w:pPr>
        <w:pStyle w:val="Textpoznpodarou"/>
        <w:rPr>
          <w:sz w:val="16"/>
          <w:szCs w:val="16"/>
        </w:rPr>
      </w:pPr>
      <w:r w:rsidRPr="00864235">
        <w:rPr>
          <w:rStyle w:val="Znakapoznpodarou"/>
          <w:sz w:val="16"/>
          <w:szCs w:val="16"/>
        </w:rPr>
        <w:footnoteRef/>
      </w:r>
      <w:r w:rsidRPr="00864235">
        <w:rPr>
          <w:sz w:val="16"/>
          <w:szCs w:val="16"/>
        </w:rPr>
        <w:t xml:space="preserve"> Dle údaje Unie filmových distributorů klesl </w:t>
      </w:r>
      <w:r>
        <w:rPr>
          <w:sz w:val="16"/>
          <w:szCs w:val="16"/>
        </w:rPr>
        <w:t xml:space="preserve">v roce 2020 </w:t>
      </w:r>
      <w:r w:rsidRPr="00864235">
        <w:rPr>
          <w:sz w:val="16"/>
          <w:szCs w:val="16"/>
        </w:rPr>
        <w:t>počet návštěvníků kin meziročně o</w:t>
      </w:r>
      <w:r>
        <w:rPr>
          <w:sz w:val="16"/>
          <w:szCs w:val="16"/>
        </w:rPr>
        <w:t> </w:t>
      </w:r>
      <w:r w:rsidRPr="00864235">
        <w:rPr>
          <w:sz w:val="16"/>
          <w:szCs w:val="16"/>
        </w:rPr>
        <w:t>65</w:t>
      </w:r>
      <w:r>
        <w:rPr>
          <w:sz w:val="16"/>
          <w:szCs w:val="16"/>
        </w:rPr>
        <w:t> %</w:t>
      </w:r>
      <w:r w:rsidRPr="00864235">
        <w:rPr>
          <w:sz w:val="16"/>
          <w:szCs w:val="16"/>
        </w:rPr>
        <w:t>, na 6,4</w:t>
      </w:r>
      <w:r>
        <w:rPr>
          <w:sz w:val="16"/>
          <w:szCs w:val="16"/>
        </w:rPr>
        <w:t> mil. (nejnižší počet v historii ČR). Kina vloni bez omezení fungovala jen 2,5 měsíce, téměř pět měsíců v roce byla fakticky uzavřena (povolen byl jen provoz autokin). Tento stav trval i po celé 1. čtvrtletí 2021, kdy kina navštívilo jen 2,2 tis. diváků. Méně byla zasažena oblast výroby filmů, na niž se vztahovaly významné restrikce jen během loňské jarní pandemické vlny.</w:t>
      </w:r>
    </w:p>
  </w:footnote>
  <w:footnote w:id="35">
    <w:p w14:paraId="673856CD" w14:textId="77777777" w:rsidR="006F6FF2" w:rsidRPr="00365591" w:rsidRDefault="006F6FF2" w:rsidP="00E87CE2">
      <w:pPr>
        <w:spacing w:after="0" w:line="240" w:lineRule="auto"/>
        <w:rPr>
          <w:sz w:val="16"/>
          <w:szCs w:val="16"/>
        </w:rPr>
      </w:pPr>
      <w:r w:rsidRPr="000F615E">
        <w:rPr>
          <w:rStyle w:val="Znakapoznpodarou"/>
          <w:color w:val="0D0D0D" w:themeColor="text1" w:themeTint="F2"/>
          <w:sz w:val="16"/>
          <w:szCs w:val="16"/>
        </w:rPr>
        <w:footnoteRef/>
      </w:r>
      <w:r w:rsidRPr="000F615E">
        <w:rPr>
          <w:color w:val="0D0D0D" w:themeColor="text1" w:themeTint="F2"/>
          <w:sz w:val="16"/>
          <w:szCs w:val="16"/>
        </w:rPr>
        <w:t xml:space="preserve"> Všechna meziroční tempa tržeb za maloobchod jsou uvedena ve stálých cenách a očištěna o kalendářní vlivy, mezičtvrtletní </w:t>
      </w:r>
      <w:r>
        <w:rPr>
          <w:color w:val="0D0D0D" w:themeColor="text1" w:themeTint="F2"/>
          <w:sz w:val="16"/>
          <w:szCs w:val="16"/>
        </w:rPr>
        <w:t>i</w:t>
      </w:r>
      <w:r w:rsidRPr="00864235">
        <w:rPr>
          <w:sz w:val="16"/>
          <w:szCs w:val="16"/>
        </w:rPr>
        <w:t> </w:t>
      </w:r>
      <w:r>
        <w:rPr>
          <w:color w:val="0D0D0D" w:themeColor="text1" w:themeTint="F2"/>
          <w:sz w:val="16"/>
          <w:szCs w:val="16"/>
        </w:rPr>
        <w:t xml:space="preserve">meziměsíční </w:t>
      </w:r>
      <w:r w:rsidRPr="000F615E">
        <w:rPr>
          <w:color w:val="0D0D0D" w:themeColor="text1" w:themeTint="F2"/>
          <w:sz w:val="16"/>
          <w:szCs w:val="16"/>
        </w:rPr>
        <w:t>tempa jsou očištěna o sezónní vlivy (včetně vlivu počtu pracovních dnů).</w:t>
      </w:r>
      <w:r>
        <w:rPr>
          <w:color w:val="0D0D0D" w:themeColor="text1" w:themeTint="F2"/>
          <w:sz w:val="16"/>
          <w:szCs w:val="16"/>
        </w:rPr>
        <w:t xml:space="preserve"> Maloobchod zahrnuje odvětví CZ-NACE 47.</w:t>
      </w:r>
    </w:p>
  </w:footnote>
  <w:footnote w:id="36">
    <w:p w14:paraId="7766DACC" w14:textId="77777777" w:rsidR="006F6FF2" w:rsidRDefault="006F6FF2" w:rsidP="00E87CE2">
      <w:pPr>
        <w:pStyle w:val="Textpoznpodarou"/>
      </w:pPr>
      <w:r w:rsidRPr="001B03D8">
        <w:rPr>
          <w:rFonts w:eastAsia="Times New Roman"/>
          <w:color w:val="0D0D0D" w:themeColor="text1" w:themeTint="F2"/>
          <w:sz w:val="16"/>
          <w:szCs w:val="16"/>
          <w:vertAlign w:val="superscript"/>
        </w:rPr>
        <w:footnoteRef/>
      </w:r>
      <w:r w:rsidRPr="001B03D8">
        <w:rPr>
          <w:rFonts w:eastAsia="Times New Roman"/>
          <w:color w:val="0D0D0D" w:themeColor="text1" w:themeTint="F2"/>
          <w:sz w:val="16"/>
          <w:szCs w:val="16"/>
          <w:vertAlign w:val="superscript"/>
        </w:rPr>
        <w:t xml:space="preserve"> </w:t>
      </w:r>
      <w:r w:rsidRPr="00076DCB">
        <w:rPr>
          <w:rFonts w:eastAsia="Times New Roman"/>
          <w:color w:val="0D0D0D" w:themeColor="text1" w:themeTint="F2"/>
          <w:sz w:val="16"/>
          <w:szCs w:val="16"/>
        </w:rPr>
        <w:t>Relativně mírný meziroční pokles souvisí s tím, že v</w:t>
      </w:r>
      <w:r>
        <w:rPr>
          <w:rFonts w:eastAsia="Times New Roman"/>
          <w:color w:val="0D0D0D" w:themeColor="text1" w:themeTint="F2"/>
          <w:sz w:val="16"/>
          <w:szCs w:val="16"/>
        </w:rPr>
        <w:t> </w:t>
      </w:r>
      <w:r w:rsidRPr="00076DCB">
        <w:rPr>
          <w:rFonts w:eastAsia="Times New Roman"/>
          <w:color w:val="0D0D0D" w:themeColor="text1" w:themeTint="F2"/>
          <w:sz w:val="16"/>
          <w:szCs w:val="16"/>
        </w:rPr>
        <w:t>březnu 2020 už platila opatření, kvůli kterým se maloobchod tehdy propadal. Propad ve srovnání se závěrem roku 2020 zase ovlivnilo prosincové otevření prodejen.</w:t>
      </w:r>
    </w:p>
  </w:footnote>
  <w:footnote w:id="37">
    <w:p w14:paraId="7B48D2B1" w14:textId="77777777" w:rsidR="006F6FF2" w:rsidRPr="00940B11" w:rsidRDefault="006F6FF2" w:rsidP="00DF57D6">
      <w:pPr>
        <w:pStyle w:val="Textpoznpodarou"/>
        <w:rPr>
          <w:sz w:val="16"/>
          <w:szCs w:val="16"/>
        </w:rPr>
      </w:pPr>
      <w:r w:rsidRPr="00940B11">
        <w:rPr>
          <w:rStyle w:val="Znakapoznpodarou"/>
          <w:sz w:val="16"/>
          <w:szCs w:val="16"/>
        </w:rPr>
        <w:footnoteRef/>
      </w:r>
      <w:r w:rsidRPr="00940B11">
        <w:rPr>
          <w:sz w:val="16"/>
          <w:szCs w:val="16"/>
        </w:rPr>
        <w:t xml:space="preserve"> SITC</w:t>
      </w:r>
      <w:r>
        <w:rPr>
          <w:sz w:val="16"/>
          <w:szCs w:val="16"/>
        </w:rPr>
        <w:t> </w:t>
      </w:r>
      <w:r w:rsidRPr="00940B11">
        <w:rPr>
          <w:sz w:val="16"/>
          <w:szCs w:val="16"/>
        </w:rPr>
        <w:t>2</w:t>
      </w:r>
      <w:r>
        <w:rPr>
          <w:sz w:val="16"/>
          <w:szCs w:val="16"/>
        </w:rPr>
        <w:t> </w:t>
      </w:r>
      <w:r w:rsidRPr="00940B11">
        <w:rPr>
          <w:sz w:val="16"/>
          <w:szCs w:val="16"/>
        </w:rPr>
        <w:t>– suroviny nepoživatelné s výjimkou paliv.</w:t>
      </w:r>
    </w:p>
  </w:footnote>
  <w:footnote w:id="38">
    <w:p w14:paraId="33C7CC9C" w14:textId="77777777" w:rsidR="006F6FF2" w:rsidRPr="00940B11" w:rsidRDefault="006F6FF2" w:rsidP="00DF57D6">
      <w:pPr>
        <w:pStyle w:val="Textpoznpodarou"/>
        <w:rPr>
          <w:sz w:val="16"/>
          <w:szCs w:val="16"/>
        </w:rPr>
      </w:pPr>
      <w:r w:rsidRPr="00940B11">
        <w:rPr>
          <w:rStyle w:val="Znakapoznpodarou"/>
          <w:sz w:val="16"/>
          <w:szCs w:val="16"/>
        </w:rPr>
        <w:footnoteRef/>
      </w:r>
      <w:r w:rsidRPr="00940B11">
        <w:rPr>
          <w:sz w:val="16"/>
          <w:szCs w:val="16"/>
        </w:rPr>
        <w:t xml:space="preserve"> SITC</w:t>
      </w:r>
      <w:r>
        <w:rPr>
          <w:sz w:val="16"/>
          <w:szCs w:val="16"/>
        </w:rPr>
        <w:t> </w:t>
      </w:r>
      <w:r w:rsidRPr="00940B11">
        <w:rPr>
          <w:sz w:val="16"/>
          <w:szCs w:val="16"/>
        </w:rPr>
        <w:t>6</w:t>
      </w:r>
      <w:r>
        <w:rPr>
          <w:sz w:val="16"/>
          <w:szCs w:val="16"/>
        </w:rPr>
        <w:t> </w:t>
      </w:r>
      <w:r w:rsidRPr="00940B11">
        <w:rPr>
          <w:sz w:val="16"/>
          <w:szCs w:val="16"/>
        </w:rPr>
        <w:t>– tržní výrobky tříděné hlavně podle materiálu.</w:t>
      </w:r>
    </w:p>
  </w:footnote>
  <w:footnote w:id="39">
    <w:p w14:paraId="396F5DCE" w14:textId="77777777" w:rsidR="006F6FF2" w:rsidRPr="00CD5EBC" w:rsidRDefault="006F6FF2" w:rsidP="00F766BE">
      <w:pPr>
        <w:pStyle w:val="Textpoznpodarou"/>
        <w:jc w:val="both"/>
        <w:rPr>
          <w:spacing w:val="-2"/>
          <w:sz w:val="16"/>
          <w:szCs w:val="16"/>
        </w:rPr>
      </w:pPr>
      <w:r w:rsidRPr="00CD5EBC">
        <w:rPr>
          <w:rStyle w:val="Znakapoznpodarou"/>
          <w:spacing w:val="-2"/>
          <w:sz w:val="16"/>
          <w:szCs w:val="16"/>
        </w:rPr>
        <w:footnoteRef/>
      </w:r>
      <w:r w:rsidRPr="00CD5EBC">
        <w:rPr>
          <w:spacing w:val="-2"/>
          <w:sz w:val="16"/>
          <w:szCs w:val="16"/>
        </w:rPr>
        <w:t xml:space="preserve"> Není-li uvedeno jinak, jsou údaje o zaměstnanosti v této kapitole vyjádřeny v pojetí národních účtů po očištění o sezónní vlivy.</w:t>
      </w:r>
    </w:p>
  </w:footnote>
  <w:footnote w:id="40">
    <w:p w14:paraId="006E8547" w14:textId="77777777" w:rsidR="006F6FF2" w:rsidRPr="00CD5EBC" w:rsidRDefault="006F6FF2" w:rsidP="00F766BE">
      <w:pPr>
        <w:pStyle w:val="Textpoznpodarou"/>
        <w:jc w:val="both"/>
        <w:rPr>
          <w:sz w:val="16"/>
          <w:szCs w:val="16"/>
        </w:rPr>
      </w:pPr>
      <w:r w:rsidRPr="00CD5EBC">
        <w:rPr>
          <w:rStyle w:val="Znakapoznpodarou"/>
          <w:sz w:val="16"/>
          <w:szCs w:val="16"/>
        </w:rPr>
        <w:footnoteRef/>
      </w:r>
      <w:r w:rsidRPr="00CD5EBC">
        <w:rPr>
          <w:sz w:val="16"/>
          <w:szCs w:val="16"/>
        </w:rPr>
        <w:t xml:space="preserve"> Podobně se snížila i</w:t>
      </w:r>
      <w:r>
        <w:rPr>
          <w:sz w:val="16"/>
          <w:szCs w:val="16"/>
        </w:rPr>
        <w:t> </w:t>
      </w:r>
      <w:r w:rsidRPr="00CD5EBC">
        <w:rPr>
          <w:sz w:val="16"/>
          <w:szCs w:val="16"/>
        </w:rPr>
        <w:t>zaměstnanost v EU (o</w:t>
      </w:r>
      <w:r>
        <w:rPr>
          <w:sz w:val="16"/>
          <w:szCs w:val="16"/>
        </w:rPr>
        <w:t> </w:t>
      </w:r>
      <w:r w:rsidRPr="00CD5EBC">
        <w:rPr>
          <w:sz w:val="16"/>
          <w:szCs w:val="16"/>
        </w:rPr>
        <w:t>1,8</w:t>
      </w:r>
      <w:r>
        <w:rPr>
          <w:sz w:val="16"/>
          <w:szCs w:val="16"/>
        </w:rPr>
        <w:t> %</w:t>
      </w:r>
      <w:r w:rsidRPr="00CD5EBC">
        <w:rPr>
          <w:sz w:val="16"/>
          <w:szCs w:val="16"/>
        </w:rPr>
        <w:t xml:space="preserve">). Největší propad postihl </w:t>
      </w:r>
      <w:proofErr w:type="gramStart"/>
      <w:r w:rsidRPr="00CD5EBC">
        <w:rPr>
          <w:sz w:val="16"/>
          <w:szCs w:val="16"/>
        </w:rPr>
        <w:t>Lotyšsko (</w:t>
      </w:r>
      <w:r w:rsidRPr="00CD5EBC">
        <w:rPr>
          <w:rFonts w:cs="Arial"/>
          <w:bCs/>
          <w:color w:val="000000"/>
          <w:spacing w:val="-2"/>
          <w:sz w:val="16"/>
          <w:szCs w:val="16"/>
        </w:rPr>
        <w:t>–</w:t>
      </w:r>
      <w:r w:rsidRPr="00CD5EBC">
        <w:rPr>
          <w:sz w:val="16"/>
          <w:szCs w:val="16"/>
        </w:rPr>
        <w:t>7,0</w:t>
      </w:r>
      <w:proofErr w:type="gramEnd"/>
      <w:r>
        <w:rPr>
          <w:sz w:val="16"/>
          <w:szCs w:val="16"/>
        </w:rPr>
        <w:t> %</w:t>
      </w:r>
      <w:r w:rsidRPr="00CD5EBC">
        <w:rPr>
          <w:sz w:val="16"/>
          <w:szCs w:val="16"/>
        </w:rPr>
        <w:t>) a</w:t>
      </w:r>
      <w:r>
        <w:rPr>
          <w:sz w:val="16"/>
          <w:szCs w:val="16"/>
        </w:rPr>
        <w:t> </w:t>
      </w:r>
      <w:r w:rsidRPr="00CD5EBC">
        <w:rPr>
          <w:sz w:val="16"/>
          <w:szCs w:val="16"/>
        </w:rPr>
        <w:t>Estonsko (</w:t>
      </w:r>
      <w:r w:rsidRPr="00CD5EBC">
        <w:rPr>
          <w:rFonts w:cs="Arial"/>
          <w:bCs/>
          <w:color w:val="000000"/>
          <w:spacing w:val="-2"/>
          <w:sz w:val="16"/>
          <w:szCs w:val="16"/>
        </w:rPr>
        <w:t>–</w:t>
      </w:r>
      <w:r w:rsidRPr="00CD5EBC">
        <w:rPr>
          <w:sz w:val="16"/>
          <w:szCs w:val="16"/>
        </w:rPr>
        <w:t>4,4</w:t>
      </w:r>
      <w:r>
        <w:rPr>
          <w:sz w:val="16"/>
          <w:szCs w:val="16"/>
        </w:rPr>
        <w:t> %</w:t>
      </w:r>
      <w:r w:rsidRPr="00CD5EBC">
        <w:rPr>
          <w:sz w:val="16"/>
          <w:szCs w:val="16"/>
        </w:rPr>
        <w:t>). Více než 2% pokles zaznamenaly i</w:t>
      </w:r>
      <w:r>
        <w:rPr>
          <w:sz w:val="16"/>
          <w:szCs w:val="16"/>
        </w:rPr>
        <w:t> </w:t>
      </w:r>
      <w:r w:rsidRPr="00CD5EBC">
        <w:rPr>
          <w:sz w:val="16"/>
          <w:szCs w:val="16"/>
        </w:rPr>
        <w:t>Španělsko, Itálie, Chorvatsko a</w:t>
      </w:r>
      <w:r>
        <w:rPr>
          <w:sz w:val="16"/>
          <w:szCs w:val="16"/>
        </w:rPr>
        <w:t> </w:t>
      </w:r>
      <w:r w:rsidRPr="00CD5EBC">
        <w:rPr>
          <w:sz w:val="16"/>
          <w:szCs w:val="16"/>
        </w:rPr>
        <w:t>Slovensko. Srovnatelně jako v ČR klesala zaměstnano</w:t>
      </w:r>
      <w:r>
        <w:rPr>
          <w:sz w:val="16"/>
          <w:szCs w:val="16"/>
        </w:rPr>
        <w:t>st v Německu, naopak v Polsku a</w:t>
      </w:r>
      <w:r w:rsidRPr="00CD5EBC">
        <w:rPr>
          <w:spacing w:val="-2"/>
          <w:sz w:val="16"/>
          <w:szCs w:val="16"/>
        </w:rPr>
        <w:t> </w:t>
      </w:r>
      <w:r w:rsidRPr="00CD5EBC">
        <w:rPr>
          <w:sz w:val="16"/>
          <w:szCs w:val="16"/>
        </w:rPr>
        <w:t>Maďarsku byly úbytky jen mírné (do 0,5</w:t>
      </w:r>
      <w:r>
        <w:rPr>
          <w:sz w:val="16"/>
          <w:szCs w:val="16"/>
        </w:rPr>
        <w:t> %</w:t>
      </w:r>
      <w:r w:rsidRPr="00CD5EBC">
        <w:rPr>
          <w:sz w:val="16"/>
          <w:szCs w:val="16"/>
        </w:rPr>
        <w:t>). Pracovníků přibylo jen v</w:t>
      </w:r>
      <w:r>
        <w:rPr>
          <w:sz w:val="16"/>
          <w:szCs w:val="16"/>
        </w:rPr>
        <w:t> </w:t>
      </w:r>
      <w:r w:rsidRPr="00CD5EBC">
        <w:rPr>
          <w:sz w:val="16"/>
          <w:szCs w:val="16"/>
        </w:rPr>
        <w:t>Belgii (+0,2 %)</w:t>
      </w:r>
      <w:r>
        <w:rPr>
          <w:sz w:val="16"/>
          <w:szCs w:val="16"/>
        </w:rPr>
        <w:t xml:space="preserve"> a </w:t>
      </w:r>
      <w:r w:rsidRPr="00CD5EBC">
        <w:rPr>
          <w:sz w:val="16"/>
          <w:szCs w:val="16"/>
        </w:rPr>
        <w:t>v Lucembursku (+1,9 %).</w:t>
      </w:r>
    </w:p>
  </w:footnote>
  <w:footnote w:id="41">
    <w:p w14:paraId="2AFB9550" w14:textId="77777777" w:rsidR="006F6FF2" w:rsidRPr="00CD5EBC" w:rsidRDefault="006F6FF2" w:rsidP="00F766BE">
      <w:pPr>
        <w:pStyle w:val="Textpoznpodarou"/>
        <w:jc w:val="both"/>
        <w:rPr>
          <w:sz w:val="16"/>
          <w:szCs w:val="16"/>
        </w:rPr>
      </w:pPr>
      <w:r w:rsidRPr="00CD5EBC">
        <w:rPr>
          <w:rStyle w:val="Znakapoznpodarou"/>
          <w:sz w:val="16"/>
          <w:szCs w:val="16"/>
        </w:rPr>
        <w:footnoteRef/>
      </w:r>
      <w:r w:rsidRPr="00CD5EBC">
        <w:rPr>
          <w:sz w:val="16"/>
          <w:szCs w:val="16"/>
        </w:rPr>
        <w:t xml:space="preserve"> </w:t>
      </w:r>
      <w:r w:rsidRPr="00CD5EBC">
        <w:rPr>
          <w:rFonts w:cs="Arial"/>
          <w:bCs/>
          <w:color w:val="000000"/>
          <w:spacing w:val="-4"/>
          <w:sz w:val="16"/>
          <w:szCs w:val="16"/>
        </w:rPr>
        <w:t xml:space="preserve">Z detailnějších údajů ze šetření u domácností plyne, že k poklesu došlo letos zejména u osob pracujících na vlastní </w:t>
      </w:r>
      <w:proofErr w:type="gramStart"/>
      <w:r w:rsidRPr="00CD5EBC">
        <w:rPr>
          <w:rFonts w:cs="Arial"/>
          <w:bCs/>
          <w:color w:val="000000"/>
          <w:spacing w:val="-4"/>
          <w:sz w:val="16"/>
          <w:szCs w:val="16"/>
        </w:rPr>
        <w:t>účet (</w:t>
      </w:r>
      <w:r w:rsidRPr="00CD5EBC">
        <w:rPr>
          <w:rFonts w:cs="Arial"/>
          <w:bCs/>
          <w:color w:val="000000"/>
          <w:spacing w:val="-2"/>
          <w:sz w:val="16"/>
          <w:szCs w:val="16"/>
        </w:rPr>
        <w:t>–</w:t>
      </w:r>
      <w:r w:rsidRPr="00CD5EBC">
        <w:rPr>
          <w:rFonts w:cs="Arial"/>
          <w:bCs/>
          <w:color w:val="000000"/>
          <w:spacing w:val="-4"/>
          <w:sz w:val="16"/>
          <w:szCs w:val="16"/>
        </w:rPr>
        <w:t>37,5</w:t>
      </w:r>
      <w:proofErr w:type="gramEnd"/>
      <w:r>
        <w:rPr>
          <w:rFonts w:cs="Arial"/>
          <w:bCs/>
          <w:color w:val="000000"/>
          <w:spacing w:val="-4"/>
          <w:sz w:val="16"/>
          <w:szCs w:val="16"/>
        </w:rPr>
        <w:t> tis.</w:t>
      </w:r>
      <w:r w:rsidRPr="00CD5EBC">
        <w:rPr>
          <w:rFonts w:cs="Arial"/>
          <w:bCs/>
          <w:color w:val="000000"/>
          <w:spacing w:val="-4"/>
          <w:sz w:val="16"/>
          <w:szCs w:val="16"/>
        </w:rPr>
        <w:t xml:space="preserve"> osob), naopak podnikatelů se zaměstnanci ubylo </w:t>
      </w:r>
      <w:r>
        <w:rPr>
          <w:rFonts w:cs="Arial"/>
          <w:bCs/>
          <w:color w:val="000000"/>
          <w:spacing w:val="-4"/>
          <w:sz w:val="16"/>
          <w:szCs w:val="16"/>
        </w:rPr>
        <w:t>v </w:t>
      </w:r>
      <w:r w:rsidRPr="00CD5EBC">
        <w:rPr>
          <w:rFonts w:cs="Arial"/>
          <w:bCs/>
          <w:color w:val="000000"/>
          <w:spacing w:val="-4"/>
          <w:sz w:val="16"/>
          <w:szCs w:val="16"/>
        </w:rPr>
        <w:t>1.</w:t>
      </w:r>
      <w:r>
        <w:rPr>
          <w:rFonts w:cs="Arial"/>
          <w:bCs/>
          <w:color w:val="000000"/>
          <w:spacing w:val="-4"/>
          <w:sz w:val="16"/>
          <w:szCs w:val="16"/>
        </w:rPr>
        <w:t> čtvrtletí 2021</w:t>
      </w:r>
      <w:r w:rsidRPr="00CD5EBC">
        <w:rPr>
          <w:rFonts w:cs="Arial"/>
          <w:bCs/>
          <w:color w:val="000000"/>
          <w:spacing w:val="-4"/>
          <w:sz w:val="16"/>
          <w:szCs w:val="16"/>
        </w:rPr>
        <w:t xml:space="preserve"> jen 2,3</w:t>
      </w:r>
      <w:r>
        <w:rPr>
          <w:rFonts w:cs="Arial"/>
          <w:bCs/>
          <w:color w:val="000000"/>
          <w:spacing w:val="-4"/>
          <w:sz w:val="16"/>
          <w:szCs w:val="16"/>
        </w:rPr>
        <w:t> tis.</w:t>
      </w:r>
    </w:p>
  </w:footnote>
  <w:footnote w:id="42">
    <w:p w14:paraId="109BF176" w14:textId="77777777" w:rsidR="006F6FF2" w:rsidRDefault="006F6FF2" w:rsidP="00F766BE">
      <w:pPr>
        <w:pStyle w:val="Textpoznpodarou"/>
        <w:jc w:val="both"/>
      </w:pPr>
      <w:r w:rsidRPr="00CD5EBC">
        <w:rPr>
          <w:rStyle w:val="Znakapoznpodarou"/>
          <w:sz w:val="16"/>
          <w:szCs w:val="16"/>
        </w:rPr>
        <w:footnoteRef/>
      </w:r>
      <w:r w:rsidRPr="00CD5EBC">
        <w:rPr>
          <w:sz w:val="16"/>
          <w:szCs w:val="16"/>
        </w:rPr>
        <w:t xml:space="preserve"> </w:t>
      </w:r>
      <w:r w:rsidRPr="00CD5EBC">
        <w:rPr>
          <w:spacing w:val="-2"/>
          <w:sz w:val="16"/>
          <w:szCs w:val="16"/>
        </w:rPr>
        <w:t>Zahrnuti jsou i členové produkčních družstev. Údaje vycházejí z Výběrového šetření pracovních sil (VŠPS).</w:t>
      </w:r>
    </w:p>
  </w:footnote>
  <w:footnote w:id="43">
    <w:p w14:paraId="498B0137" w14:textId="77777777" w:rsidR="006F6FF2" w:rsidRPr="004221CF" w:rsidRDefault="006F6FF2" w:rsidP="00F766BE">
      <w:pPr>
        <w:pStyle w:val="Textpoznpodarou"/>
        <w:jc w:val="both"/>
        <w:rPr>
          <w:sz w:val="16"/>
          <w:szCs w:val="16"/>
        </w:rPr>
      </w:pPr>
      <w:r w:rsidRPr="004221CF">
        <w:rPr>
          <w:rStyle w:val="Znakapoznpodarou"/>
          <w:sz w:val="16"/>
          <w:szCs w:val="16"/>
        </w:rPr>
        <w:footnoteRef/>
      </w:r>
      <w:r w:rsidRPr="004221CF">
        <w:rPr>
          <w:sz w:val="16"/>
          <w:szCs w:val="16"/>
        </w:rPr>
        <w:t xml:space="preserve"> To mělo pozitivní dopad na ekonomickou aktiv</w:t>
      </w:r>
      <w:r>
        <w:rPr>
          <w:sz w:val="16"/>
          <w:szCs w:val="16"/>
        </w:rPr>
        <w:t>itu cizinců v Česku. Dle údajů M</w:t>
      </w:r>
      <w:r w:rsidRPr="004221CF">
        <w:rPr>
          <w:sz w:val="16"/>
          <w:szCs w:val="16"/>
        </w:rPr>
        <w:t>P</w:t>
      </w:r>
      <w:r>
        <w:rPr>
          <w:sz w:val="16"/>
          <w:szCs w:val="16"/>
        </w:rPr>
        <w:t>S</w:t>
      </w:r>
      <w:r w:rsidRPr="004221CF">
        <w:rPr>
          <w:sz w:val="16"/>
          <w:szCs w:val="16"/>
        </w:rPr>
        <w:t xml:space="preserve">V pracovala v posledních letech skoro třetina </w:t>
      </w:r>
      <w:r>
        <w:rPr>
          <w:sz w:val="16"/>
          <w:szCs w:val="16"/>
        </w:rPr>
        <w:t xml:space="preserve">všech </w:t>
      </w:r>
      <w:r w:rsidRPr="004221CF">
        <w:rPr>
          <w:sz w:val="16"/>
          <w:szCs w:val="16"/>
        </w:rPr>
        <w:t>cizinců v zaměstnaneckých pozicích v odvětví průmyslu. Další šestina pak v administrativních a</w:t>
      </w:r>
      <w:r>
        <w:rPr>
          <w:sz w:val="16"/>
          <w:szCs w:val="16"/>
        </w:rPr>
        <w:t> </w:t>
      </w:r>
      <w:r w:rsidRPr="004221CF">
        <w:rPr>
          <w:sz w:val="16"/>
          <w:szCs w:val="16"/>
        </w:rPr>
        <w:t>podpůrných č</w:t>
      </w:r>
      <w:r>
        <w:rPr>
          <w:sz w:val="16"/>
          <w:szCs w:val="16"/>
        </w:rPr>
        <w:t xml:space="preserve">innostech, </w:t>
      </w:r>
      <w:r w:rsidRPr="004221CF">
        <w:rPr>
          <w:sz w:val="16"/>
          <w:szCs w:val="16"/>
        </w:rPr>
        <w:t>z</w:t>
      </w:r>
      <w:r>
        <w:rPr>
          <w:sz w:val="16"/>
          <w:szCs w:val="16"/>
        </w:rPr>
        <w:t> </w:t>
      </w:r>
      <w:r w:rsidRPr="004221CF">
        <w:rPr>
          <w:sz w:val="16"/>
          <w:szCs w:val="16"/>
        </w:rPr>
        <w:t>nichž významná část působila jako agenturní pracovníci rovněž v </w:t>
      </w:r>
      <w:r>
        <w:rPr>
          <w:sz w:val="16"/>
          <w:szCs w:val="16"/>
        </w:rPr>
        <w:t>průmyslu</w:t>
      </w:r>
      <w:r w:rsidRPr="004221CF">
        <w:rPr>
          <w:sz w:val="16"/>
          <w:szCs w:val="16"/>
        </w:rPr>
        <w:t>.</w:t>
      </w:r>
      <w:r>
        <w:rPr>
          <w:sz w:val="16"/>
          <w:szCs w:val="16"/>
        </w:rPr>
        <w:t xml:space="preserve"> </w:t>
      </w:r>
      <w:r w:rsidRPr="00CB5B70">
        <w:rPr>
          <w:sz w:val="16"/>
          <w:szCs w:val="16"/>
        </w:rPr>
        <w:t xml:space="preserve">Počet cizinců evidovaných úřady práce v ČR </w:t>
      </w:r>
      <w:r>
        <w:rPr>
          <w:sz w:val="16"/>
          <w:szCs w:val="16"/>
        </w:rPr>
        <w:t>dosáhl v květnu 2021 rekordních 677 tis. To bylo o 33 tis. více než na sklonku loňského roku a o 75 tis. více než na konci 1. pololetí 2020. K nárůstu zásadně přispěli cizinci, u nichž je vyžadováno pracovní povolení (z drtivé většiny se jednalo o občany Ukrajiny).</w:t>
      </w:r>
    </w:p>
  </w:footnote>
  <w:footnote w:id="44">
    <w:p w14:paraId="74BA65CB" w14:textId="77777777" w:rsidR="006F6FF2" w:rsidRPr="00FF5861" w:rsidRDefault="006F6FF2" w:rsidP="00F766BE">
      <w:pPr>
        <w:pStyle w:val="Textpoznpodarou"/>
        <w:jc w:val="both"/>
        <w:rPr>
          <w:sz w:val="16"/>
          <w:szCs w:val="16"/>
        </w:rPr>
      </w:pPr>
      <w:r w:rsidRPr="00FF5861">
        <w:rPr>
          <w:rStyle w:val="Znakapoznpodarou"/>
          <w:sz w:val="16"/>
          <w:szCs w:val="16"/>
        </w:rPr>
        <w:footnoteRef/>
      </w:r>
      <w:r w:rsidRPr="00FF5861">
        <w:rPr>
          <w:sz w:val="16"/>
          <w:szCs w:val="16"/>
        </w:rPr>
        <w:t xml:space="preserve"> </w:t>
      </w:r>
      <w:r w:rsidRPr="00B34C77">
        <w:rPr>
          <w:sz w:val="16"/>
          <w:szCs w:val="16"/>
        </w:rPr>
        <w:t xml:space="preserve">Zahrnují všechna odvětví služeb bez veřejných služeb </w:t>
      </w:r>
      <w:r>
        <w:rPr>
          <w:sz w:val="16"/>
          <w:szCs w:val="16"/>
        </w:rPr>
        <w:t>a také obchodu, jenž je sledován</w:t>
      </w:r>
      <w:r w:rsidRPr="00B34C77">
        <w:rPr>
          <w:sz w:val="16"/>
          <w:szCs w:val="16"/>
        </w:rPr>
        <w:t xml:space="preserve"> jako samostatná k</w:t>
      </w:r>
      <w:r>
        <w:rPr>
          <w:sz w:val="16"/>
          <w:szCs w:val="16"/>
        </w:rPr>
        <w:t>ategorie</w:t>
      </w:r>
      <w:r w:rsidRPr="00B34C77">
        <w:rPr>
          <w:sz w:val="16"/>
          <w:szCs w:val="16"/>
        </w:rPr>
        <w:t>.</w:t>
      </w:r>
    </w:p>
  </w:footnote>
  <w:footnote w:id="45">
    <w:p w14:paraId="2DE017EE" w14:textId="77777777" w:rsidR="006F6FF2" w:rsidRPr="00475372" w:rsidRDefault="006F6FF2" w:rsidP="00F766BE">
      <w:pPr>
        <w:pStyle w:val="Textpoznpodarou"/>
        <w:jc w:val="both"/>
        <w:rPr>
          <w:sz w:val="16"/>
          <w:szCs w:val="16"/>
        </w:rPr>
      </w:pPr>
      <w:r w:rsidRPr="00475372">
        <w:rPr>
          <w:rStyle w:val="Znakapoznpodarou"/>
          <w:sz w:val="16"/>
          <w:szCs w:val="16"/>
        </w:rPr>
        <w:footnoteRef/>
      </w:r>
      <w:r w:rsidRPr="00475372">
        <w:rPr>
          <w:sz w:val="16"/>
          <w:szCs w:val="16"/>
        </w:rPr>
        <w:t xml:space="preserve"> Saldo očekávání zaměstnanosti (na </w:t>
      </w:r>
      <w:proofErr w:type="gramStart"/>
      <w:r w:rsidRPr="00475372">
        <w:rPr>
          <w:sz w:val="16"/>
          <w:szCs w:val="16"/>
        </w:rPr>
        <w:t>škále</w:t>
      </w:r>
      <w:proofErr w:type="gramEnd"/>
      <w:r w:rsidRPr="00475372">
        <w:rPr>
          <w:sz w:val="16"/>
          <w:szCs w:val="16"/>
        </w:rPr>
        <w:t xml:space="preserve"> </w:t>
      </w:r>
      <w:r>
        <w:rPr>
          <w:sz w:val="16"/>
          <w:szCs w:val="16"/>
        </w:rPr>
        <w:t>–</w:t>
      </w:r>
      <w:proofErr w:type="gramStart"/>
      <w:r w:rsidRPr="00475372">
        <w:rPr>
          <w:sz w:val="16"/>
          <w:szCs w:val="16"/>
        </w:rPr>
        <w:t>100</w:t>
      </w:r>
      <w:proofErr w:type="gramEnd"/>
      <w:r>
        <w:rPr>
          <w:sz w:val="16"/>
          <w:szCs w:val="16"/>
        </w:rPr>
        <w:t> </w:t>
      </w:r>
      <w:r w:rsidRPr="00475372">
        <w:rPr>
          <w:sz w:val="16"/>
          <w:szCs w:val="16"/>
        </w:rPr>
        <w:t xml:space="preserve">až +100) bylo v květnu </w:t>
      </w:r>
      <w:r>
        <w:rPr>
          <w:sz w:val="16"/>
          <w:szCs w:val="16"/>
        </w:rPr>
        <w:t>nejhorší v poštovních a kurýrních činnostech (</w:t>
      </w:r>
      <w:r w:rsidRPr="00CD5EBC">
        <w:rPr>
          <w:rFonts w:cs="Arial"/>
          <w:bCs/>
          <w:color w:val="000000"/>
          <w:spacing w:val="-2"/>
          <w:sz w:val="16"/>
          <w:szCs w:val="16"/>
        </w:rPr>
        <w:t>–</w:t>
      </w:r>
      <w:r>
        <w:rPr>
          <w:sz w:val="16"/>
          <w:szCs w:val="16"/>
        </w:rPr>
        <w:t>95), letecké dopravě (</w:t>
      </w:r>
      <w:r w:rsidRPr="00CD5EBC">
        <w:rPr>
          <w:rFonts w:cs="Arial"/>
          <w:bCs/>
          <w:color w:val="000000"/>
          <w:spacing w:val="-2"/>
          <w:sz w:val="16"/>
          <w:szCs w:val="16"/>
        </w:rPr>
        <w:t>–</w:t>
      </w:r>
      <w:r>
        <w:rPr>
          <w:rFonts w:cs="Arial"/>
          <w:bCs/>
          <w:color w:val="000000"/>
          <w:spacing w:val="-2"/>
          <w:sz w:val="16"/>
          <w:szCs w:val="16"/>
        </w:rPr>
        <w:t>88), bankovnictví (</w:t>
      </w:r>
      <w:r w:rsidRPr="00CD5EBC">
        <w:rPr>
          <w:rFonts w:cs="Arial"/>
          <w:bCs/>
          <w:color w:val="000000"/>
          <w:spacing w:val="-2"/>
          <w:sz w:val="16"/>
          <w:szCs w:val="16"/>
        </w:rPr>
        <w:t>–</w:t>
      </w:r>
      <w:r>
        <w:rPr>
          <w:rFonts w:cs="Arial"/>
          <w:bCs/>
          <w:color w:val="000000"/>
          <w:spacing w:val="-2"/>
          <w:sz w:val="16"/>
          <w:szCs w:val="16"/>
        </w:rPr>
        <w:t>57), telekomunikacích (</w:t>
      </w:r>
      <w:r w:rsidRPr="00CD5EBC">
        <w:rPr>
          <w:rFonts w:cs="Arial"/>
          <w:bCs/>
          <w:color w:val="000000"/>
          <w:spacing w:val="-2"/>
          <w:sz w:val="16"/>
          <w:szCs w:val="16"/>
        </w:rPr>
        <w:t>–</w:t>
      </w:r>
      <w:r>
        <w:rPr>
          <w:rFonts w:cs="Arial"/>
          <w:bCs/>
          <w:color w:val="000000"/>
          <w:spacing w:val="-2"/>
          <w:sz w:val="16"/>
          <w:szCs w:val="16"/>
        </w:rPr>
        <w:t>50) a vydavatelských činnostech (</w:t>
      </w:r>
      <w:r w:rsidRPr="00CD5EBC">
        <w:rPr>
          <w:rFonts w:cs="Arial"/>
          <w:bCs/>
          <w:color w:val="000000"/>
          <w:spacing w:val="-2"/>
          <w:sz w:val="16"/>
          <w:szCs w:val="16"/>
        </w:rPr>
        <w:t>–</w:t>
      </w:r>
      <w:r>
        <w:rPr>
          <w:rFonts w:cs="Arial"/>
          <w:bCs/>
          <w:color w:val="000000"/>
          <w:spacing w:val="-2"/>
          <w:sz w:val="16"/>
          <w:szCs w:val="16"/>
        </w:rPr>
        <w:t>42). Růst počtu zaměstnanců v nejbližších třech měsících byl očekáván zejména v profesních, vědeckých a technických činnostech, v některých administrativních a podpůrných činnostech (cestovní kanceláře, č</w:t>
      </w:r>
      <w:r w:rsidRPr="00EA508C">
        <w:rPr>
          <w:rFonts w:cs="Arial"/>
          <w:bCs/>
          <w:color w:val="000000"/>
          <w:spacing w:val="-2"/>
          <w:sz w:val="16"/>
          <w:szCs w:val="16"/>
        </w:rPr>
        <w:t>innosti související se</w:t>
      </w:r>
      <w:r>
        <w:rPr>
          <w:rFonts w:cs="Arial"/>
          <w:bCs/>
          <w:color w:val="000000"/>
          <w:spacing w:val="-2"/>
          <w:sz w:val="16"/>
          <w:szCs w:val="16"/>
        </w:rPr>
        <w:t xml:space="preserve"> </w:t>
      </w:r>
      <w:r w:rsidRPr="00EA508C">
        <w:rPr>
          <w:rFonts w:cs="Arial"/>
          <w:bCs/>
          <w:color w:val="000000"/>
          <w:spacing w:val="-2"/>
          <w:sz w:val="16"/>
          <w:szCs w:val="16"/>
        </w:rPr>
        <w:t>stavbami a</w:t>
      </w:r>
      <w:r>
        <w:rPr>
          <w:rFonts w:cs="Arial"/>
          <w:bCs/>
          <w:color w:val="000000"/>
          <w:spacing w:val="-2"/>
          <w:sz w:val="16"/>
          <w:szCs w:val="16"/>
        </w:rPr>
        <w:t> </w:t>
      </w:r>
      <w:r w:rsidRPr="00EA508C">
        <w:rPr>
          <w:rFonts w:cs="Arial"/>
          <w:bCs/>
          <w:color w:val="000000"/>
          <w:spacing w:val="-2"/>
          <w:sz w:val="16"/>
          <w:szCs w:val="16"/>
        </w:rPr>
        <w:t>úpravou krajiny</w:t>
      </w:r>
      <w:r>
        <w:rPr>
          <w:rFonts w:cs="Arial"/>
          <w:bCs/>
          <w:color w:val="000000"/>
          <w:spacing w:val="-2"/>
          <w:sz w:val="16"/>
          <w:szCs w:val="16"/>
        </w:rPr>
        <w:t>), v pojišťovnictví a v činnostech v oblasti IT a v nemovitostech.</w:t>
      </w:r>
    </w:p>
  </w:footnote>
  <w:footnote w:id="46">
    <w:p w14:paraId="0902D09E" w14:textId="77777777" w:rsidR="006F6FF2" w:rsidRPr="004E68B1" w:rsidRDefault="006F6FF2" w:rsidP="00F766BE">
      <w:pPr>
        <w:pStyle w:val="Textpoznpodarou"/>
        <w:jc w:val="both"/>
        <w:rPr>
          <w:spacing w:val="-3"/>
          <w:sz w:val="16"/>
          <w:szCs w:val="16"/>
        </w:rPr>
      </w:pPr>
      <w:r w:rsidRPr="004E68B1">
        <w:rPr>
          <w:rStyle w:val="Znakapoznpodarou"/>
          <w:spacing w:val="-3"/>
          <w:sz w:val="16"/>
          <w:szCs w:val="16"/>
        </w:rPr>
        <w:footnoteRef/>
      </w:r>
      <w:r w:rsidRPr="004E68B1">
        <w:rPr>
          <w:spacing w:val="-3"/>
          <w:sz w:val="16"/>
          <w:szCs w:val="16"/>
        </w:rPr>
        <w:t xml:space="preserve"> U osob ve věku 15–64 let, hodnota po sezónním očištění. </w:t>
      </w:r>
      <w:r>
        <w:rPr>
          <w:spacing w:val="-3"/>
          <w:sz w:val="16"/>
          <w:szCs w:val="16"/>
        </w:rPr>
        <w:t>Není-li uvedeno jinak, vycházejí v</w:t>
      </w:r>
      <w:r w:rsidRPr="004E68B1">
        <w:rPr>
          <w:spacing w:val="-3"/>
          <w:sz w:val="16"/>
          <w:szCs w:val="16"/>
        </w:rPr>
        <w:t>šechny údaje o nezaměstnanosti z</w:t>
      </w:r>
      <w:r>
        <w:rPr>
          <w:spacing w:val="-3"/>
          <w:sz w:val="16"/>
          <w:szCs w:val="16"/>
        </w:rPr>
        <w:t> VŠPS.</w:t>
      </w:r>
    </w:p>
  </w:footnote>
  <w:footnote w:id="47">
    <w:p w14:paraId="4C09F7FE" w14:textId="77777777" w:rsidR="006F6FF2" w:rsidRPr="003F02A3" w:rsidRDefault="006F6FF2" w:rsidP="00F766BE">
      <w:pPr>
        <w:pStyle w:val="Textpoznpodarou"/>
        <w:jc w:val="both"/>
        <w:rPr>
          <w:sz w:val="16"/>
          <w:szCs w:val="16"/>
        </w:rPr>
      </w:pPr>
      <w:r w:rsidRPr="003F02A3">
        <w:rPr>
          <w:rStyle w:val="Znakapoznpodarou"/>
          <w:sz w:val="16"/>
          <w:szCs w:val="16"/>
        </w:rPr>
        <w:footnoteRef/>
      </w:r>
      <w:r>
        <w:rPr>
          <w:sz w:val="16"/>
          <w:szCs w:val="16"/>
        </w:rPr>
        <w:t xml:space="preserve"> V EU čítala v dubnu</w:t>
      </w:r>
      <w:r w:rsidRPr="003F02A3">
        <w:rPr>
          <w:sz w:val="16"/>
          <w:szCs w:val="16"/>
        </w:rPr>
        <w:t xml:space="preserve"> míra nezaměstnanosti ve skupině 15</w:t>
      </w:r>
      <w:r>
        <w:rPr>
          <w:sz w:val="16"/>
          <w:szCs w:val="16"/>
        </w:rPr>
        <w:t>–</w:t>
      </w:r>
      <w:r w:rsidRPr="003F02A3">
        <w:rPr>
          <w:sz w:val="16"/>
          <w:szCs w:val="16"/>
        </w:rPr>
        <w:t xml:space="preserve">74letých </w:t>
      </w:r>
      <w:r>
        <w:rPr>
          <w:sz w:val="16"/>
          <w:szCs w:val="16"/>
        </w:rPr>
        <w:t xml:space="preserve">7,3 % a v posledních šesti měsících stagnovala. V Unii, podobně jako v Česku, byly negativní dopady pandemické krize na pracovní trh tlumeny vládními intervenčními programy. Ve srovnání s koncem roku 2019 tak míra nezaměstnanosti v Unii vzrostla „jen“ o 0,7 p. b., tedy méně než během let 2009 a 2012. O více než 2 p. b. </w:t>
      </w:r>
      <w:proofErr w:type="gramStart"/>
      <w:r>
        <w:rPr>
          <w:sz w:val="16"/>
          <w:szCs w:val="16"/>
        </w:rPr>
        <w:t>se</w:t>
      </w:r>
      <w:proofErr w:type="gramEnd"/>
      <w:r>
        <w:rPr>
          <w:sz w:val="16"/>
          <w:szCs w:val="16"/>
        </w:rPr>
        <w:t xml:space="preserve"> navýšila nezaměstnanost jen v Litvě, Estonsku, Švédsku a na Kypru. Růst u mužů i žen byl na rozdíl od Česka v Unii téměř totožný. Rozdíl mezi aktuální výší nezaměstnanosti mužů (2,8 %) a žen (4,1 %) v Česku patřil v rámci Unie k nejvyšším. Zatímco nezaměstnanost mužů v ČR dosahovala v rámci států EU minima (již více než sedm let), nezaměstnanost českých žen byla v Unii „až“ čtvrtá nejnižší (po Polsku, Nizozemsku a Maltě). Nezaměstnanost mužů nejvíce sužovala Španělsko (13,7 %), u žen dosahovala maxima v Řecku (téměř 20 %).</w:t>
      </w:r>
    </w:p>
  </w:footnote>
  <w:footnote w:id="48">
    <w:p w14:paraId="357BA6C3" w14:textId="77777777" w:rsidR="006F6FF2" w:rsidRPr="000F1698" w:rsidRDefault="006F6FF2" w:rsidP="00F766BE">
      <w:pPr>
        <w:pStyle w:val="Textpoznpodarou"/>
        <w:jc w:val="both"/>
        <w:rPr>
          <w:sz w:val="16"/>
          <w:szCs w:val="16"/>
        </w:rPr>
      </w:pPr>
      <w:r w:rsidRPr="000F1698">
        <w:rPr>
          <w:rStyle w:val="Znakapoznpodarou"/>
          <w:sz w:val="16"/>
          <w:szCs w:val="16"/>
        </w:rPr>
        <w:footnoteRef/>
      </w:r>
      <w:r w:rsidRPr="000F1698">
        <w:rPr>
          <w:sz w:val="16"/>
          <w:szCs w:val="16"/>
        </w:rPr>
        <w:t xml:space="preserve"> Dle aktuálních údajů ze 4.</w:t>
      </w:r>
      <w:r>
        <w:rPr>
          <w:sz w:val="16"/>
          <w:szCs w:val="16"/>
        </w:rPr>
        <w:t> čtvrt</w:t>
      </w:r>
      <w:r w:rsidRPr="000F1698">
        <w:rPr>
          <w:sz w:val="16"/>
          <w:szCs w:val="16"/>
        </w:rPr>
        <w:t>letí 2020 pracovalo na zkrácené úvazky 5,5</w:t>
      </w:r>
      <w:r>
        <w:rPr>
          <w:sz w:val="16"/>
          <w:szCs w:val="16"/>
        </w:rPr>
        <w:t> %</w:t>
      </w:r>
      <w:r w:rsidRPr="000F1698">
        <w:rPr>
          <w:sz w:val="16"/>
          <w:szCs w:val="16"/>
        </w:rPr>
        <w:t xml:space="preserve"> osob ve věku 15</w:t>
      </w:r>
      <w:r>
        <w:rPr>
          <w:sz w:val="16"/>
          <w:szCs w:val="16"/>
        </w:rPr>
        <w:t> </w:t>
      </w:r>
      <w:r w:rsidRPr="000F1698">
        <w:rPr>
          <w:sz w:val="16"/>
          <w:szCs w:val="16"/>
        </w:rPr>
        <w:t>až 64</w:t>
      </w:r>
      <w:r>
        <w:rPr>
          <w:sz w:val="16"/>
          <w:szCs w:val="16"/>
        </w:rPr>
        <w:t> </w:t>
      </w:r>
      <w:r w:rsidRPr="000F1698">
        <w:rPr>
          <w:sz w:val="16"/>
          <w:szCs w:val="16"/>
        </w:rPr>
        <w:t>let (meziročně o</w:t>
      </w:r>
      <w:r>
        <w:rPr>
          <w:sz w:val="16"/>
          <w:szCs w:val="16"/>
        </w:rPr>
        <w:t> </w:t>
      </w:r>
      <w:r w:rsidRPr="000F1698">
        <w:rPr>
          <w:sz w:val="16"/>
          <w:szCs w:val="16"/>
        </w:rPr>
        <w:t>0,6</w:t>
      </w:r>
      <w:r>
        <w:rPr>
          <w:sz w:val="16"/>
          <w:szCs w:val="16"/>
        </w:rPr>
        <w:t> p. b.</w:t>
      </w:r>
      <w:r w:rsidRPr="000F1698">
        <w:rPr>
          <w:sz w:val="16"/>
          <w:szCs w:val="16"/>
        </w:rPr>
        <w:t xml:space="preserve"> </w:t>
      </w:r>
      <w:proofErr w:type="gramStart"/>
      <w:r w:rsidRPr="000F1698">
        <w:rPr>
          <w:sz w:val="16"/>
          <w:szCs w:val="16"/>
        </w:rPr>
        <w:t>méně</w:t>
      </w:r>
      <w:proofErr w:type="gramEnd"/>
      <w:r w:rsidRPr="000F1698">
        <w:rPr>
          <w:sz w:val="16"/>
          <w:szCs w:val="16"/>
        </w:rPr>
        <w:t xml:space="preserve">). </w:t>
      </w:r>
      <w:r>
        <w:rPr>
          <w:sz w:val="16"/>
          <w:szCs w:val="16"/>
        </w:rPr>
        <w:t>Mírně se snížil i podíl zaměstnanců pracujících na dobu určitou (na 7,2 %), což mohlo souviset mimo jiné i s nižší nabídkou krátkodobých brigádnických pozic.</w:t>
      </w:r>
    </w:p>
  </w:footnote>
  <w:footnote w:id="49">
    <w:p w14:paraId="63B9585C" w14:textId="77777777" w:rsidR="006F6FF2" w:rsidRPr="004E0F30" w:rsidRDefault="006F6FF2" w:rsidP="00F766BE">
      <w:pPr>
        <w:pStyle w:val="Default"/>
        <w:jc w:val="both"/>
        <w:rPr>
          <w:rFonts w:ascii="Arial" w:hAnsi="Arial" w:cs="Arial"/>
          <w:spacing w:val="-4"/>
          <w:sz w:val="16"/>
          <w:szCs w:val="16"/>
        </w:rPr>
      </w:pPr>
      <w:r w:rsidRPr="004E0F30">
        <w:rPr>
          <w:rStyle w:val="Znakapoznpodarou"/>
          <w:rFonts w:ascii="Arial" w:hAnsi="Arial" w:cs="Arial"/>
          <w:spacing w:val="-4"/>
          <w:sz w:val="16"/>
          <w:szCs w:val="16"/>
        </w:rPr>
        <w:footnoteRef/>
      </w:r>
      <w:r w:rsidRPr="004E0F30">
        <w:rPr>
          <w:rFonts w:ascii="Arial" w:hAnsi="Arial" w:cs="Arial"/>
          <w:spacing w:val="-4"/>
          <w:sz w:val="16"/>
          <w:szCs w:val="16"/>
        </w:rPr>
        <w:t xml:space="preserve"> V rámci programu Antivirus</w:t>
      </w:r>
      <w:r>
        <w:rPr>
          <w:rFonts w:ascii="Arial" w:hAnsi="Arial" w:cs="Arial"/>
          <w:spacing w:val="-4"/>
          <w:sz w:val="16"/>
          <w:szCs w:val="16"/>
        </w:rPr>
        <w:t> </w:t>
      </w:r>
      <w:r w:rsidRPr="004E0F30">
        <w:rPr>
          <w:rFonts w:ascii="Arial" w:hAnsi="Arial" w:cs="Arial"/>
          <w:spacing w:val="-4"/>
          <w:sz w:val="16"/>
          <w:szCs w:val="16"/>
        </w:rPr>
        <w:t>A</w:t>
      </w:r>
      <w:r>
        <w:rPr>
          <w:rFonts w:ascii="Arial" w:hAnsi="Arial" w:cs="Arial"/>
          <w:spacing w:val="-4"/>
          <w:sz w:val="16"/>
          <w:szCs w:val="16"/>
        </w:rPr>
        <w:t> </w:t>
      </w:r>
      <w:r w:rsidRPr="004E0F30">
        <w:rPr>
          <w:rFonts w:ascii="Arial" w:hAnsi="Arial" w:cs="Arial"/>
          <w:spacing w:val="-4"/>
          <w:sz w:val="16"/>
          <w:szCs w:val="16"/>
        </w:rPr>
        <w:t>+</w:t>
      </w:r>
      <w:r>
        <w:rPr>
          <w:rFonts w:ascii="Arial" w:hAnsi="Arial" w:cs="Arial"/>
          <w:spacing w:val="-4"/>
          <w:sz w:val="16"/>
          <w:szCs w:val="16"/>
        </w:rPr>
        <w:t> </w:t>
      </w:r>
      <w:r w:rsidRPr="004E0F30">
        <w:rPr>
          <w:rFonts w:ascii="Arial" w:hAnsi="Arial" w:cs="Arial"/>
          <w:spacing w:val="-4"/>
          <w:sz w:val="16"/>
          <w:szCs w:val="16"/>
        </w:rPr>
        <w:t>B</w:t>
      </w:r>
      <w:r>
        <w:rPr>
          <w:rFonts w:ascii="Arial" w:hAnsi="Arial" w:cs="Arial"/>
          <w:spacing w:val="-4"/>
          <w:sz w:val="16"/>
          <w:szCs w:val="16"/>
        </w:rPr>
        <w:t xml:space="preserve"> (náhrady části mezd a povinných odvodů) bylo dosud za 14 měsíců (od března</w:t>
      </w:r>
      <w:r w:rsidRPr="004E0F30">
        <w:rPr>
          <w:rFonts w:ascii="Arial" w:hAnsi="Arial" w:cs="Arial"/>
          <w:spacing w:val="-4"/>
          <w:sz w:val="16"/>
          <w:szCs w:val="16"/>
        </w:rPr>
        <w:t xml:space="preserve"> 2020</w:t>
      </w:r>
      <w:r>
        <w:rPr>
          <w:rFonts w:ascii="Arial" w:hAnsi="Arial" w:cs="Arial"/>
          <w:spacing w:val="-4"/>
          <w:sz w:val="16"/>
          <w:szCs w:val="16"/>
        </w:rPr>
        <w:t xml:space="preserve"> do dubna</w:t>
      </w:r>
      <w:r w:rsidRPr="004E0F30">
        <w:rPr>
          <w:rFonts w:ascii="Arial" w:hAnsi="Arial" w:cs="Arial"/>
          <w:spacing w:val="-4"/>
          <w:sz w:val="16"/>
          <w:szCs w:val="16"/>
        </w:rPr>
        <w:t xml:space="preserve"> </w:t>
      </w:r>
      <w:r>
        <w:rPr>
          <w:rFonts w:ascii="Arial" w:hAnsi="Arial" w:cs="Arial"/>
          <w:spacing w:val="-4"/>
          <w:sz w:val="16"/>
          <w:szCs w:val="16"/>
        </w:rPr>
        <w:t>2021) vydáno z rozpočtu MPSV 46,1 mld. korun</w:t>
      </w:r>
      <w:r w:rsidRPr="004E0F30">
        <w:rPr>
          <w:rFonts w:ascii="Arial" w:hAnsi="Arial" w:cs="Arial"/>
          <w:spacing w:val="-4"/>
          <w:sz w:val="16"/>
          <w:szCs w:val="16"/>
        </w:rPr>
        <w:t>. V úhrnu b</w:t>
      </w:r>
      <w:r>
        <w:rPr>
          <w:rFonts w:ascii="Arial" w:hAnsi="Arial" w:cs="Arial"/>
          <w:spacing w:val="-4"/>
          <w:sz w:val="16"/>
          <w:szCs w:val="16"/>
        </w:rPr>
        <w:t>ylo takto zčásti podpořeno 1 059 tis.</w:t>
      </w:r>
      <w:r w:rsidRPr="004E0F30">
        <w:rPr>
          <w:rFonts w:ascii="Arial" w:hAnsi="Arial" w:cs="Arial"/>
          <w:spacing w:val="-4"/>
          <w:sz w:val="16"/>
          <w:szCs w:val="16"/>
        </w:rPr>
        <w:t xml:space="preserve"> pracovních míst. Většina firem žádala o</w:t>
      </w:r>
      <w:r>
        <w:rPr>
          <w:rFonts w:ascii="Arial" w:hAnsi="Arial" w:cs="Arial"/>
          <w:spacing w:val="-4"/>
          <w:sz w:val="16"/>
          <w:szCs w:val="16"/>
        </w:rPr>
        <w:t> </w:t>
      </w:r>
      <w:r w:rsidRPr="004E0F30">
        <w:rPr>
          <w:rFonts w:ascii="Arial" w:hAnsi="Arial" w:cs="Arial"/>
          <w:spacing w:val="-4"/>
          <w:sz w:val="16"/>
          <w:szCs w:val="16"/>
        </w:rPr>
        <w:t>příspěv</w:t>
      </w:r>
      <w:r>
        <w:rPr>
          <w:rFonts w:ascii="Arial" w:hAnsi="Arial" w:cs="Arial"/>
          <w:spacing w:val="-4"/>
          <w:sz w:val="16"/>
          <w:szCs w:val="16"/>
        </w:rPr>
        <w:t>ek na úhradu mzdových náhrad</w:t>
      </w:r>
      <w:r w:rsidRPr="004E0F30">
        <w:rPr>
          <w:rFonts w:ascii="Arial" w:hAnsi="Arial" w:cs="Arial"/>
          <w:spacing w:val="-4"/>
          <w:sz w:val="16"/>
          <w:szCs w:val="16"/>
        </w:rPr>
        <w:t xml:space="preserve"> zaměstnanců v jednotli</w:t>
      </w:r>
      <w:r>
        <w:rPr>
          <w:rFonts w:ascii="Arial" w:hAnsi="Arial" w:cs="Arial"/>
          <w:spacing w:val="-4"/>
          <w:sz w:val="16"/>
          <w:szCs w:val="16"/>
        </w:rPr>
        <w:t>vých měsících opakovaně. Od ledna do dubna 2021 bylo poskytnuto 16,9 mld. korun, v samotném dubnu vlivem zlepšení epidemické i hospodářské situace čerpání kleslo (ve srovnání s letošním březnem o více než 40 %).</w:t>
      </w:r>
    </w:p>
  </w:footnote>
  <w:footnote w:id="50">
    <w:p w14:paraId="587FB33D" w14:textId="77777777" w:rsidR="006F6FF2" w:rsidRPr="000A68F7" w:rsidRDefault="006F6FF2" w:rsidP="00F766BE">
      <w:pPr>
        <w:pStyle w:val="Textpoznpodarou"/>
        <w:jc w:val="both"/>
        <w:rPr>
          <w:spacing w:val="-2"/>
          <w:sz w:val="16"/>
          <w:szCs w:val="16"/>
        </w:rPr>
      </w:pPr>
      <w:r w:rsidRPr="000A68F7">
        <w:rPr>
          <w:rStyle w:val="Znakapoznpodarou"/>
          <w:spacing w:val="-2"/>
          <w:sz w:val="16"/>
          <w:szCs w:val="16"/>
        </w:rPr>
        <w:footnoteRef/>
      </w:r>
      <w:r>
        <w:rPr>
          <w:spacing w:val="-2"/>
          <w:sz w:val="16"/>
          <w:szCs w:val="16"/>
        </w:rPr>
        <w:t xml:space="preserve"> Č</w:t>
      </w:r>
      <w:r w:rsidRPr="000A68F7">
        <w:rPr>
          <w:spacing w:val="-2"/>
          <w:sz w:val="16"/>
          <w:szCs w:val="16"/>
        </w:rPr>
        <w:t>erpání dávek ošetřovného</w:t>
      </w:r>
      <w:r>
        <w:rPr>
          <w:spacing w:val="-2"/>
          <w:sz w:val="16"/>
          <w:szCs w:val="16"/>
        </w:rPr>
        <w:t xml:space="preserve"> za 1. čtvrtletí (zejména z důvodu uzavření škol) činilo 1,2 mld. </w:t>
      </w:r>
      <w:r>
        <w:rPr>
          <w:rFonts w:cs="Arial"/>
          <w:spacing w:val="-4"/>
          <w:sz w:val="16"/>
          <w:szCs w:val="16"/>
        </w:rPr>
        <w:t>korun</w:t>
      </w:r>
      <w:r>
        <w:rPr>
          <w:spacing w:val="-2"/>
          <w:sz w:val="16"/>
          <w:szCs w:val="16"/>
        </w:rPr>
        <w:t>. To byl dvojnásobek výše z 1. čtvrtletí 2020, kdy tato dávka ještě fakticky nebyla ovlivněna počínající pandemií. V úhrnu za rok 2020 dosáhlo čerpání téměř 12</w:t>
      </w:r>
      <w:r w:rsidRPr="000A68F7">
        <w:rPr>
          <w:spacing w:val="-2"/>
          <w:sz w:val="16"/>
          <w:szCs w:val="16"/>
        </w:rPr>
        <w:t> mld.</w:t>
      </w:r>
      <w:r>
        <w:rPr>
          <w:spacing w:val="-2"/>
          <w:sz w:val="16"/>
          <w:szCs w:val="16"/>
        </w:rPr>
        <w:t xml:space="preserve"> </w:t>
      </w:r>
      <w:r>
        <w:rPr>
          <w:rFonts w:cs="Arial"/>
          <w:spacing w:val="-4"/>
          <w:sz w:val="16"/>
          <w:szCs w:val="16"/>
        </w:rPr>
        <w:t>korun.</w:t>
      </w:r>
    </w:p>
  </w:footnote>
  <w:footnote w:id="51">
    <w:p w14:paraId="360C01A1" w14:textId="77777777" w:rsidR="006F6FF2" w:rsidRPr="000A68F7" w:rsidRDefault="006F6FF2" w:rsidP="00F766BE">
      <w:pPr>
        <w:pStyle w:val="Textpoznpodarou"/>
        <w:jc w:val="both"/>
        <w:rPr>
          <w:spacing w:val="-2"/>
          <w:sz w:val="16"/>
          <w:szCs w:val="16"/>
        </w:rPr>
      </w:pPr>
      <w:r w:rsidRPr="000A68F7">
        <w:rPr>
          <w:rStyle w:val="Znakapoznpodarou"/>
          <w:spacing w:val="-2"/>
          <w:sz w:val="16"/>
          <w:szCs w:val="16"/>
        </w:rPr>
        <w:footnoteRef/>
      </w:r>
      <w:r w:rsidRPr="000A68F7">
        <w:rPr>
          <w:spacing w:val="-2"/>
          <w:sz w:val="16"/>
          <w:szCs w:val="16"/>
        </w:rPr>
        <w:t xml:space="preserve"> Podíl domácností očekávajících v příštích 12</w:t>
      </w:r>
      <w:r>
        <w:rPr>
          <w:spacing w:val="-2"/>
          <w:sz w:val="16"/>
          <w:szCs w:val="16"/>
        </w:rPr>
        <w:t> </w:t>
      </w:r>
      <w:r w:rsidRPr="000A68F7">
        <w:rPr>
          <w:spacing w:val="-2"/>
          <w:sz w:val="16"/>
          <w:szCs w:val="16"/>
        </w:rPr>
        <w:t>měsících</w:t>
      </w:r>
      <w:r>
        <w:rPr>
          <w:spacing w:val="-2"/>
          <w:sz w:val="16"/>
          <w:szCs w:val="16"/>
        </w:rPr>
        <w:t xml:space="preserve"> růst</w:t>
      </w:r>
      <w:r w:rsidRPr="000A68F7">
        <w:rPr>
          <w:spacing w:val="-2"/>
          <w:sz w:val="16"/>
          <w:szCs w:val="16"/>
        </w:rPr>
        <w:t xml:space="preserve"> nezaměstnanosti byl o</w:t>
      </w:r>
      <w:r>
        <w:rPr>
          <w:spacing w:val="-2"/>
          <w:sz w:val="16"/>
          <w:szCs w:val="16"/>
        </w:rPr>
        <w:t> </w:t>
      </w:r>
      <w:r w:rsidRPr="000A68F7">
        <w:rPr>
          <w:spacing w:val="-2"/>
          <w:sz w:val="16"/>
          <w:szCs w:val="16"/>
        </w:rPr>
        <w:t>60</w:t>
      </w:r>
      <w:r>
        <w:rPr>
          <w:spacing w:val="-2"/>
          <w:sz w:val="16"/>
          <w:szCs w:val="16"/>
        </w:rPr>
        <w:t> p. b.</w:t>
      </w:r>
      <w:r w:rsidRPr="000A68F7">
        <w:rPr>
          <w:spacing w:val="-2"/>
          <w:sz w:val="16"/>
          <w:szCs w:val="16"/>
        </w:rPr>
        <w:t xml:space="preserve"> </w:t>
      </w:r>
      <w:proofErr w:type="gramStart"/>
      <w:r w:rsidRPr="000A68F7">
        <w:rPr>
          <w:spacing w:val="-2"/>
          <w:sz w:val="16"/>
          <w:szCs w:val="16"/>
        </w:rPr>
        <w:t>vyšší</w:t>
      </w:r>
      <w:proofErr w:type="gramEnd"/>
      <w:r w:rsidRPr="000A68F7">
        <w:rPr>
          <w:spacing w:val="-2"/>
          <w:sz w:val="16"/>
          <w:szCs w:val="16"/>
        </w:rPr>
        <w:t xml:space="preserve"> než podíl těch, které vyhlížely snížení.</w:t>
      </w:r>
      <w:r>
        <w:rPr>
          <w:spacing w:val="-2"/>
          <w:sz w:val="16"/>
          <w:szCs w:val="16"/>
        </w:rPr>
        <w:t xml:space="preserve"> Šlo o nejhorší výhled od počátku roku 2009.</w:t>
      </w:r>
    </w:p>
  </w:footnote>
  <w:footnote w:id="52">
    <w:p w14:paraId="05A7487F" w14:textId="77777777" w:rsidR="006F6FF2" w:rsidRPr="0071276E" w:rsidRDefault="006F6FF2" w:rsidP="00F766BE">
      <w:pPr>
        <w:pStyle w:val="Textpoznpodarou"/>
        <w:jc w:val="both"/>
        <w:rPr>
          <w:sz w:val="16"/>
          <w:szCs w:val="16"/>
        </w:rPr>
      </w:pPr>
      <w:r w:rsidRPr="0071276E">
        <w:rPr>
          <w:rStyle w:val="Znakapoznpodarou"/>
          <w:sz w:val="16"/>
          <w:szCs w:val="16"/>
        </w:rPr>
        <w:footnoteRef/>
      </w:r>
      <w:r w:rsidRPr="0071276E">
        <w:rPr>
          <w:sz w:val="16"/>
          <w:szCs w:val="16"/>
        </w:rPr>
        <w:t xml:space="preserve"> Mírný meziměsíční růst nabídky míst</w:t>
      </w:r>
      <w:r>
        <w:rPr>
          <w:sz w:val="16"/>
          <w:szCs w:val="16"/>
        </w:rPr>
        <w:t>,</w:t>
      </w:r>
      <w:r w:rsidRPr="0071276E">
        <w:rPr>
          <w:sz w:val="16"/>
          <w:szCs w:val="16"/>
        </w:rPr>
        <w:t xml:space="preserve"> tažený patrně zejména sezónními vlivy</w:t>
      </w:r>
      <w:r>
        <w:rPr>
          <w:sz w:val="16"/>
          <w:szCs w:val="16"/>
        </w:rPr>
        <w:t>,</w:t>
      </w:r>
      <w:r w:rsidRPr="0071276E">
        <w:rPr>
          <w:sz w:val="16"/>
          <w:szCs w:val="16"/>
        </w:rPr>
        <w:t xml:space="preserve"> přetrvával letos i</w:t>
      </w:r>
      <w:r>
        <w:rPr>
          <w:sz w:val="16"/>
          <w:szCs w:val="16"/>
        </w:rPr>
        <w:t> </w:t>
      </w:r>
      <w:r w:rsidRPr="0071276E">
        <w:rPr>
          <w:sz w:val="16"/>
          <w:szCs w:val="16"/>
        </w:rPr>
        <w:t>v</w:t>
      </w:r>
      <w:r>
        <w:rPr>
          <w:sz w:val="16"/>
          <w:szCs w:val="16"/>
        </w:rPr>
        <w:t> </w:t>
      </w:r>
      <w:r w:rsidRPr="0071276E">
        <w:rPr>
          <w:sz w:val="16"/>
          <w:szCs w:val="16"/>
        </w:rPr>
        <w:t>dubnu a</w:t>
      </w:r>
      <w:r>
        <w:rPr>
          <w:sz w:val="16"/>
          <w:szCs w:val="16"/>
        </w:rPr>
        <w:t> </w:t>
      </w:r>
      <w:r w:rsidRPr="0071276E">
        <w:rPr>
          <w:sz w:val="16"/>
          <w:szCs w:val="16"/>
        </w:rPr>
        <w:t>květnu.</w:t>
      </w:r>
    </w:p>
  </w:footnote>
  <w:footnote w:id="53">
    <w:p w14:paraId="7D94DCCA" w14:textId="77777777" w:rsidR="006F6FF2" w:rsidRPr="00C51BE4" w:rsidRDefault="006F6FF2" w:rsidP="00F766BE">
      <w:pPr>
        <w:pStyle w:val="Textpoznpodarou"/>
        <w:rPr>
          <w:sz w:val="16"/>
          <w:szCs w:val="16"/>
        </w:rPr>
      </w:pPr>
      <w:r w:rsidRPr="00C51BE4">
        <w:rPr>
          <w:rStyle w:val="Znakapoznpodarou"/>
          <w:sz w:val="16"/>
          <w:szCs w:val="16"/>
        </w:rPr>
        <w:footnoteRef/>
      </w:r>
      <w:r w:rsidRPr="00C51BE4">
        <w:rPr>
          <w:sz w:val="16"/>
          <w:szCs w:val="16"/>
        </w:rPr>
        <w:t xml:space="preserve"> </w:t>
      </w:r>
      <w:r w:rsidRPr="00C51BE4">
        <w:rPr>
          <w:spacing w:val="-2"/>
          <w:sz w:val="16"/>
          <w:szCs w:val="16"/>
        </w:rPr>
        <w:t>Tyto osoby pobíraly transfery od státu, které metodicky nejsou součástí mezd (jejich čerpání tak působilo proti růstu průměrných mezd).</w:t>
      </w:r>
    </w:p>
  </w:footnote>
  <w:footnote w:id="54">
    <w:p w14:paraId="52E73B7A" w14:textId="77777777" w:rsidR="006F6FF2" w:rsidRPr="001A77CA" w:rsidRDefault="006F6FF2" w:rsidP="00F766BE">
      <w:pPr>
        <w:pStyle w:val="Textpoznpodarou"/>
        <w:rPr>
          <w:sz w:val="16"/>
          <w:szCs w:val="16"/>
        </w:rPr>
      </w:pPr>
      <w:r w:rsidRPr="001A77CA">
        <w:rPr>
          <w:rStyle w:val="Znakapoznpodarou"/>
          <w:sz w:val="16"/>
          <w:szCs w:val="16"/>
        </w:rPr>
        <w:footnoteRef/>
      </w:r>
      <w:r w:rsidRPr="001A77CA">
        <w:rPr>
          <w:sz w:val="16"/>
          <w:szCs w:val="16"/>
        </w:rPr>
        <w:t xml:space="preserve"> Ve směru posílení průměrné mzdy mohly naopak působit odložené výplaty loňských ročních odměn, které část firem </w:t>
      </w:r>
      <w:r>
        <w:rPr>
          <w:sz w:val="16"/>
          <w:szCs w:val="16"/>
        </w:rPr>
        <w:t xml:space="preserve">(zejména v odvětvích s výrazně nadprůměrnými mzdami) </w:t>
      </w:r>
      <w:r w:rsidRPr="001A77CA">
        <w:rPr>
          <w:sz w:val="16"/>
          <w:szCs w:val="16"/>
        </w:rPr>
        <w:t xml:space="preserve">kvůli zrušení </w:t>
      </w:r>
      <w:proofErr w:type="spellStart"/>
      <w:r w:rsidRPr="001A77CA">
        <w:rPr>
          <w:sz w:val="16"/>
          <w:szCs w:val="16"/>
        </w:rPr>
        <w:t>superhrubé</w:t>
      </w:r>
      <w:proofErr w:type="spellEnd"/>
      <w:r w:rsidRPr="001A77CA">
        <w:rPr>
          <w:sz w:val="16"/>
          <w:szCs w:val="16"/>
        </w:rPr>
        <w:t xml:space="preserve"> mzdy</w:t>
      </w:r>
      <w:r>
        <w:rPr>
          <w:sz w:val="16"/>
          <w:szCs w:val="16"/>
        </w:rPr>
        <w:t xml:space="preserve"> </w:t>
      </w:r>
      <w:r w:rsidRPr="001A77CA">
        <w:rPr>
          <w:sz w:val="16"/>
          <w:szCs w:val="16"/>
        </w:rPr>
        <w:t>pozdržela do letošního roku.</w:t>
      </w:r>
      <w:r>
        <w:rPr>
          <w:sz w:val="16"/>
          <w:szCs w:val="16"/>
        </w:rPr>
        <w:t xml:space="preserve"> Tento „statistický efekt“ však letos nebyl zdaleka tak významný jako na přelomu let 2012 a 2013, kdy došlo vlivem zavedení tzv. solidární daně k přesunutí výplaty celoročních odměn plánovaných na počátek roku 2013 již do výplat na konci roku 2012.</w:t>
      </w:r>
    </w:p>
  </w:footnote>
  <w:footnote w:id="55">
    <w:p w14:paraId="6FD55DE3" w14:textId="77777777" w:rsidR="006F6FF2" w:rsidRDefault="006F6FF2" w:rsidP="007B74AA">
      <w:pPr>
        <w:pStyle w:val="Textpoznpodarou"/>
        <w:rPr>
          <w:sz w:val="16"/>
          <w:szCs w:val="16"/>
        </w:rPr>
      </w:pPr>
      <w:r>
        <w:rPr>
          <w:rStyle w:val="Znakapoznpodarou"/>
          <w:sz w:val="16"/>
          <w:szCs w:val="16"/>
        </w:rPr>
        <w:footnoteRef/>
      </w:r>
      <w:r>
        <w:rPr>
          <w:sz w:val="16"/>
          <w:szCs w:val="16"/>
        </w:rPr>
        <w:t xml:space="preserve"> Není</w:t>
      </w:r>
      <w:r>
        <w:rPr>
          <w:sz w:val="16"/>
          <w:szCs w:val="16"/>
        </w:rPr>
        <w:noBreakHyphen/>
        <w:t>li uvedeno jinak, je zdrojem údajů v této kapitole databáze ARAD České národní banky. Hodnoty směnných kurzů jsou rovněž převzaty od ČNB.</w:t>
      </w:r>
    </w:p>
  </w:footnote>
  <w:footnote w:id="56">
    <w:p w14:paraId="677FCCEA" w14:textId="77777777" w:rsidR="006F6FF2" w:rsidRDefault="006F6FF2" w:rsidP="007B74AA">
      <w:pPr>
        <w:pStyle w:val="Textpoznpodarou"/>
      </w:pPr>
      <w:r w:rsidRPr="00316B66">
        <w:rPr>
          <w:rStyle w:val="Znakapoznpodarou"/>
          <w:sz w:val="16"/>
        </w:rPr>
        <w:footnoteRef/>
      </w:r>
      <w:r>
        <w:t xml:space="preserve"> </w:t>
      </w:r>
      <w:r>
        <w:rPr>
          <w:sz w:val="16"/>
          <w:szCs w:val="16"/>
        </w:rPr>
        <w:t xml:space="preserve">Možnost </w:t>
      </w:r>
      <w:r w:rsidRPr="00316B66">
        <w:rPr>
          <w:sz w:val="16"/>
          <w:szCs w:val="16"/>
        </w:rPr>
        <w:t>odklad</w:t>
      </w:r>
      <w:r>
        <w:rPr>
          <w:sz w:val="16"/>
          <w:szCs w:val="16"/>
        </w:rPr>
        <w:t>u</w:t>
      </w:r>
      <w:r w:rsidRPr="00316B66">
        <w:rPr>
          <w:sz w:val="16"/>
          <w:szCs w:val="16"/>
        </w:rPr>
        <w:t xml:space="preserve"> splátek.</w:t>
      </w:r>
    </w:p>
  </w:footnote>
  <w:footnote w:id="57">
    <w:p w14:paraId="3CD49E9B" w14:textId="77777777" w:rsidR="006F6FF2" w:rsidRPr="004A27B5" w:rsidRDefault="006F6FF2" w:rsidP="00AB3BA7">
      <w:pPr>
        <w:pStyle w:val="Textpoznpodarou"/>
        <w:jc w:val="both"/>
        <w:rPr>
          <w:spacing w:val="-3"/>
          <w:sz w:val="16"/>
          <w:szCs w:val="16"/>
        </w:rPr>
      </w:pPr>
      <w:r w:rsidRPr="004A27B5">
        <w:rPr>
          <w:rStyle w:val="Znakapoznpodarou"/>
          <w:spacing w:val="-3"/>
          <w:sz w:val="16"/>
          <w:szCs w:val="16"/>
        </w:rPr>
        <w:footnoteRef/>
      </w:r>
      <w:r w:rsidRPr="004A27B5">
        <w:rPr>
          <w:spacing w:val="-3"/>
          <w:sz w:val="16"/>
          <w:szCs w:val="16"/>
        </w:rPr>
        <w:t xml:space="preserve"> </w:t>
      </w:r>
      <w:r w:rsidRPr="004A27B5">
        <w:rPr>
          <w:color w:val="0D0D0D" w:themeColor="text1" w:themeTint="F2"/>
          <w:spacing w:val="-3"/>
          <w:sz w:val="16"/>
          <w:szCs w:val="16"/>
        </w:rPr>
        <w:t xml:space="preserve">Pokud není uvedeno jinak, vycházejí všechny údaje týkající se státního rozpočtu </w:t>
      </w:r>
      <w:r w:rsidRPr="004A27B5">
        <w:rPr>
          <w:rFonts w:cs="Arial"/>
          <w:color w:val="0D0D0D" w:themeColor="text1" w:themeTint="F2"/>
          <w:spacing w:val="-3"/>
          <w:sz w:val="16"/>
          <w:szCs w:val="16"/>
        </w:rPr>
        <w:t>z dat Ministerstva financí o pokladním plnění.</w:t>
      </w:r>
    </w:p>
  </w:footnote>
  <w:footnote w:id="58">
    <w:p w14:paraId="43D56518" w14:textId="77777777" w:rsidR="006F6FF2" w:rsidRPr="004A27B5" w:rsidRDefault="006F6FF2" w:rsidP="00AB3BA7">
      <w:pPr>
        <w:pStyle w:val="Textpoznpodarou"/>
        <w:rPr>
          <w:spacing w:val="-4"/>
          <w:sz w:val="16"/>
          <w:szCs w:val="16"/>
        </w:rPr>
      </w:pPr>
      <w:r w:rsidRPr="004A27B5">
        <w:rPr>
          <w:rStyle w:val="Znakapoznpodarou"/>
          <w:spacing w:val="-4"/>
          <w:sz w:val="16"/>
          <w:szCs w:val="16"/>
        </w:rPr>
        <w:footnoteRef/>
      </w:r>
      <w:r w:rsidRPr="004A27B5">
        <w:rPr>
          <w:spacing w:val="-4"/>
          <w:sz w:val="16"/>
          <w:szCs w:val="16"/>
        </w:rPr>
        <w:t xml:space="preserve"> To odpovídalo 25</w:t>
      </w:r>
      <w:r>
        <w:rPr>
          <w:spacing w:val="-4"/>
          <w:sz w:val="16"/>
          <w:szCs w:val="16"/>
        </w:rPr>
        <w:t> %</w:t>
      </w:r>
      <w:r w:rsidRPr="004A27B5">
        <w:rPr>
          <w:spacing w:val="-4"/>
          <w:sz w:val="16"/>
          <w:szCs w:val="16"/>
        </w:rPr>
        <w:t xml:space="preserve"> očekávaného celoročního deficitu dle březnové novely zákona o</w:t>
      </w:r>
      <w:r>
        <w:rPr>
          <w:spacing w:val="-4"/>
          <w:sz w:val="16"/>
          <w:szCs w:val="16"/>
        </w:rPr>
        <w:t> </w:t>
      </w:r>
      <w:r w:rsidRPr="004A27B5">
        <w:rPr>
          <w:spacing w:val="-4"/>
          <w:sz w:val="16"/>
          <w:szCs w:val="16"/>
        </w:rPr>
        <w:t>SR na rok 2021. Ta s ohledem na opětovné zhoršení epidemické situace navýšila plánovaný deficit na 500</w:t>
      </w:r>
      <w:r>
        <w:rPr>
          <w:spacing w:val="-4"/>
          <w:sz w:val="16"/>
          <w:szCs w:val="16"/>
        </w:rPr>
        <w:t> mld.</w:t>
      </w:r>
      <w:r w:rsidRPr="004A27B5">
        <w:rPr>
          <w:spacing w:val="-4"/>
          <w:sz w:val="16"/>
          <w:szCs w:val="16"/>
        </w:rPr>
        <w:t xml:space="preserve"> korun (z</w:t>
      </w:r>
      <w:r>
        <w:rPr>
          <w:spacing w:val="-4"/>
          <w:sz w:val="16"/>
          <w:szCs w:val="16"/>
        </w:rPr>
        <w:t> </w:t>
      </w:r>
      <w:r w:rsidRPr="004A27B5">
        <w:rPr>
          <w:spacing w:val="-4"/>
          <w:sz w:val="16"/>
          <w:szCs w:val="16"/>
        </w:rPr>
        <w:t>320</w:t>
      </w:r>
      <w:r>
        <w:rPr>
          <w:spacing w:val="-4"/>
          <w:sz w:val="16"/>
          <w:szCs w:val="16"/>
        </w:rPr>
        <w:t> mld.</w:t>
      </w:r>
      <w:r w:rsidRPr="004A27B5">
        <w:rPr>
          <w:spacing w:val="-4"/>
          <w:sz w:val="16"/>
          <w:szCs w:val="16"/>
        </w:rPr>
        <w:t xml:space="preserve"> uvedených v 1</w:t>
      </w:r>
      <w:r>
        <w:rPr>
          <w:spacing w:val="-4"/>
          <w:sz w:val="16"/>
          <w:szCs w:val="16"/>
        </w:rPr>
        <w:t>. </w:t>
      </w:r>
      <w:r w:rsidRPr="004A27B5">
        <w:rPr>
          <w:spacing w:val="-4"/>
          <w:sz w:val="16"/>
          <w:szCs w:val="16"/>
        </w:rPr>
        <w:t xml:space="preserve">verzi zákona </w:t>
      </w:r>
      <w:r>
        <w:rPr>
          <w:spacing w:val="-4"/>
          <w:sz w:val="16"/>
          <w:szCs w:val="16"/>
        </w:rPr>
        <w:t>o </w:t>
      </w:r>
      <w:r w:rsidRPr="004A27B5">
        <w:rPr>
          <w:spacing w:val="-4"/>
          <w:sz w:val="16"/>
          <w:szCs w:val="16"/>
        </w:rPr>
        <w:t>SR schválené 18</w:t>
      </w:r>
      <w:r>
        <w:rPr>
          <w:spacing w:val="-4"/>
          <w:sz w:val="16"/>
          <w:szCs w:val="16"/>
        </w:rPr>
        <w:t>. </w:t>
      </w:r>
      <w:r w:rsidRPr="004A27B5">
        <w:rPr>
          <w:spacing w:val="-4"/>
          <w:sz w:val="16"/>
          <w:szCs w:val="16"/>
        </w:rPr>
        <w:t>prosince 2020).</w:t>
      </w:r>
    </w:p>
  </w:footnote>
  <w:footnote w:id="59">
    <w:p w14:paraId="6C9419D1" w14:textId="77777777" w:rsidR="006F6FF2" w:rsidRPr="004A27B5" w:rsidRDefault="006F6FF2" w:rsidP="00AB3BA7">
      <w:pPr>
        <w:pStyle w:val="Textpoznpodarou"/>
        <w:rPr>
          <w:spacing w:val="-2"/>
          <w:sz w:val="16"/>
          <w:szCs w:val="16"/>
        </w:rPr>
      </w:pPr>
      <w:r w:rsidRPr="004A27B5">
        <w:rPr>
          <w:rStyle w:val="Znakapoznpodarou"/>
          <w:spacing w:val="-2"/>
          <w:sz w:val="16"/>
          <w:szCs w:val="16"/>
        </w:rPr>
        <w:footnoteRef/>
      </w:r>
      <w:r w:rsidRPr="004A27B5">
        <w:rPr>
          <w:spacing w:val="-2"/>
          <w:sz w:val="16"/>
          <w:szCs w:val="16"/>
        </w:rPr>
        <w:t xml:space="preserve"> Dílčí roli sehrálo i</w:t>
      </w:r>
      <w:r>
        <w:rPr>
          <w:spacing w:val="-2"/>
          <w:sz w:val="16"/>
          <w:szCs w:val="16"/>
        </w:rPr>
        <w:t> </w:t>
      </w:r>
      <w:r w:rsidRPr="004A27B5">
        <w:rPr>
          <w:spacing w:val="-2"/>
          <w:sz w:val="16"/>
          <w:szCs w:val="16"/>
        </w:rPr>
        <w:t xml:space="preserve">zrušení </w:t>
      </w:r>
      <w:r>
        <w:rPr>
          <w:spacing w:val="-2"/>
          <w:sz w:val="16"/>
          <w:szCs w:val="16"/>
        </w:rPr>
        <w:t>daně z nabytí nemovitosti, které</w:t>
      </w:r>
      <w:r w:rsidRPr="004A27B5">
        <w:rPr>
          <w:spacing w:val="-2"/>
          <w:sz w:val="16"/>
          <w:szCs w:val="16"/>
        </w:rPr>
        <w:t xml:space="preserve"> se v inkasu projevilo až od 2.</w:t>
      </w:r>
      <w:r>
        <w:rPr>
          <w:spacing w:val="-2"/>
          <w:sz w:val="16"/>
          <w:szCs w:val="16"/>
        </w:rPr>
        <w:t> čtvrtlet</w:t>
      </w:r>
      <w:r w:rsidRPr="004A27B5">
        <w:rPr>
          <w:spacing w:val="-2"/>
          <w:sz w:val="16"/>
          <w:szCs w:val="16"/>
        </w:rPr>
        <w:t>í 2020.</w:t>
      </w:r>
    </w:p>
  </w:footnote>
  <w:footnote w:id="60">
    <w:p w14:paraId="08AF4770" w14:textId="77777777" w:rsidR="006F6FF2" w:rsidRPr="004A27B5" w:rsidRDefault="006F6FF2" w:rsidP="00AB3BA7">
      <w:pPr>
        <w:pStyle w:val="Textpoznpodarou"/>
        <w:rPr>
          <w:spacing w:val="-2"/>
          <w:sz w:val="16"/>
          <w:szCs w:val="16"/>
        </w:rPr>
      </w:pPr>
      <w:r w:rsidRPr="004A27B5">
        <w:rPr>
          <w:rStyle w:val="Znakapoznpodarou"/>
          <w:spacing w:val="-2"/>
          <w:sz w:val="16"/>
          <w:szCs w:val="16"/>
        </w:rPr>
        <w:footnoteRef/>
      </w:r>
      <w:r w:rsidRPr="004A27B5">
        <w:rPr>
          <w:spacing w:val="-2"/>
          <w:sz w:val="16"/>
          <w:szCs w:val="16"/>
        </w:rPr>
        <w:t xml:space="preserve"> Pokles příjmů SR na počátku roku 2017 byl ale způsoben výhradně krátkodobým propadem přijatých prostředků z evropských fondů v souvislosti s přechodem na nové programové období EU. Samotné daňové příjmy se snížily naposledy v 1.</w:t>
      </w:r>
      <w:r>
        <w:rPr>
          <w:spacing w:val="-2"/>
          <w:sz w:val="16"/>
          <w:szCs w:val="16"/>
        </w:rPr>
        <w:t> čtvrtlet</w:t>
      </w:r>
      <w:r w:rsidRPr="004A27B5">
        <w:rPr>
          <w:spacing w:val="-2"/>
          <w:sz w:val="16"/>
          <w:szCs w:val="16"/>
        </w:rPr>
        <w:t>í 2015.</w:t>
      </w:r>
    </w:p>
  </w:footnote>
  <w:footnote w:id="61">
    <w:p w14:paraId="4754455D" w14:textId="77777777" w:rsidR="006F6FF2" w:rsidRPr="004A27B5" w:rsidRDefault="006F6FF2" w:rsidP="00AB3BA7">
      <w:pPr>
        <w:pStyle w:val="Textpoznpodarou"/>
        <w:rPr>
          <w:spacing w:val="-2"/>
          <w:sz w:val="16"/>
          <w:szCs w:val="16"/>
        </w:rPr>
      </w:pPr>
      <w:r w:rsidRPr="004A27B5">
        <w:rPr>
          <w:rStyle w:val="Znakapoznpodarou"/>
          <w:spacing w:val="-2"/>
          <w:sz w:val="16"/>
          <w:szCs w:val="16"/>
        </w:rPr>
        <w:footnoteRef/>
      </w:r>
      <w:r w:rsidRPr="004A27B5">
        <w:rPr>
          <w:spacing w:val="-2"/>
          <w:sz w:val="16"/>
          <w:szCs w:val="16"/>
        </w:rPr>
        <w:t xml:space="preserve"> Na sdílených daní</w:t>
      </w:r>
      <w:r>
        <w:rPr>
          <w:spacing w:val="-2"/>
          <w:sz w:val="16"/>
          <w:szCs w:val="16"/>
        </w:rPr>
        <w:t>ch</w:t>
      </w:r>
      <w:r w:rsidRPr="004A27B5">
        <w:rPr>
          <w:spacing w:val="-2"/>
          <w:sz w:val="16"/>
          <w:szCs w:val="16"/>
        </w:rPr>
        <w:t xml:space="preserve"> (DPH, daně z příjmu) tak inkasoval SR v 1</w:t>
      </w:r>
      <w:r>
        <w:rPr>
          <w:spacing w:val="-2"/>
          <w:sz w:val="16"/>
          <w:szCs w:val="16"/>
        </w:rPr>
        <w:t>. </w:t>
      </w:r>
      <w:r w:rsidRPr="004A27B5">
        <w:rPr>
          <w:spacing w:val="-2"/>
          <w:sz w:val="16"/>
          <w:szCs w:val="16"/>
        </w:rPr>
        <w:t>letošním čtvrtletí o</w:t>
      </w:r>
      <w:r>
        <w:rPr>
          <w:spacing w:val="-2"/>
          <w:sz w:val="16"/>
          <w:szCs w:val="16"/>
        </w:rPr>
        <w:t> </w:t>
      </w:r>
      <w:r w:rsidRPr="004A27B5">
        <w:rPr>
          <w:spacing w:val="-2"/>
          <w:sz w:val="16"/>
          <w:szCs w:val="16"/>
        </w:rPr>
        <w:t>6,3</w:t>
      </w:r>
      <w:r>
        <w:rPr>
          <w:spacing w:val="-2"/>
          <w:sz w:val="16"/>
          <w:szCs w:val="16"/>
        </w:rPr>
        <w:t> mld.</w:t>
      </w:r>
      <w:r w:rsidRPr="004A27B5">
        <w:rPr>
          <w:spacing w:val="-2"/>
          <w:sz w:val="16"/>
          <w:szCs w:val="16"/>
        </w:rPr>
        <w:t xml:space="preserve"> korun méně.</w:t>
      </w:r>
    </w:p>
  </w:footnote>
  <w:footnote w:id="62">
    <w:p w14:paraId="06F5EB0A" w14:textId="77777777" w:rsidR="006F6FF2" w:rsidRPr="004A27B5" w:rsidRDefault="006F6FF2" w:rsidP="00AB3BA7">
      <w:pPr>
        <w:pStyle w:val="Textpoznpodarou"/>
        <w:rPr>
          <w:spacing w:val="-3"/>
          <w:sz w:val="16"/>
          <w:szCs w:val="16"/>
        </w:rPr>
      </w:pPr>
      <w:r w:rsidRPr="004A27B5">
        <w:rPr>
          <w:rStyle w:val="Znakapoznpodarou"/>
          <w:spacing w:val="-3"/>
          <w:sz w:val="16"/>
          <w:szCs w:val="16"/>
        </w:rPr>
        <w:footnoteRef/>
      </w:r>
      <w:r w:rsidRPr="004A27B5">
        <w:rPr>
          <w:spacing w:val="-3"/>
          <w:sz w:val="16"/>
          <w:szCs w:val="16"/>
        </w:rPr>
        <w:t xml:space="preserve"> To bylo způsobeno tím, že plánovaný převod prostředků privatizačního účtu do</w:t>
      </w:r>
      <w:r>
        <w:rPr>
          <w:spacing w:val="-3"/>
          <w:sz w:val="16"/>
          <w:szCs w:val="16"/>
        </w:rPr>
        <w:t> </w:t>
      </w:r>
      <w:r w:rsidRPr="004A27B5">
        <w:rPr>
          <w:spacing w:val="-3"/>
          <w:sz w:val="16"/>
          <w:szCs w:val="16"/>
        </w:rPr>
        <w:t>SR (+10</w:t>
      </w:r>
      <w:r>
        <w:rPr>
          <w:spacing w:val="-3"/>
          <w:sz w:val="16"/>
          <w:szCs w:val="16"/>
        </w:rPr>
        <w:t> mld.</w:t>
      </w:r>
      <w:r w:rsidRPr="004A27B5">
        <w:rPr>
          <w:spacing w:val="-3"/>
          <w:sz w:val="16"/>
          <w:szCs w:val="16"/>
        </w:rPr>
        <w:t xml:space="preserve"> korun) se letos v 1.</w:t>
      </w:r>
      <w:r>
        <w:rPr>
          <w:spacing w:val="-3"/>
          <w:sz w:val="16"/>
          <w:szCs w:val="16"/>
        </w:rPr>
        <w:t> čtvrtlet</w:t>
      </w:r>
      <w:r w:rsidRPr="004A27B5">
        <w:rPr>
          <w:spacing w:val="-3"/>
          <w:sz w:val="16"/>
          <w:szCs w:val="16"/>
        </w:rPr>
        <w:t>í (na rozdíl od loňského roku) dosud neuskutečnil. Tato diskrepance byla letos čá</w:t>
      </w:r>
      <w:r>
        <w:rPr>
          <w:spacing w:val="-3"/>
          <w:sz w:val="16"/>
          <w:szCs w:val="16"/>
        </w:rPr>
        <w:t>stečně kompenzována mimořádnými</w:t>
      </w:r>
      <w:r w:rsidRPr="004A27B5">
        <w:rPr>
          <w:spacing w:val="-3"/>
          <w:sz w:val="16"/>
          <w:szCs w:val="16"/>
        </w:rPr>
        <w:t xml:space="preserve"> výnosy z a</w:t>
      </w:r>
      <w:r>
        <w:rPr>
          <w:spacing w:val="-3"/>
          <w:sz w:val="16"/>
          <w:szCs w:val="16"/>
        </w:rPr>
        <w:t>u</w:t>
      </w:r>
      <w:r w:rsidRPr="004A27B5">
        <w:rPr>
          <w:spacing w:val="-3"/>
          <w:sz w:val="16"/>
          <w:szCs w:val="16"/>
        </w:rPr>
        <w:t>kce kmitočtů (+5,6</w:t>
      </w:r>
      <w:r>
        <w:rPr>
          <w:spacing w:val="-3"/>
          <w:sz w:val="16"/>
          <w:szCs w:val="16"/>
        </w:rPr>
        <w:t> mld.</w:t>
      </w:r>
      <w:r w:rsidRPr="004A27B5">
        <w:rPr>
          <w:spacing w:val="-3"/>
          <w:sz w:val="16"/>
          <w:szCs w:val="16"/>
        </w:rPr>
        <w:t>).</w:t>
      </w:r>
    </w:p>
  </w:footnote>
  <w:footnote w:id="63">
    <w:p w14:paraId="2346817A" w14:textId="77777777" w:rsidR="006F6FF2" w:rsidRPr="004A27B5" w:rsidRDefault="006F6FF2" w:rsidP="00AB3BA7">
      <w:pPr>
        <w:pStyle w:val="Textpoznpodarou"/>
        <w:rPr>
          <w:spacing w:val="-2"/>
          <w:sz w:val="16"/>
          <w:szCs w:val="16"/>
        </w:rPr>
      </w:pPr>
      <w:r w:rsidRPr="004A27B5">
        <w:rPr>
          <w:rStyle w:val="Znakapoznpodarou"/>
          <w:spacing w:val="-2"/>
          <w:sz w:val="16"/>
          <w:szCs w:val="16"/>
        </w:rPr>
        <w:footnoteRef/>
      </w:r>
      <w:r w:rsidRPr="004A27B5">
        <w:rPr>
          <w:spacing w:val="-2"/>
          <w:sz w:val="16"/>
          <w:szCs w:val="16"/>
        </w:rPr>
        <w:t xml:space="preserve"> Po zrušení </w:t>
      </w:r>
      <w:proofErr w:type="spellStart"/>
      <w:r w:rsidRPr="004A27B5">
        <w:rPr>
          <w:spacing w:val="-2"/>
          <w:sz w:val="16"/>
          <w:szCs w:val="16"/>
        </w:rPr>
        <w:t>superhrubé</w:t>
      </w:r>
      <w:proofErr w:type="spellEnd"/>
      <w:r w:rsidRPr="004A27B5">
        <w:rPr>
          <w:spacing w:val="-2"/>
          <w:sz w:val="16"/>
          <w:szCs w:val="16"/>
        </w:rPr>
        <w:t xml:space="preserve"> mzdy byla od 1</w:t>
      </w:r>
      <w:r>
        <w:rPr>
          <w:spacing w:val="-2"/>
          <w:sz w:val="16"/>
          <w:szCs w:val="16"/>
        </w:rPr>
        <w:t>. </w:t>
      </w:r>
      <w:r w:rsidRPr="004A27B5">
        <w:rPr>
          <w:spacing w:val="-2"/>
          <w:sz w:val="16"/>
          <w:szCs w:val="16"/>
        </w:rPr>
        <w:t>ledna 2021 zavedena základní daňová sazba 15</w:t>
      </w:r>
      <w:r>
        <w:rPr>
          <w:spacing w:val="-2"/>
          <w:sz w:val="16"/>
          <w:szCs w:val="16"/>
        </w:rPr>
        <w:t> %</w:t>
      </w:r>
      <w:r w:rsidRPr="004A27B5">
        <w:rPr>
          <w:spacing w:val="-2"/>
          <w:sz w:val="16"/>
          <w:szCs w:val="16"/>
        </w:rPr>
        <w:t xml:space="preserve"> (a</w:t>
      </w:r>
      <w:r>
        <w:rPr>
          <w:spacing w:val="-2"/>
          <w:sz w:val="16"/>
          <w:szCs w:val="16"/>
        </w:rPr>
        <w:t> </w:t>
      </w:r>
      <w:r w:rsidRPr="004A27B5">
        <w:rPr>
          <w:spacing w:val="-2"/>
          <w:sz w:val="16"/>
          <w:szCs w:val="16"/>
        </w:rPr>
        <w:t>doplňková 23</w:t>
      </w:r>
      <w:r>
        <w:rPr>
          <w:spacing w:val="-2"/>
          <w:sz w:val="16"/>
          <w:szCs w:val="16"/>
        </w:rPr>
        <w:t> %</w:t>
      </w:r>
      <w:r w:rsidRPr="004A27B5">
        <w:rPr>
          <w:spacing w:val="-2"/>
          <w:sz w:val="16"/>
          <w:szCs w:val="16"/>
        </w:rPr>
        <w:t>) a</w:t>
      </w:r>
      <w:r>
        <w:rPr>
          <w:spacing w:val="-2"/>
          <w:sz w:val="16"/>
          <w:szCs w:val="16"/>
        </w:rPr>
        <w:t> </w:t>
      </w:r>
      <w:r w:rsidRPr="004A27B5">
        <w:rPr>
          <w:spacing w:val="-2"/>
          <w:sz w:val="16"/>
          <w:szCs w:val="16"/>
        </w:rPr>
        <w:t>navýšena roční daňová sleva na poplatníka (+3</w:t>
      </w:r>
      <w:r>
        <w:rPr>
          <w:spacing w:val="-2"/>
          <w:sz w:val="16"/>
          <w:szCs w:val="16"/>
        </w:rPr>
        <w:t> tis.</w:t>
      </w:r>
      <w:r w:rsidRPr="004A27B5">
        <w:rPr>
          <w:spacing w:val="-2"/>
          <w:sz w:val="16"/>
          <w:szCs w:val="16"/>
        </w:rPr>
        <w:t xml:space="preserve"> korun). Tyto změny by měly dle odhadů MF letos připravit veřejné rozpočty na výše uvedené dani o</w:t>
      </w:r>
      <w:r>
        <w:rPr>
          <w:spacing w:val="-2"/>
          <w:sz w:val="16"/>
          <w:szCs w:val="16"/>
        </w:rPr>
        <w:t> </w:t>
      </w:r>
      <w:r w:rsidRPr="004A27B5">
        <w:rPr>
          <w:spacing w:val="-2"/>
          <w:sz w:val="16"/>
          <w:szCs w:val="16"/>
        </w:rPr>
        <w:t>90</w:t>
      </w:r>
      <w:r>
        <w:rPr>
          <w:spacing w:val="-2"/>
          <w:sz w:val="16"/>
          <w:szCs w:val="16"/>
        </w:rPr>
        <w:t> mld.</w:t>
      </w:r>
      <w:r w:rsidRPr="004A27B5">
        <w:rPr>
          <w:spacing w:val="-2"/>
          <w:sz w:val="16"/>
          <w:szCs w:val="16"/>
        </w:rPr>
        <w:t xml:space="preserve"> korun. Jen za 1.</w:t>
      </w:r>
      <w:r>
        <w:rPr>
          <w:spacing w:val="-2"/>
          <w:sz w:val="16"/>
          <w:szCs w:val="16"/>
        </w:rPr>
        <w:t> čtvrtlet</w:t>
      </w:r>
      <w:r w:rsidRPr="004A27B5">
        <w:rPr>
          <w:spacing w:val="-2"/>
          <w:sz w:val="16"/>
          <w:szCs w:val="16"/>
        </w:rPr>
        <w:t>í 2021 kleslo celostátní inkaso DPFO ze závislé činnosti o</w:t>
      </w:r>
      <w:r>
        <w:rPr>
          <w:spacing w:val="-2"/>
          <w:sz w:val="16"/>
          <w:szCs w:val="16"/>
        </w:rPr>
        <w:t> </w:t>
      </w:r>
      <w:r w:rsidRPr="004A27B5">
        <w:rPr>
          <w:spacing w:val="-2"/>
          <w:sz w:val="16"/>
          <w:szCs w:val="16"/>
        </w:rPr>
        <w:t>20</w:t>
      </w:r>
      <w:r>
        <w:rPr>
          <w:spacing w:val="-2"/>
          <w:sz w:val="16"/>
          <w:szCs w:val="16"/>
        </w:rPr>
        <w:t> mld.</w:t>
      </w:r>
      <w:r w:rsidRPr="004A27B5">
        <w:rPr>
          <w:spacing w:val="-2"/>
          <w:sz w:val="16"/>
          <w:szCs w:val="16"/>
        </w:rPr>
        <w:t xml:space="preserve"> korun.</w:t>
      </w:r>
    </w:p>
  </w:footnote>
  <w:footnote w:id="64">
    <w:p w14:paraId="62E1EA8D" w14:textId="77777777" w:rsidR="006F6FF2" w:rsidRPr="004A27B5" w:rsidRDefault="006F6FF2" w:rsidP="00AB3BA7">
      <w:pPr>
        <w:pStyle w:val="Textpoznpodarou"/>
        <w:rPr>
          <w:spacing w:val="-2"/>
          <w:sz w:val="16"/>
          <w:szCs w:val="16"/>
        </w:rPr>
      </w:pPr>
      <w:r w:rsidRPr="004A27B5">
        <w:rPr>
          <w:rStyle w:val="Znakapoznpodarou"/>
          <w:spacing w:val="-2"/>
          <w:sz w:val="16"/>
          <w:szCs w:val="16"/>
        </w:rPr>
        <w:footnoteRef/>
      </w:r>
      <w:r w:rsidRPr="004A27B5">
        <w:rPr>
          <w:spacing w:val="-2"/>
          <w:sz w:val="16"/>
          <w:szCs w:val="16"/>
        </w:rPr>
        <w:t xml:space="preserve"> Dle odhadů MF vedl v 1.</w:t>
      </w:r>
      <w:r>
        <w:rPr>
          <w:spacing w:val="-2"/>
          <w:sz w:val="16"/>
          <w:szCs w:val="16"/>
        </w:rPr>
        <w:t> čtvrtlet</w:t>
      </w:r>
      <w:r w:rsidRPr="004A27B5">
        <w:rPr>
          <w:spacing w:val="-2"/>
          <w:sz w:val="16"/>
          <w:szCs w:val="16"/>
        </w:rPr>
        <w:t>í 2021 tento faktor k poklesu příjmů korporátní daně do</w:t>
      </w:r>
      <w:r>
        <w:rPr>
          <w:spacing w:val="-2"/>
          <w:sz w:val="16"/>
          <w:szCs w:val="16"/>
        </w:rPr>
        <w:t> </w:t>
      </w:r>
      <w:r w:rsidRPr="004A27B5">
        <w:rPr>
          <w:spacing w:val="-2"/>
          <w:sz w:val="16"/>
          <w:szCs w:val="16"/>
        </w:rPr>
        <w:t>SR o</w:t>
      </w:r>
      <w:r>
        <w:rPr>
          <w:spacing w:val="-2"/>
          <w:sz w:val="16"/>
          <w:szCs w:val="16"/>
        </w:rPr>
        <w:t> </w:t>
      </w:r>
      <w:r w:rsidRPr="004A27B5">
        <w:rPr>
          <w:spacing w:val="-2"/>
          <w:sz w:val="16"/>
          <w:szCs w:val="16"/>
        </w:rPr>
        <w:t>2,3</w:t>
      </w:r>
      <w:r>
        <w:rPr>
          <w:spacing w:val="-2"/>
          <w:sz w:val="16"/>
          <w:szCs w:val="16"/>
        </w:rPr>
        <w:t> mld.</w:t>
      </w:r>
      <w:r w:rsidRPr="004A27B5">
        <w:rPr>
          <w:spacing w:val="-2"/>
          <w:sz w:val="16"/>
          <w:szCs w:val="16"/>
        </w:rPr>
        <w:t xml:space="preserve"> korun.</w:t>
      </w:r>
    </w:p>
  </w:footnote>
  <w:footnote w:id="65">
    <w:p w14:paraId="0FF01D22" w14:textId="77777777" w:rsidR="006F6FF2" w:rsidRPr="00E915E7" w:rsidRDefault="006F6FF2" w:rsidP="00AB3BA7">
      <w:pPr>
        <w:pStyle w:val="Textpoznpodarou"/>
        <w:rPr>
          <w:spacing w:val="-2"/>
          <w:sz w:val="16"/>
          <w:szCs w:val="16"/>
        </w:rPr>
      </w:pPr>
      <w:r w:rsidRPr="004A27B5">
        <w:rPr>
          <w:rStyle w:val="Znakapoznpodarou"/>
          <w:spacing w:val="-2"/>
          <w:sz w:val="16"/>
          <w:szCs w:val="16"/>
        </w:rPr>
        <w:footnoteRef/>
      </w:r>
      <w:r w:rsidRPr="004A27B5">
        <w:rPr>
          <w:spacing w:val="-2"/>
          <w:sz w:val="16"/>
          <w:szCs w:val="16"/>
        </w:rPr>
        <w:t xml:space="preserve"> V tomto segmentu jsou častěji zastoupeny malé a</w:t>
      </w:r>
      <w:r>
        <w:rPr>
          <w:spacing w:val="-2"/>
          <w:sz w:val="16"/>
          <w:szCs w:val="16"/>
        </w:rPr>
        <w:t> </w:t>
      </w:r>
      <w:r w:rsidRPr="004A27B5">
        <w:rPr>
          <w:spacing w:val="-2"/>
          <w:sz w:val="16"/>
          <w:szCs w:val="16"/>
        </w:rPr>
        <w:t>střední podniky, které vzhledem k velikosti tržeb nemus</w:t>
      </w:r>
      <w:r>
        <w:rPr>
          <w:spacing w:val="-2"/>
          <w:sz w:val="16"/>
          <w:szCs w:val="16"/>
        </w:rPr>
        <w:t>ej</w:t>
      </w:r>
      <w:r w:rsidRPr="004A27B5">
        <w:rPr>
          <w:spacing w:val="-2"/>
          <w:sz w:val="16"/>
          <w:szCs w:val="16"/>
        </w:rPr>
        <w:t xml:space="preserve">í být mnohdy pravidelnými plátci záloh daně. Jejich nepříznivé hospodářské výsledky se tak poprvé naplno projeví v inkasu až </w:t>
      </w:r>
      <w:r>
        <w:rPr>
          <w:spacing w:val="-2"/>
          <w:sz w:val="16"/>
          <w:szCs w:val="16"/>
        </w:rPr>
        <w:t>v </w:t>
      </w:r>
      <w:r w:rsidRPr="004A27B5">
        <w:rPr>
          <w:spacing w:val="-2"/>
          <w:sz w:val="16"/>
          <w:szCs w:val="16"/>
        </w:rPr>
        <w:t>létě 2021 (při ročním zúčtování daně).</w:t>
      </w:r>
    </w:p>
  </w:footnote>
  <w:footnote w:id="66">
    <w:p w14:paraId="099A6923" w14:textId="77777777" w:rsidR="006F6FF2" w:rsidRPr="00F57F87" w:rsidRDefault="006F6FF2" w:rsidP="00AB3BA7">
      <w:pPr>
        <w:pStyle w:val="Textpoznpodarou"/>
        <w:rPr>
          <w:sz w:val="16"/>
          <w:szCs w:val="16"/>
        </w:rPr>
      </w:pPr>
      <w:r w:rsidRPr="00F57F87">
        <w:rPr>
          <w:rStyle w:val="Znakapoznpodarou"/>
          <w:sz w:val="16"/>
          <w:szCs w:val="16"/>
        </w:rPr>
        <w:footnoteRef/>
      </w:r>
      <w:r w:rsidRPr="00F57F87">
        <w:rPr>
          <w:sz w:val="16"/>
          <w:szCs w:val="16"/>
        </w:rPr>
        <w:t xml:space="preserve"> V únoru 2021 propadl celostátní výběr DPH meziročně o</w:t>
      </w:r>
      <w:r>
        <w:rPr>
          <w:sz w:val="16"/>
          <w:szCs w:val="16"/>
        </w:rPr>
        <w:t> </w:t>
      </w:r>
      <w:r w:rsidRPr="00F57F87">
        <w:rPr>
          <w:sz w:val="16"/>
          <w:szCs w:val="16"/>
        </w:rPr>
        <w:t>28</w:t>
      </w:r>
      <w:r>
        <w:rPr>
          <w:sz w:val="16"/>
          <w:szCs w:val="16"/>
        </w:rPr>
        <w:t> %</w:t>
      </w:r>
      <w:r w:rsidRPr="00F57F87">
        <w:rPr>
          <w:sz w:val="16"/>
          <w:szCs w:val="16"/>
        </w:rPr>
        <w:t>, v březnu již vzrostl o</w:t>
      </w:r>
      <w:r>
        <w:rPr>
          <w:sz w:val="16"/>
          <w:szCs w:val="16"/>
        </w:rPr>
        <w:t> </w:t>
      </w:r>
      <w:r w:rsidRPr="00F57F87">
        <w:rPr>
          <w:sz w:val="16"/>
          <w:szCs w:val="16"/>
        </w:rPr>
        <w:t>8</w:t>
      </w:r>
      <w:r>
        <w:rPr>
          <w:sz w:val="16"/>
          <w:szCs w:val="16"/>
        </w:rPr>
        <w:t> %</w:t>
      </w:r>
      <w:r w:rsidRPr="00F57F87">
        <w:rPr>
          <w:sz w:val="16"/>
          <w:szCs w:val="16"/>
        </w:rPr>
        <w:t xml:space="preserve"> a</w:t>
      </w:r>
      <w:r>
        <w:rPr>
          <w:sz w:val="16"/>
          <w:szCs w:val="16"/>
        </w:rPr>
        <w:t> v </w:t>
      </w:r>
      <w:r w:rsidRPr="00F57F87">
        <w:rPr>
          <w:sz w:val="16"/>
          <w:szCs w:val="16"/>
        </w:rPr>
        <w:t>dubnu dokonce o</w:t>
      </w:r>
      <w:r>
        <w:rPr>
          <w:sz w:val="16"/>
          <w:szCs w:val="16"/>
        </w:rPr>
        <w:t> </w:t>
      </w:r>
      <w:r w:rsidRPr="00F57F87">
        <w:rPr>
          <w:sz w:val="16"/>
          <w:szCs w:val="16"/>
        </w:rPr>
        <w:t>30</w:t>
      </w:r>
      <w:r>
        <w:rPr>
          <w:sz w:val="16"/>
          <w:szCs w:val="16"/>
        </w:rPr>
        <w:t> %</w:t>
      </w:r>
      <w:r w:rsidRPr="00F57F87">
        <w:rPr>
          <w:sz w:val="16"/>
          <w:szCs w:val="16"/>
        </w:rPr>
        <w:t>. Za první čtyři měsíce letošního roku tak inkaso vykázalo 2,8% růst.</w:t>
      </w:r>
    </w:p>
  </w:footnote>
  <w:footnote w:id="67">
    <w:p w14:paraId="03C017A5" w14:textId="77777777" w:rsidR="006F6FF2" w:rsidRPr="004B6443" w:rsidRDefault="006F6FF2" w:rsidP="00AB3BA7">
      <w:pPr>
        <w:pStyle w:val="Textpoznpodarou"/>
        <w:rPr>
          <w:sz w:val="16"/>
          <w:szCs w:val="16"/>
        </w:rPr>
      </w:pPr>
      <w:r w:rsidRPr="004B6443">
        <w:rPr>
          <w:rStyle w:val="Znakapoznpodarou"/>
          <w:sz w:val="16"/>
          <w:szCs w:val="16"/>
        </w:rPr>
        <w:footnoteRef/>
      </w:r>
      <w:r w:rsidRPr="004B6443">
        <w:rPr>
          <w:sz w:val="16"/>
          <w:szCs w:val="16"/>
        </w:rPr>
        <w:t xml:space="preserve"> V</w:t>
      </w:r>
      <w:r>
        <w:rPr>
          <w:sz w:val="16"/>
          <w:szCs w:val="16"/>
        </w:rPr>
        <w:t> </w:t>
      </w:r>
      <w:r w:rsidRPr="004B6443">
        <w:rPr>
          <w:sz w:val="16"/>
          <w:szCs w:val="16"/>
        </w:rPr>
        <w:t xml:space="preserve">samotném dubnu 2021 již inkaso meziročně mírně vzrostlo. </w:t>
      </w:r>
      <w:r>
        <w:rPr>
          <w:sz w:val="16"/>
          <w:szCs w:val="16"/>
        </w:rPr>
        <w:t xml:space="preserve">Stále více se tak začal projevovat efekt růstu sazby daně (jenž by měl být letos silnější než v loňském roce) a také skutečnost, že v loňském dubnu negativní vliv </w:t>
      </w:r>
      <w:proofErr w:type="spellStart"/>
      <w:r>
        <w:rPr>
          <w:sz w:val="16"/>
          <w:szCs w:val="16"/>
        </w:rPr>
        <w:t>protipandemických</w:t>
      </w:r>
      <w:proofErr w:type="spellEnd"/>
      <w:r>
        <w:rPr>
          <w:sz w:val="16"/>
          <w:szCs w:val="16"/>
        </w:rPr>
        <w:t xml:space="preserve"> opatření na spotřebu v ekonomice patrně kulminoval.</w:t>
      </w:r>
    </w:p>
  </w:footnote>
  <w:footnote w:id="68">
    <w:p w14:paraId="7B57C3B2" w14:textId="77777777" w:rsidR="006F6FF2" w:rsidRPr="00244330" w:rsidRDefault="006F6FF2" w:rsidP="00AB3BA7">
      <w:pPr>
        <w:pStyle w:val="Textpoznpodarou"/>
        <w:rPr>
          <w:sz w:val="16"/>
          <w:szCs w:val="16"/>
        </w:rPr>
      </w:pPr>
      <w:r w:rsidRPr="00244330">
        <w:rPr>
          <w:rStyle w:val="Znakapoznpodarou"/>
          <w:sz w:val="16"/>
          <w:szCs w:val="16"/>
        </w:rPr>
        <w:footnoteRef/>
      </w:r>
      <w:r w:rsidRPr="00244330">
        <w:rPr>
          <w:sz w:val="16"/>
          <w:szCs w:val="16"/>
        </w:rPr>
        <w:t xml:space="preserve"> Z aktuálních údajů ČSÚ vyplývá, že na meziročním poklesu </w:t>
      </w:r>
      <w:r>
        <w:rPr>
          <w:sz w:val="16"/>
          <w:szCs w:val="16"/>
        </w:rPr>
        <w:t>u </w:t>
      </w:r>
      <w:r w:rsidRPr="00244330">
        <w:rPr>
          <w:sz w:val="16"/>
          <w:szCs w:val="16"/>
        </w:rPr>
        <w:t>vybraných ropných produktů v prvních dvou měsících roku 2021 (o</w:t>
      </w:r>
      <w:r>
        <w:rPr>
          <w:sz w:val="16"/>
          <w:szCs w:val="16"/>
        </w:rPr>
        <w:t> </w:t>
      </w:r>
      <w:r w:rsidRPr="00244330">
        <w:rPr>
          <w:sz w:val="16"/>
          <w:szCs w:val="16"/>
        </w:rPr>
        <w:t>14</w:t>
      </w:r>
      <w:r>
        <w:rPr>
          <w:sz w:val="16"/>
          <w:szCs w:val="16"/>
        </w:rPr>
        <w:t> %</w:t>
      </w:r>
      <w:r w:rsidRPr="00244330">
        <w:rPr>
          <w:sz w:val="16"/>
          <w:szCs w:val="16"/>
        </w:rPr>
        <w:t>)</w:t>
      </w:r>
      <w:r>
        <w:rPr>
          <w:sz w:val="16"/>
          <w:szCs w:val="16"/>
        </w:rPr>
        <w:t xml:space="preserve"> </w:t>
      </w:r>
      <w:r w:rsidRPr="00244330">
        <w:rPr>
          <w:sz w:val="16"/>
          <w:szCs w:val="16"/>
        </w:rPr>
        <w:t>se rovnoměrně podílely všechny tři hlavní složky</w:t>
      </w:r>
      <w:r>
        <w:rPr>
          <w:sz w:val="16"/>
          <w:szCs w:val="16"/>
        </w:rPr>
        <w:t>, tj. </w:t>
      </w:r>
      <w:r w:rsidRPr="00244330">
        <w:rPr>
          <w:sz w:val="16"/>
          <w:szCs w:val="16"/>
        </w:rPr>
        <w:t>motorová nafta, benz</w:t>
      </w:r>
      <w:r>
        <w:rPr>
          <w:sz w:val="16"/>
          <w:szCs w:val="16"/>
        </w:rPr>
        <w:t>i</w:t>
      </w:r>
      <w:r w:rsidRPr="00244330">
        <w:rPr>
          <w:sz w:val="16"/>
          <w:szCs w:val="16"/>
        </w:rPr>
        <w:t>n</w:t>
      </w:r>
      <w:r>
        <w:rPr>
          <w:sz w:val="16"/>
          <w:szCs w:val="16"/>
        </w:rPr>
        <w:t xml:space="preserve"> i letecký petrolej – u něj došlo k nejhlubšímu relativnímu propadu (o 79 %), což souviselo s útlumem mezinárodní letecké dopravy.</w:t>
      </w:r>
    </w:p>
  </w:footnote>
  <w:footnote w:id="69">
    <w:p w14:paraId="70FB6AB0" w14:textId="77777777" w:rsidR="006F6FF2" w:rsidRPr="00813E8A" w:rsidRDefault="006F6FF2" w:rsidP="00AB3BA7">
      <w:pPr>
        <w:pStyle w:val="Textpoznpodarou"/>
        <w:jc w:val="both"/>
        <w:rPr>
          <w:color w:val="0D0D0D" w:themeColor="text1" w:themeTint="F2"/>
          <w:spacing w:val="-4"/>
          <w:sz w:val="16"/>
          <w:szCs w:val="16"/>
        </w:rPr>
      </w:pPr>
      <w:r w:rsidRPr="00813E8A">
        <w:rPr>
          <w:rStyle w:val="Znakapoznpodarou"/>
          <w:spacing w:val="-4"/>
          <w:sz w:val="16"/>
          <w:szCs w:val="16"/>
        </w:rPr>
        <w:footnoteRef/>
      </w:r>
      <w:r>
        <w:rPr>
          <w:spacing w:val="-4"/>
          <w:sz w:val="16"/>
          <w:szCs w:val="16"/>
        </w:rPr>
        <w:t xml:space="preserve"> Šlo</w:t>
      </w:r>
      <w:r>
        <w:rPr>
          <w:color w:val="0D0D0D" w:themeColor="text1" w:themeTint="F2"/>
          <w:spacing w:val="-4"/>
          <w:sz w:val="16"/>
          <w:szCs w:val="16"/>
        </w:rPr>
        <w:t xml:space="preserve"> zejména</w:t>
      </w:r>
      <w:r w:rsidRPr="00813E8A">
        <w:rPr>
          <w:color w:val="0D0D0D" w:themeColor="text1" w:themeTint="F2"/>
          <w:spacing w:val="-4"/>
          <w:sz w:val="16"/>
          <w:szCs w:val="16"/>
        </w:rPr>
        <w:t xml:space="preserve"> </w:t>
      </w:r>
      <w:r>
        <w:rPr>
          <w:color w:val="0D0D0D" w:themeColor="text1" w:themeTint="F2"/>
          <w:spacing w:val="-4"/>
          <w:sz w:val="16"/>
          <w:szCs w:val="16"/>
        </w:rPr>
        <w:t>o </w:t>
      </w:r>
      <w:r w:rsidRPr="00813E8A">
        <w:rPr>
          <w:color w:val="0D0D0D" w:themeColor="text1" w:themeTint="F2"/>
          <w:spacing w:val="-4"/>
          <w:sz w:val="16"/>
          <w:szCs w:val="16"/>
        </w:rPr>
        <w:t>náhradu části mezd a</w:t>
      </w:r>
      <w:r>
        <w:rPr>
          <w:color w:val="0D0D0D" w:themeColor="text1" w:themeTint="F2"/>
          <w:spacing w:val="-4"/>
          <w:sz w:val="16"/>
          <w:szCs w:val="16"/>
        </w:rPr>
        <w:t> </w:t>
      </w:r>
      <w:r w:rsidRPr="00813E8A">
        <w:rPr>
          <w:color w:val="0D0D0D" w:themeColor="text1" w:themeTint="F2"/>
          <w:spacing w:val="-4"/>
          <w:sz w:val="16"/>
          <w:szCs w:val="16"/>
        </w:rPr>
        <w:t>povinných odvodů v rámci programu Antivirus A, A+ a</w:t>
      </w:r>
      <w:r>
        <w:rPr>
          <w:color w:val="0D0D0D" w:themeColor="text1" w:themeTint="F2"/>
          <w:spacing w:val="-4"/>
          <w:sz w:val="16"/>
          <w:szCs w:val="16"/>
        </w:rPr>
        <w:t> </w:t>
      </w:r>
      <w:r w:rsidRPr="00813E8A">
        <w:rPr>
          <w:color w:val="0D0D0D" w:themeColor="text1" w:themeTint="F2"/>
          <w:spacing w:val="-4"/>
          <w:sz w:val="16"/>
          <w:szCs w:val="16"/>
        </w:rPr>
        <w:t>B</w:t>
      </w:r>
      <w:r>
        <w:rPr>
          <w:color w:val="0D0D0D" w:themeColor="text1" w:themeTint="F2"/>
          <w:spacing w:val="-4"/>
          <w:sz w:val="16"/>
          <w:szCs w:val="16"/>
        </w:rPr>
        <w:t xml:space="preserve"> </w:t>
      </w:r>
      <w:r w:rsidRPr="00813E8A">
        <w:rPr>
          <w:color w:val="0D0D0D" w:themeColor="text1" w:themeTint="F2"/>
          <w:spacing w:val="-4"/>
          <w:sz w:val="16"/>
          <w:szCs w:val="16"/>
        </w:rPr>
        <w:t>(11,5 mld.</w:t>
      </w:r>
      <w:r>
        <w:rPr>
          <w:color w:val="0D0D0D" w:themeColor="text1" w:themeTint="F2"/>
          <w:spacing w:val="-4"/>
          <w:sz w:val="16"/>
          <w:szCs w:val="16"/>
        </w:rPr>
        <w:t xml:space="preserve"> korun</w:t>
      </w:r>
      <w:r w:rsidRPr="00813E8A">
        <w:rPr>
          <w:color w:val="0D0D0D" w:themeColor="text1" w:themeTint="F2"/>
          <w:spacing w:val="-4"/>
          <w:sz w:val="16"/>
          <w:szCs w:val="16"/>
        </w:rPr>
        <w:t>), speciální programy na přímou podporu zasažených sektorů ekonomiky, např. v oblasti pohostinství, cestovního ruchu, kultury, vzdělávání, sportu, zemědělství a</w:t>
      </w:r>
      <w:r>
        <w:rPr>
          <w:color w:val="0D0D0D" w:themeColor="text1" w:themeTint="F2"/>
          <w:spacing w:val="-4"/>
          <w:sz w:val="16"/>
          <w:szCs w:val="16"/>
        </w:rPr>
        <w:t> </w:t>
      </w:r>
      <w:r w:rsidRPr="00813E8A">
        <w:rPr>
          <w:color w:val="0D0D0D" w:themeColor="text1" w:themeTint="F2"/>
          <w:spacing w:val="-4"/>
          <w:sz w:val="16"/>
          <w:szCs w:val="16"/>
        </w:rPr>
        <w:t>potravinářství (v</w:t>
      </w:r>
      <w:r>
        <w:rPr>
          <w:color w:val="0D0D0D" w:themeColor="text1" w:themeTint="F2"/>
          <w:spacing w:val="-4"/>
          <w:sz w:val="16"/>
          <w:szCs w:val="16"/>
        </w:rPr>
        <w:t>č. </w:t>
      </w:r>
      <w:r w:rsidRPr="00813E8A">
        <w:rPr>
          <w:color w:val="0D0D0D" w:themeColor="text1" w:themeTint="F2"/>
          <w:spacing w:val="-4"/>
          <w:sz w:val="16"/>
          <w:szCs w:val="16"/>
        </w:rPr>
        <w:t>programu COVID Nájemné) v celkové výši 10,5</w:t>
      </w:r>
      <w:r>
        <w:rPr>
          <w:color w:val="0D0D0D" w:themeColor="text1" w:themeTint="F2"/>
          <w:spacing w:val="-4"/>
          <w:sz w:val="16"/>
          <w:szCs w:val="16"/>
        </w:rPr>
        <w:t> mld.</w:t>
      </w:r>
      <w:r w:rsidRPr="00813E8A">
        <w:rPr>
          <w:color w:val="0D0D0D" w:themeColor="text1" w:themeTint="F2"/>
          <w:spacing w:val="-4"/>
          <w:sz w:val="16"/>
          <w:szCs w:val="16"/>
        </w:rPr>
        <w:t xml:space="preserve"> a</w:t>
      </w:r>
      <w:r>
        <w:rPr>
          <w:color w:val="0D0D0D" w:themeColor="text1" w:themeTint="F2"/>
          <w:spacing w:val="-4"/>
          <w:sz w:val="16"/>
          <w:szCs w:val="16"/>
        </w:rPr>
        <w:t> </w:t>
      </w:r>
      <w:r w:rsidRPr="00813E8A">
        <w:rPr>
          <w:color w:val="0D0D0D" w:themeColor="text1" w:themeTint="F2"/>
          <w:spacing w:val="-4"/>
          <w:sz w:val="16"/>
          <w:szCs w:val="16"/>
        </w:rPr>
        <w:t>dále o</w:t>
      </w:r>
      <w:r>
        <w:rPr>
          <w:color w:val="0D0D0D" w:themeColor="text1" w:themeTint="F2"/>
          <w:spacing w:val="-4"/>
          <w:sz w:val="16"/>
          <w:szCs w:val="16"/>
        </w:rPr>
        <w:t> </w:t>
      </w:r>
      <w:r w:rsidRPr="00813E8A">
        <w:rPr>
          <w:color w:val="0D0D0D" w:themeColor="text1" w:themeTint="F2"/>
          <w:spacing w:val="-4"/>
          <w:sz w:val="16"/>
          <w:szCs w:val="16"/>
        </w:rPr>
        <w:t>vyšší výdaje ve zdravotnictví, zejména zvýšení platby státu za tzv.</w:t>
      </w:r>
      <w:r>
        <w:rPr>
          <w:color w:val="0D0D0D" w:themeColor="text1" w:themeTint="F2"/>
          <w:spacing w:val="-4"/>
          <w:sz w:val="16"/>
          <w:szCs w:val="16"/>
        </w:rPr>
        <w:t> </w:t>
      </w:r>
      <w:r w:rsidRPr="00813E8A">
        <w:rPr>
          <w:color w:val="0D0D0D" w:themeColor="text1" w:themeTint="F2"/>
          <w:spacing w:val="-4"/>
          <w:sz w:val="16"/>
          <w:szCs w:val="16"/>
        </w:rPr>
        <w:t>státního pojištěnce (+12,5</w:t>
      </w:r>
      <w:r>
        <w:rPr>
          <w:color w:val="0D0D0D" w:themeColor="text1" w:themeTint="F2"/>
          <w:spacing w:val="-4"/>
          <w:sz w:val="16"/>
          <w:szCs w:val="16"/>
        </w:rPr>
        <w:t> mld.</w:t>
      </w:r>
      <w:r w:rsidRPr="00813E8A">
        <w:rPr>
          <w:color w:val="0D0D0D" w:themeColor="text1" w:themeTint="F2"/>
          <w:spacing w:val="-4"/>
          <w:sz w:val="16"/>
          <w:szCs w:val="16"/>
        </w:rPr>
        <w:t>) i</w:t>
      </w:r>
      <w:r>
        <w:rPr>
          <w:color w:val="0D0D0D" w:themeColor="text1" w:themeTint="F2"/>
          <w:spacing w:val="-4"/>
          <w:sz w:val="16"/>
          <w:szCs w:val="16"/>
        </w:rPr>
        <w:t> </w:t>
      </w:r>
      <w:r w:rsidRPr="00813E8A">
        <w:rPr>
          <w:color w:val="0D0D0D" w:themeColor="text1" w:themeTint="F2"/>
          <w:spacing w:val="-4"/>
          <w:sz w:val="16"/>
          <w:szCs w:val="16"/>
        </w:rPr>
        <w:t>nákupy ochranných prostředků (1,4</w:t>
      </w:r>
      <w:r>
        <w:rPr>
          <w:color w:val="0D0D0D" w:themeColor="text1" w:themeTint="F2"/>
          <w:spacing w:val="-4"/>
          <w:sz w:val="16"/>
          <w:szCs w:val="16"/>
        </w:rPr>
        <w:t> mld.</w:t>
      </w:r>
      <w:r w:rsidRPr="00813E8A">
        <w:rPr>
          <w:color w:val="0D0D0D" w:themeColor="text1" w:themeTint="F2"/>
          <w:spacing w:val="-4"/>
          <w:sz w:val="16"/>
          <w:szCs w:val="16"/>
        </w:rPr>
        <w:t>). Výdaje v oblasti zdravotnictví představovaly jediné z výše uvedených položek, které byly čerpány</w:t>
      </w:r>
      <w:r>
        <w:rPr>
          <w:color w:val="0D0D0D" w:themeColor="text1" w:themeTint="F2"/>
          <w:spacing w:val="-4"/>
          <w:sz w:val="16"/>
          <w:szCs w:val="16"/>
        </w:rPr>
        <w:t xml:space="preserve"> i</w:t>
      </w:r>
      <w:r w:rsidRPr="00813E8A">
        <w:rPr>
          <w:color w:val="0D0D0D" w:themeColor="text1" w:themeTint="F2"/>
          <w:spacing w:val="-4"/>
          <w:sz w:val="16"/>
          <w:szCs w:val="16"/>
        </w:rPr>
        <w:t xml:space="preserve"> v 1.</w:t>
      </w:r>
      <w:r>
        <w:rPr>
          <w:color w:val="0D0D0D" w:themeColor="text1" w:themeTint="F2"/>
          <w:spacing w:val="-4"/>
          <w:sz w:val="16"/>
          <w:szCs w:val="16"/>
        </w:rPr>
        <w:t> čtvrtlet</w:t>
      </w:r>
      <w:r w:rsidRPr="00813E8A">
        <w:rPr>
          <w:color w:val="0D0D0D" w:themeColor="text1" w:themeTint="F2"/>
          <w:spacing w:val="-4"/>
          <w:sz w:val="16"/>
          <w:szCs w:val="16"/>
        </w:rPr>
        <w:t>í 2020</w:t>
      </w:r>
      <w:r>
        <w:rPr>
          <w:color w:val="0D0D0D" w:themeColor="text1" w:themeTint="F2"/>
          <w:spacing w:val="-4"/>
          <w:sz w:val="16"/>
          <w:szCs w:val="16"/>
        </w:rPr>
        <w:t> </w:t>
      </w:r>
      <w:r w:rsidRPr="00813E8A">
        <w:rPr>
          <w:color w:val="0D0D0D" w:themeColor="text1" w:themeTint="F2"/>
          <w:spacing w:val="-4"/>
          <w:sz w:val="16"/>
          <w:szCs w:val="16"/>
        </w:rPr>
        <w:t>– platba za státní pojištěnce (+1,0</w:t>
      </w:r>
      <w:r>
        <w:rPr>
          <w:color w:val="0D0D0D" w:themeColor="text1" w:themeTint="F2"/>
          <w:spacing w:val="-4"/>
          <w:sz w:val="16"/>
          <w:szCs w:val="16"/>
        </w:rPr>
        <w:t> mld.</w:t>
      </w:r>
      <w:r w:rsidRPr="00813E8A">
        <w:rPr>
          <w:color w:val="0D0D0D" w:themeColor="text1" w:themeTint="F2"/>
          <w:spacing w:val="-4"/>
          <w:sz w:val="16"/>
          <w:szCs w:val="16"/>
        </w:rPr>
        <w:t xml:space="preserve"> oproti 1.</w:t>
      </w:r>
      <w:r>
        <w:rPr>
          <w:color w:val="0D0D0D" w:themeColor="text1" w:themeTint="F2"/>
          <w:spacing w:val="-4"/>
          <w:sz w:val="16"/>
          <w:szCs w:val="16"/>
        </w:rPr>
        <w:t> čtvrtlet</w:t>
      </w:r>
      <w:r w:rsidRPr="00813E8A">
        <w:rPr>
          <w:color w:val="0D0D0D" w:themeColor="text1" w:themeTint="F2"/>
          <w:spacing w:val="-4"/>
          <w:sz w:val="16"/>
          <w:szCs w:val="16"/>
        </w:rPr>
        <w:t>í 2019), nákupy materiálů (+3,8</w:t>
      </w:r>
      <w:r>
        <w:rPr>
          <w:color w:val="0D0D0D" w:themeColor="text1" w:themeTint="F2"/>
          <w:spacing w:val="-4"/>
          <w:sz w:val="16"/>
          <w:szCs w:val="16"/>
        </w:rPr>
        <w:t> mld.</w:t>
      </w:r>
      <w:r w:rsidRPr="00813E8A">
        <w:rPr>
          <w:color w:val="0D0D0D" w:themeColor="text1" w:themeTint="F2"/>
          <w:spacing w:val="-4"/>
          <w:sz w:val="16"/>
          <w:szCs w:val="16"/>
        </w:rPr>
        <w:t>).</w:t>
      </w:r>
    </w:p>
  </w:footnote>
  <w:footnote w:id="70">
    <w:p w14:paraId="7838D8D8" w14:textId="77777777" w:rsidR="006F6FF2" w:rsidRPr="00813E8A" w:rsidRDefault="006F6FF2" w:rsidP="00AB3BA7">
      <w:pPr>
        <w:pStyle w:val="Textpoznpodarou"/>
        <w:rPr>
          <w:spacing w:val="-2"/>
          <w:sz w:val="16"/>
          <w:szCs w:val="16"/>
        </w:rPr>
      </w:pPr>
      <w:r w:rsidRPr="00813E8A">
        <w:rPr>
          <w:rStyle w:val="Znakapoznpodarou"/>
          <w:spacing w:val="-2"/>
          <w:sz w:val="16"/>
          <w:szCs w:val="16"/>
        </w:rPr>
        <w:footnoteRef/>
      </w:r>
      <w:r w:rsidRPr="00813E8A">
        <w:rPr>
          <w:spacing w:val="-2"/>
          <w:sz w:val="16"/>
          <w:szCs w:val="16"/>
        </w:rPr>
        <w:t xml:space="preserve"> Odráží schválený meziroční nárůst u</w:t>
      </w:r>
      <w:r>
        <w:rPr>
          <w:spacing w:val="-2"/>
          <w:sz w:val="16"/>
          <w:szCs w:val="16"/>
        </w:rPr>
        <w:t> </w:t>
      </w:r>
      <w:r w:rsidRPr="00813E8A">
        <w:rPr>
          <w:spacing w:val="-2"/>
          <w:sz w:val="16"/>
          <w:szCs w:val="16"/>
        </w:rPr>
        <w:t>pedagogických i</w:t>
      </w:r>
      <w:r>
        <w:rPr>
          <w:spacing w:val="-2"/>
          <w:sz w:val="16"/>
          <w:szCs w:val="16"/>
        </w:rPr>
        <w:t> </w:t>
      </w:r>
      <w:r w:rsidRPr="00813E8A">
        <w:rPr>
          <w:spacing w:val="-2"/>
          <w:sz w:val="16"/>
          <w:szCs w:val="16"/>
        </w:rPr>
        <w:t>nepedagogických pracovníků (o</w:t>
      </w:r>
      <w:r>
        <w:rPr>
          <w:spacing w:val="-2"/>
          <w:sz w:val="16"/>
          <w:szCs w:val="16"/>
        </w:rPr>
        <w:t> </w:t>
      </w:r>
      <w:r w:rsidRPr="00813E8A">
        <w:rPr>
          <w:spacing w:val="-2"/>
          <w:sz w:val="16"/>
          <w:szCs w:val="16"/>
        </w:rPr>
        <w:t>9</w:t>
      </w:r>
      <w:r>
        <w:rPr>
          <w:spacing w:val="-2"/>
          <w:sz w:val="16"/>
          <w:szCs w:val="16"/>
        </w:rPr>
        <w:t> %</w:t>
      </w:r>
      <w:r w:rsidRPr="00813E8A">
        <w:rPr>
          <w:spacing w:val="-2"/>
          <w:sz w:val="16"/>
          <w:szCs w:val="16"/>
        </w:rPr>
        <w:t>, resp. 4,3</w:t>
      </w:r>
      <w:r>
        <w:rPr>
          <w:spacing w:val="-2"/>
          <w:sz w:val="16"/>
          <w:szCs w:val="16"/>
        </w:rPr>
        <w:t> %</w:t>
      </w:r>
      <w:r w:rsidRPr="00813E8A">
        <w:rPr>
          <w:spacing w:val="-2"/>
          <w:sz w:val="16"/>
          <w:szCs w:val="16"/>
        </w:rPr>
        <w:t>).</w:t>
      </w:r>
    </w:p>
  </w:footnote>
  <w:footnote w:id="71">
    <w:p w14:paraId="37E3E0DD" w14:textId="77777777" w:rsidR="006F6FF2" w:rsidRPr="00D671AC" w:rsidRDefault="006F6FF2" w:rsidP="00AB3BA7">
      <w:pPr>
        <w:pStyle w:val="Textpoznpodarou"/>
        <w:rPr>
          <w:sz w:val="16"/>
          <w:szCs w:val="16"/>
        </w:rPr>
      </w:pPr>
      <w:r w:rsidRPr="00813E8A">
        <w:rPr>
          <w:rStyle w:val="Znakapoznpodarou"/>
          <w:spacing w:val="-2"/>
          <w:sz w:val="16"/>
          <w:szCs w:val="16"/>
        </w:rPr>
        <w:footnoteRef/>
      </w:r>
      <w:r w:rsidRPr="00813E8A">
        <w:rPr>
          <w:spacing w:val="-2"/>
          <w:sz w:val="16"/>
          <w:szCs w:val="16"/>
        </w:rPr>
        <w:t xml:space="preserve"> Nezahrnuje výdaje na obsluhu státního dluhu.</w:t>
      </w:r>
    </w:p>
  </w:footnote>
  <w:footnote w:id="72">
    <w:p w14:paraId="3C3644A5" w14:textId="77777777" w:rsidR="006F6FF2" w:rsidRPr="00813E8A" w:rsidRDefault="006F6FF2" w:rsidP="00AB3BA7">
      <w:pPr>
        <w:pStyle w:val="Textpoznpodarou"/>
        <w:rPr>
          <w:spacing w:val="-4"/>
          <w:sz w:val="16"/>
          <w:szCs w:val="16"/>
        </w:rPr>
      </w:pPr>
      <w:r w:rsidRPr="00813E8A">
        <w:rPr>
          <w:rStyle w:val="Znakapoznpodarou"/>
          <w:spacing w:val="-4"/>
          <w:sz w:val="16"/>
          <w:szCs w:val="16"/>
        </w:rPr>
        <w:footnoteRef/>
      </w:r>
      <w:r w:rsidRPr="00813E8A">
        <w:rPr>
          <w:spacing w:val="-4"/>
          <w:sz w:val="16"/>
          <w:szCs w:val="16"/>
        </w:rPr>
        <w:t xml:space="preserve"> Objem vybraného pojistného meziročně klesal i</w:t>
      </w:r>
      <w:r>
        <w:rPr>
          <w:spacing w:val="-4"/>
          <w:sz w:val="16"/>
          <w:szCs w:val="16"/>
        </w:rPr>
        <w:t> </w:t>
      </w:r>
      <w:r w:rsidRPr="00813E8A">
        <w:rPr>
          <w:spacing w:val="-4"/>
          <w:sz w:val="16"/>
          <w:szCs w:val="16"/>
        </w:rPr>
        <w:t>ve 2. a</w:t>
      </w:r>
      <w:r>
        <w:rPr>
          <w:spacing w:val="-4"/>
          <w:sz w:val="16"/>
          <w:szCs w:val="16"/>
        </w:rPr>
        <w:t> </w:t>
      </w:r>
      <w:r w:rsidRPr="00813E8A">
        <w:rPr>
          <w:spacing w:val="-4"/>
          <w:sz w:val="16"/>
          <w:szCs w:val="16"/>
        </w:rPr>
        <w:t>3.</w:t>
      </w:r>
      <w:r>
        <w:rPr>
          <w:spacing w:val="-4"/>
          <w:sz w:val="16"/>
          <w:szCs w:val="16"/>
        </w:rPr>
        <w:t> čtvrtlet</w:t>
      </w:r>
      <w:r w:rsidRPr="00813E8A">
        <w:rPr>
          <w:spacing w:val="-4"/>
          <w:sz w:val="16"/>
          <w:szCs w:val="16"/>
        </w:rPr>
        <w:t>í 2020, kdy byl ale po část tohoto období negativně poznamenán zrušením minimálních záloh pro osoby samostatně výdělečně činné a</w:t>
      </w:r>
      <w:r>
        <w:rPr>
          <w:spacing w:val="-4"/>
          <w:sz w:val="16"/>
          <w:szCs w:val="16"/>
        </w:rPr>
        <w:t> </w:t>
      </w:r>
      <w:r w:rsidRPr="00813E8A">
        <w:rPr>
          <w:spacing w:val="-4"/>
          <w:sz w:val="16"/>
          <w:szCs w:val="16"/>
        </w:rPr>
        <w:t>též prominutím pojistného placeného zaměstnavatelem (program Antivirus</w:t>
      </w:r>
      <w:r>
        <w:rPr>
          <w:spacing w:val="-4"/>
          <w:sz w:val="16"/>
          <w:szCs w:val="16"/>
        </w:rPr>
        <w:t> </w:t>
      </w:r>
      <w:r w:rsidRPr="00813E8A">
        <w:rPr>
          <w:spacing w:val="-4"/>
          <w:sz w:val="16"/>
          <w:szCs w:val="16"/>
        </w:rPr>
        <w:t>C).</w:t>
      </w:r>
    </w:p>
  </w:footnote>
  <w:footnote w:id="73">
    <w:p w14:paraId="08F436ED" w14:textId="77777777" w:rsidR="006F6FF2" w:rsidRPr="00EC2E06" w:rsidRDefault="006F6FF2" w:rsidP="00AB3BA7">
      <w:pPr>
        <w:pStyle w:val="Textpoznpodarou"/>
        <w:jc w:val="both"/>
        <w:rPr>
          <w:spacing w:val="-4"/>
        </w:rPr>
      </w:pPr>
      <w:r w:rsidRPr="00EC2E06">
        <w:rPr>
          <w:rStyle w:val="Znakapoznpodarou"/>
          <w:spacing w:val="-4"/>
          <w:sz w:val="16"/>
          <w:szCs w:val="16"/>
        </w:rPr>
        <w:footnoteRef/>
      </w:r>
      <w:r w:rsidRPr="00EC2E06">
        <w:rPr>
          <w:spacing w:val="-4"/>
          <w:sz w:val="16"/>
          <w:szCs w:val="16"/>
        </w:rPr>
        <w:t xml:space="preserve"> Je vyjádřeno </w:t>
      </w:r>
      <w:r w:rsidRPr="00EC2E06">
        <w:rPr>
          <w:rFonts w:cs="Arial"/>
          <w:color w:val="000000" w:themeColor="text1"/>
          <w:spacing w:val="-4"/>
          <w:sz w:val="16"/>
          <w:szCs w:val="16"/>
        </w:rPr>
        <w:t xml:space="preserve">rozdílem mezi příjmy a výdaji na důchody ze SR. Ve výdajích nejsou zahrnuty náklady na správu systému důchodového </w:t>
      </w:r>
      <w:r w:rsidRPr="00EC2E06">
        <w:rPr>
          <w:rFonts w:cs="Arial"/>
          <w:color w:val="0D0D0D" w:themeColor="text1" w:themeTint="F2"/>
          <w:spacing w:val="-4"/>
          <w:sz w:val="16"/>
          <w:szCs w:val="16"/>
        </w:rPr>
        <w:t>pojištění.</w:t>
      </w:r>
    </w:p>
  </w:footnote>
  <w:footnote w:id="74">
    <w:p w14:paraId="1BEBD26E" w14:textId="77777777" w:rsidR="006F6FF2" w:rsidRPr="00813E8A" w:rsidRDefault="006F6FF2" w:rsidP="00AB3BA7">
      <w:pPr>
        <w:pStyle w:val="Textpoznpodarou"/>
        <w:rPr>
          <w:spacing w:val="-2"/>
          <w:sz w:val="16"/>
          <w:szCs w:val="16"/>
        </w:rPr>
      </w:pPr>
      <w:r w:rsidRPr="00813E8A">
        <w:rPr>
          <w:rStyle w:val="Znakapoznpodarou"/>
          <w:spacing w:val="-2"/>
          <w:sz w:val="16"/>
          <w:szCs w:val="16"/>
        </w:rPr>
        <w:footnoteRef/>
      </w:r>
      <w:r w:rsidRPr="00813E8A">
        <w:rPr>
          <w:spacing w:val="-2"/>
          <w:sz w:val="16"/>
          <w:szCs w:val="16"/>
        </w:rPr>
        <w:t xml:space="preserve"> Hůře na tom byl jen rok 2017, kdy se ovšem zpočátku projevila nižší připravenost projektů </w:t>
      </w:r>
      <w:r>
        <w:rPr>
          <w:spacing w:val="-2"/>
          <w:sz w:val="16"/>
          <w:szCs w:val="16"/>
        </w:rPr>
        <w:t>při rozjezd</w:t>
      </w:r>
      <w:r w:rsidRPr="00813E8A">
        <w:rPr>
          <w:spacing w:val="-2"/>
          <w:sz w:val="16"/>
          <w:szCs w:val="16"/>
        </w:rPr>
        <w:t>u nové</w:t>
      </w:r>
      <w:r>
        <w:rPr>
          <w:spacing w:val="-2"/>
          <w:sz w:val="16"/>
          <w:szCs w:val="16"/>
        </w:rPr>
        <w:t>ho</w:t>
      </w:r>
      <w:r w:rsidRPr="00813E8A">
        <w:rPr>
          <w:spacing w:val="-2"/>
          <w:sz w:val="16"/>
          <w:szCs w:val="16"/>
        </w:rPr>
        <w:t xml:space="preserve"> programového období EU.</w:t>
      </w:r>
    </w:p>
  </w:footnote>
  <w:footnote w:id="75">
    <w:p w14:paraId="40F47F82" w14:textId="77777777" w:rsidR="006F6FF2" w:rsidRPr="00C31AA6" w:rsidRDefault="006F6FF2" w:rsidP="00AB3BA7">
      <w:pPr>
        <w:pStyle w:val="Textpoznpodarou"/>
        <w:rPr>
          <w:sz w:val="16"/>
          <w:szCs w:val="16"/>
        </w:rPr>
      </w:pPr>
      <w:r w:rsidRPr="00C31AA6">
        <w:rPr>
          <w:rStyle w:val="Znakapoznpodarou"/>
          <w:sz w:val="16"/>
          <w:szCs w:val="16"/>
        </w:rPr>
        <w:footnoteRef/>
      </w:r>
      <w:r w:rsidRPr="00C31AA6">
        <w:rPr>
          <w:sz w:val="16"/>
          <w:szCs w:val="16"/>
        </w:rPr>
        <w:t xml:space="preserve"> Při průměrném ročním výnosu 1,3</w:t>
      </w:r>
      <w:r>
        <w:rPr>
          <w:sz w:val="16"/>
          <w:szCs w:val="16"/>
        </w:rPr>
        <w:t> %</w:t>
      </w:r>
      <w:r w:rsidRPr="00C31AA6">
        <w:rPr>
          <w:sz w:val="16"/>
          <w:szCs w:val="16"/>
        </w:rPr>
        <w:t xml:space="preserve"> a</w:t>
      </w:r>
      <w:r>
        <w:rPr>
          <w:sz w:val="16"/>
          <w:szCs w:val="16"/>
        </w:rPr>
        <w:t> </w:t>
      </w:r>
      <w:r w:rsidRPr="00C31AA6">
        <w:rPr>
          <w:sz w:val="16"/>
          <w:szCs w:val="16"/>
        </w:rPr>
        <w:t>době splatnosti 6,9</w:t>
      </w:r>
      <w:r>
        <w:rPr>
          <w:sz w:val="16"/>
          <w:szCs w:val="16"/>
        </w:rPr>
        <w:t> </w:t>
      </w:r>
      <w:r w:rsidRPr="00C31AA6">
        <w:rPr>
          <w:sz w:val="16"/>
          <w:szCs w:val="16"/>
        </w:rPr>
        <w:t xml:space="preserve">let. </w:t>
      </w:r>
      <w:proofErr w:type="gramStart"/>
      <w:r w:rsidRPr="00C31AA6">
        <w:rPr>
          <w:spacing w:val="-4"/>
          <w:sz w:val="16"/>
          <w:szCs w:val="16"/>
        </w:rPr>
        <w:t>D</w:t>
      </w:r>
      <w:r>
        <w:rPr>
          <w:spacing w:val="-4"/>
          <w:sz w:val="16"/>
          <w:szCs w:val="16"/>
        </w:rPr>
        <w:t xml:space="preserve">luhopisy </w:t>
      </w:r>
      <w:r w:rsidRPr="00C31AA6">
        <w:rPr>
          <w:spacing w:val="-4"/>
          <w:sz w:val="16"/>
          <w:szCs w:val="16"/>
        </w:rPr>
        <w:t>nejvíce</w:t>
      </w:r>
      <w:proofErr w:type="gramEnd"/>
      <w:r w:rsidRPr="00C31AA6">
        <w:rPr>
          <w:spacing w:val="-4"/>
          <w:sz w:val="16"/>
          <w:szCs w:val="16"/>
        </w:rPr>
        <w:t xml:space="preserve"> poptávaly tuzemské finanční in</w:t>
      </w:r>
      <w:r>
        <w:rPr>
          <w:spacing w:val="-4"/>
          <w:sz w:val="16"/>
          <w:szCs w:val="16"/>
        </w:rPr>
        <w:t>stituce, které tak na konci března 2021</w:t>
      </w:r>
      <w:r w:rsidRPr="00C31AA6">
        <w:rPr>
          <w:spacing w:val="-4"/>
          <w:sz w:val="16"/>
          <w:szCs w:val="16"/>
        </w:rPr>
        <w:t xml:space="preserve"> držely 63</w:t>
      </w:r>
      <w:r>
        <w:rPr>
          <w:spacing w:val="-4"/>
          <w:sz w:val="16"/>
          <w:szCs w:val="16"/>
        </w:rPr>
        <w:t> %</w:t>
      </w:r>
      <w:r w:rsidRPr="00C31AA6">
        <w:rPr>
          <w:spacing w:val="-4"/>
          <w:sz w:val="16"/>
          <w:szCs w:val="16"/>
        </w:rPr>
        <w:t xml:space="preserve"> z celkových domácích státních dluhopisů. Na nerezidenty připadalo 33</w:t>
      </w:r>
      <w:r>
        <w:rPr>
          <w:spacing w:val="-4"/>
          <w:sz w:val="16"/>
          <w:szCs w:val="16"/>
        </w:rPr>
        <w:t> %</w:t>
      </w:r>
      <w:r w:rsidRPr="00C31AA6">
        <w:rPr>
          <w:spacing w:val="-4"/>
          <w:sz w:val="16"/>
          <w:szCs w:val="16"/>
        </w:rPr>
        <w:t>, meziročně o</w:t>
      </w:r>
      <w:r>
        <w:rPr>
          <w:spacing w:val="-4"/>
          <w:sz w:val="16"/>
          <w:szCs w:val="16"/>
        </w:rPr>
        <w:t> </w:t>
      </w:r>
      <w:r w:rsidRPr="00C31AA6">
        <w:rPr>
          <w:spacing w:val="-4"/>
          <w:sz w:val="16"/>
          <w:szCs w:val="16"/>
        </w:rPr>
        <w:t>7</w:t>
      </w:r>
      <w:r>
        <w:rPr>
          <w:spacing w:val="-4"/>
          <w:sz w:val="16"/>
          <w:szCs w:val="16"/>
        </w:rPr>
        <w:t> p. b.</w:t>
      </w:r>
      <w:r w:rsidRPr="00C31AA6">
        <w:rPr>
          <w:spacing w:val="-4"/>
          <w:sz w:val="16"/>
          <w:szCs w:val="16"/>
        </w:rPr>
        <w:t xml:space="preserve"> </w:t>
      </w:r>
      <w:proofErr w:type="gramStart"/>
      <w:r w:rsidRPr="00C31AA6">
        <w:rPr>
          <w:spacing w:val="-4"/>
          <w:sz w:val="16"/>
          <w:szCs w:val="16"/>
        </w:rPr>
        <w:t>méně</w:t>
      </w:r>
      <w:proofErr w:type="gramEnd"/>
      <w:r w:rsidRPr="00C31AA6">
        <w:rPr>
          <w:spacing w:val="-4"/>
          <w:sz w:val="16"/>
          <w:szCs w:val="16"/>
        </w:rPr>
        <w:t>, ale zároveň o</w:t>
      </w:r>
      <w:r>
        <w:rPr>
          <w:spacing w:val="-4"/>
          <w:sz w:val="16"/>
          <w:szCs w:val="16"/>
        </w:rPr>
        <w:t> </w:t>
      </w:r>
      <w:r w:rsidRPr="00C31AA6">
        <w:rPr>
          <w:spacing w:val="-4"/>
          <w:sz w:val="16"/>
          <w:szCs w:val="16"/>
        </w:rPr>
        <w:t>2</w:t>
      </w:r>
      <w:r>
        <w:rPr>
          <w:spacing w:val="-4"/>
          <w:sz w:val="16"/>
          <w:szCs w:val="16"/>
        </w:rPr>
        <w:t> p. b.</w:t>
      </w:r>
      <w:r w:rsidRPr="00C31AA6">
        <w:rPr>
          <w:spacing w:val="-4"/>
          <w:sz w:val="16"/>
          <w:szCs w:val="16"/>
        </w:rPr>
        <w:t xml:space="preserve"> více než na konci loňského roku.</w:t>
      </w:r>
    </w:p>
  </w:footnote>
  <w:footnote w:id="76">
    <w:p w14:paraId="7ECC64E1" w14:textId="77777777" w:rsidR="006F6FF2" w:rsidRPr="00385329" w:rsidRDefault="006F6FF2" w:rsidP="00AB3BA7">
      <w:pPr>
        <w:pStyle w:val="Textpoznpodarou"/>
        <w:rPr>
          <w:sz w:val="16"/>
          <w:szCs w:val="16"/>
        </w:rPr>
      </w:pPr>
      <w:r w:rsidRPr="00385329">
        <w:rPr>
          <w:rStyle w:val="Znakapoznpodarou"/>
          <w:sz w:val="16"/>
          <w:szCs w:val="16"/>
        </w:rPr>
        <w:footnoteRef/>
      </w:r>
      <w:r w:rsidRPr="00385329">
        <w:rPr>
          <w:sz w:val="16"/>
          <w:szCs w:val="16"/>
        </w:rPr>
        <w:t xml:space="preserve"> Šlo o</w:t>
      </w:r>
      <w:r>
        <w:rPr>
          <w:sz w:val="16"/>
          <w:szCs w:val="16"/>
        </w:rPr>
        <w:t> </w:t>
      </w:r>
      <w:r w:rsidRPr="00385329">
        <w:rPr>
          <w:sz w:val="16"/>
          <w:szCs w:val="16"/>
        </w:rPr>
        <w:t xml:space="preserve">prostředky v rámci dočasného nástroje pomoci na zmírnění rizik nezaměstnanosti vlivem rozšíření pandemie </w:t>
      </w:r>
      <w:r>
        <w:rPr>
          <w:sz w:val="16"/>
          <w:szCs w:val="16"/>
        </w:rPr>
        <w:t>covidu-19</w:t>
      </w:r>
      <w:r w:rsidRPr="00385329">
        <w:rPr>
          <w:sz w:val="16"/>
          <w:szCs w:val="16"/>
        </w:rPr>
        <w:t>.</w:t>
      </w:r>
    </w:p>
  </w:footnote>
  <w:footnote w:id="77">
    <w:p w14:paraId="024716F6" w14:textId="77777777" w:rsidR="006F6FF2" w:rsidRPr="008C2F4A" w:rsidRDefault="006F6FF2" w:rsidP="00AB3BA7">
      <w:pPr>
        <w:pStyle w:val="Textpoznpodarou"/>
        <w:rPr>
          <w:spacing w:val="-4"/>
          <w:sz w:val="16"/>
          <w:szCs w:val="16"/>
        </w:rPr>
      </w:pPr>
      <w:r w:rsidRPr="008C2F4A">
        <w:rPr>
          <w:rStyle w:val="Znakapoznpodarou"/>
          <w:sz w:val="16"/>
          <w:szCs w:val="16"/>
        </w:rPr>
        <w:footnoteRef/>
      </w:r>
      <w:r w:rsidRPr="008C2F4A">
        <w:rPr>
          <w:sz w:val="16"/>
          <w:szCs w:val="16"/>
        </w:rPr>
        <w:t xml:space="preserve"> </w:t>
      </w:r>
      <w:r>
        <w:rPr>
          <w:sz w:val="16"/>
          <w:szCs w:val="16"/>
        </w:rPr>
        <w:t xml:space="preserve">Údaje o hospodaření vládních institucí za 1. čtvrtletí 2021 zveřejní ČSÚ 30. června 2021. Detailnější zhodnocení vývoje za rok 2020 je obsaženo v publikaci Analýza sektorových účtů: </w:t>
      </w:r>
      <w:hyperlink r:id="rId1" w:history="1">
        <w:r w:rsidRPr="00616BBB">
          <w:rPr>
            <w:rStyle w:val="Hypertextovodkaz"/>
            <w:spacing w:val="-4"/>
            <w:sz w:val="16"/>
            <w:szCs w:val="16"/>
          </w:rPr>
          <w:t>https://www.czso.cz/csu/czso/cri/analyza-ctvrtletnich-sektorovych-uctu-4-ctvrtleti-2020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85C8" w14:textId="77777777" w:rsidR="006F6FF2" w:rsidRDefault="006F6FF2" w:rsidP="00937AE2">
    <w:pPr>
      <w:pStyle w:val="Zhlav"/>
    </w:pPr>
    <w:r>
      <w:t>Vývoj ekonomiky České republiky</w:t>
    </w:r>
  </w:p>
  <w:p w14:paraId="675E4C41" w14:textId="77777777" w:rsidR="006F6FF2" w:rsidRPr="006F5416" w:rsidRDefault="006F6FF2"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812FB" w14:textId="77777777" w:rsidR="006F6FF2" w:rsidRDefault="006F6FF2" w:rsidP="00937AE2">
    <w:pPr>
      <w:pStyle w:val="Zhlav"/>
    </w:pPr>
    <w:r>
      <w:t>Vývoj ekonomiky České republiky</w:t>
    </w:r>
  </w:p>
  <w:p w14:paraId="0CDCFD48" w14:textId="77777777" w:rsidR="006F6FF2" w:rsidRPr="006F5416" w:rsidRDefault="006F6FF2"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D7494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5"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5"/>
  </w:num>
  <w:num w:numId="14">
    <w:abstractNumId w:val="12"/>
  </w:num>
  <w:num w:numId="15">
    <w:abstractNumId w:val="18"/>
  </w:num>
  <w:num w:numId="16">
    <w:abstractNumId w:val="14"/>
  </w:num>
  <w:num w:numId="17">
    <w:abstractNumId w:val="26"/>
  </w:num>
  <w:num w:numId="18">
    <w:abstractNumId w:val="19"/>
  </w:num>
  <w:num w:numId="19">
    <w:abstractNumId w:val="27"/>
  </w:num>
  <w:num w:numId="20">
    <w:abstractNumId w:val="28"/>
  </w:num>
  <w:num w:numId="21">
    <w:abstractNumId w:val="24"/>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 w:numId="29">
    <w:abstractNumId w:val="2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370A"/>
    <w:rsid w:val="00003849"/>
    <w:rsid w:val="00003F5C"/>
    <w:rsid w:val="00004D5A"/>
    <w:rsid w:val="000056D5"/>
    <w:rsid w:val="00005D9E"/>
    <w:rsid w:val="000063D5"/>
    <w:rsid w:val="00006625"/>
    <w:rsid w:val="00006ABD"/>
    <w:rsid w:val="00006B67"/>
    <w:rsid w:val="00006C0B"/>
    <w:rsid w:val="000073A0"/>
    <w:rsid w:val="0000767A"/>
    <w:rsid w:val="00007ABE"/>
    <w:rsid w:val="00010256"/>
    <w:rsid w:val="00010702"/>
    <w:rsid w:val="0001128E"/>
    <w:rsid w:val="00011912"/>
    <w:rsid w:val="000129B7"/>
    <w:rsid w:val="0001387D"/>
    <w:rsid w:val="00014ED0"/>
    <w:rsid w:val="00016420"/>
    <w:rsid w:val="00016BDB"/>
    <w:rsid w:val="00017B01"/>
    <w:rsid w:val="000205D1"/>
    <w:rsid w:val="00020F22"/>
    <w:rsid w:val="0002195D"/>
    <w:rsid w:val="000228AE"/>
    <w:rsid w:val="000233D1"/>
    <w:rsid w:val="000234D6"/>
    <w:rsid w:val="00023D29"/>
    <w:rsid w:val="00024348"/>
    <w:rsid w:val="00026389"/>
    <w:rsid w:val="0002669F"/>
    <w:rsid w:val="000279E5"/>
    <w:rsid w:val="00031AE0"/>
    <w:rsid w:val="00031BB2"/>
    <w:rsid w:val="000322EF"/>
    <w:rsid w:val="00033FCD"/>
    <w:rsid w:val="000348AF"/>
    <w:rsid w:val="00034DF7"/>
    <w:rsid w:val="00034E68"/>
    <w:rsid w:val="000350C8"/>
    <w:rsid w:val="00036195"/>
    <w:rsid w:val="000374B2"/>
    <w:rsid w:val="000376C0"/>
    <w:rsid w:val="000403A7"/>
    <w:rsid w:val="00040632"/>
    <w:rsid w:val="00041AFC"/>
    <w:rsid w:val="00041CEC"/>
    <w:rsid w:val="00042596"/>
    <w:rsid w:val="00044183"/>
    <w:rsid w:val="0004431D"/>
    <w:rsid w:val="0004694F"/>
    <w:rsid w:val="00046F2F"/>
    <w:rsid w:val="00047AD4"/>
    <w:rsid w:val="00047D54"/>
    <w:rsid w:val="0005054A"/>
    <w:rsid w:val="00051506"/>
    <w:rsid w:val="000522E4"/>
    <w:rsid w:val="00053713"/>
    <w:rsid w:val="0005434E"/>
    <w:rsid w:val="00055CB6"/>
    <w:rsid w:val="000572DD"/>
    <w:rsid w:val="00057B1E"/>
    <w:rsid w:val="000610E1"/>
    <w:rsid w:val="000616AD"/>
    <w:rsid w:val="000622A6"/>
    <w:rsid w:val="00062EC5"/>
    <w:rsid w:val="00062F22"/>
    <w:rsid w:val="00063975"/>
    <w:rsid w:val="00063CEA"/>
    <w:rsid w:val="0006444D"/>
    <w:rsid w:val="000645FC"/>
    <w:rsid w:val="0006533F"/>
    <w:rsid w:val="00065348"/>
    <w:rsid w:val="0006551C"/>
    <w:rsid w:val="00065A75"/>
    <w:rsid w:val="000663F0"/>
    <w:rsid w:val="00066558"/>
    <w:rsid w:val="00070A87"/>
    <w:rsid w:val="000712B3"/>
    <w:rsid w:val="00071A7C"/>
    <w:rsid w:val="00072FF5"/>
    <w:rsid w:val="00073A5A"/>
    <w:rsid w:val="0007474E"/>
    <w:rsid w:val="00074988"/>
    <w:rsid w:val="0007512B"/>
    <w:rsid w:val="00075551"/>
    <w:rsid w:val="000767F5"/>
    <w:rsid w:val="00076D90"/>
    <w:rsid w:val="00077FF0"/>
    <w:rsid w:val="00081A55"/>
    <w:rsid w:val="0008263E"/>
    <w:rsid w:val="00082C19"/>
    <w:rsid w:val="00082F89"/>
    <w:rsid w:val="000837CD"/>
    <w:rsid w:val="00084BFF"/>
    <w:rsid w:val="00085395"/>
    <w:rsid w:val="00086896"/>
    <w:rsid w:val="00086AC1"/>
    <w:rsid w:val="00086D19"/>
    <w:rsid w:val="00087634"/>
    <w:rsid w:val="00087F2B"/>
    <w:rsid w:val="00090694"/>
    <w:rsid w:val="00090EE2"/>
    <w:rsid w:val="00090FC6"/>
    <w:rsid w:val="000913B1"/>
    <w:rsid w:val="0009290F"/>
    <w:rsid w:val="00093241"/>
    <w:rsid w:val="00093868"/>
    <w:rsid w:val="00094A84"/>
    <w:rsid w:val="00095025"/>
    <w:rsid w:val="00095135"/>
    <w:rsid w:val="0009626E"/>
    <w:rsid w:val="00097191"/>
    <w:rsid w:val="000974D1"/>
    <w:rsid w:val="00097784"/>
    <w:rsid w:val="0009799E"/>
    <w:rsid w:val="000A07CB"/>
    <w:rsid w:val="000A0BC0"/>
    <w:rsid w:val="000A1183"/>
    <w:rsid w:val="000A12ED"/>
    <w:rsid w:val="000A1D49"/>
    <w:rsid w:val="000A212B"/>
    <w:rsid w:val="000A242D"/>
    <w:rsid w:val="000A256D"/>
    <w:rsid w:val="000A2E5F"/>
    <w:rsid w:val="000A3A2C"/>
    <w:rsid w:val="000A3D9E"/>
    <w:rsid w:val="000A4A54"/>
    <w:rsid w:val="000A4ED9"/>
    <w:rsid w:val="000A5DB7"/>
    <w:rsid w:val="000A6D94"/>
    <w:rsid w:val="000A7377"/>
    <w:rsid w:val="000A775A"/>
    <w:rsid w:val="000A7FF4"/>
    <w:rsid w:val="000B03CC"/>
    <w:rsid w:val="000B4212"/>
    <w:rsid w:val="000B67B7"/>
    <w:rsid w:val="000C0EA8"/>
    <w:rsid w:val="000C13A2"/>
    <w:rsid w:val="000C21E7"/>
    <w:rsid w:val="000C23EC"/>
    <w:rsid w:val="000C30C3"/>
    <w:rsid w:val="000C3408"/>
    <w:rsid w:val="000C35AB"/>
    <w:rsid w:val="000C3F7B"/>
    <w:rsid w:val="000C4769"/>
    <w:rsid w:val="000C4D56"/>
    <w:rsid w:val="000C5DFA"/>
    <w:rsid w:val="000C6AFD"/>
    <w:rsid w:val="000C6C90"/>
    <w:rsid w:val="000C72B7"/>
    <w:rsid w:val="000D0A26"/>
    <w:rsid w:val="000D3058"/>
    <w:rsid w:val="000D310A"/>
    <w:rsid w:val="000D3EF4"/>
    <w:rsid w:val="000D4DC0"/>
    <w:rsid w:val="000D5637"/>
    <w:rsid w:val="000D5A03"/>
    <w:rsid w:val="000D6F4E"/>
    <w:rsid w:val="000D73BB"/>
    <w:rsid w:val="000E0E96"/>
    <w:rsid w:val="000E298B"/>
    <w:rsid w:val="000E2C7D"/>
    <w:rsid w:val="000E3E56"/>
    <w:rsid w:val="000E440D"/>
    <w:rsid w:val="000E4AC5"/>
    <w:rsid w:val="000E6253"/>
    <w:rsid w:val="000E6E4D"/>
    <w:rsid w:val="000E6FBD"/>
    <w:rsid w:val="000E6FCB"/>
    <w:rsid w:val="000F090B"/>
    <w:rsid w:val="000F3F3B"/>
    <w:rsid w:val="000F47E8"/>
    <w:rsid w:val="000F70E4"/>
    <w:rsid w:val="000F76EA"/>
    <w:rsid w:val="00100A8B"/>
    <w:rsid w:val="00100F5C"/>
    <w:rsid w:val="00101CDA"/>
    <w:rsid w:val="00102037"/>
    <w:rsid w:val="00103DCB"/>
    <w:rsid w:val="00104C4C"/>
    <w:rsid w:val="00105015"/>
    <w:rsid w:val="001055D2"/>
    <w:rsid w:val="001057C2"/>
    <w:rsid w:val="0011038E"/>
    <w:rsid w:val="001125EF"/>
    <w:rsid w:val="00112CAB"/>
    <w:rsid w:val="00114C33"/>
    <w:rsid w:val="00116D3F"/>
    <w:rsid w:val="00117474"/>
    <w:rsid w:val="00117623"/>
    <w:rsid w:val="00117FEA"/>
    <w:rsid w:val="001200CF"/>
    <w:rsid w:val="001208E3"/>
    <w:rsid w:val="00121609"/>
    <w:rsid w:val="0012192F"/>
    <w:rsid w:val="00122994"/>
    <w:rsid w:val="00123204"/>
    <w:rsid w:val="00124B46"/>
    <w:rsid w:val="001257E0"/>
    <w:rsid w:val="00125D69"/>
    <w:rsid w:val="0012799C"/>
    <w:rsid w:val="00127BC2"/>
    <w:rsid w:val="00127E15"/>
    <w:rsid w:val="00130ADC"/>
    <w:rsid w:val="00130D9F"/>
    <w:rsid w:val="00132C4D"/>
    <w:rsid w:val="00133FC1"/>
    <w:rsid w:val="00134659"/>
    <w:rsid w:val="001405FA"/>
    <w:rsid w:val="00140D1A"/>
    <w:rsid w:val="00141184"/>
    <w:rsid w:val="00141315"/>
    <w:rsid w:val="00141AA0"/>
    <w:rsid w:val="001425C3"/>
    <w:rsid w:val="0014262D"/>
    <w:rsid w:val="00142B29"/>
    <w:rsid w:val="00144588"/>
    <w:rsid w:val="001447DD"/>
    <w:rsid w:val="001459BC"/>
    <w:rsid w:val="00152F4F"/>
    <w:rsid w:val="001544A1"/>
    <w:rsid w:val="001553B8"/>
    <w:rsid w:val="001554C2"/>
    <w:rsid w:val="001571C0"/>
    <w:rsid w:val="0015753D"/>
    <w:rsid w:val="00157CC9"/>
    <w:rsid w:val="00160C21"/>
    <w:rsid w:val="001612F4"/>
    <w:rsid w:val="00161553"/>
    <w:rsid w:val="0016256B"/>
    <w:rsid w:val="00162F81"/>
    <w:rsid w:val="00163793"/>
    <w:rsid w:val="00165313"/>
    <w:rsid w:val="00167485"/>
    <w:rsid w:val="001679F5"/>
    <w:rsid w:val="00167B92"/>
    <w:rsid w:val="00167CB9"/>
    <w:rsid w:val="00167DD8"/>
    <w:rsid w:val="001705AD"/>
    <w:rsid w:val="001706D6"/>
    <w:rsid w:val="001714F2"/>
    <w:rsid w:val="00171FEA"/>
    <w:rsid w:val="00173622"/>
    <w:rsid w:val="00175B9F"/>
    <w:rsid w:val="001762F4"/>
    <w:rsid w:val="00181BBC"/>
    <w:rsid w:val="0018385F"/>
    <w:rsid w:val="00183BCF"/>
    <w:rsid w:val="00184017"/>
    <w:rsid w:val="001847BB"/>
    <w:rsid w:val="00184B08"/>
    <w:rsid w:val="00185010"/>
    <w:rsid w:val="00185C22"/>
    <w:rsid w:val="00186BA9"/>
    <w:rsid w:val="00187D50"/>
    <w:rsid w:val="0019196C"/>
    <w:rsid w:val="001926A9"/>
    <w:rsid w:val="00192F05"/>
    <w:rsid w:val="00194729"/>
    <w:rsid w:val="00194850"/>
    <w:rsid w:val="00195234"/>
    <w:rsid w:val="00196016"/>
    <w:rsid w:val="00196117"/>
    <w:rsid w:val="00197A70"/>
    <w:rsid w:val="00197C0F"/>
    <w:rsid w:val="00197D0E"/>
    <w:rsid w:val="001A0487"/>
    <w:rsid w:val="001A0675"/>
    <w:rsid w:val="001A1F68"/>
    <w:rsid w:val="001A21FA"/>
    <w:rsid w:val="001A4D7C"/>
    <w:rsid w:val="001A4EF0"/>
    <w:rsid w:val="001A552F"/>
    <w:rsid w:val="001A70B1"/>
    <w:rsid w:val="001B0738"/>
    <w:rsid w:val="001B2CA9"/>
    <w:rsid w:val="001B3110"/>
    <w:rsid w:val="001B3E38"/>
    <w:rsid w:val="001B40F5"/>
    <w:rsid w:val="001B4729"/>
    <w:rsid w:val="001B4F0E"/>
    <w:rsid w:val="001B5F40"/>
    <w:rsid w:val="001B6310"/>
    <w:rsid w:val="001B6C09"/>
    <w:rsid w:val="001B6E12"/>
    <w:rsid w:val="001C05CD"/>
    <w:rsid w:val="001C082B"/>
    <w:rsid w:val="001C0F17"/>
    <w:rsid w:val="001C1B24"/>
    <w:rsid w:val="001C1B66"/>
    <w:rsid w:val="001C31A2"/>
    <w:rsid w:val="001C351D"/>
    <w:rsid w:val="001C4B8F"/>
    <w:rsid w:val="001C4BB8"/>
    <w:rsid w:val="001C4FD0"/>
    <w:rsid w:val="001C5E46"/>
    <w:rsid w:val="001C6B3B"/>
    <w:rsid w:val="001C7A26"/>
    <w:rsid w:val="001C7E3F"/>
    <w:rsid w:val="001D0EF1"/>
    <w:rsid w:val="001D22C2"/>
    <w:rsid w:val="001D2C99"/>
    <w:rsid w:val="001D452E"/>
    <w:rsid w:val="001D54C1"/>
    <w:rsid w:val="001D556E"/>
    <w:rsid w:val="001D5DF2"/>
    <w:rsid w:val="001D68B2"/>
    <w:rsid w:val="001D7EFD"/>
    <w:rsid w:val="001D7F60"/>
    <w:rsid w:val="001E3306"/>
    <w:rsid w:val="001E504C"/>
    <w:rsid w:val="001E5A17"/>
    <w:rsid w:val="001E74C5"/>
    <w:rsid w:val="001F1236"/>
    <w:rsid w:val="001F2F90"/>
    <w:rsid w:val="001F4597"/>
    <w:rsid w:val="001F4826"/>
    <w:rsid w:val="001F6CD3"/>
    <w:rsid w:val="001F75DA"/>
    <w:rsid w:val="001F7CE0"/>
    <w:rsid w:val="00200085"/>
    <w:rsid w:val="00203332"/>
    <w:rsid w:val="00203CD5"/>
    <w:rsid w:val="00203D8F"/>
    <w:rsid w:val="00203DA4"/>
    <w:rsid w:val="00204EA6"/>
    <w:rsid w:val="00205186"/>
    <w:rsid w:val="00206516"/>
    <w:rsid w:val="002071D5"/>
    <w:rsid w:val="002111E5"/>
    <w:rsid w:val="002118B9"/>
    <w:rsid w:val="00213691"/>
    <w:rsid w:val="002142C0"/>
    <w:rsid w:val="00217C5B"/>
    <w:rsid w:val="00220A43"/>
    <w:rsid w:val="0022139E"/>
    <w:rsid w:val="00222729"/>
    <w:rsid w:val="00223185"/>
    <w:rsid w:val="002233D6"/>
    <w:rsid w:val="0022441D"/>
    <w:rsid w:val="00224574"/>
    <w:rsid w:val="00224E3F"/>
    <w:rsid w:val="002252E0"/>
    <w:rsid w:val="002255F6"/>
    <w:rsid w:val="00226032"/>
    <w:rsid w:val="0022738D"/>
    <w:rsid w:val="00227605"/>
    <w:rsid w:val="00227850"/>
    <w:rsid w:val="00227A53"/>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B06"/>
    <w:rsid w:val="0024343A"/>
    <w:rsid w:val="002436BA"/>
    <w:rsid w:val="00244652"/>
    <w:rsid w:val="00244A15"/>
    <w:rsid w:val="002452D9"/>
    <w:rsid w:val="00247319"/>
    <w:rsid w:val="0024799E"/>
    <w:rsid w:val="00247E60"/>
    <w:rsid w:val="00251496"/>
    <w:rsid w:val="00251B08"/>
    <w:rsid w:val="00251C53"/>
    <w:rsid w:val="00252AB9"/>
    <w:rsid w:val="002532B1"/>
    <w:rsid w:val="00253C0F"/>
    <w:rsid w:val="002558C1"/>
    <w:rsid w:val="00256207"/>
    <w:rsid w:val="002575F3"/>
    <w:rsid w:val="002603E1"/>
    <w:rsid w:val="0026120E"/>
    <w:rsid w:val="00262582"/>
    <w:rsid w:val="0026291D"/>
    <w:rsid w:val="00262CF3"/>
    <w:rsid w:val="00264309"/>
    <w:rsid w:val="00264992"/>
    <w:rsid w:val="0026564B"/>
    <w:rsid w:val="00265C83"/>
    <w:rsid w:val="00265E85"/>
    <w:rsid w:val="00267B49"/>
    <w:rsid w:val="00267C51"/>
    <w:rsid w:val="002700D9"/>
    <w:rsid w:val="0027025F"/>
    <w:rsid w:val="002709CC"/>
    <w:rsid w:val="00270D25"/>
    <w:rsid w:val="00271022"/>
    <w:rsid w:val="00271465"/>
    <w:rsid w:val="00271E47"/>
    <w:rsid w:val="002721F5"/>
    <w:rsid w:val="00272DF4"/>
    <w:rsid w:val="00275062"/>
    <w:rsid w:val="00275758"/>
    <w:rsid w:val="0027583D"/>
    <w:rsid w:val="00275DEF"/>
    <w:rsid w:val="002763A2"/>
    <w:rsid w:val="00276B33"/>
    <w:rsid w:val="002803A5"/>
    <w:rsid w:val="002812E3"/>
    <w:rsid w:val="00282AD4"/>
    <w:rsid w:val="0028341F"/>
    <w:rsid w:val="002837AE"/>
    <w:rsid w:val="00283C13"/>
    <w:rsid w:val="00283F7B"/>
    <w:rsid w:val="0028431A"/>
    <w:rsid w:val="002853FA"/>
    <w:rsid w:val="00285412"/>
    <w:rsid w:val="00286220"/>
    <w:rsid w:val="00291640"/>
    <w:rsid w:val="0029237E"/>
    <w:rsid w:val="00292997"/>
    <w:rsid w:val="00293D24"/>
    <w:rsid w:val="0029509B"/>
    <w:rsid w:val="0029588F"/>
    <w:rsid w:val="00295E96"/>
    <w:rsid w:val="00297256"/>
    <w:rsid w:val="00297A5C"/>
    <w:rsid w:val="00297D51"/>
    <w:rsid w:val="002A0122"/>
    <w:rsid w:val="002A016B"/>
    <w:rsid w:val="002A16D4"/>
    <w:rsid w:val="002A1E4F"/>
    <w:rsid w:val="002A230C"/>
    <w:rsid w:val="002A2AF7"/>
    <w:rsid w:val="002A3209"/>
    <w:rsid w:val="002A3EA2"/>
    <w:rsid w:val="002A51AC"/>
    <w:rsid w:val="002A532A"/>
    <w:rsid w:val="002A5846"/>
    <w:rsid w:val="002A5D97"/>
    <w:rsid w:val="002A603E"/>
    <w:rsid w:val="002A63B9"/>
    <w:rsid w:val="002A7089"/>
    <w:rsid w:val="002B1619"/>
    <w:rsid w:val="002B3EF4"/>
    <w:rsid w:val="002B4845"/>
    <w:rsid w:val="002B5567"/>
    <w:rsid w:val="002B5812"/>
    <w:rsid w:val="002B72AA"/>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E02A1"/>
    <w:rsid w:val="002E196A"/>
    <w:rsid w:val="002E20C7"/>
    <w:rsid w:val="002E20CD"/>
    <w:rsid w:val="002E222E"/>
    <w:rsid w:val="002E28D8"/>
    <w:rsid w:val="002E3638"/>
    <w:rsid w:val="002E37D1"/>
    <w:rsid w:val="002E3BEE"/>
    <w:rsid w:val="002E4E4C"/>
    <w:rsid w:val="002E4EA7"/>
    <w:rsid w:val="002E5846"/>
    <w:rsid w:val="002E792B"/>
    <w:rsid w:val="002E7AEB"/>
    <w:rsid w:val="002F1B09"/>
    <w:rsid w:val="002F1D56"/>
    <w:rsid w:val="002F1DCB"/>
    <w:rsid w:val="002F1DE4"/>
    <w:rsid w:val="002F333D"/>
    <w:rsid w:val="002F351A"/>
    <w:rsid w:val="002F46D6"/>
    <w:rsid w:val="002F498A"/>
    <w:rsid w:val="002F4AD8"/>
    <w:rsid w:val="002F5285"/>
    <w:rsid w:val="002F5820"/>
    <w:rsid w:val="002F64BB"/>
    <w:rsid w:val="00300C31"/>
    <w:rsid w:val="003017EC"/>
    <w:rsid w:val="00302165"/>
    <w:rsid w:val="00303BB4"/>
    <w:rsid w:val="00304771"/>
    <w:rsid w:val="003052D4"/>
    <w:rsid w:val="003060E9"/>
    <w:rsid w:val="00306C5B"/>
    <w:rsid w:val="00307529"/>
    <w:rsid w:val="00307DB3"/>
    <w:rsid w:val="00307ED2"/>
    <w:rsid w:val="0031076D"/>
    <w:rsid w:val="0031169A"/>
    <w:rsid w:val="00311AA6"/>
    <w:rsid w:val="00311C4D"/>
    <w:rsid w:val="003121AB"/>
    <w:rsid w:val="00315169"/>
    <w:rsid w:val="003153C8"/>
    <w:rsid w:val="00315524"/>
    <w:rsid w:val="00315561"/>
    <w:rsid w:val="0032058C"/>
    <w:rsid w:val="003208D0"/>
    <w:rsid w:val="003209D6"/>
    <w:rsid w:val="003217B9"/>
    <w:rsid w:val="00321924"/>
    <w:rsid w:val="00321EB6"/>
    <w:rsid w:val="003220A5"/>
    <w:rsid w:val="003238E0"/>
    <w:rsid w:val="00323A1C"/>
    <w:rsid w:val="00324B59"/>
    <w:rsid w:val="0032656E"/>
    <w:rsid w:val="0032788F"/>
    <w:rsid w:val="00332190"/>
    <w:rsid w:val="00332A98"/>
    <w:rsid w:val="003334BD"/>
    <w:rsid w:val="00333973"/>
    <w:rsid w:val="00333CD0"/>
    <w:rsid w:val="0033448D"/>
    <w:rsid w:val="00334AD2"/>
    <w:rsid w:val="00334CB6"/>
    <w:rsid w:val="0033709C"/>
    <w:rsid w:val="003370C5"/>
    <w:rsid w:val="003373C6"/>
    <w:rsid w:val="0033753A"/>
    <w:rsid w:val="00340BF3"/>
    <w:rsid w:val="00341D26"/>
    <w:rsid w:val="00341F05"/>
    <w:rsid w:val="0034335E"/>
    <w:rsid w:val="00344668"/>
    <w:rsid w:val="00344940"/>
    <w:rsid w:val="00346234"/>
    <w:rsid w:val="003462D9"/>
    <w:rsid w:val="0034723F"/>
    <w:rsid w:val="00347247"/>
    <w:rsid w:val="003474B6"/>
    <w:rsid w:val="00347DD4"/>
    <w:rsid w:val="00352B43"/>
    <w:rsid w:val="00352C28"/>
    <w:rsid w:val="0035506D"/>
    <w:rsid w:val="0036077F"/>
    <w:rsid w:val="00360C86"/>
    <w:rsid w:val="00360F7A"/>
    <w:rsid w:val="00360FBC"/>
    <w:rsid w:val="00361537"/>
    <w:rsid w:val="00361FB7"/>
    <w:rsid w:val="0036242A"/>
    <w:rsid w:val="00362C23"/>
    <w:rsid w:val="00362DCA"/>
    <w:rsid w:val="00362E90"/>
    <w:rsid w:val="00364FA0"/>
    <w:rsid w:val="003657F3"/>
    <w:rsid w:val="00365844"/>
    <w:rsid w:val="00367F84"/>
    <w:rsid w:val="003712BC"/>
    <w:rsid w:val="00372164"/>
    <w:rsid w:val="003738BD"/>
    <w:rsid w:val="00374263"/>
    <w:rsid w:val="003746F0"/>
    <w:rsid w:val="00374A20"/>
    <w:rsid w:val="00374E21"/>
    <w:rsid w:val="0037537A"/>
    <w:rsid w:val="00377B2E"/>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6739"/>
    <w:rsid w:val="003978B1"/>
    <w:rsid w:val="003A04F6"/>
    <w:rsid w:val="003A0837"/>
    <w:rsid w:val="003A2B4D"/>
    <w:rsid w:val="003A2D12"/>
    <w:rsid w:val="003A2EBA"/>
    <w:rsid w:val="003A45E3"/>
    <w:rsid w:val="003A478C"/>
    <w:rsid w:val="003A4A38"/>
    <w:rsid w:val="003A5525"/>
    <w:rsid w:val="003A5889"/>
    <w:rsid w:val="003A6B38"/>
    <w:rsid w:val="003A6B83"/>
    <w:rsid w:val="003A6C97"/>
    <w:rsid w:val="003A722F"/>
    <w:rsid w:val="003A7373"/>
    <w:rsid w:val="003A7D09"/>
    <w:rsid w:val="003B039F"/>
    <w:rsid w:val="003B0DF4"/>
    <w:rsid w:val="003B1F9D"/>
    <w:rsid w:val="003B2A8D"/>
    <w:rsid w:val="003B2AD1"/>
    <w:rsid w:val="003B2D2E"/>
    <w:rsid w:val="003B461F"/>
    <w:rsid w:val="003B483F"/>
    <w:rsid w:val="003B4998"/>
    <w:rsid w:val="003B5A32"/>
    <w:rsid w:val="003B5B59"/>
    <w:rsid w:val="003B7B50"/>
    <w:rsid w:val="003C0B07"/>
    <w:rsid w:val="003C2CE7"/>
    <w:rsid w:val="003C3490"/>
    <w:rsid w:val="003C3608"/>
    <w:rsid w:val="003C3AE8"/>
    <w:rsid w:val="003C3D2C"/>
    <w:rsid w:val="003C4E13"/>
    <w:rsid w:val="003C6221"/>
    <w:rsid w:val="003C63D7"/>
    <w:rsid w:val="003C68CC"/>
    <w:rsid w:val="003C7E62"/>
    <w:rsid w:val="003D12B9"/>
    <w:rsid w:val="003D1E7A"/>
    <w:rsid w:val="003D242B"/>
    <w:rsid w:val="003D2492"/>
    <w:rsid w:val="003D29AA"/>
    <w:rsid w:val="003D2A99"/>
    <w:rsid w:val="003D6920"/>
    <w:rsid w:val="003E0249"/>
    <w:rsid w:val="003E08A4"/>
    <w:rsid w:val="003E1EF8"/>
    <w:rsid w:val="003E2DFB"/>
    <w:rsid w:val="003E4466"/>
    <w:rsid w:val="003E4C91"/>
    <w:rsid w:val="003E52D8"/>
    <w:rsid w:val="003E62F1"/>
    <w:rsid w:val="003F313C"/>
    <w:rsid w:val="003F33B9"/>
    <w:rsid w:val="003F37FC"/>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20880"/>
    <w:rsid w:val="00421179"/>
    <w:rsid w:val="00423623"/>
    <w:rsid w:val="00430C96"/>
    <w:rsid w:val="0043174F"/>
    <w:rsid w:val="00431BFF"/>
    <w:rsid w:val="00432199"/>
    <w:rsid w:val="00432A58"/>
    <w:rsid w:val="004331C3"/>
    <w:rsid w:val="00433C17"/>
    <w:rsid w:val="00434617"/>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F1"/>
    <w:rsid w:val="00452E60"/>
    <w:rsid w:val="0045321B"/>
    <w:rsid w:val="00456FE5"/>
    <w:rsid w:val="00457490"/>
    <w:rsid w:val="00457953"/>
    <w:rsid w:val="004604D8"/>
    <w:rsid w:val="00460656"/>
    <w:rsid w:val="00460FB3"/>
    <w:rsid w:val="00463D3C"/>
    <w:rsid w:val="00464851"/>
    <w:rsid w:val="00466595"/>
    <w:rsid w:val="0046746A"/>
    <w:rsid w:val="00467B14"/>
    <w:rsid w:val="004707FE"/>
    <w:rsid w:val="00470EDC"/>
    <w:rsid w:val="00472418"/>
    <w:rsid w:val="0047276D"/>
    <w:rsid w:val="00472AF6"/>
    <w:rsid w:val="00473482"/>
    <w:rsid w:val="00474646"/>
    <w:rsid w:val="00474A04"/>
    <w:rsid w:val="00476240"/>
    <w:rsid w:val="00476439"/>
    <w:rsid w:val="00476450"/>
    <w:rsid w:val="004769E1"/>
    <w:rsid w:val="0047735C"/>
    <w:rsid w:val="004776BC"/>
    <w:rsid w:val="00477820"/>
    <w:rsid w:val="00477B96"/>
    <w:rsid w:val="00480BAE"/>
    <w:rsid w:val="0048139F"/>
    <w:rsid w:val="00481E40"/>
    <w:rsid w:val="00482405"/>
    <w:rsid w:val="004826A7"/>
    <w:rsid w:val="0048368C"/>
    <w:rsid w:val="0048372F"/>
    <w:rsid w:val="00484ECE"/>
    <w:rsid w:val="00485E82"/>
    <w:rsid w:val="00486132"/>
    <w:rsid w:val="0048686D"/>
    <w:rsid w:val="00486A4D"/>
    <w:rsid w:val="004915CB"/>
    <w:rsid w:val="004924DC"/>
    <w:rsid w:val="00492879"/>
    <w:rsid w:val="00493E85"/>
    <w:rsid w:val="00495145"/>
    <w:rsid w:val="004979A5"/>
    <w:rsid w:val="004A0144"/>
    <w:rsid w:val="004A036E"/>
    <w:rsid w:val="004A0498"/>
    <w:rsid w:val="004A06B0"/>
    <w:rsid w:val="004A0D0E"/>
    <w:rsid w:val="004A14E4"/>
    <w:rsid w:val="004A204E"/>
    <w:rsid w:val="004A26A5"/>
    <w:rsid w:val="004A27F0"/>
    <w:rsid w:val="004A3212"/>
    <w:rsid w:val="004A37CD"/>
    <w:rsid w:val="004A40D9"/>
    <w:rsid w:val="004A49A5"/>
    <w:rsid w:val="004A4F8A"/>
    <w:rsid w:val="004A5494"/>
    <w:rsid w:val="004A5D4E"/>
    <w:rsid w:val="004A61C5"/>
    <w:rsid w:val="004A62A0"/>
    <w:rsid w:val="004A77DF"/>
    <w:rsid w:val="004B1417"/>
    <w:rsid w:val="004B305C"/>
    <w:rsid w:val="004B31B8"/>
    <w:rsid w:val="004B339A"/>
    <w:rsid w:val="004B4C83"/>
    <w:rsid w:val="004B55B7"/>
    <w:rsid w:val="004B5BFA"/>
    <w:rsid w:val="004B6468"/>
    <w:rsid w:val="004B6EF8"/>
    <w:rsid w:val="004B7125"/>
    <w:rsid w:val="004B756A"/>
    <w:rsid w:val="004B7FB1"/>
    <w:rsid w:val="004C0B3F"/>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E03"/>
    <w:rsid w:val="004D3296"/>
    <w:rsid w:val="004D4056"/>
    <w:rsid w:val="004D4CB0"/>
    <w:rsid w:val="004D5B0F"/>
    <w:rsid w:val="004D7626"/>
    <w:rsid w:val="004E186A"/>
    <w:rsid w:val="004E1A40"/>
    <w:rsid w:val="004E200A"/>
    <w:rsid w:val="004E23FC"/>
    <w:rsid w:val="004E2409"/>
    <w:rsid w:val="004E261D"/>
    <w:rsid w:val="004E57BF"/>
    <w:rsid w:val="004E5F41"/>
    <w:rsid w:val="004E6011"/>
    <w:rsid w:val="004E6DE6"/>
    <w:rsid w:val="004E765E"/>
    <w:rsid w:val="004E7815"/>
    <w:rsid w:val="004F06F5"/>
    <w:rsid w:val="004F12A4"/>
    <w:rsid w:val="004F253F"/>
    <w:rsid w:val="004F33A0"/>
    <w:rsid w:val="004F3873"/>
    <w:rsid w:val="004F3BD2"/>
    <w:rsid w:val="004F46ED"/>
    <w:rsid w:val="004F49A3"/>
    <w:rsid w:val="004F4C99"/>
    <w:rsid w:val="004F5358"/>
    <w:rsid w:val="004F6484"/>
    <w:rsid w:val="004F6539"/>
    <w:rsid w:val="00503D54"/>
    <w:rsid w:val="005048E2"/>
    <w:rsid w:val="00505FC8"/>
    <w:rsid w:val="00506603"/>
    <w:rsid w:val="0050689D"/>
    <w:rsid w:val="005077F5"/>
    <w:rsid w:val="005108C0"/>
    <w:rsid w:val="0051094F"/>
    <w:rsid w:val="00511217"/>
    <w:rsid w:val="00511873"/>
    <w:rsid w:val="00512461"/>
    <w:rsid w:val="00512585"/>
    <w:rsid w:val="00512A2F"/>
    <w:rsid w:val="00513B7E"/>
    <w:rsid w:val="00513E9D"/>
    <w:rsid w:val="0051475D"/>
    <w:rsid w:val="00514B11"/>
    <w:rsid w:val="00515485"/>
    <w:rsid w:val="00515BE9"/>
    <w:rsid w:val="00515C74"/>
    <w:rsid w:val="0051630F"/>
    <w:rsid w:val="00517113"/>
    <w:rsid w:val="0052007E"/>
    <w:rsid w:val="00521CAD"/>
    <w:rsid w:val="0052200D"/>
    <w:rsid w:val="00522425"/>
    <w:rsid w:val="00522E01"/>
    <w:rsid w:val="0052337A"/>
    <w:rsid w:val="00524385"/>
    <w:rsid w:val="005246BE"/>
    <w:rsid w:val="00525137"/>
    <w:rsid w:val="005251DD"/>
    <w:rsid w:val="0053012B"/>
    <w:rsid w:val="005301A6"/>
    <w:rsid w:val="00530A68"/>
    <w:rsid w:val="00530AD4"/>
    <w:rsid w:val="00531C5A"/>
    <w:rsid w:val="00532CE7"/>
    <w:rsid w:val="00532D8B"/>
    <w:rsid w:val="0053324C"/>
    <w:rsid w:val="00533A8D"/>
    <w:rsid w:val="00534A28"/>
    <w:rsid w:val="00535018"/>
    <w:rsid w:val="0053595E"/>
    <w:rsid w:val="00537571"/>
    <w:rsid w:val="00540056"/>
    <w:rsid w:val="005410E2"/>
    <w:rsid w:val="00541508"/>
    <w:rsid w:val="00541AE3"/>
    <w:rsid w:val="00543498"/>
    <w:rsid w:val="00544011"/>
    <w:rsid w:val="00544BE5"/>
    <w:rsid w:val="005455F6"/>
    <w:rsid w:val="0054582F"/>
    <w:rsid w:val="00546FC7"/>
    <w:rsid w:val="005500F9"/>
    <w:rsid w:val="00550160"/>
    <w:rsid w:val="005523A8"/>
    <w:rsid w:val="00552F2C"/>
    <w:rsid w:val="00553A25"/>
    <w:rsid w:val="005547EB"/>
    <w:rsid w:val="005555E0"/>
    <w:rsid w:val="0055599F"/>
    <w:rsid w:val="00556D68"/>
    <w:rsid w:val="005570D6"/>
    <w:rsid w:val="00557E0E"/>
    <w:rsid w:val="00557E45"/>
    <w:rsid w:val="00560C41"/>
    <w:rsid w:val="00560CAC"/>
    <w:rsid w:val="00561F44"/>
    <w:rsid w:val="00562B4D"/>
    <w:rsid w:val="00563EB8"/>
    <w:rsid w:val="005647BF"/>
    <w:rsid w:val="00564AF1"/>
    <w:rsid w:val="005655DB"/>
    <w:rsid w:val="00565E88"/>
    <w:rsid w:val="00567339"/>
    <w:rsid w:val="005678EE"/>
    <w:rsid w:val="00567910"/>
    <w:rsid w:val="00570270"/>
    <w:rsid w:val="00570464"/>
    <w:rsid w:val="00570BC3"/>
    <w:rsid w:val="0057182A"/>
    <w:rsid w:val="00571E59"/>
    <w:rsid w:val="00572079"/>
    <w:rsid w:val="00572900"/>
    <w:rsid w:val="00573602"/>
    <w:rsid w:val="0057364B"/>
    <w:rsid w:val="00574773"/>
    <w:rsid w:val="005761EC"/>
    <w:rsid w:val="00577C07"/>
    <w:rsid w:val="00577DB1"/>
    <w:rsid w:val="00580AD3"/>
    <w:rsid w:val="00580DE7"/>
    <w:rsid w:val="005810E1"/>
    <w:rsid w:val="005820CD"/>
    <w:rsid w:val="00583BDD"/>
    <w:rsid w:val="00583E52"/>
    <w:rsid w:val="00583FFD"/>
    <w:rsid w:val="00584252"/>
    <w:rsid w:val="005848DD"/>
    <w:rsid w:val="0058519A"/>
    <w:rsid w:val="005856BD"/>
    <w:rsid w:val="00586BCA"/>
    <w:rsid w:val="00587038"/>
    <w:rsid w:val="00590B28"/>
    <w:rsid w:val="005911BE"/>
    <w:rsid w:val="00591273"/>
    <w:rsid w:val="00591E9E"/>
    <w:rsid w:val="005927A4"/>
    <w:rsid w:val="00593152"/>
    <w:rsid w:val="00593389"/>
    <w:rsid w:val="00593FE6"/>
    <w:rsid w:val="005956A3"/>
    <w:rsid w:val="00595958"/>
    <w:rsid w:val="00595CAB"/>
    <w:rsid w:val="0059622E"/>
    <w:rsid w:val="00597671"/>
    <w:rsid w:val="00597BBF"/>
    <w:rsid w:val="005A0463"/>
    <w:rsid w:val="005A0948"/>
    <w:rsid w:val="005A0A03"/>
    <w:rsid w:val="005A10F2"/>
    <w:rsid w:val="005A21E0"/>
    <w:rsid w:val="005A28FF"/>
    <w:rsid w:val="005A2C09"/>
    <w:rsid w:val="005A3778"/>
    <w:rsid w:val="005A3DF8"/>
    <w:rsid w:val="005A5549"/>
    <w:rsid w:val="005A566A"/>
    <w:rsid w:val="005A7CF8"/>
    <w:rsid w:val="005B0EDA"/>
    <w:rsid w:val="005B121D"/>
    <w:rsid w:val="005B26B0"/>
    <w:rsid w:val="005B41C9"/>
    <w:rsid w:val="005B44E6"/>
    <w:rsid w:val="005B4853"/>
    <w:rsid w:val="005B6CA1"/>
    <w:rsid w:val="005B770C"/>
    <w:rsid w:val="005C06ED"/>
    <w:rsid w:val="005C11B8"/>
    <w:rsid w:val="005C216C"/>
    <w:rsid w:val="005C2609"/>
    <w:rsid w:val="005C2B30"/>
    <w:rsid w:val="005C412B"/>
    <w:rsid w:val="005C43EC"/>
    <w:rsid w:val="005C45DD"/>
    <w:rsid w:val="005C4CB1"/>
    <w:rsid w:val="005D3F06"/>
    <w:rsid w:val="005D4B73"/>
    <w:rsid w:val="005D5645"/>
    <w:rsid w:val="005D5802"/>
    <w:rsid w:val="005D5AA9"/>
    <w:rsid w:val="005D66E6"/>
    <w:rsid w:val="005D7119"/>
    <w:rsid w:val="005D76C8"/>
    <w:rsid w:val="005D7890"/>
    <w:rsid w:val="005E19C1"/>
    <w:rsid w:val="005E2194"/>
    <w:rsid w:val="005E24F0"/>
    <w:rsid w:val="005E36FE"/>
    <w:rsid w:val="005E3F66"/>
    <w:rsid w:val="005E490F"/>
    <w:rsid w:val="005E4BC9"/>
    <w:rsid w:val="005E5314"/>
    <w:rsid w:val="005E7C78"/>
    <w:rsid w:val="005F04A7"/>
    <w:rsid w:val="005F114F"/>
    <w:rsid w:val="005F18C5"/>
    <w:rsid w:val="005F2A08"/>
    <w:rsid w:val="005F36CC"/>
    <w:rsid w:val="005F3EB1"/>
    <w:rsid w:val="005F413E"/>
    <w:rsid w:val="005F466B"/>
    <w:rsid w:val="005F46D8"/>
    <w:rsid w:val="005F480F"/>
    <w:rsid w:val="005F5469"/>
    <w:rsid w:val="005F63F3"/>
    <w:rsid w:val="005F66F0"/>
    <w:rsid w:val="005F6D7F"/>
    <w:rsid w:val="005F7174"/>
    <w:rsid w:val="0060120D"/>
    <w:rsid w:val="00601ADE"/>
    <w:rsid w:val="00601EEF"/>
    <w:rsid w:val="0060255A"/>
    <w:rsid w:val="00602EB3"/>
    <w:rsid w:val="00604307"/>
    <w:rsid w:val="0060487F"/>
    <w:rsid w:val="00604EAD"/>
    <w:rsid w:val="0060513F"/>
    <w:rsid w:val="006065E2"/>
    <w:rsid w:val="0060694B"/>
    <w:rsid w:val="006104FB"/>
    <w:rsid w:val="0061176D"/>
    <w:rsid w:val="0061200F"/>
    <w:rsid w:val="00612756"/>
    <w:rsid w:val="00612A2F"/>
    <w:rsid w:val="00612AAE"/>
    <w:rsid w:val="00612B07"/>
    <w:rsid w:val="00612FD9"/>
    <w:rsid w:val="006139E0"/>
    <w:rsid w:val="00614D35"/>
    <w:rsid w:val="006156B4"/>
    <w:rsid w:val="00615DAF"/>
    <w:rsid w:val="0061672A"/>
    <w:rsid w:val="00616E05"/>
    <w:rsid w:val="00617985"/>
    <w:rsid w:val="00620B77"/>
    <w:rsid w:val="0062131B"/>
    <w:rsid w:val="00621E26"/>
    <w:rsid w:val="006224EA"/>
    <w:rsid w:val="0062263A"/>
    <w:rsid w:val="006227DF"/>
    <w:rsid w:val="006236C8"/>
    <w:rsid w:val="00624093"/>
    <w:rsid w:val="00625A84"/>
    <w:rsid w:val="00626079"/>
    <w:rsid w:val="00631698"/>
    <w:rsid w:val="00631E44"/>
    <w:rsid w:val="00634C57"/>
    <w:rsid w:val="00634CE7"/>
    <w:rsid w:val="006350D5"/>
    <w:rsid w:val="0063642C"/>
    <w:rsid w:val="00637858"/>
    <w:rsid w:val="006404A7"/>
    <w:rsid w:val="00640A38"/>
    <w:rsid w:val="00640E6B"/>
    <w:rsid w:val="00641787"/>
    <w:rsid w:val="0064179B"/>
    <w:rsid w:val="00642489"/>
    <w:rsid w:val="00644055"/>
    <w:rsid w:val="00644137"/>
    <w:rsid w:val="0064478C"/>
    <w:rsid w:val="00645160"/>
    <w:rsid w:val="006451E4"/>
    <w:rsid w:val="0064574B"/>
    <w:rsid w:val="00645B33"/>
    <w:rsid w:val="006516CB"/>
    <w:rsid w:val="00652E30"/>
    <w:rsid w:val="00653BD0"/>
    <w:rsid w:val="00654110"/>
    <w:rsid w:val="00656C5D"/>
    <w:rsid w:val="00656CFB"/>
    <w:rsid w:val="00657E87"/>
    <w:rsid w:val="00660D2D"/>
    <w:rsid w:val="00661C41"/>
    <w:rsid w:val="00661EC9"/>
    <w:rsid w:val="00662469"/>
    <w:rsid w:val="0066411C"/>
    <w:rsid w:val="00664205"/>
    <w:rsid w:val="00664647"/>
    <w:rsid w:val="00664803"/>
    <w:rsid w:val="006653CC"/>
    <w:rsid w:val="00665982"/>
    <w:rsid w:val="00665BA4"/>
    <w:rsid w:val="00666BF3"/>
    <w:rsid w:val="00667856"/>
    <w:rsid w:val="00667AF2"/>
    <w:rsid w:val="00670489"/>
    <w:rsid w:val="006710C9"/>
    <w:rsid w:val="00671D85"/>
    <w:rsid w:val="00672586"/>
    <w:rsid w:val="006741CD"/>
    <w:rsid w:val="00674D89"/>
    <w:rsid w:val="0067514E"/>
    <w:rsid w:val="00675E37"/>
    <w:rsid w:val="00676736"/>
    <w:rsid w:val="006769A4"/>
    <w:rsid w:val="006769C6"/>
    <w:rsid w:val="00676D76"/>
    <w:rsid w:val="00676F9F"/>
    <w:rsid w:val="00677519"/>
    <w:rsid w:val="00677591"/>
    <w:rsid w:val="00677594"/>
    <w:rsid w:val="00677FA3"/>
    <w:rsid w:val="0068032F"/>
    <w:rsid w:val="00680D37"/>
    <w:rsid w:val="0068174E"/>
    <w:rsid w:val="00681DCE"/>
    <w:rsid w:val="00682110"/>
    <w:rsid w:val="0068260E"/>
    <w:rsid w:val="006846B3"/>
    <w:rsid w:val="00684D59"/>
    <w:rsid w:val="00684E25"/>
    <w:rsid w:val="006858A4"/>
    <w:rsid w:val="00686718"/>
    <w:rsid w:val="00686BFA"/>
    <w:rsid w:val="00686DED"/>
    <w:rsid w:val="006875A0"/>
    <w:rsid w:val="006878C6"/>
    <w:rsid w:val="00687D27"/>
    <w:rsid w:val="00691943"/>
    <w:rsid w:val="00693550"/>
    <w:rsid w:val="00695065"/>
    <w:rsid w:val="00695BEF"/>
    <w:rsid w:val="00696251"/>
    <w:rsid w:val="006966C7"/>
    <w:rsid w:val="006968C1"/>
    <w:rsid w:val="006977F6"/>
    <w:rsid w:val="00697A13"/>
    <w:rsid w:val="006A0DD4"/>
    <w:rsid w:val="006A109C"/>
    <w:rsid w:val="006A5F4B"/>
    <w:rsid w:val="006A65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18B3"/>
    <w:rsid w:val="006D1E89"/>
    <w:rsid w:val="006D317E"/>
    <w:rsid w:val="006D3E8A"/>
    <w:rsid w:val="006D61F6"/>
    <w:rsid w:val="006E1332"/>
    <w:rsid w:val="006E19CB"/>
    <w:rsid w:val="006E279A"/>
    <w:rsid w:val="006E313B"/>
    <w:rsid w:val="006E34B2"/>
    <w:rsid w:val="006E3A45"/>
    <w:rsid w:val="006E4078"/>
    <w:rsid w:val="006E53AD"/>
    <w:rsid w:val="006E58CB"/>
    <w:rsid w:val="006E7227"/>
    <w:rsid w:val="006E761A"/>
    <w:rsid w:val="006F0741"/>
    <w:rsid w:val="006F1C27"/>
    <w:rsid w:val="006F2A65"/>
    <w:rsid w:val="006F3DD6"/>
    <w:rsid w:val="006F40DF"/>
    <w:rsid w:val="006F42BB"/>
    <w:rsid w:val="006F438E"/>
    <w:rsid w:val="006F440B"/>
    <w:rsid w:val="006F48A3"/>
    <w:rsid w:val="006F4DA4"/>
    <w:rsid w:val="006F5416"/>
    <w:rsid w:val="006F624B"/>
    <w:rsid w:val="006F6D87"/>
    <w:rsid w:val="006F6FF2"/>
    <w:rsid w:val="0070398A"/>
    <w:rsid w:val="00705242"/>
    <w:rsid w:val="007055E0"/>
    <w:rsid w:val="007056ED"/>
    <w:rsid w:val="00705F4E"/>
    <w:rsid w:val="007065C5"/>
    <w:rsid w:val="007068E1"/>
    <w:rsid w:val="00706AA0"/>
    <w:rsid w:val="00706AD4"/>
    <w:rsid w:val="00707150"/>
    <w:rsid w:val="007124D7"/>
    <w:rsid w:val="00712C20"/>
    <w:rsid w:val="00713549"/>
    <w:rsid w:val="007140BE"/>
    <w:rsid w:val="007147AB"/>
    <w:rsid w:val="00715502"/>
    <w:rsid w:val="00715D01"/>
    <w:rsid w:val="00715E4D"/>
    <w:rsid w:val="0071677A"/>
    <w:rsid w:val="00716F48"/>
    <w:rsid w:val="00717114"/>
    <w:rsid w:val="0071779F"/>
    <w:rsid w:val="00720310"/>
    <w:rsid w:val="007211F5"/>
    <w:rsid w:val="00721601"/>
    <w:rsid w:val="00722777"/>
    <w:rsid w:val="00723435"/>
    <w:rsid w:val="00723436"/>
    <w:rsid w:val="007240E2"/>
    <w:rsid w:val="0072454C"/>
    <w:rsid w:val="0072583E"/>
    <w:rsid w:val="00725BB5"/>
    <w:rsid w:val="00727C02"/>
    <w:rsid w:val="0073008E"/>
    <w:rsid w:val="00730AE8"/>
    <w:rsid w:val="00730F1B"/>
    <w:rsid w:val="0073186D"/>
    <w:rsid w:val="0073333D"/>
    <w:rsid w:val="007343D9"/>
    <w:rsid w:val="00734F71"/>
    <w:rsid w:val="00735448"/>
    <w:rsid w:val="00736F07"/>
    <w:rsid w:val="007377BD"/>
    <w:rsid w:val="00737DEC"/>
    <w:rsid w:val="0074004D"/>
    <w:rsid w:val="00741493"/>
    <w:rsid w:val="007434E5"/>
    <w:rsid w:val="0074499B"/>
    <w:rsid w:val="007450BF"/>
    <w:rsid w:val="007471A1"/>
    <w:rsid w:val="007477BD"/>
    <w:rsid w:val="00747EE9"/>
    <w:rsid w:val="007520B6"/>
    <w:rsid w:val="00752180"/>
    <w:rsid w:val="00752323"/>
    <w:rsid w:val="007532B7"/>
    <w:rsid w:val="00753CAB"/>
    <w:rsid w:val="00754A70"/>
    <w:rsid w:val="00754BC9"/>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B85"/>
    <w:rsid w:val="00764974"/>
    <w:rsid w:val="00764D18"/>
    <w:rsid w:val="0076521E"/>
    <w:rsid w:val="00765BCC"/>
    <w:rsid w:val="0076600D"/>
    <w:rsid w:val="007661E9"/>
    <w:rsid w:val="00766460"/>
    <w:rsid w:val="00767062"/>
    <w:rsid w:val="00767601"/>
    <w:rsid w:val="00767777"/>
    <w:rsid w:val="00770CFC"/>
    <w:rsid w:val="0077130E"/>
    <w:rsid w:val="007715EE"/>
    <w:rsid w:val="00771972"/>
    <w:rsid w:val="00772279"/>
    <w:rsid w:val="00772DAB"/>
    <w:rsid w:val="00772FF9"/>
    <w:rsid w:val="007743DB"/>
    <w:rsid w:val="00774D2C"/>
    <w:rsid w:val="0077605B"/>
    <w:rsid w:val="00776169"/>
    <w:rsid w:val="00776527"/>
    <w:rsid w:val="00777040"/>
    <w:rsid w:val="00777CE6"/>
    <w:rsid w:val="00777D57"/>
    <w:rsid w:val="00780EF1"/>
    <w:rsid w:val="00781A91"/>
    <w:rsid w:val="00781F36"/>
    <w:rsid w:val="00785778"/>
    <w:rsid w:val="00786C87"/>
    <w:rsid w:val="0078755E"/>
    <w:rsid w:val="007877C9"/>
    <w:rsid w:val="00790764"/>
    <w:rsid w:val="0079085F"/>
    <w:rsid w:val="00790E96"/>
    <w:rsid w:val="00791005"/>
    <w:rsid w:val="00793D78"/>
    <w:rsid w:val="0079420B"/>
    <w:rsid w:val="0079453C"/>
    <w:rsid w:val="00794677"/>
    <w:rsid w:val="00795759"/>
    <w:rsid w:val="007A170B"/>
    <w:rsid w:val="007A20EB"/>
    <w:rsid w:val="007A282C"/>
    <w:rsid w:val="007A293C"/>
    <w:rsid w:val="007A2A3A"/>
    <w:rsid w:val="007A33E2"/>
    <w:rsid w:val="007A3CAF"/>
    <w:rsid w:val="007A4664"/>
    <w:rsid w:val="007A4782"/>
    <w:rsid w:val="007A516D"/>
    <w:rsid w:val="007A5E65"/>
    <w:rsid w:val="007A65E1"/>
    <w:rsid w:val="007A6AAA"/>
    <w:rsid w:val="007A7033"/>
    <w:rsid w:val="007A775D"/>
    <w:rsid w:val="007B0834"/>
    <w:rsid w:val="007B0E83"/>
    <w:rsid w:val="007B11FA"/>
    <w:rsid w:val="007B1396"/>
    <w:rsid w:val="007B16D6"/>
    <w:rsid w:val="007B2011"/>
    <w:rsid w:val="007B2CFE"/>
    <w:rsid w:val="007B309B"/>
    <w:rsid w:val="007B3D5E"/>
    <w:rsid w:val="007B3DCB"/>
    <w:rsid w:val="007B5725"/>
    <w:rsid w:val="007B5C1F"/>
    <w:rsid w:val="007B6689"/>
    <w:rsid w:val="007B6747"/>
    <w:rsid w:val="007B6F72"/>
    <w:rsid w:val="007B74AA"/>
    <w:rsid w:val="007C10BD"/>
    <w:rsid w:val="007C1F0C"/>
    <w:rsid w:val="007C1FFB"/>
    <w:rsid w:val="007C2D94"/>
    <w:rsid w:val="007C4A6B"/>
    <w:rsid w:val="007C5F92"/>
    <w:rsid w:val="007C6227"/>
    <w:rsid w:val="007C6BBD"/>
    <w:rsid w:val="007C6D89"/>
    <w:rsid w:val="007C6F5E"/>
    <w:rsid w:val="007D0382"/>
    <w:rsid w:val="007D14FE"/>
    <w:rsid w:val="007D1A1F"/>
    <w:rsid w:val="007D213B"/>
    <w:rsid w:val="007D2E18"/>
    <w:rsid w:val="007D40DF"/>
    <w:rsid w:val="007D42E5"/>
    <w:rsid w:val="007D4458"/>
    <w:rsid w:val="007D6AF9"/>
    <w:rsid w:val="007E0535"/>
    <w:rsid w:val="007E0D4A"/>
    <w:rsid w:val="007E1788"/>
    <w:rsid w:val="007E1EE3"/>
    <w:rsid w:val="007E29B4"/>
    <w:rsid w:val="007E2F12"/>
    <w:rsid w:val="007E435A"/>
    <w:rsid w:val="007E445C"/>
    <w:rsid w:val="007E49F7"/>
    <w:rsid w:val="007E4C70"/>
    <w:rsid w:val="007E5B5F"/>
    <w:rsid w:val="007E78B6"/>
    <w:rsid w:val="007E7E61"/>
    <w:rsid w:val="007F0845"/>
    <w:rsid w:val="007F0873"/>
    <w:rsid w:val="007F20F3"/>
    <w:rsid w:val="007F2353"/>
    <w:rsid w:val="007F2390"/>
    <w:rsid w:val="007F2CAC"/>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559E"/>
    <w:rsid w:val="00805AF3"/>
    <w:rsid w:val="00806C9C"/>
    <w:rsid w:val="0080734C"/>
    <w:rsid w:val="00807C82"/>
    <w:rsid w:val="008117CC"/>
    <w:rsid w:val="00811FF8"/>
    <w:rsid w:val="00813D58"/>
    <w:rsid w:val="00813DCA"/>
    <w:rsid w:val="008161A6"/>
    <w:rsid w:val="008165B8"/>
    <w:rsid w:val="00816905"/>
    <w:rsid w:val="00816D98"/>
    <w:rsid w:val="00816E42"/>
    <w:rsid w:val="00817040"/>
    <w:rsid w:val="00817A17"/>
    <w:rsid w:val="00817EC1"/>
    <w:rsid w:val="0082112D"/>
    <w:rsid w:val="00821FF6"/>
    <w:rsid w:val="00822574"/>
    <w:rsid w:val="00822980"/>
    <w:rsid w:val="00822F08"/>
    <w:rsid w:val="00825C4D"/>
    <w:rsid w:val="00826A08"/>
    <w:rsid w:val="00826AC0"/>
    <w:rsid w:val="00827186"/>
    <w:rsid w:val="00827C8E"/>
    <w:rsid w:val="00830569"/>
    <w:rsid w:val="00830AEA"/>
    <w:rsid w:val="00830E86"/>
    <w:rsid w:val="0083143E"/>
    <w:rsid w:val="008315B8"/>
    <w:rsid w:val="008315D5"/>
    <w:rsid w:val="00831CDE"/>
    <w:rsid w:val="00831F2B"/>
    <w:rsid w:val="008320CF"/>
    <w:rsid w:val="00832F77"/>
    <w:rsid w:val="00834304"/>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114D"/>
    <w:rsid w:val="008520A8"/>
    <w:rsid w:val="00852217"/>
    <w:rsid w:val="00853282"/>
    <w:rsid w:val="0085334C"/>
    <w:rsid w:val="00855408"/>
    <w:rsid w:val="00855D03"/>
    <w:rsid w:val="00856D65"/>
    <w:rsid w:val="00860D79"/>
    <w:rsid w:val="00861B41"/>
    <w:rsid w:val="00861B9F"/>
    <w:rsid w:val="00861BE3"/>
    <w:rsid w:val="008625D3"/>
    <w:rsid w:val="00862C0A"/>
    <w:rsid w:val="00863434"/>
    <w:rsid w:val="0086344F"/>
    <w:rsid w:val="008641AC"/>
    <w:rsid w:val="00865E4C"/>
    <w:rsid w:val="00867546"/>
    <w:rsid w:val="0086796D"/>
    <w:rsid w:val="00867DAB"/>
    <w:rsid w:val="0087000B"/>
    <w:rsid w:val="008701E4"/>
    <w:rsid w:val="008704E9"/>
    <w:rsid w:val="00870ECD"/>
    <w:rsid w:val="0087347C"/>
    <w:rsid w:val="008734E7"/>
    <w:rsid w:val="0087368D"/>
    <w:rsid w:val="008740CC"/>
    <w:rsid w:val="00874FE8"/>
    <w:rsid w:val="00875A32"/>
    <w:rsid w:val="00876086"/>
    <w:rsid w:val="00876651"/>
    <w:rsid w:val="00876E83"/>
    <w:rsid w:val="008772BC"/>
    <w:rsid w:val="00880A0E"/>
    <w:rsid w:val="008817FE"/>
    <w:rsid w:val="00881CD7"/>
    <w:rsid w:val="00882911"/>
    <w:rsid w:val="00882F6E"/>
    <w:rsid w:val="00883202"/>
    <w:rsid w:val="00884E02"/>
    <w:rsid w:val="00885D40"/>
    <w:rsid w:val="008873D4"/>
    <w:rsid w:val="00890CB1"/>
    <w:rsid w:val="00891EDF"/>
    <w:rsid w:val="00892872"/>
    <w:rsid w:val="0089296D"/>
    <w:rsid w:val="00893E85"/>
    <w:rsid w:val="00893EBE"/>
    <w:rsid w:val="00894031"/>
    <w:rsid w:val="00894C5D"/>
    <w:rsid w:val="00895508"/>
    <w:rsid w:val="008967E9"/>
    <w:rsid w:val="00896A5C"/>
    <w:rsid w:val="008972D2"/>
    <w:rsid w:val="0089754C"/>
    <w:rsid w:val="008A0659"/>
    <w:rsid w:val="008A0ADD"/>
    <w:rsid w:val="008A0D27"/>
    <w:rsid w:val="008A1C59"/>
    <w:rsid w:val="008A37E2"/>
    <w:rsid w:val="008A388E"/>
    <w:rsid w:val="008A394E"/>
    <w:rsid w:val="008A3CBA"/>
    <w:rsid w:val="008A4B59"/>
    <w:rsid w:val="008A63E1"/>
    <w:rsid w:val="008A66B7"/>
    <w:rsid w:val="008A68BB"/>
    <w:rsid w:val="008A6AA5"/>
    <w:rsid w:val="008A7127"/>
    <w:rsid w:val="008B0CBA"/>
    <w:rsid w:val="008B2639"/>
    <w:rsid w:val="008B3537"/>
    <w:rsid w:val="008B3690"/>
    <w:rsid w:val="008B3A80"/>
    <w:rsid w:val="008B3AEC"/>
    <w:rsid w:val="008B3C07"/>
    <w:rsid w:val="008B3F7B"/>
    <w:rsid w:val="008B5324"/>
    <w:rsid w:val="008B5C99"/>
    <w:rsid w:val="008B6106"/>
    <w:rsid w:val="008B7C02"/>
    <w:rsid w:val="008B7D2B"/>
    <w:rsid w:val="008B7EF9"/>
    <w:rsid w:val="008C0049"/>
    <w:rsid w:val="008C0314"/>
    <w:rsid w:val="008C0E88"/>
    <w:rsid w:val="008C1717"/>
    <w:rsid w:val="008C3B05"/>
    <w:rsid w:val="008C4B50"/>
    <w:rsid w:val="008C5A37"/>
    <w:rsid w:val="008C7569"/>
    <w:rsid w:val="008C79C3"/>
    <w:rsid w:val="008D006F"/>
    <w:rsid w:val="008D033D"/>
    <w:rsid w:val="008D0DBD"/>
    <w:rsid w:val="008D117E"/>
    <w:rsid w:val="008D127E"/>
    <w:rsid w:val="008D1CA8"/>
    <w:rsid w:val="008D1E0A"/>
    <w:rsid w:val="008D1E6A"/>
    <w:rsid w:val="008D2A16"/>
    <w:rsid w:val="008D33F5"/>
    <w:rsid w:val="008D35E4"/>
    <w:rsid w:val="008D3ACD"/>
    <w:rsid w:val="008D6C3A"/>
    <w:rsid w:val="008D70E2"/>
    <w:rsid w:val="008E0001"/>
    <w:rsid w:val="008E292B"/>
    <w:rsid w:val="008E2C57"/>
    <w:rsid w:val="008E31FF"/>
    <w:rsid w:val="008E3287"/>
    <w:rsid w:val="008E6DCB"/>
    <w:rsid w:val="008E6F06"/>
    <w:rsid w:val="008E7B8E"/>
    <w:rsid w:val="008E7FC9"/>
    <w:rsid w:val="008F0107"/>
    <w:rsid w:val="008F029B"/>
    <w:rsid w:val="008F0589"/>
    <w:rsid w:val="008F2A5D"/>
    <w:rsid w:val="008F3636"/>
    <w:rsid w:val="008F3FC9"/>
    <w:rsid w:val="008F509F"/>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2437"/>
    <w:rsid w:val="00912A92"/>
    <w:rsid w:val="0091476D"/>
    <w:rsid w:val="00915D07"/>
    <w:rsid w:val="009162AE"/>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443"/>
    <w:rsid w:val="00932B32"/>
    <w:rsid w:val="00933F4A"/>
    <w:rsid w:val="009341F1"/>
    <w:rsid w:val="00934FF2"/>
    <w:rsid w:val="009358D7"/>
    <w:rsid w:val="00935BD4"/>
    <w:rsid w:val="00935DFE"/>
    <w:rsid w:val="00935F70"/>
    <w:rsid w:val="0093648B"/>
    <w:rsid w:val="009373B2"/>
    <w:rsid w:val="00937AE2"/>
    <w:rsid w:val="0094061F"/>
    <w:rsid w:val="00940F0F"/>
    <w:rsid w:val="0094416B"/>
    <w:rsid w:val="0094427A"/>
    <w:rsid w:val="00944C7C"/>
    <w:rsid w:val="00945245"/>
    <w:rsid w:val="00945523"/>
    <w:rsid w:val="00950921"/>
    <w:rsid w:val="00951D68"/>
    <w:rsid w:val="00951E5B"/>
    <w:rsid w:val="00952050"/>
    <w:rsid w:val="00952B7B"/>
    <w:rsid w:val="00954F39"/>
    <w:rsid w:val="009555FD"/>
    <w:rsid w:val="0095664B"/>
    <w:rsid w:val="009568DC"/>
    <w:rsid w:val="00957140"/>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2BB3"/>
    <w:rsid w:val="00992CF3"/>
    <w:rsid w:val="00993194"/>
    <w:rsid w:val="0099321E"/>
    <w:rsid w:val="00994171"/>
    <w:rsid w:val="00994868"/>
    <w:rsid w:val="00994D28"/>
    <w:rsid w:val="00994F2C"/>
    <w:rsid w:val="009957CC"/>
    <w:rsid w:val="009968D6"/>
    <w:rsid w:val="00997953"/>
    <w:rsid w:val="009A0BFF"/>
    <w:rsid w:val="009A10A0"/>
    <w:rsid w:val="009A1CAB"/>
    <w:rsid w:val="009A2359"/>
    <w:rsid w:val="009A24F1"/>
    <w:rsid w:val="009A27E0"/>
    <w:rsid w:val="009A4D57"/>
    <w:rsid w:val="009A51A5"/>
    <w:rsid w:val="009A60D1"/>
    <w:rsid w:val="009A6225"/>
    <w:rsid w:val="009A64F5"/>
    <w:rsid w:val="009B00D2"/>
    <w:rsid w:val="009B05B3"/>
    <w:rsid w:val="009B0CAF"/>
    <w:rsid w:val="009B1324"/>
    <w:rsid w:val="009B284F"/>
    <w:rsid w:val="009B3764"/>
    <w:rsid w:val="009B52AC"/>
    <w:rsid w:val="009B59EA"/>
    <w:rsid w:val="009B66CE"/>
    <w:rsid w:val="009B6FD3"/>
    <w:rsid w:val="009B72BE"/>
    <w:rsid w:val="009B78A4"/>
    <w:rsid w:val="009B7DB2"/>
    <w:rsid w:val="009C03DB"/>
    <w:rsid w:val="009C15AF"/>
    <w:rsid w:val="009C1750"/>
    <w:rsid w:val="009C2E29"/>
    <w:rsid w:val="009C3E8F"/>
    <w:rsid w:val="009C554B"/>
    <w:rsid w:val="009C5E83"/>
    <w:rsid w:val="009C7126"/>
    <w:rsid w:val="009C719E"/>
    <w:rsid w:val="009C7799"/>
    <w:rsid w:val="009D07A9"/>
    <w:rsid w:val="009D0AE2"/>
    <w:rsid w:val="009D0D9F"/>
    <w:rsid w:val="009D0EBB"/>
    <w:rsid w:val="009D2C46"/>
    <w:rsid w:val="009D3ACD"/>
    <w:rsid w:val="009D4254"/>
    <w:rsid w:val="009D4F21"/>
    <w:rsid w:val="009D587D"/>
    <w:rsid w:val="009D7731"/>
    <w:rsid w:val="009E1120"/>
    <w:rsid w:val="009E1393"/>
    <w:rsid w:val="009E1922"/>
    <w:rsid w:val="009E1A3D"/>
    <w:rsid w:val="009E4715"/>
    <w:rsid w:val="009E4A58"/>
    <w:rsid w:val="009E5273"/>
    <w:rsid w:val="009E57A8"/>
    <w:rsid w:val="009E5B85"/>
    <w:rsid w:val="009E5DDB"/>
    <w:rsid w:val="009F2921"/>
    <w:rsid w:val="009F42CF"/>
    <w:rsid w:val="009F4982"/>
    <w:rsid w:val="009F4CA7"/>
    <w:rsid w:val="009F4F6A"/>
    <w:rsid w:val="009F55BA"/>
    <w:rsid w:val="009F7D36"/>
    <w:rsid w:val="009F7D61"/>
    <w:rsid w:val="00A00E71"/>
    <w:rsid w:val="00A0306F"/>
    <w:rsid w:val="00A03B10"/>
    <w:rsid w:val="00A03E2E"/>
    <w:rsid w:val="00A04616"/>
    <w:rsid w:val="00A04717"/>
    <w:rsid w:val="00A05D8F"/>
    <w:rsid w:val="00A05EE4"/>
    <w:rsid w:val="00A06F99"/>
    <w:rsid w:val="00A1053B"/>
    <w:rsid w:val="00A10D66"/>
    <w:rsid w:val="00A113A4"/>
    <w:rsid w:val="00A14114"/>
    <w:rsid w:val="00A16413"/>
    <w:rsid w:val="00A16545"/>
    <w:rsid w:val="00A16AED"/>
    <w:rsid w:val="00A16C37"/>
    <w:rsid w:val="00A16E1D"/>
    <w:rsid w:val="00A171D5"/>
    <w:rsid w:val="00A17A15"/>
    <w:rsid w:val="00A17D5B"/>
    <w:rsid w:val="00A2016A"/>
    <w:rsid w:val="00A201E1"/>
    <w:rsid w:val="00A20FE1"/>
    <w:rsid w:val="00A21B4D"/>
    <w:rsid w:val="00A22073"/>
    <w:rsid w:val="00A223E0"/>
    <w:rsid w:val="00A22959"/>
    <w:rsid w:val="00A23158"/>
    <w:rsid w:val="00A23847"/>
    <w:rsid w:val="00A23E43"/>
    <w:rsid w:val="00A24726"/>
    <w:rsid w:val="00A24DEB"/>
    <w:rsid w:val="00A24ED9"/>
    <w:rsid w:val="00A251DB"/>
    <w:rsid w:val="00A25216"/>
    <w:rsid w:val="00A2597D"/>
    <w:rsid w:val="00A2628E"/>
    <w:rsid w:val="00A266BF"/>
    <w:rsid w:val="00A2731E"/>
    <w:rsid w:val="00A309AC"/>
    <w:rsid w:val="00A30F65"/>
    <w:rsid w:val="00A3279E"/>
    <w:rsid w:val="00A33DB1"/>
    <w:rsid w:val="00A33EEB"/>
    <w:rsid w:val="00A35900"/>
    <w:rsid w:val="00A40EAC"/>
    <w:rsid w:val="00A418BC"/>
    <w:rsid w:val="00A419FF"/>
    <w:rsid w:val="00A41FCF"/>
    <w:rsid w:val="00A42936"/>
    <w:rsid w:val="00A43CF8"/>
    <w:rsid w:val="00A43DF2"/>
    <w:rsid w:val="00A445A8"/>
    <w:rsid w:val="00A44B0D"/>
    <w:rsid w:val="00A44D21"/>
    <w:rsid w:val="00A45087"/>
    <w:rsid w:val="00A45489"/>
    <w:rsid w:val="00A45CED"/>
    <w:rsid w:val="00A465E9"/>
    <w:rsid w:val="00A468E7"/>
    <w:rsid w:val="00A46DE0"/>
    <w:rsid w:val="00A478BA"/>
    <w:rsid w:val="00A50D73"/>
    <w:rsid w:val="00A518BB"/>
    <w:rsid w:val="00A52A88"/>
    <w:rsid w:val="00A52CAD"/>
    <w:rsid w:val="00A53FC7"/>
    <w:rsid w:val="00A55569"/>
    <w:rsid w:val="00A566A0"/>
    <w:rsid w:val="00A601E7"/>
    <w:rsid w:val="00A60AC1"/>
    <w:rsid w:val="00A626FF"/>
    <w:rsid w:val="00A62CE1"/>
    <w:rsid w:val="00A65469"/>
    <w:rsid w:val="00A65528"/>
    <w:rsid w:val="00A655D3"/>
    <w:rsid w:val="00A662D9"/>
    <w:rsid w:val="00A6741E"/>
    <w:rsid w:val="00A67E29"/>
    <w:rsid w:val="00A7016A"/>
    <w:rsid w:val="00A7018D"/>
    <w:rsid w:val="00A7191D"/>
    <w:rsid w:val="00A722F9"/>
    <w:rsid w:val="00A72D42"/>
    <w:rsid w:val="00A746C9"/>
    <w:rsid w:val="00A74C2A"/>
    <w:rsid w:val="00A75E40"/>
    <w:rsid w:val="00A76818"/>
    <w:rsid w:val="00A77D1D"/>
    <w:rsid w:val="00A81652"/>
    <w:rsid w:val="00A82C91"/>
    <w:rsid w:val="00A83150"/>
    <w:rsid w:val="00A83398"/>
    <w:rsid w:val="00A83D6E"/>
    <w:rsid w:val="00A83FD5"/>
    <w:rsid w:val="00A8521A"/>
    <w:rsid w:val="00A857C0"/>
    <w:rsid w:val="00A85ACB"/>
    <w:rsid w:val="00A90F2C"/>
    <w:rsid w:val="00A90FED"/>
    <w:rsid w:val="00A91482"/>
    <w:rsid w:val="00A9189D"/>
    <w:rsid w:val="00A91E71"/>
    <w:rsid w:val="00A925B1"/>
    <w:rsid w:val="00A92A3E"/>
    <w:rsid w:val="00A934F9"/>
    <w:rsid w:val="00A940E3"/>
    <w:rsid w:val="00A94983"/>
    <w:rsid w:val="00A95F1A"/>
    <w:rsid w:val="00A96116"/>
    <w:rsid w:val="00A9614E"/>
    <w:rsid w:val="00A96422"/>
    <w:rsid w:val="00A96C0F"/>
    <w:rsid w:val="00A97075"/>
    <w:rsid w:val="00AA0E80"/>
    <w:rsid w:val="00AA17CD"/>
    <w:rsid w:val="00AA1D85"/>
    <w:rsid w:val="00AA212F"/>
    <w:rsid w:val="00AA26A9"/>
    <w:rsid w:val="00AA2996"/>
    <w:rsid w:val="00AA2AF4"/>
    <w:rsid w:val="00AA4282"/>
    <w:rsid w:val="00AA43F2"/>
    <w:rsid w:val="00AA4790"/>
    <w:rsid w:val="00AA52BF"/>
    <w:rsid w:val="00AA559A"/>
    <w:rsid w:val="00AA6C31"/>
    <w:rsid w:val="00AA7752"/>
    <w:rsid w:val="00AA7CE8"/>
    <w:rsid w:val="00AB1457"/>
    <w:rsid w:val="00AB2AF1"/>
    <w:rsid w:val="00AB3BA7"/>
    <w:rsid w:val="00AB3EC7"/>
    <w:rsid w:val="00AB5A64"/>
    <w:rsid w:val="00AB5CA1"/>
    <w:rsid w:val="00AB6456"/>
    <w:rsid w:val="00AB75C5"/>
    <w:rsid w:val="00AC044E"/>
    <w:rsid w:val="00AC2118"/>
    <w:rsid w:val="00AC2395"/>
    <w:rsid w:val="00AC2960"/>
    <w:rsid w:val="00AC2AC4"/>
    <w:rsid w:val="00AC4284"/>
    <w:rsid w:val="00AC45BD"/>
    <w:rsid w:val="00AC50BB"/>
    <w:rsid w:val="00AD0B22"/>
    <w:rsid w:val="00AD0EE7"/>
    <w:rsid w:val="00AD168E"/>
    <w:rsid w:val="00AD306C"/>
    <w:rsid w:val="00AD44CD"/>
    <w:rsid w:val="00AD5AD2"/>
    <w:rsid w:val="00AD6462"/>
    <w:rsid w:val="00AD66C5"/>
    <w:rsid w:val="00AD68C4"/>
    <w:rsid w:val="00AD71F9"/>
    <w:rsid w:val="00AE09B3"/>
    <w:rsid w:val="00AE1A83"/>
    <w:rsid w:val="00AE30BE"/>
    <w:rsid w:val="00AE3E6A"/>
    <w:rsid w:val="00AE6414"/>
    <w:rsid w:val="00AE7269"/>
    <w:rsid w:val="00AE797C"/>
    <w:rsid w:val="00AE7CE7"/>
    <w:rsid w:val="00AE7FAB"/>
    <w:rsid w:val="00AF0DE4"/>
    <w:rsid w:val="00AF1E87"/>
    <w:rsid w:val="00AF436B"/>
    <w:rsid w:val="00AF5179"/>
    <w:rsid w:val="00AF5CC2"/>
    <w:rsid w:val="00AF6776"/>
    <w:rsid w:val="00AF6F98"/>
    <w:rsid w:val="00B00550"/>
    <w:rsid w:val="00B00913"/>
    <w:rsid w:val="00B01593"/>
    <w:rsid w:val="00B01FF9"/>
    <w:rsid w:val="00B023F2"/>
    <w:rsid w:val="00B026FE"/>
    <w:rsid w:val="00B038CA"/>
    <w:rsid w:val="00B05F00"/>
    <w:rsid w:val="00B06DB4"/>
    <w:rsid w:val="00B0750D"/>
    <w:rsid w:val="00B0799C"/>
    <w:rsid w:val="00B102CE"/>
    <w:rsid w:val="00B10A4D"/>
    <w:rsid w:val="00B10C90"/>
    <w:rsid w:val="00B11002"/>
    <w:rsid w:val="00B1114F"/>
    <w:rsid w:val="00B121B2"/>
    <w:rsid w:val="00B131B1"/>
    <w:rsid w:val="00B141B6"/>
    <w:rsid w:val="00B14BC1"/>
    <w:rsid w:val="00B162C3"/>
    <w:rsid w:val="00B16DD1"/>
    <w:rsid w:val="00B16EB8"/>
    <w:rsid w:val="00B17E71"/>
    <w:rsid w:val="00B17FDE"/>
    <w:rsid w:val="00B20632"/>
    <w:rsid w:val="00B2379C"/>
    <w:rsid w:val="00B23D5D"/>
    <w:rsid w:val="00B23E6E"/>
    <w:rsid w:val="00B2450C"/>
    <w:rsid w:val="00B2687D"/>
    <w:rsid w:val="00B3108D"/>
    <w:rsid w:val="00B32DDB"/>
    <w:rsid w:val="00B32F57"/>
    <w:rsid w:val="00B3345C"/>
    <w:rsid w:val="00B34528"/>
    <w:rsid w:val="00B34CC9"/>
    <w:rsid w:val="00B34CDA"/>
    <w:rsid w:val="00B3563B"/>
    <w:rsid w:val="00B36BDC"/>
    <w:rsid w:val="00B37D3A"/>
    <w:rsid w:val="00B37D96"/>
    <w:rsid w:val="00B402FC"/>
    <w:rsid w:val="00B422E2"/>
    <w:rsid w:val="00B42D5F"/>
    <w:rsid w:val="00B43216"/>
    <w:rsid w:val="00B439DA"/>
    <w:rsid w:val="00B4411A"/>
    <w:rsid w:val="00B45FE8"/>
    <w:rsid w:val="00B46604"/>
    <w:rsid w:val="00B47089"/>
    <w:rsid w:val="00B47587"/>
    <w:rsid w:val="00B52151"/>
    <w:rsid w:val="00B530CD"/>
    <w:rsid w:val="00B53639"/>
    <w:rsid w:val="00B53C7D"/>
    <w:rsid w:val="00B53E56"/>
    <w:rsid w:val="00B55A97"/>
    <w:rsid w:val="00B55F5E"/>
    <w:rsid w:val="00B5642C"/>
    <w:rsid w:val="00B5658D"/>
    <w:rsid w:val="00B56B6F"/>
    <w:rsid w:val="00B5752E"/>
    <w:rsid w:val="00B60AC1"/>
    <w:rsid w:val="00B61FF6"/>
    <w:rsid w:val="00B62316"/>
    <w:rsid w:val="00B63A11"/>
    <w:rsid w:val="00B64425"/>
    <w:rsid w:val="00B64C24"/>
    <w:rsid w:val="00B65CEF"/>
    <w:rsid w:val="00B6608F"/>
    <w:rsid w:val="00B67749"/>
    <w:rsid w:val="00B679FB"/>
    <w:rsid w:val="00B71FBF"/>
    <w:rsid w:val="00B734A0"/>
    <w:rsid w:val="00B73A14"/>
    <w:rsid w:val="00B748BD"/>
    <w:rsid w:val="00B7680F"/>
    <w:rsid w:val="00B76B48"/>
    <w:rsid w:val="00B76D1E"/>
    <w:rsid w:val="00B77543"/>
    <w:rsid w:val="00B77584"/>
    <w:rsid w:val="00B80D89"/>
    <w:rsid w:val="00B80EC6"/>
    <w:rsid w:val="00B81288"/>
    <w:rsid w:val="00B81D70"/>
    <w:rsid w:val="00B833B9"/>
    <w:rsid w:val="00B83AAF"/>
    <w:rsid w:val="00B83E07"/>
    <w:rsid w:val="00B84CF6"/>
    <w:rsid w:val="00B85016"/>
    <w:rsid w:val="00B8561A"/>
    <w:rsid w:val="00B86628"/>
    <w:rsid w:val="00B86643"/>
    <w:rsid w:val="00B868F7"/>
    <w:rsid w:val="00B90131"/>
    <w:rsid w:val="00B92951"/>
    <w:rsid w:val="00B92D1D"/>
    <w:rsid w:val="00B92D7E"/>
    <w:rsid w:val="00B930CE"/>
    <w:rsid w:val="00B938C5"/>
    <w:rsid w:val="00B940A8"/>
    <w:rsid w:val="00B9554A"/>
    <w:rsid w:val="00B95940"/>
    <w:rsid w:val="00B95ACA"/>
    <w:rsid w:val="00B96D74"/>
    <w:rsid w:val="00B9720E"/>
    <w:rsid w:val="00B97ACC"/>
    <w:rsid w:val="00B97FE2"/>
    <w:rsid w:val="00BA0E0B"/>
    <w:rsid w:val="00BA201A"/>
    <w:rsid w:val="00BA361D"/>
    <w:rsid w:val="00BA3787"/>
    <w:rsid w:val="00BA403A"/>
    <w:rsid w:val="00BA46E8"/>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AB2"/>
    <w:rsid w:val="00BB5ABF"/>
    <w:rsid w:val="00BB6EA2"/>
    <w:rsid w:val="00BB7B5B"/>
    <w:rsid w:val="00BB7EB1"/>
    <w:rsid w:val="00BC003F"/>
    <w:rsid w:val="00BC0930"/>
    <w:rsid w:val="00BC327F"/>
    <w:rsid w:val="00BC3512"/>
    <w:rsid w:val="00BC4B35"/>
    <w:rsid w:val="00BC50BE"/>
    <w:rsid w:val="00BC5332"/>
    <w:rsid w:val="00BC5715"/>
    <w:rsid w:val="00BC5C12"/>
    <w:rsid w:val="00BC641B"/>
    <w:rsid w:val="00BC7154"/>
    <w:rsid w:val="00BC731E"/>
    <w:rsid w:val="00BC7614"/>
    <w:rsid w:val="00BD041B"/>
    <w:rsid w:val="00BD25BB"/>
    <w:rsid w:val="00BD2AF8"/>
    <w:rsid w:val="00BD366B"/>
    <w:rsid w:val="00BD3C09"/>
    <w:rsid w:val="00BD410B"/>
    <w:rsid w:val="00BD4A73"/>
    <w:rsid w:val="00BD6C75"/>
    <w:rsid w:val="00BD6D50"/>
    <w:rsid w:val="00BD73D2"/>
    <w:rsid w:val="00BE0AD1"/>
    <w:rsid w:val="00BE0EF9"/>
    <w:rsid w:val="00BE10A1"/>
    <w:rsid w:val="00BE18B9"/>
    <w:rsid w:val="00BE190A"/>
    <w:rsid w:val="00BE2495"/>
    <w:rsid w:val="00BE24DD"/>
    <w:rsid w:val="00BE386D"/>
    <w:rsid w:val="00BE54BF"/>
    <w:rsid w:val="00BE557B"/>
    <w:rsid w:val="00BE7F5F"/>
    <w:rsid w:val="00BF02C8"/>
    <w:rsid w:val="00BF1578"/>
    <w:rsid w:val="00BF15CA"/>
    <w:rsid w:val="00BF1D12"/>
    <w:rsid w:val="00BF1D3A"/>
    <w:rsid w:val="00BF2B5B"/>
    <w:rsid w:val="00BF2D41"/>
    <w:rsid w:val="00BF3274"/>
    <w:rsid w:val="00BF32DC"/>
    <w:rsid w:val="00BF4329"/>
    <w:rsid w:val="00BF4E43"/>
    <w:rsid w:val="00BF5C4C"/>
    <w:rsid w:val="00BF77FC"/>
    <w:rsid w:val="00C006D6"/>
    <w:rsid w:val="00C00BD7"/>
    <w:rsid w:val="00C01410"/>
    <w:rsid w:val="00C04B78"/>
    <w:rsid w:val="00C052AA"/>
    <w:rsid w:val="00C06EE3"/>
    <w:rsid w:val="00C07749"/>
    <w:rsid w:val="00C11244"/>
    <w:rsid w:val="00C11D48"/>
    <w:rsid w:val="00C1246C"/>
    <w:rsid w:val="00C1493E"/>
    <w:rsid w:val="00C15DBD"/>
    <w:rsid w:val="00C161C5"/>
    <w:rsid w:val="00C2010D"/>
    <w:rsid w:val="00C20CB5"/>
    <w:rsid w:val="00C21430"/>
    <w:rsid w:val="00C216DF"/>
    <w:rsid w:val="00C21E61"/>
    <w:rsid w:val="00C21F94"/>
    <w:rsid w:val="00C224BD"/>
    <w:rsid w:val="00C234DB"/>
    <w:rsid w:val="00C2479A"/>
    <w:rsid w:val="00C24903"/>
    <w:rsid w:val="00C2590D"/>
    <w:rsid w:val="00C25D9C"/>
    <w:rsid w:val="00C27913"/>
    <w:rsid w:val="00C300E2"/>
    <w:rsid w:val="00C31F21"/>
    <w:rsid w:val="00C32631"/>
    <w:rsid w:val="00C33301"/>
    <w:rsid w:val="00C33311"/>
    <w:rsid w:val="00C33B68"/>
    <w:rsid w:val="00C34AD4"/>
    <w:rsid w:val="00C35570"/>
    <w:rsid w:val="00C35A2A"/>
    <w:rsid w:val="00C36A79"/>
    <w:rsid w:val="00C401A9"/>
    <w:rsid w:val="00C401D2"/>
    <w:rsid w:val="00C4031A"/>
    <w:rsid w:val="00C405D4"/>
    <w:rsid w:val="00C419D5"/>
    <w:rsid w:val="00C41D54"/>
    <w:rsid w:val="00C42EBB"/>
    <w:rsid w:val="00C4513B"/>
    <w:rsid w:val="00C475E8"/>
    <w:rsid w:val="00C50E79"/>
    <w:rsid w:val="00C5197D"/>
    <w:rsid w:val="00C525FB"/>
    <w:rsid w:val="00C5390B"/>
    <w:rsid w:val="00C54257"/>
    <w:rsid w:val="00C54697"/>
    <w:rsid w:val="00C550CE"/>
    <w:rsid w:val="00C553A5"/>
    <w:rsid w:val="00C55402"/>
    <w:rsid w:val="00C5603B"/>
    <w:rsid w:val="00C60AE3"/>
    <w:rsid w:val="00C61F47"/>
    <w:rsid w:val="00C62828"/>
    <w:rsid w:val="00C715CC"/>
    <w:rsid w:val="00C719A3"/>
    <w:rsid w:val="00C71D2F"/>
    <w:rsid w:val="00C72984"/>
    <w:rsid w:val="00C73885"/>
    <w:rsid w:val="00C73C93"/>
    <w:rsid w:val="00C7435A"/>
    <w:rsid w:val="00C747B1"/>
    <w:rsid w:val="00C75510"/>
    <w:rsid w:val="00C755F9"/>
    <w:rsid w:val="00C75752"/>
    <w:rsid w:val="00C770C9"/>
    <w:rsid w:val="00C81070"/>
    <w:rsid w:val="00C8174E"/>
    <w:rsid w:val="00C82191"/>
    <w:rsid w:val="00C83134"/>
    <w:rsid w:val="00C831E7"/>
    <w:rsid w:val="00C832F3"/>
    <w:rsid w:val="00C84307"/>
    <w:rsid w:val="00C845A4"/>
    <w:rsid w:val="00C85545"/>
    <w:rsid w:val="00C855B5"/>
    <w:rsid w:val="00C85F0E"/>
    <w:rsid w:val="00C90CF4"/>
    <w:rsid w:val="00C91C20"/>
    <w:rsid w:val="00C922DE"/>
    <w:rsid w:val="00C92843"/>
    <w:rsid w:val="00C92EB6"/>
    <w:rsid w:val="00C93389"/>
    <w:rsid w:val="00C948E6"/>
    <w:rsid w:val="00C94CDD"/>
    <w:rsid w:val="00C97588"/>
    <w:rsid w:val="00CA0346"/>
    <w:rsid w:val="00CA0DA1"/>
    <w:rsid w:val="00CA1BD6"/>
    <w:rsid w:val="00CA37FF"/>
    <w:rsid w:val="00CA423A"/>
    <w:rsid w:val="00CA47BC"/>
    <w:rsid w:val="00CA5EAD"/>
    <w:rsid w:val="00CA6AB4"/>
    <w:rsid w:val="00CA7255"/>
    <w:rsid w:val="00CB1BEE"/>
    <w:rsid w:val="00CB2351"/>
    <w:rsid w:val="00CB4930"/>
    <w:rsid w:val="00CB4BA9"/>
    <w:rsid w:val="00CB4C63"/>
    <w:rsid w:val="00CB5A48"/>
    <w:rsid w:val="00CB5E10"/>
    <w:rsid w:val="00CB613B"/>
    <w:rsid w:val="00CB6152"/>
    <w:rsid w:val="00CB64E1"/>
    <w:rsid w:val="00CB6E4D"/>
    <w:rsid w:val="00CC009B"/>
    <w:rsid w:val="00CC0834"/>
    <w:rsid w:val="00CC0AEA"/>
    <w:rsid w:val="00CC20FE"/>
    <w:rsid w:val="00CC2E7D"/>
    <w:rsid w:val="00CC5BE8"/>
    <w:rsid w:val="00CC612B"/>
    <w:rsid w:val="00CC655F"/>
    <w:rsid w:val="00CC66F9"/>
    <w:rsid w:val="00CC6C2A"/>
    <w:rsid w:val="00CC6FE5"/>
    <w:rsid w:val="00CC7458"/>
    <w:rsid w:val="00CC76BD"/>
    <w:rsid w:val="00CC7A87"/>
    <w:rsid w:val="00CD0D6B"/>
    <w:rsid w:val="00CD10A5"/>
    <w:rsid w:val="00CD1129"/>
    <w:rsid w:val="00CD1A80"/>
    <w:rsid w:val="00CD1CB5"/>
    <w:rsid w:val="00CD2076"/>
    <w:rsid w:val="00CD24CE"/>
    <w:rsid w:val="00CD29B5"/>
    <w:rsid w:val="00CD2B78"/>
    <w:rsid w:val="00CD3FAB"/>
    <w:rsid w:val="00CD5456"/>
    <w:rsid w:val="00CD5C3E"/>
    <w:rsid w:val="00CD5C57"/>
    <w:rsid w:val="00CD6331"/>
    <w:rsid w:val="00CE14BE"/>
    <w:rsid w:val="00CE17A4"/>
    <w:rsid w:val="00CE1BA9"/>
    <w:rsid w:val="00CE2D8F"/>
    <w:rsid w:val="00CE3E48"/>
    <w:rsid w:val="00CE47B8"/>
    <w:rsid w:val="00CE62FA"/>
    <w:rsid w:val="00CE670B"/>
    <w:rsid w:val="00CE6833"/>
    <w:rsid w:val="00CF020B"/>
    <w:rsid w:val="00CF15BF"/>
    <w:rsid w:val="00CF2E4D"/>
    <w:rsid w:val="00CF4205"/>
    <w:rsid w:val="00CF4908"/>
    <w:rsid w:val="00CF51EC"/>
    <w:rsid w:val="00CF545D"/>
    <w:rsid w:val="00CF5873"/>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10C15"/>
    <w:rsid w:val="00D11011"/>
    <w:rsid w:val="00D11476"/>
    <w:rsid w:val="00D12C25"/>
    <w:rsid w:val="00D133B4"/>
    <w:rsid w:val="00D13986"/>
    <w:rsid w:val="00D14C5B"/>
    <w:rsid w:val="00D15FED"/>
    <w:rsid w:val="00D16712"/>
    <w:rsid w:val="00D214EF"/>
    <w:rsid w:val="00D215B0"/>
    <w:rsid w:val="00D21D6D"/>
    <w:rsid w:val="00D21D83"/>
    <w:rsid w:val="00D22A47"/>
    <w:rsid w:val="00D235B7"/>
    <w:rsid w:val="00D23FAE"/>
    <w:rsid w:val="00D25F28"/>
    <w:rsid w:val="00D26071"/>
    <w:rsid w:val="00D260C7"/>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50F46"/>
    <w:rsid w:val="00D5384E"/>
    <w:rsid w:val="00D544E7"/>
    <w:rsid w:val="00D5499F"/>
    <w:rsid w:val="00D5560A"/>
    <w:rsid w:val="00D56FBF"/>
    <w:rsid w:val="00D57677"/>
    <w:rsid w:val="00D5781F"/>
    <w:rsid w:val="00D60415"/>
    <w:rsid w:val="00D60E3C"/>
    <w:rsid w:val="00D61FAB"/>
    <w:rsid w:val="00D63BE5"/>
    <w:rsid w:val="00D6475F"/>
    <w:rsid w:val="00D655D4"/>
    <w:rsid w:val="00D66223"/>
    <w:rsid w:val="00D667B8"/>
    <w:rsid w:val="00D67D55"/>
    <w:rsid w:val="00D70289"/>
    <w:rsid w:val="00D70822"/>
    <w:rsid w:val="00D72076"/>
    <w:rsid w:val="00D721B4"/>
    <w:rsid w:val="00D726A9"/>
    <w:rsid w:val="00D72DBA"/>
    <w:rsid w:val="00D743E0"/>
    <w:rsid w:val="00D7490C"/>
    <w:rsid w:val="00D75AC1"/>
    <w:rsid w:val="00D77252"/>
    <w:rsid w:val="00D8084C"/>
    <w:rsid w:val="00D81809"/>
    <w:rsid w:val="00D82EF1"/>
    <w:rsid w:val="00D84CC9"/>
    <w:rsid w:val="00D84F43"/>
    <w:rsid w:val="00D85114"/>
    <w:rsid w:val="00D85821"/>
    <w:rsid w:val="00D8598C"/>
    <w:rsid w:val="00D87C06"/>
    <w:rsid w:val="00D915EA"/>
    <w:rsid w:val="00D919ED"/>
    <w:rsid w:val="00D922A1"/>
    <w:rsid w:val="00D928BE"/>
    <w:rsid w:val="00D932B8"/>
    <w:rsid w:val="00D95302"/>
    <w:rsid w:val="00D95889"/>
    <w:rsid w:val="00D95C5D"/>
    <w:rsid w:val="00D97D00"/>
    <w:rsid w:val="00DA096C"/>
    <w:rsid w:val="00DA1AB6"/>
    <w:rsid w:val="00DA2E65"/>
    <w:rsid w:val="00DA3ADF"/>
    <w:rsid w:val="00DA4174"/>
    <w:rsid w:val="00DA544C"/>
    <w:rsid w:val="00DA5F8E"/>
    <w:rsid w:val="00DA6364"/>
    <w:rsid w:val="00DA7114"/>
    <w:rsid w:val="00DA7C0C"/>
    <w:rsid w:val="00DB03DD"/>
    <w:rsid w:val="00DB08A9"/>
    <w:rsid w:val="00DB0B33"/>
    <w:rsid w:val="00DB0FD9"/>
    <w:rsid w:val="00DB2DFA"/>
    <w:rsid w:val="00DB2EC8"/>
    <w:rsid w:val="00DB321D"/>
    <w:rsid w:val="00DB459B"/>
    <w:rsid w:val="00DB47FD"/>
    <w:rsid w:val="00DB5E3A"/>
    <w:rsid w:val="00DB5E9A"/>
    <w:rsid w:val="00DB613B"/>
    <w:rsid w:val="00DB657E"/>
    <w:rsid w:val="00DB7342"/>
    <w:rsid w:val="00DB7489"/>
    <w:rsid w:val="00DC17D0"/>
    <w:rsid w:val="00DC2B41"/>
    <w:rsid w:val="00DC3128"/>
    <w:rsid w:val="00DC435B"/>
    <w:rsid w:val="00DC53D8"/>
    <w:rsid w:val="00DC56FE"/>
    <w:rsid w:val="00DC5B3B"/>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450F"/>
    <w:rsid w:val="00DE5CA6"/>
    <w:rsid w:val="00DE7AC8"/>
    <w:rsid w:val="00DF0830"/>
    <w:rsid w:val="00DF2C5D"/>
    <w:rsid w:val="00DF3643"/>
    <w:rsid w:val="00DF42FF"/>
    <w:rsid w:val="00DF4369"/>
    <w:rsid w:val="00DF4423"/>
    <w:rsid w:val="00DF4ADF"/>
    <w:rsid w:val="00DF57D6"/>
    <w:rsid w:val="00DF5D1E"/>
    <w:rsid w:val="00DF77E4"/>
    <w:rsid w:val="00DF7F88"/>
    <w:rsid w:val="00E00B88"/>
    <w:rsid w:val="00E01C0E"/>
    <w:rsid w:val="00E0368F"/>
    <w:rsid w:val="00E03D73"/>
    <w:rsid w:val="00E03F9A"/>
    <w:rsid w:val="00E040DA"/>
    <w:rsid w:val="00E04694"/>
    <w:rsid w:val="00E1168B"/>
    <w:rsid w:val="00E12191"/>
    <w:rsid w:val="00E129E7"/>
    <w:rsid w:val="00E12ABE"/>
    <w:rsid w:val="00E12B1E"/>
    <w:rsid w:val="00E13995"/>
    <w:rsid w:val="00E1444C"/>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30F15"/>
    <w:rsid w:val="00E31771"/>
    <w:rsid w:val="00E3186D"/>
    <w:rsid w:val="00E31A3E"/>
    <w:rsid w:val="00E32080"/>
    <w:rsid w:val="00E3309D"/>
    <w:rsid w:val="00E350B1"/>
    <w:rsid w:val="00E35A53"/>
    <w:rsid w:val="00E3634A"/>
    <w:rsid w:val="00E3656B"/>
    <w:rsid w:val="00E3724A"/>
    <w:rsid w:val="00E378B1"/>
    <w:rsid w:val="00E417BE"/>
    <w:rsid w:val="00E41CD5"/>
    <w:rsid w:val="00E42054"/>
    <w:rsid w:val="00E4372D"/>
    <w:rsid w:val="00E43A9E"/>
    <w:rsid w:val="00E44243"/>
    <w:rsid w:val="00E453F9"/>
    <w:rsid w:val="00E45D7D"/>
    <w:rsid w:val="00E4623F"/>
    <w:rsid w:val="00E4665D"/>
    <w:rsid w:val="00E47854"/>
    <w:rsid w:val="00E47EBA"/>
    <w:rsid w:val="00E50156"/>
    <w:rsid w:val="00E504EB"/>
    <w:rsid w:val="00E5076C"/>
    <w:rsid w:val="00E50D2E"/>
    <w:rsid w:val="00E50D7D"/>
    <w:rsid w:val="00E51EF0"/>
    <w:rsid w:val="00E53470"/>
    <w:rsid w:val="00E5368D"/>
    <w:rsid w:val="00E539F6"/>
    <w:rsid w:val="00E54698"/>
    <w:rsid w:val="00E54FB4"/>
    <w:rsid w:val="00E5539A"/>
    <w:rsid w:val="00E55791"/>
    <w:rsid w:val="00E55E1A"/>
    <w:rsid w:val="00E578A2"/>
    <w:rsid w:val="00E579ED"/>
    <w:rsid w:val="00E60043"/>
    <w:rsid w:val="00E61740"/>
    <w:rsid w:val="00E61EB5"/>
    <w:rsid w:val="00E6324D"/>
    <w:rsid w:val="00E65084"/>
    <w:rsid w:val="00E6519D"/>
    <w:rsid w:val="00E66062"/>
    <w:rsid w:val="00E6660E"/>
    <w:rsid w:val="00E66768"/>
    <w:rsid w:val="00E67305"/>
    <w:rsid w:val="00E67696"/>
    <w:rsid w:val="00E70C5F"/>
    <w:rsid w:val="00E71A58"/>
    <w:rsid w:val="00E72A26"/>
    <w:rsid w:val="00E72A7A"/>
    <w:rsid w:val="00E7335A"/>
    <w:rsid w:val="00E7467D"/>
    <w:rsid w:val="00E747DC"/>
    <w:rsid w:val="00E74A2D"/>
    <w:rsid w:val="00E75C94"/>
    <w:rsid w:val="00E76A08"/>
    <w:rsid w:val="00E76B9B"/>
    <w:rsid w:val="00E76E61"/>
    <w:rsid w:val="00E77CC0"/>
    <w:rsid w:val="00E80B3D"/>
    <w:rsid w:val="00E80CA3"/>
    <w:rsid w:val="00E82618"/>
    <w:rsid w:val="00E84E09"/>
    <w:rsid w:val="00E87CE2"/>
    <w:rsid w:val="00E90CA8"/>
    <w:rsid w:val="00E930A1"/>
    <w:rsid w:val="00E93820"/>
    <w:rsid w:val="00E94A86"/>
    <w:rsid w:val="00E953F6"/>
    <w:rsid w:val="00E96143"/>
    <w:rsid w:val="00E96833"/>
    <w:rsid w:val="00E97506"/>
    <w:rsid w:val="00E97BB5"/>
    <w:rsid w:val="00E97F14"/>
    <w:rsid w:val="00EA0C68"/>
    <w:rsid w:val="00EA0E39"/>
    <w:rsid w:val="00EA1D0E"/>
    <w:rsid w:val="00EA2072"/>
    <w:rsid w:val="00EA2841"/>
    <w:rsid w:val="00EA32BC"/>
    <w:rsid w:val="00EA35A7"/>
    <w:rsid w:val="00EA3B32"/>
    <w:rsid w:val="00EA3CEB"/>
    <w:rsid w:val="00EA3D05"/>
    <w:rsid w:val="00EA4402"/>
    <w:rsid w:val="00EA4B8D"/>
    <w:rsid w:val="00EA513E"/>
    <w:rsid w:val="00EA7419"/>
    <w:rsid w:val="00EB0E32"/>
    <w:rsid w:val="00EB3E60"/>
    <w:rsid w:val="00EB4511"/>
    <w:rsid w:val="00EB48D7"/>
    <w:rsid w:val="00EB4A8E"/>
    <w:rsid w:val="00EB4BC5"/>
    <w:rsid w:val="00EB5BF7"/>
    <w:rsid w:val="00EB5E79"/>
    <w:rsid w:val="00EB6FAC"/>
    <w:rsid w:val="00EB7BAC"/>
    <w:rsid w:val="00EC03D7"/>
    <w:rsid w:val="00EC13A7"/>
    <w:rsid w:val="00EC2EB6"/>
    <w:rsid w:val="00ED0EF0"/>
    <w:rsid w:val="00ED12B9"/>
    <w:rsid w:val="00ED16B8"/>
    <w:rsid w:val="00ED1A00"/>
    <w:rsid w:val="00ED1DF0"/>
    <w:rsid w:val="00ED2386"/>
    <w:rsid w:val="00ED2EA1"/>
    <w:rsid w:val="00ED3851"/>
    <w:rsid w:val="00ED3E51"/>
    <w:rsid w:val="00ED3F10"/>
    <w:rsid w:val="00ED4D04"/>
    <w:rsid w:val="00ED566D"/>
    <w:rsid w:val="00ED5907"/>
    <w:rsid w:val="00ED5F5B"/>
    <w:rsid w:val="00ED62C6"/>
    <w:rsid w:val="00ED64C1"/>
    <w:rsid w:val="00ED781F"/>
    <w:rsid w:val="00EE249F"/>
    <w:rsid w:val="00EE2EB4"/>
    <w:rsid w:val="00EE3446"/>
    <w:rsid w:val="00EE3E78"/>
    <w:rsid w:val="00EE41FD"/>
    <w:rsid w:val="00EE460E"/>
    <w:rsid w:val="00EE4B1B"/>
    <w:rsid w:val="00EE5FBA"/>
    <w:rsid w:val="00EE6E06"/>
    <w:rsid w:val="00EE7179"/>
    <w:rsid w:val="00EF0D90"/>
    <w:rsid w:val="00EF150D"/>
    <w:rsid w:val="00EF1F5A"/>
    <w:rsid w:val="00EF23B5"/>
    <w:rsid w:val="00EF326A"/>
    <w:rsid w:val="00EF47BF"/>
    <w:rsid w:val="00EF59B1"/>
    <w:rsid w:val="00EF5A13"/>
    <w:rsid w:val="00EF5FF9"/>
    <w:rsid w:val="00EF77D4"/>
    <w:rsid w:val="00EF7CC7"/>
    <w:rsid w:val="00F00853"/>
    <w:rsid w:val="00F00866"/>
    <w:rsid w:val="00F00EC8"/>
    <w:rsid w:val="00F0160B"/>
    <w:rsid w:val="00F0193E"/>
    <w:rsid w:val="00F03E2F"/>
    <w:rsid w:val="00F03F8D"/>
    <w:rsid w:val="00F04811"/>
    <w:rsid w:val="00F0488C"/>
    <w:rsid w:val="00F073ED"/>
    <w:rsid w:val="00F07C4C"/>
    <w:rsid w:val="00F10F11"/>
    <w:rsid w:val="00F11159"/>
    <w:rsid w:val="00F115E4"/>
    <w:rsid w:val="00F12CFB"/>
    <w:rsid w:val="00F13E60"/>
    <w:rsid w:val="00F13FDB"/>
    <w:rsid w:val="00F15AAA"/>
    <w:rsid w:val="00F15BEF"/>
    <w:rsid w:val="00F17898"/>
    <w:rsid w:val="00F207C2"/>
    <w:rsid w:val="00F21337"/>
    <w:rsid w:val="00F219A1"/>
    <w:rsid w:val="00F23E20"/>
    <w:rsid w:val="00F24407"/>
    <w:rsid w:val="00F24FAA"/>
    <w:rsid w:val="00F25040"/>
    <w:rsid w:val="00F27071"/>
    <w:rsid w:val="00F27331"/>
    <w:rsid w:val="00F27EE5"/>
    <w:rsid w:val="00F27FB1"/>
    <w:rsid w:val="00F27FD6"/>
    <w:rsid w:val="00F307CB"/>
    <w:rsid w:val="00F30C65"/>
    <w:rsid w:val="00F321D2"/>
    <w:rsid w:val="00F32649"/>
    <w:rsid w:val="00F33523"/>
    <w:rsid w:val="00F3364D"/>
    <w:rsid w:val="00F33914"/>
    <w:rsid w:val="00F349BF"/>
    <w:rsid w:val="00F34DDC"/>
    <w:rsid w:val="00F36191"/>
    <w:rsid w:val="00F3629F"/>
    <w:rsid w:val="00F36DF3"/>
    <w:rsid w:val="00F37EDC"/>
    <w:rsid w:val="00F437CC"/>
    <w:rsid w:val="00F44537"/>
    <w:rsid w:val="00F46185"/>
    <w:rsid w:val="00F46423"/>
    <w:rsid w:val="00F4696A"/>
    <w:rsid w:val="00F47067"/>
    <w:rsid w:val="00F47234"/>
    <w:rsid w:val="00F51ADD"/>
    <w:rsid w:val="00F525AB"/>
    <w:rsid w:val="00F525EB"/>
    <w:rsid w:val="00F52CB5"/>
    <w:rsid w:val="00F53378"/>
    <w:rsid w:val="00F53A68"/>
    <w:rsid w:val="00F54934"/>
    <w:rsid w:val="00F55A92"/>
    <w:rsid w:val="00F575D3"/>
    <w:rsid w:val="00F62BFF"/>
    <w:rsid w:val="00F63AAE"/>
    <w:rsid w:val="00F63DDE"/>
    <w:rsid w:val="00F63FB7"/>
    <w:rsid w:val="00F6421B"/>
    <w:rsid w:val="00F647F1"/>
    <w:rsid w:val="00F649D2"/>
    <w:rsid w:val="00F6602B"/>
    <w:rsid w:val="00F6799D"/>
    <w:rsid w:val="00F7150B"/>
    <w:rsid w:val="00F717E4"/>
    <w:rsid w:val="00F71DE6"/>
    <w:rsid w:val="00F72D71"/>
    <w:rsid w:val="00F7381C"/>
    <w:rsid w:val="00F73A0C"/>
    <w:rsid w:val="00F7549F"/>
    <w:rsid w:val="00F756DB"/>
    <w:rsid w:val="00F766BE"/>
    <w:rsid w:val="00F767A8"/>
    <w:rsid w:val="00F77590"/>
    <w:rsid w:val="00F82D14"/>
    <w:rsid w:val="00F84E7D"/>
    <w:rsid w:val="00F85066"/>
    <w:rsid w:val="00F87A4D"/>
    <w:rsid w:val="00F93688"/>
    <w:rsid w:val="00F939F3"/>
    <w:rsid w:val="00F93C6E"/>
    <w:rsid w:val="00F93F2C"/>
    <w:rsid w:val="00F962AD"/>
    <w:rsid w:val="00F9644E"/>
    <w:rsid w:val="00FA0105"/>
    <w:rsid w:val="00FA05A0"/>
    <w:rsid w:val="00FA0AEF"/>
    <w:rsid w:val="00FA17CC"/>
    <w:rsid w:val="00FA1CFE"/>
    <w:rsid w:val="00FA1F01"/>
    <w:rsid w:val="00FA26DF"/>
    <w:rsid w:val="00FA32BC"/>
    <w:rsid w:val="00FA4059"/>
    <w:rsid w:val="00FA4574"/>
    <w:rsid w:val="00FA48A4"/>
    <w:rsid w:val="00FA4CB7"/>
    <w:rsid w:val="00FA5112"/>
    <w:rsid w:val="00FA5526"/>
    <w:rsid w:val="00FA5D4D"/>
    <w:rsid w:val="00FA6CB6"/>
    <w:rsid w:val="00FA70D3"/>
    <w:rsid w:val="00FA7AEC"/>
    <w:rsid w:val="00FB0AEA"/>
    <w:rsid w:val="00FB0EE2"/>
    <w:rsid w:val="00FB1A79"/>
    <w:rsid w:val="00FB208B"/>
    <w:rsid w:val="00FB2B2D"/>
    <w:rsid w:val="00FB542E"/>
    <w:rsid w:val="00FB564F"/>
    <w:rsid w:val="00FB7DBB"/>
    <w:rsid w:val="00FC05F8"/>
    <w:rsid w:val="00FC0E5F"/>
    <w:rsid w:val="00FC1266"/>
    <w:rsid w:val="00FC1A95"/>
    <w:rsid w:val="00FC1ED4"/>
    <w:rsid w:val="00FC3BEC"/>
    <w:rsid w:val="00FC440B"/>
    <w:rsid w:val="00FC56DE"/>
    <w:rsid w:val="00FC63D9"/>
    <w:rsid w:val="00FC64DE"/>
    <w:rsid w:val="00FC684B"/>
    <w:rsid w:val="00FC7D98"/>
    <w:rsid w:val="00FD1135"/>
    <w:rsid w:val="00FD3265"/>
    <w:rsid w:val="00FD3CF7"/>
    <w:rsid w:val="00FD4916"/>
    <w:rsid w:val="00FD4D12"/>
    <w:rsid w:val="00FD4F73"/>
    <w:rsid w:val="00FD595E"/>
    <w:rsid w:val="00FD7802"/>
    <w:rsid w:val="00FE27C7"/>
    <w:rsid w:val="00FE2C7E"/>
    <w:rsid w:val="00FE2F78"/>
    <w:rsid w:val="00FE3137"/>
    <w:rsid w:val="00FE346B"/>
    <w:rsid w:val="00FE346F"/>
    <w:rsid w:val="00FE48E4"/>
    <w:rsid w:val="00FE634C"/>
    <w:rsid w:val="00FE6E69"/>
    <w:rsid w:val="00FE6F59"/>
    <w:rsid w:val="00FF01B6"/>
    <w:rsid w:val="00FF1136"/>
    <w:rsid w:val="00FF3D76"/>
    <w:rsid w:val="00FF5B8C"/>
    <w:rsid w:val="00FF63E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4EEB6EC"/>
  <w15:docId w15:val="{02E7EBF8-5A4E-462D-AC4B-706FC6EE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cri/analyza-ctvrtletnich-sektorovych-uctu-4-ctvrtleti-20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zabojnikova31519\Documents\Anal&#253;za\Q\2021Q1\Makroanal&#253;za%20graf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zabojnikova31519\Documents\Anal&#253;za\Q\2021Q1\Makroanal&#253;za%20graf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Anal&#253;za\Q\2021Q1\Makroanal&#253;za%20graf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JKAM%20CSU\PUBLIKACE\PUBLIKACE\2021\Qmakro\Trh%20pr&#225;ce\Grafy-trh%20pr&#225;ce-2021-1q.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JKAM%20CSU\PUBLIKACE\PUBLIKACE\2021\Qmakro\Trh%20pr&#225;ce\Grafy-trh%20pr&#225;ce-2021-1q.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JKAM%20CSU\PUBLIKACE\PUBLIKACE\2021\Qmakro\Trh%20pr&#225;ce\Grafy-trh%20pr&#225;ce-2021-1q.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zabojnikova31519\Documents\Anal&#253;za\Q\2021Q1\Makroanal&#253;za%20grafy.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JKAM%20CSU\PUBLIKACE\PUBLIKACE\2021\Qmakro\Rozpo&#269;et\Grafy-st&#225;tn&#237;%20rozpo&#269;et-rok-2021-1q.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JKAM%20CSU\PUBLIKACE\PUBLIKACE\2021\Qmakro\Rozpo&#269;et\Grafy-st&#225;tn&#237;%20rozpo&#269;et-rok-2021-1q.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zabojnikova31519\Documents\Anal&#253;za\Q\2021Q1\Makroanal&#253;za%20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zabojnikova31519\Documents\Anal&#253;za\Q\2021Q1\Makroanal&#253;za%20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JKAM%20CSU\PUBLIKACE\PUBLIKACE\2021\Qmakro\Odv&#283;tv&#237;\Odv&#283;tv&#237;%20grafy-1q-20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JKAM%20CSU\PUBLIKACE\PUBLIKACE\2021\Qmakro\Odv&#283;tv&#237;\Odv&#283;tv&#237;%20grafy-1q-20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JKAM%20CSU\PUBLIKACE\PUBLIKACE\2021\Qmakro\Odv&#283;tv&#237;\Odv&#283;tv&#237;%20grafy-1q-20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JKAM%20CSU\PUBLIKACE\PUBLIKACE\2021\Qmakro\Odv&#283;tv&#237;\Odv&#283;tv&#237;%20grafy-1q-202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zabojnikova31519\Documents\Anal&#253;za\Q\2021Q1\Makroanal&#253;za%20graf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zabojnikova31519\Documents\Anal&#253;za\Q\2021Q1\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324257007767645E-2"/>
          <c:y val="2.3046636085626952E-2"/>
          <c:w val="0.92008633063154344"/>
          <c:h val="0.74192840256671611"/>
        </c:manualLayout>
      </c:layout>
      <c:barChart>
        <c:barDir val="col"/>
        <c:grouping val="clustered"/>
        <c:varyColors val="0"/>
        <c:ser>
          <c:idx val="0"/>
          <c:order val="0"/>
          <c:tx>
            <c:strRef>
              <c:f>'souhrnná výkonnost 1'!$C$4</c:f>
              <c:strCache>
                <c:ptCount val="1"/>
                <c:pt idx="0">
                  <c:v>ČR meziroční změna</c:v>
                </c:pt>
              </c:strCache>
            </c:strRef>
          </c:tx>
          <c:spPr>
            <a:solidFill>
              <a:srgbClr val="A6A6A6"/>
            </a:solidFill>
            <a:ln>
              <a:noFill/>
            </a:ln>
          </c:spPr>
          <c:invertIfNegative val="0"/>
          <c:cat>
            <c:multiLvlStrRef>
              <c:f>'souhrnná výkonnost 1'!$A$21:$B$41</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2016</c:v>
                  </c:pt>
                  <c:pt idx="4">
                    <c:v>2017</c:v>
                  </c:pt>
                  <c:pt idx="8">
                    <c:v>2018</c:v>
                  </c:pt>
                  <c:pt idx="12">
                    <c:v>2019</c:v>
                  </c:pt>
                  <c:pt idx="16">
                    <c:v>2020</c:v>
                  </c:pt>
                  <c:pt idx="20">
                    <c:v>2021</c:v>
                  </c:pt>
                </c:lvl>
              </c:multiLvlStrCache>
            </c:multiLvlStrRef>
          </c:cat>
          <c:val>
            <c:numRef>
              <c:f>'souhrnná výkonnost 1'!$C$21:$C$41</c:f>
              <c:numCache>
                <c:formatCode>#\ ##0.0</c:formatCode>
                <c:ptCount val="21"/>
                <c:pt idx="0">
                  <c:v>3.4010325671467712</c:v>
                </c:pt>
                <c:pt idx="1">
                  <c:v>2.318358207366316</c:v>
                </c:pt>
                <c:pt idx="2">
                  <c:v>1.9345991649110346</c:v>
                </c:pt>
                <c:pt idx="3">
                  <c:v>2.1527896621077645</c:v>
                </c:pt>
                <c:pt idx="4">
                  <c:v>3.6789885316907771</c:v>
                </c:pt>
                <c:pt idx="5">
                  <c:v>6.0785986760951261</c:v>
                </c:pt>
                <c:pt idx="6">
                  <c:v>5.8461947005677075</c:v>
                </c:pt>
                <c:pt idx="7">
                  <c:v>5.8135548231886673</c:v>
                </c:pt>
                <c:pt idx="8">
                  <c:v>4.7869834927605694</c:v>
                </c:pt>
                <c:pt idx="9" formatCode="General">
                  <c:v>2.7415834226192999</c:v>
                </c:pt>
                <c:pt idx="10" formatCode="General">
                  <c:v>2.7643077302550836</c:v>
                </c:pt>
                <c:pt idx="11">
                  <c:v>2.4875156373637139</c:v>
                </c:pt>
                <c:pt idx="12">
                  <c:v>2.4453078679892855</c:v>
                </c:pt>
                <c:pt idx="13" formatCode="General">
                  <c:v>2.2867115245575036</c:v>
                </c:pt>
                <c:pt idx="14" formatCode="General">
                  <c:v>2.2190751113612635</c:v>
                </c:pt>
                <c:pt idx="15" formatCode="General">
                  <c:v>2.0355846279957319</c:v>
                </c:pt>
                <c:pt idx="16" formatCode="General">
                  <c:v>-1.7539115010247599</c:v>
                </c:pt>
                <c:pt idx="17" formatCode="General">
                  <c:v>-10.759181870341294</c:v>
                </c:pt>
                <c:pt idx="18" formatCode="General">
                  <c:v>-5.0811137458881035</c:v>
                </c:pt>
                <c:pt idx="19" formatCode="General">
                  <c:v>-4.8496278684619085</c:v>
                </c:pt>
                <c:pt idx="20" formatCode="General">
                  <c:v>-2.0611856215988098</c:v>
                </c:pt>
              </c:numCache>
            </c:numRef>
          </c:val>
          <c:extLst>
            <c:ext xmlns:c16="http://schemas.microsoft.com/office/drawing/2014/chart" uri="{C3380CC4-5D6E-409C-BE32-E72D297353CC}">
              <c16:uniqueId val="{00000000-D249-4F08-8CD2-A40E6EA47720}"/>
            </c:ext>
          </c:extLst>
        </c:ser>
        <c:ser>
          <c:idx val="1"/>
          <c:order val="1"/>
          <c:tx>
            <c:strRef>
              <c:f>'souhrnná výkonnost 1'!$D$4</c:f>
              <c:strCache>
                <c:ptCount val="1"/>
                <c:pt idx="0">
                  <c:v>EU27 meziroční změna</c:v>
                </c:pt>
              </c:strCache>
            </c:strRef>
          </c:tx>
          <c:spPr>
            <a:solidFill>
              <a:srgbClr val="808080"/>
            </a:solidFill>
            <a:ln>
              <a:noFill/>
            </a:ln>
          </c:spPr>
          <c:invertIfNegative val="0"/>
          <c:cat>
            <c:multiLvlStrRef>
              <c:f>'souhrnná výkonnost 1'!$A$21:$B$41</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2016</c:v>
                  </c:pt>
                  <c:pt idx="4">
                    <c:v>2017</c:v>
                  </c:pt>
                  <c:pt idx="8">
                    <c:v>2018</c:v>
                  </c:pt>
                  <c:pt idx="12">
                    <c:v>2019</c:v>
                  </c:pt>
                  <c:pt idx="16">
                    <c:v>2020</c:v>
                  </c:pt>
                  <c:pt idx="20">
                    <c:v>2021</c:v>
                  </c:pt>
                </c:lvl>
              </c:multiLvlStrCache>
            </c:multiLvlStrRef>
          </c:cat>
          <c:val>
            <c:numRef>
              <c:f>'souhrnná výkonnost 1'!$D$21:$D$41</c:f>
              <c:numCache>
                <c:formatCode>#\ ##0.0</c:formatCode>
                <c:ptCount val="21"/>
                <c:pt idx="0">
                  <c:v>2</c:v>
                </c:pt>
                <c:pt idx="1">
                  <c:v>1.9</c:v>
                </c:pt>
                <c:pt idx="2">
                  <c:v>1.8</c:v>
                </c:pt>
                <c:pt idx="3">
                  <c:v>2.2000000000000002</c:v>
                </c:pt>
                <c:pt idx="4">
                  <c:v>2.4</c:v>
                </c:pt>
                <c:pt idx="5">
                  <c:v>2.9</c:v>
                </c:pt>
                <c:pt idx="6">
                  <c:v>3.2</c:v>
                </c:pt>
                <c:pt idx="7">
                  <c:v>3.2</c:v>
                </c:pt>
                <c:pt idx="8">
                  <c:v>2.7</c:v>
                </c:pt>
                <c:pt idx="9">
                  <c:v>2.4</c:v>
                </c:pt>
                <c:pt idx="10">
                  <c:v>1.8</c:v>
                </c:pt>
                <c:pt idx="11">
                  <c:v>1.5</c:v>
                </c:pt>
                <c:pt idx="12">
                  <c:v>1.9</c:v>
                </c:pt>
                <c:pt idx="13">
                  <c:v>1.6</c:v>
                </c:pt>
                <c:pt idx="14">
                  <c:v>1.6</c:v>
                </c:pt>
                <c:pt idx="15">
                  <c:v>1.2</c:v>
                </c:pt>
                <c:pt idx="16">
                  <c:v>-2.7</c:v>
                </c:pt>
                <c:pt idx="17">
                  <c:v>-13.8</c:v>
                </c:pt>
                <c:pt idx="18">
                  <c:v>-4</c:v>
                </c:pt>
                <c:pt idx="19">
                  <c:v>-4.5999999999999996</c:v>
                </c:pt>
                <c:pt idx="20">
                  <c:v>-1.7</c:v>
                </c:pt>
              </c:numCache>
            </c:numRef>
          </c:val>
          <c:extLst>
            <c:ext xmlns:c16="http://schemas.microsoft.com/office/drawing/2014/chart" uri="{C3380CC4-5D6E-409C-BE32-E72D297353CC}">
              <c16:uniqueId val="{00000001-D249-4F08-8CD2-A40E6EA47720}"/>
            </c:ext>
          </c:extLst>
        </c:ser>
        <c:dLbls>
          <c:showLegendKey val="0"/>
          <c:showVal val="0"/>
          <c:showCatName val="0"/>
          <c:showSerName val="0"/>
          <c:showPercent val="0"/>
          <c:showBubbleSize val="0"/>
        </c:dLbls>
        <c:gapWidth val="100"/>
        <c:axId val="267753344"/>
        <c:axId val="267767808"/>
      </c:barChart>
      <c:lineChart>
        <c:grouping val="standard"/>
        <c:varyColors val="0"/>
        <c:ser>
          <c:idx val="2"/>
          <c:order val="2"/>
          <c:tx>
            <c:strRef>
              <c:f>'souhrnná výkonnost 1'!$E$4</c:f>
              <c:strCache>
                <c:ptCount val="1"/>
                <c:pt idx="0">
                  <c:v>ČR mezičtvrtletní změna</c:v>
                </c:pt>
              </c:strCache>
            </c:strRef>
          </c:tx>
          <c:spPr>
            <a:ln w="19050">
              <a:noFill/>
            </a:ln>
          </c:spPr>
          <c:marker>
            <c:symbol val="dash"/>
            <c:size val="8"/>
            <c:spPr>
              <a:solidFill>
                <a:srgbClr val="0071BC"/>
              </a:solidFill>
              <a:ln>
                <a:noFill/>
              </a:ln>
            </c:spPr>
          </c:marker>
          <c:cat>
            <c:multiLvlStrRef>
              <c:f>'souhrnná výkonnost 1'!$A$21:$B$41</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2016</c:v>
                  </c:pt>
                  <c:pt idx="4">
                    <c:v>2017</c:v>
                  </c:pt>
                  <c:pt idx="8">
                    <c:v>2018</c:v>
                  </c:pt>
                  <c:pt idx="12">
                    <c:v>2019</c:v>
                  </c:pt>
                  <c:pt idx="16">
                    <c:v>2020</c:v>
                  </c:pt>
                  <c:pt idx="20">
                    <c:v>2021</c:v>
                  </c:pt>
                </c:lvl>
              </c:multiLvlStrCache>
            </c:multiLvlStrRef>
          </c:cat>
          <c:val>
            <c:numRef>
              <c:f>'souhrnná výkonnost 1'!$E$21:$E$41</c:f>
              <c:numCache>
                <c:formatCode>#\ ##0.0</c:formatCode>
                <c:ptCount val="21"/>
                <c:pt idx="0">
                  <c:v>0.16734666768449813</c:v>
                </c:pt>
                <c:pt idx="1">
                  <c:v>0.37191457709397469</c:v>
                </c:pt>
                <c:pt idx="2">
                  <c:v>0.73098287137804618</c:v>
                </c:pt>
                <c:pt idx="3">
                  <c:v>0.86692502979816766</c:v>
                </c:pt>
                <c:pt idx="4">
                  <c:v>1.6638823155019793</c:v>
                </c:pt>
                <c:pt idx="5">
                  <c:v>2.6949837721494561</c:v>
                </c:pt>
                <c:pt idx="6">
                  <c:v>0.51029480450817744</c:v>
                </c:pt>
                <c:pt idx="7">
                  <c:v>0.83582061386817941</c:v>
                </c:pt>
                <c:pt idx="8">
                  <c:v>0.67756986149267107</c:v>
                </c:pt>
                <c:pt idx="9">
                  <c:v>0.69041870109533932</c:v>
                </c:pt>
                <c:pt idx="10">
                  <c:v>0.53252559737329364</c:v>
                </c:pt>
                <c:pt idx="11">
                  <c:v>0.56422283403010454</c:v>
                </c:pt>
                <c:pt idx="12">
                  <c:v>0.63610748801757211</c:v>
                </c:pt>
                <c:pt idx="13" formatCode="General">
                  <c:v>0.53453911464139026</c:v>
                </c:pt>
                <c:pt idx="14" formatCode="General">
                  <c:v>0.46604912804879461</c:v>
                </c:pt>
                <c:pt idx="15" formatCode="General">
                  <c:v>0.38370292777005943</c:v>
                </c:pt>
                <c:pt idx="16" formatCode="General">
                  <c:v>-3.1014135067991333</c:v>
                </c:pt>
                <c:pt idx="17" formatCode="General">
                  <c:v>-8.6804914276831369</c:v>
                </c:pt>
                <c:pt idx="18" formatCode="General">
                  <c:v>6.8583378037858012</c:v>
                </c:pt>
                <c:pt idx="19" formatCode="General">
                  <c:v>0.62851626754434164</c:v>
                </c:pt>
                <c:pt idx="20" formatCode="General">
                  <c:v>-0.26173872480845262</c:v>
                </c:pt>
              </c:numCache>
            </c:numRef>
          </c:val>
          <c:smooth val="0"/>
          <c:extLst>
            <c:ext xmlns:c16="http://schemas.microsoft.com/office/drawing/2014/chart" uri="{C3380CC4-5D6E-409C-BE32-E72D297353CC}">
              <c16:uniqueId val="{00000002-D249-4F08-8CD2-A40E6EA47720}"/>
            </c:ext>
          </c:extLst>
        </c:ser>
        <c:ser>
          <c:idx val="3"/>
          <c:order val="3"/>
          <c:tx>
            <c:strRef>
              <c:f>'souhrnná výkonnost 1'!$F$4</c:f>
              <c:strCache>
                <c:ptCount val="1"/>
                <c:pt idx="0">
                  <c:v>EU27 mezičtvrtletní změna</c:v>
                </c:pt>
              </c:strCache>
            </c:strRef>
          </c:tx>
          <c:spPr>
            <a:ln w="19050">
              <a:noFill/>
            </a:ln>
          </c:spPr>
          <c:marker>
            <c:symbol val="dash"/>
            <c:size val="8"/>
            <c:spPr>
              <a:solidFill>
                <a:srgbClr val="BD1B21"/>
              </a:solidFill>
              <a:ln>
                <a:noFill/>
              </a:ln>
            </c:spPr>
          </c:marker>
          <c:cat>
            <c:multiLvlStrRef>
              <c:f>'souhrnná výkonnost 1'!$A$21:$B$41</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2016</c:v>
                  </c:pt>
                  <c:pt idx="4">
                    <c:v>2017</c:v>
                  </c:pt>
                  <c:pt idx="8">
                    <c:v>2018</c:v>
                  </c:pt>
                  <c:pt idx="12">
                    <c:v>2019</c:v>
                  </c:pt>
                  <c:pt idx="16">
                    <c:v>2020</c:v>
                  </c:pt>
                  <c:pt idx="20">
                    <c:v>2021</c:v>
                  </c:pt>
                </c:lvl>
              </c:multiLvlStrCache>
            </c:multiLvlStrRef>
          </c:cat>
          <c:val>
            <c:numRef>
              <c:f>'souhrnná výkonnost 1'!$F$21:$F$41</c:f>
              <c:numCache>
                <c:formatCode>#\ ##0.0</c:formatCode>
                <c:ptCount val="21"/>
                <c:pt idx="0">
                  <c:v>0.5</c:v>
                </c:pt>
                <c:pt idx="1">
                  <c:v>0.3</c:v>
                </c:pt>
                <c:pt idx="2">
                  <c:v>0.4</c:v>
                </c:pt>
                <c:pt idx="3">
                  <c:v>0.9</c:v>
                </c:pt>
                <c:pt idx="4">
                  <c:v>0.7</c:v>
                </c:pt>
                <c:pt idx="5">
                  <c:v>0.8</c:v>
                </c:pt>
                <c:pt idx="6">
                  <c:v>0.8</c:v>
                </c:pt>
                <c:pt idx="7">
                  <c:v>0.9</c:v>
                </c:pt>
                <c:pt idx="8">
                  <c:v>0.2</c:v>
                </c:pt>
                <c:pt idx="9">
                  <c:v>0.5</c:v>
                </c:pt>
                <c:pt idx="10">
                  <c:v>0.2</c:v>
                </c:pt>
                <c:pt idx="11">
                  <c:v>0.5</c:v>
                </c:pt>
                <c:pt idx="12">
                  <c:v>0.6</c:v>
                </c:pt>
                <c:pt idx="13">
                  <c:v>0.3</c:v>
                </c:pt>
                <c:pt idx="14">
                  <c:v>0.3</c:v>
                </c:pt>
                <c:pt idx="15">
                  <c:v>0.1</c:v>
                </c:pt>
                <c:pt idx="16">
                  <c:v>-3.3</c:v>
                </c:pt>
                <c:pt idx="17">
                  <c:v>-11.2</c:v>
                </c:pt>
                <c:pt idx="18">
                  <c:v>11.7</c:v>
                </c:pt>
                <c:pt idx="19">
                  <c:v>-0.5</c:v>
                </c:pt>
                <c:pt idx="20">
                  <c:v>-0.4</c:v>
                </c:pt>
              </c:numCache>
            </c:numRef>
          </c:val>
          <c:smooth val="0"/>
          <c:extLst>
            <c:ext xmlns:c16="http://schemas.microsoft.com/office/drawing/2014/chart" uri="{C3380CC4-5D6E-409C-BE32-E72D297353CC}">
              <c16:uniqueId val="{00000003-D249-4F08-8CD2-A40E6EA47720}"/>
            </c:ext>
          </c:extLst>
        </c:ser>
        <c:dLbls>
          <c:showLegendKey val="0"/>
          <c:showVal val="0"/>
          <c:showCatName val="0"/>
          <c:showSerName val="0"/>
          <c:showPercent val="0"/>
          <c:showBubbleSize val="0"/>
        </c:dLbls>
        <c:marker val="1"/>
        <c:smooth val="0"/>
        <c:axId val="267753344"/>
        <c:axId val="267767808"/>
      </c:lineChart>
      <c:catAx>
        <c:axId val="267753344"/>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267767808"/>
        <c:crosses val="autoZero"/>
        <c:auto val="1"/>
        <c:lblAlgn val="ctr"/>
        <c:lblOffset val="100"/>
        <c:noMultiLvlLbl val="0"/>
      </c:catAx>
      <c:valAx>
        <c:axId val="267767808"/>
        <c:scaling>
          <c:orientation val="minMax"/>
          <c:max val="12"/>
          <c:min val="-1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7753344"/>
        <c:crosses val="autoZero"/>
        <c:crossBetween val="between"/>
        <c:majorUnit val="3"/>
      </c:valAx>
      <c:spPr>
        <a:ln>
          <a:solidFill>
            <a:schemeClr val="tx1"/>
          </a:solidFill>
        </a:ln>
      </c:spPr>
    </c:plotArea>
    <c:legend>
      <c:legendPos val="b"/>
      <c:layout>
        <c:manualLayout>
          <c:xMode val="edge"/>
          <c:yMode val="edge"/>
          <c:x val="5.8431906450523471E-2"/>
          <c:y val="0.89437255125717996"/>
          <c:w val="0.91838441404930771"/>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70373184734885E-2"/>
          <c:y val="2.9569886214146503E-2"/>
          <c:w val="0.90493308848362042"/>
          <c:h val="0.73556653157716956"/>
        </c:manualLayout>
      </c:layout>
      <c:barChart>
        <c:barDir val="col"/>
        <c:grouping val="clustered"/>
        <c:varyColors val="0"/>
        <c:ser>
          <c:idx val="0"/>
          <c:order val="0"/>
          <c:tx>
            <c:strRef>
              <c:f>'Ceny 1'!$C$5</c:f>
              <c:strCache>
                <c:ptCount val="1"/>
                <c:pt idx="0">
                  <c:v>Realizované ceny starších bytů, ČR</c:v>
                </c:pt>
              </c:strCache>
            </c:strRef>
          </c:tx>
          <c:spPr>
            <a:solidFill>
              <a:schemeClr val="bg1">
                <a:lumMod val="65000"/>
              </a:schemeClr>
            </a:solidFill>
            <a:ln w="19050">
              <a:noFill/>
            </a:ln>
          </c:spPr>
          <c:invertIfNegative val="0"/>
          <c:cat>
            <c:multiLvlStrRef>
              <c:f>'Ceny 1'!$A$22:$B$42</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2016</c:v>
                  </c:pt>
                  <c:pt idx="4">
                    <c:v>2017</c:v>
                  </c:pt>
                  <c:pt idx="8">
                    <c:v>2018</c:v>
                  </c:pt>
                  <c:pt idx="12">
                    <c:v>2019</c:v>
                  </c:pt>
                  <c:pt idx="16">
                    <c:v>2020</c:v>
                  </c:pt>
                  <c:pt idx="20">
                    <c:v>2021</c:v>
                  </c:pt>
                </c:lvl>
              </c:multiLvlStrCache>
            </c:multiLvlStrRef>
          </c:cat>
          <c:val>
            <c:numRef>
              <c:f>'Ceny 1'!$C$22:$C$42</c:f>
              <c:numCache>
                <c:formatCode>General</c:formatCode>
                <c:ptCount val="21"/>
                <c:pt idx="0">
                  <c:v>8.9000000000000057</c:v>
                </c:pt>
                <c:pt idx="1">
                  <c:v>10.299999999999997</c:v>
                </c:pt>
                <c:pt idx="2">
                  <c:v>12.299999999999997</c:v>
                </c:pt>
                <c:pt idx="3">
                  <c:v>14.599999999999994</c:v>
                </c:pt>
                <c:pt idx="4">
                  <c:v>17.200000000000003</c:v>
                </c:pt>
                <c:pt idx="5">
                  <c:v>18.700000000000003</c:v>
                </c:pt>
                <c:pt idx="6">
                  <c:v>15.799999999999997</c:v>
                </c:pt>
                <c:pt idx="7">
                  <c:v>12</c:v>
                </c:pt>
                <c:pt idx="8">
                  <c:v>9.2000000000000028</c:v>
                </c:pt>
                <c:pt idx="9">
                  <c:v>8</c:v>
                </c:pt>
                <c:pt idx="10">
                  <c:v>9.4000000000000057</c:v>
                </c:pt>
                <c:pt idx="11">
                  <c:v>11.400000000000006</c:v>
                </c:pt>
                <c:pt idx="12">
                  <c:v>11.299999999999997</c:v>
                </c:pt>
                <c:pt idx="13">
                  <c:v>10.599999999999994</c:v>
                </c:pt>
                <c:pt idx="14">
                  <c:v>9.5</c:v>
                </c:pt>
                <c:pt idx="15">
                  <c:v>9.4000000000000057</c:v>
                </c:pt>
                <c:pt idx="16">
                  <c:v>10.599999999999994</c:v>
                </c:pt>
                <c:pt idx="17">
                  <c:v>10.200000000000003</c:v>
                </c:pt>
                <c:pt idx="18">
                  <c:v>11.200000000000003</c:v>
                </c:pt>
                <c:pt idx="19">
                  <c:v>13.299999999999997</c:v>
                </c:pt>
                <c:pt idx="20">
                  <c:v>15.099999999999994</c:v>
                </c:pt>
              </c:numCache>
            </c:numRef>
          </c:val>
          <c:extLst>
            <c:ext xmlns:c16="http://schemas.microsoft.com/office/drawing/2014/chart" uri="{C3380CC4-5D6E-409C-BE32-E72D297353CC}">
              <c16:uniqueId val="{00000000-2A71-4DC8-A80B-EFBF3BEA244D}"/>
            </c:ext>
          </c:extLst>
        </c:ser>
        <c:ser>
          <c:idx val="1"/>
          <c:order val="1"/>
          <c:tx>
            <c:strRef>
              <c:f>'Ceny 1'!$D$5</c:f>
              <c:strCache>
                <c:ptCount val="1"/>
                <c:pt idx="0">
                  <c:v>Realizované ceny starších bytů, Praha</c:v>
                </c:pt>
              </c:strCache>
            </c:strRef>
          </c:tx>
          <c:spPr>
            <a:solidFill>
              <a:prstClr val="black">
                <a:lumMod val="50000"/>
                <a:lumOff val="50000"/>
              </a:prstClr>
            </a:solidFill>
            <a:ln w="19050">
              <a:noFill/>
            </a:ln>
          </c:spPr>
          <c:invertIfNegative val="0"/>
          <c:cat>
            <c:multiLvlStrRef>
              <c:f>'Ceny 1'!$A$22:$B$42</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2016</c:v>
                  </c:pt>
                  <c:pt idx="4">
                    <c:v>2017</c:v>
                  </c:pt>
                  <c:pt idx="8">
                    <c:v>2018</c:v>
                  </c:pt>
                  <c:pt idx="12">
                    <c:v>2019</c:v>
                  </c:pt>
                  <c:pt idx="16">
                    <c:v>2020</c:v>
                  </c:pt>
                  <c:pt idx="20">
                    <c:v>2021</c:v>
                  </c:pt>
                </c:lvl>
              </c:multiLvlStrCache>
            </c:multiLvlStrRef>
          </c:cat>
          <c:val>
            <c:numRef>
              <c:f>'Ceny 1'!$D$22:$D$42</c:f>
              <c:numCache>
                <c:formatCode>General</c:formatCode>
                <c:ptCount val="21"/>
                <c:pt idx="0">
                  <c:v>5.7999999999999972</c:v>
                </c:pt>
                <c:pt idx="1">
                  <c:v>7.5</c:v>
                </c:pt>
                <c:pt idx="2">
                  <c:v>9.4000000000000057</c:v>
                </c:pt>
                <c:pt idx="3">
                  <c:v>13.900000000000006</c:v>
                </c:pt>
                <c:pt idx="4">
                  <c:v>16.200000000000003</c:v>
                </c:pt>
                <c:pt idx="5">
                  <c:v>19</c:v>
                </c:pt>
                <c:pt idx="6">
                  <c:v>16.400000000000006</c:v>
                </c:pt>
                <c:pt idx="7">
                  <c:v>11.099999999999994</c:v>
                </c:pt>
                <c:pt idx="8">
                  <c:v>8.2999999999999972</c:v>
                </c:pt>
                <c:pt idx="9">
                  <c:v>4</c:v>
                </c:pt>
                <c:pt idx="10">
                  <c:v>6</c:v>
                </c:pt>
                <c:pt idx="11">
                  <c:v>8.7000000000000028</c:v>
                </c:pt>
                <c:pt idx="12">
                  <c:v>9.4000000000000057</c:v>
                </c:pt>
                <c:pt idx="13">
                  <c:v>8.7000000000000028</c:v>
                </c:pt>
                <c:pt idx="14">
                  <c:v>6.5</c:v>
                </c:pt>
                <c:pt idx="15">
                  <c:v>7.0999999999999943</c:v>
                </c:pt>
                <c:pt idx="16">
                  <c:v>6.2000000000000028</c:v>
                </c:pt>
                <c:pt idx="17">
                  <c:v>8</c:v>
                </c:pt>
                <c:pt idx="18">
                  <c:v>9.4000000000000057</c:v>
                </c:pt>
                <c:pt idx="19">
                  <c:v>10.599999999999994</c:v>
                </c:pt>
                <c:pt idx="20">
                  <c:v>14.200000000000003</c:v>
                </c:pt>
              </c:numCache>
            </c:numRef>
          </c:val>
          <c:extLst>
            <c:ext xmlns:c16="http://schemas.microsoft.com/office/drawing/2014/chart" uri="{C3380CC4-5D6E-409C-BE32-E72D297353CC}">
              <c16:uniqueId val="{00000001-2A71-4DC8-A80B-EFBF3BEA244D}"/>
            </c:ext>
          </c:extLst>
        </c:ser>
        <c:dLbls>
          <c:showLegendKey val="0"/>
          <c:showVal val="0"/>
          <c:showCatName val="0"/>
          <c:showSerName val="0"/>
          <c:showPercent val="0"/>
          <c:showBubbleSize val="0"/>
        </c:dLbls>
        <c:gapWidth val="95"/>
        <c:axId val="270057856"/>
        <c:axId val="270059392"/>
      </c:barChart>
      <c:lineChart>
        <c:grouping val="standard"/>
        <c:varyColors val="0"/>
        <c:ser>
          <c:idx val="2"/>
          <c:order val="2"/>
          <c:tx>
            <c:strRef>
              <c:f>'Ceny 1'!$E$5</c:f>
              <c:strCache>
                <c:ptCount val="1"/>
                <c:pt idx="0">
                  <c:v>Nabídkové ceny bytů, ČR</c:v>
                </c:pt>
              </c:strCache>
            </c:strRef>
          </c:tx>
          <c:spPr>
            <a:ln w="19050">
              <a:solidFill>
                <a:schemeClr val="accent2"/>
              </a:solidFill>
            </a:ln>
          </c:spPr>
          <c:marker>
            <c:symbol val="none"/>
          </c:marker>
          <c:cat>
            <c:multiLvlStrRef>
              <c:f>'Ceny 1'!$A$22:$B$42</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2016</c:v>
                  </c:pt>
                  <c:pt idx="4">
                    <c:v>2017</c:v>
                  </c:pt>
                  <c:pt idx="8">
                    <c:v>2018</c:v>
                  </c:pt>
                  <c:pt idx="12">
                    <c:v>2019</c:v>
                  </c:pt>
                  <c:pt idx="16">
                    <c:v>2020</c:v>
                  </c:pt>
                  <c:pt idx="20">
                    <c:v>2021</c:v>
                  </c:pt>
                </c:lvl>
              </c:multiLvlStrCache>
            </c:multiLvlStrRef>
          </c:cat>
          <c:val>
            <c:numRef>
              <c:f>'Ceny 1'!$E$22:$E$42</c:f>
              <c:numCache>
                <c:formatCode>0.0</c:formatCode>
                <c:ptCount val="21"/>
                <c:pt idx="0">
                  <c:v>10.204081632653043</c:v>
                </c:pt>
                <c:pt idx="1">
                  <c:v>10.321969696969703</c:v>
                </c:pt>
                <c:pt idx="2">
                  <c:v>9.8982423681776197</c:v>
                </c:pt>
                <c:pt idx="3">
                  <c:v>9.918845807033378</c:v>
                </c:pt>
                <c:pt idx="4">
                  <c:v>9.5238095238095184</c:v>
                </c:pt>
                <c:pt idx="5" formatCode="General">
                  <c:v>9.5278969957081472</c:v>
                </c:pt>
                <c:pt idx="6" formatCode="General">
                  <c:v>12.542087542087543</c:v>
                </c:pt>
                <c:pt idx="7" formatCode="General">
                  <c:v>12.469237079573418</c:v>
                </c:pt>
                <c:pt idx="8" formatCode="General">
                  <c:v>12.801932367149746</c:v>
                </c:pt>
                <c:pt idx="9" formatCode="General">
                  <c:v>12.225705329153584</c:v>
                </c:pt>
                <c:pt idx="10" formatCode="General">
                  <c:v>9.498878085265531</c:v>
                </c:pt>
                <c:pt idx="11" formatCode="General">
                  <c:v>8.4609773887673185</c:v>
                </c:pt>
                <c:pt idx="12" formatCode="General">
                  <c:v>7.4232690935046435</c:v>
                </c:pt>
                <c:pt idx="13" formatCode="General">
                  <c:v>5.7262569832402335</c:v>
                </c:pt>
                <c:pt idx="14" formatCode="General">
                  <c:v>5.1912568306010911</c:v>
                </c:pt>
                <c:pt idx="15" formatCode="General">
                  <c:v>5.5144586415601964</c:v>
                </c:pt>
                <c:pt idx="16" formatCode="General">
                  <c:v>6.0465116279069662</c:v>
                </c:pt>
                <c:pt idx="17" formatCode="General">
                  <c:v>7.1334214002641829</c:v>
                </c:pt>
                <c:pt idx="18" formatCode="General">
                  <c:v>7.9870129870129887</c:v>
                </c:pt>
                <c:pt idx="19" formatCode="General">
                  <c:v>7.6481835564053569</c:v>
                </c:pt>
                <c:pt idx="20" formatCode="General">
                  <c:v>7.6441102756892292</c:v>
                </c:pt>
              </c:numCache>
            </c:numRef>
          </c:val>
          <c:smooth val="0"/>
          <c:extLst>
            <c:ext xmlns:c16="http://schemas.microsoft.com/office/drawing/2014/chart" uri="{C3380CC4-5D6E-409C-BE32-E72D297353CC}">
              <c16:uniqueId val="{00000002-2A71-4DC8-A80B-EFBF3BEA244D}"/>
            </c:ext>
          </c:extLst>
        </c:ser>
        <c:ser>
          <c:idx val="3"/>
          <c:order val="3"/>
          <c:tx>
            <c:strRef>
              <c:f>'Ceny 1'!$F$5</c:f>
              <c:strCache>
                <c:ptCount val="1"/>
                <c:pt idx="0">
                  <c:v>Nabídkové ceny bytů, Praha</c:v>
                </c:pt>
              </c:strCache>
            </c:strRef>
          </c:tx>
          <c:spPr>
            <a:ln>
              <a:solidFill>
                <a:schemeClr val="accent1"/>
              </a:solidFill>
            </a:ln>
          </c:spPr>
          <c:marker>
            <c:symbol val="none"/>
          </c:marker>
          <c:cat>
            <c:multiLvlStrRef>
              <c:f>'Ceny 1'!$A$22:$B$42</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2016</c:v>
                  </c:pt>
                  <c:pt idx="4">
                    <c:v>2017</c:v>
                  </c:pt>
                  <c:pt idx="8">
                    <c:v>2018</c:v>
                  </c:pt>
                  <c:pt idx="12">
                    <c:v>2019</c:v>
                  </c:pt>
                  <c:pt idx="16">
                    <c:v>2020</c:v>
                  </c:pt>
                  <c:pt idx="20">
                    <c:v>2021</c:v>
                  </c:pt>
                </c:lvl>
              </c:multiLvlStrCache>
            </c:multiLvlStrRef>
          </c:cat>
          <c:val>
            <c:numRef>
              <c:f>'Ceny 1'!$F$22:$F$42</c:f>
              <c:numCache>
                <c:formatCode>0.0</c:formatCode>
                <c:ptCount val="21"/>
                <c:pt idx="0">
                  <c:v>10.196779964221832</c:v>
                </c:pt>
                <c:pt idx="1">
                  <c:v>10.549258936355699</c:v>
                </c:pt>
                <c:pt idx="2">
                  <c:v>9.7706032285471451</c:v>
                </c:pt>
                <c:pt idx="3">
                  <c:v>11.323896752706062</c:v>
                </c:pt>
                <c:pt idx="4">
                  <c:v>13.636363636363626</c:v>
                </c:pt>
                <c:pt idx="5" formatCode="General">
                  <c:v>14.589905362776051</c:v>
                </c:pt>
                <c:pt idx="6" formatCode="General">
                  <c:v>18.266253869969049</c:v>
                </c:pt>
                <c:pt idx="7" formatCode="General">
                  <c:v>18.773373223635019</c:v>
                </c:pt>
                <c:pt idx="8" formatCode="General">
                  <c:v>15.071428571428555</c:v>
                </c:pt>
                <c:pt idx="9" formatCode="General">
                  <c:v>14.24638678596007</c:v>
                </c:pt>
                <c:pt idx="10" formatCode="General">
                  <c:v>10.732984293193695</c:v>
                </c:pt>
                <c:pt idx="11" formatCode="General">
                  <c:v>8.7531486146095574</c:v>
                </c:pt>
                <c:pt idx="12" formatCode="General">
                  <c:v>8.3178150217256359</c:v>
                </c:pt>
                <c:pt idx="13" formatCode="General">
                  <c:v>4.9397590361445651</c:v>
                </c:pt>
                <c:pt idx="14" formatCode="General">
                  <c:v>3.3096926713947994</c:v>
                </c:pt>
                <c:pt idx="15" formatCode="General">
                  <c:v>2.9530978575564575</c:v>
                </c:pt>
                <c:pt idx="16" formatCode="General">
                  <c:v>3.5530085959885298</c:v>
                </c:pt>
                <c:pt idx="17" formatCode="General">
                  <c:v>5.2812858783008068</c:v>
                </c:pt>
                <c:pt idx="18" formatCode="General">
                  <c:v>6.2356979405034281</c:v>
                </c:pt>
                <c:pt idx="19" formatCode="General">
                  <c:v>5.1743532058492718</c:v>
                </c:pt>
                <c:pt idx="20" formatCode="General">
                  <c:v>4.759269507470961</c:v>
                </c:pt>
              </c:numCache>
            </c:numRef>
          </c:val>
          <c:smooth val="0"/>
          <c:extLst>
            <c:ext xmlns:c16="http://schemas.microsoft.com/office/drawing/2014/chart" uri="{C3380CC4-5D6E-409C-BE32-E72D297353CC}">
              <c16:uniqueId val="{00000003-2A71-4DC8-A80B-EFBF3BEA244D}"/>
            </c:ext>
          </c:extLst>
        </c:ser>
        <c:dLbls>
          <c:showLegendKey val="0"/>
          <c:showVal val="0"/>
          <c:showCatName val="0"/>
          <c:showSerName val="0"/>
          <c:showPercent val="0"/>
          <c:showBubbleSize val="0"/>
        </c:dLbls>
        <c:marker val="1"/>
        <c:smooth val="0"/>
        <c:axId val="270057856"/>
        <c:axId val="270059392"/>
      </c:lineChart>
      <c:catAx>
        <c:axId val="270057856"/>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270059392"/>
        <c:crosses val="autoZero"/>
        <c:auto val="1"/>
        <c:lblAlgn val="ctr"/>
        <c:lblOffset val="100"/>
        <c:noMultiLvlLbl val="0"/>
      </c:catAx>
      <c:valAx>
        <c:axId val="270059392"/>
        <c:scaling>
          <c:orientation val="minMax"/>
          <c:min val="-6"/>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0057856"/>
        <c:crosses val="autoZero"/>
        <c:crossBetween val="between"/>
        <c:majorUnit val="2"/>
      </c:valAx>
      <c:spPr>
        <a:ln>
          <a:solidFill>
            <a:schemeClr val="tx1"/>
          </a:solidFill>
        </a:ln>
      </c:spPr>
    </c:plotArea>
    <c:legend>
      <c:legendPos val="b"/>
      <c:layout>
        <c:manualLayout>
          <c:xMode val="edge"/>
          <c:yMode val="edge"/>
          <c:x val="7.3334810874704504E-2"/>
          <c:y val="0.88817854328492629"/>
          <c:w val="0.89999282337048292"/>
          <c:h val="9.838061465721031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510469436001351E-2"/>
          <c:y val="2.181131592422042E-2"/>
          <c:w val="0.90860161263086792"/>
          <c:h val="0.71663233141956562"/>
        </c:manualLayout>
      </c:layout>
      <c:barChart>
        <c:barDir val="col"/>
        <c:grouping val="clustered"/>
        <c:varyColors val="0"/>
        <c:ser>
          <c:idx val="0"/>
          <c:order val="0"/>
          <c:tx>
            <c:strRef>
              <c:f>'[Makroanalýza grafy.xlsx]Ceny 4'!$C$5</c:f>
              <c:strCache>
                <c:ptCount val="1"/>
                <c:pt idx="0">
                  <c:v>Celkem</c:v>
                </c:pt>
              </c:strCache>
            </c:strRef>
          </c:tx>
          <c:spPr>
            <a:solidFill>
              <a:schemeClr val="bg1">
                <a:lumMod val="65000"/>
              </a:schemeClr>
            </a:solidFill>
            <a:ln w="19050">
              <a:noFill/>
            </a:ln>
          </c:spPr>
          <c:invertIfNegative val="0"/>
          <c:cat>
            <c:multiLvlStrRef>
              <c:f>'[Makroanalýza grafy.xlsx]Ceny 4'!$A$42:$B$104</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2016</c:v>
                  </c:pt>
                  <c:pt idx="12">
                    <c:v>2017</c:v>
                  </c:pt>
                  <c:pt idx="24">
                    <c:v>2018</c:v>
                  </c:pt>
                  <c:pt idx="36">
                    <c:v>2019</c:v>
                  </c:pt>
                  <c:pt idx="48">
                    <c:v>2020</c:v>
                  </c:pt>
                  <c:pt idx="60">
                    <c:v>2021</c:v>
                  </c:pt>
                </c:lvl>
              </c:multiLvlStrCache>
            </c:multiLvlStrRef>
          </c:cat>
          <c:val>
            <c:numRef>
              <c:f>'[Makroanalýza grafy.xlsx]Ceny 4'!$C$42:$C$104</c:f>
              <c:numCache>
                <c:formatCode>0.0</c:formatCode>
                <c:ptCount val="63"/>
                <c:pt idx="0">
                  <c:v>-3.4000000000000057</c:v>
                </c:pt>
                <c:pt idx="1">
                  <c:v>-4</c:v>
                </c:pt>
                <c:pt idx="2">
                  <c:v>-4.5</c:v>
                </c:pt>
                <c:pt idx="3">
                  <c:v>-4.7000000000000028</c:v>
                </c:pt>
                <c:pt idx="4">
                  <c:v>-4.7999999999999972</c:v>
                </c:pt>
                <c:pt idx="5">
                  <c:v>-4.4000000000000057</c:v>
                </c:pt>
                <c:pt idx="6">
                  <c:v>-4</c:v>
                </c:pt>
                <c:pt idx="7">
                  <c:v>-3.4000000000000057</c:v>
                </c:pt>
                <c:pt idx="8">
                  <c:v>-2.4000000000000057</c:v>
                </c:pt>
                <c:pt idx="9">
                  <c:v>-1.7000000000000028</c:v>
                </c:pt>
                <c:pt idx="10">
                  <c:v>-1.2999999999999972</c:v>
                </c:pt>
                <c:pt idx="11">
                  <c:v>-0.40000000000000568</c:v>
                </c:pt>
                <c:pt idx="12" formatCode="General">
                  <c:v>2.0999999999999943</c:v>
                </c:pt>
                <c:pt idx="13" formatCode="General">
                  <c:v>3.0999999999999943</c:v>
                </c:pt>
                <c:pt idx="14">
                  <c:v>3</c:v>
                </c:pt>
                <c:pt idx="15">
                  <c:v>3.2000000000000028</c:v>
                </c:pt>
                <c:pt idx="16" formatCode="General">
                  <c:v>2.2999999999999972</c:v>
                </c:pt>
                <c:pt idx="17" formatCode="General">
                  <c:v>1.2999999999999972</c:v>
                </c:pt>
                <c:pt idx="18" formatCode="General">
                  <c:v>1.1000000000000001</c:v>
                </c:pt>
                <c:pt idx="19" formatCode="General">
                  <c:v>1.4</c:v>
                </c:pt>
                <c:pt idx="20" formatCode="General">
                  <c:v>1.7</c:v>
                </c:pt>
                <c:pt idx="21" formatCode="General">
                  <c:v>1.1000000000000001</c:v>
                </c:pt>
                <c:pt idx="22" formatCode="General">
                  <c:v>0.9</c:v>
                </c:pt>
                <c:pt idx="23" formatCode="General">
                  <c:v>0.7</c:v>
                </c:pt>
                <c:pt idx="24" formatCode="General">
                  <c:v>0.5</c:v>
                </c:pt>
                <c:pt idx="25" formatCode="General">
                  <c:v>-0.3</c:v>
                </c:pt>
                <c:pt idx="26" formatCode="General">
                  <c:v>0.1</c:v>
                </c:pt>
                <c:pt idx="27" formatCode="General">
                  <c:v>0</c:v>
                </c:pt>
                <c:pt idx="28" formatCode="General">
                  <c:v>1.5</c:v>
                </c:pt>
                <c:pt idx="29" formatCode="General">
                  <c:v>2.9</c:v>
                </c:pt>
                <c:pt idx="30" formatCode="General">
                  <c:v>3.4</c:v>
                </c:pt>
                <c:pt idx="31" formatCode="General">
                  <c:v>3.3</c:v>
                </c:pt>
                <c:pt idx="32" formatCode="General">
                  <c:v>3.2</c:v>
                </c:pt>
                <c:pt idx="33" formatCode="General">
                  <c:v>3.9</c:v>
                </c:pt>
                <c:pt idx="34" formatCode="General">
                  <c:v>3.9</c:v>
                </c:pt>
                <c:pt idx="35" formatCode="General">
                  <c:v>2.4</c:v>
                </c:pt>
                <c:pt idx="36" formatCode="General">
                  <c:v>2.9</c:v>
                </c:pt>
                <c:pt idx="37" formatCode="General">
                  <c:v>3.6</c:v>
                </c:pt>
                <c:pt idx="38" formatCode="General">
                  <c:v>3.8</c:v>
                </c:pt>
                <c:pt idx="39" formatCode="General">
                  <c:v>4.3</c:v>
                </c:pt>
                <c:pt idx="40" formatCode="General">
                  <c:v>3.8</c:v>
                </c:pt>
                <c:pt idx="41" formatCode="General">
                  <c:v>2.5</c:v>
                </c:pt>
                <c:pt idx="42" formatCode="General">
                  <c:v>2.1</c:v>
                </c:pt>
                <c:pt idx="43" formatCode="General">
                  <c:v>2.1</c:v>
                </c:pt>
                <c:pt idx="44" formatCode="General">
                  <c:v>1.9</c:v>
                </c:pt>
                <c:pt idx="45" formatCode="General">
                  <c:v>0.9</c:v>
                </c:pt>
                <c:pt idx="46" formatCode="General">
                  <c:v>0.9</c:v>
                </c:pt>
                <c:pt idx="47" formatCode="General">
                  <c:v>2.1</c:v>
                </c:pt>
                <c:pt idx="48" formatCode="General">
                  <c:v>2.4</c:v>
                </c:pt>
                <c:pt idx="49" formatCode="General">
                  <c:v>1.4</c:v>
                </c:pt>
                <c:pt idx="50" formatCode="General">
                  <c:v>0.4</c:v>
                </c:pt>
                <c:pt idx="51" formatCode="General">
                  <c:v>-0.8</c:v>
                </c:pt>
                <c:pt idx="52" formatCode="General">
                  <c:v>-0.9</c:v>
                </c:pt>
                <c:pt idx="53" formatCode="General">
                  <c:v>-0.3</c:v>
                </c:pt>
                <c:pt idx="54" formatCode="General">
                  <c:v>-0.1</c:v>
                </c:pt>
                <c:pt idx="55" formatCode="General">
                  <c:v>-0.5</c:v>
                </c:pt>
                <c:pt idx="56" formatCode="General">
                  <c:v>-0.4</c:v>
                </c:pt>
                <c:pt idx="57" formatCode="General">
                  <c:v>0.3</c:v>
                </c:pt>
                <c:pt idx="58" formatCode="General">
                  <c:v>-0.1</c:v>
                </c:pt>
                <c:pt idx="59" formatCode="General">
                  <c:v>0</c:v>
                </c:pt>
                <c:pt idx="60" formatCode="General">
                  <c:v>0</c:v>
                </c:pt>
                <c:pt idx="61" formatCode="General">
                  <c:v>1.4</c:v>
                </c:pt>
                <c:pt idx="62" formatCode="General">
                  <c:v>3.3</c:v>
                </c:pt>
              </c:numCache>
            </c:numRef>
          </c:val>
          <c:extLst>
            <c:ext xmlns:c16="http://schemas.microsoft.com/office/drawing/2014/chart" uri="{C3380CC4-5D6E-409C-BE32-E72D297353CC}">
              <c16:uniqueId val="{00000000-EF79-4E5B-BD15-F228B2D29325}"/>
            </c:ext>
          </c:extLst>
        </c:ser>
        <c:dLbls>
          <c:showLegendKey val="0"/>
          <c:showVal val="0"/>
          <c:showCatName val="0"/>
          <c:showSerName val="0"/>
          <c:showPercent val="0"/>
          <c:showBubbleSize val="0"/>
        </c:dLbls>
        <c:gapWidth val="96"/>
        <c:axId val="271374208"/>
        <c:axId val="271375744"/>
      </c:barChart>
      <c:lineChart>
        <c:grouping val="standard"/>
        <c:varyColors val="0"/>
        <c:ser>
          <c:idx val="1"/>
          <c:order val="1"/>
          <c:tx>
            <c:strRef>
              <c:f>'[Makroanalýza grafy.xlsx]Ceny 4'!$D$5</c:f>
              <c:strCache>
                <c:ptCount val="1"/>
                <c:pt idx="0">
                  <c:v>Těžba a dobývání</c:v>
                </c:pt>
              </c:strCache>
            </c:strRef>
          </c:tx>
          <c:spPr>
            <a:ln w="19050">
              <a:solidFill>
                <a:srgbClr val="7DBB2D"/>
              </a:solidFill>
            </a:ln>
          </c:spPr>
          <c:marker>
            <c:symbol val="none"/>
          </c:marker>
          <c:cat>
            <c:multiLvlStrRef>
              <c:f>'[Makroanalýza grafy.xlsx]Ceny 4'!$A$42:$B$104</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2016</c:v>
                  </c:pt>
                  <c:pt idx="12">
                    <c:v>2017</c:v>
                  </c:pt>
                  <c:pt idx="24">
                    <c:v>2018</c:v>
                  </c:pt>
                  <c:pt idx="36">
                    <c:v>2019</c:v>
                  </c:pt>
                  <c:pt idx="48">
                    <c:v>2020</c:v>
                  </c:pt>
                  <c:pt idx="60">
                    <c:v>2021</c:v>
                  </c:pt>
                </c:lvl>
              </c:multiLvlStrCache>
            </c:multiLvlStrRef>
          </c:cat>
          <c:val>
            <c:numRef>
              <c:f>'[Makroanalýza grafy.xlsx]Ceny 4'!$D$42:$D$104</c:f>
              <c:numCache>
                <c:formatCode>0.0</c:formatCode>
                <c:ptCount val="63"/>
                <c:pt idx="0">
                  <c:v>-6.5999999999999943</c:v>
                </c:pt>
                <c:pt idx="1">
                  <c:v>-6.0999999999999943</c:v>
                </c:pt>
                <c:pt idx="2">
                  <c:v>-6.5</c:v>
                </c:pt>
                <c:pt idx="3">
                  <c:v>-7</c:v>
                </c:pt>
                <c:pt idx="4">
                  <c:v>-7.0999999999999943</c:v>
                </c:pt>
                <c:pt idx="5">
                  <c:v>-7.2999999999999972</c:v>
                </c:pt>
                <c:pt idx="6">
                  <c:v>-6.5999999999999943</c:v>
                </c:pt>
                <c:pt idx="7">
                  <c:v>-6</c:v>
                </c:pt>
                <c:pt idx="8">
                  <c:v>-4.9000000000000057</c:v>
                </c:pt>
                <c:pt idx="9">
                  <c:v>-5.2000000000000028</c:v>
                </c:pt>
                <c:pt idx="10">
                  <c:v>-5.2999999999999972</c:v>
                </c:pt>
                <c:pt idx="11">
                  <c:v>-5.0999999999999943</c:v>
                </c:pt>
                <c:pt idx="12" formatCode="General">
                  <c:v>2.2999999999999972</c:v>
                </c:pt>
                <c:pt idx="13" formatCode="General">
                  <c:v>5.7999999999999972</c:v>
                </c:pt>
                <c:pt idx="14">
                  <c:v>6.2000000000000028</c:v>
                </c:pt>
                <c:pt idx="15">
                  <c:v>6.4000000000000057</c:v>
                </c:pt>
                <c:pt idx="16" formatCode="General">
                  <c:v>4.2999999999999972</c:v>
                </c:pt>
                <c:pt idx="17" formatCode="General">
                  <c:v>4.0999999999999943</c:v>
                </c:pt>
                <c:pt idx="18" formatCode="General">
                  <c:v>2.9</c:v>
                </c:pt>
                <c:pt idx="19" formatCode="General">
                  <c:v>1.7</c:v>
                </c:pt>
                <c:pt idx="20" formatCode="General">
                  <c:v>1.9</c:v>
                </c:pt>
                <c:pt idx="21" formatCode="General">
                  <c:v>3.4</c:v>
                </c:pt>
                <c:pt idx="22" formatCode="General">
                  <c:v>3.3</c:v>
                </c:pt>
                <c:pt idx="23" formatCode="General">
                  <c:v>3.6</c:v>
                </c:pt>
                <c:pt idx="24" formatCode="General">
                  <c:v>6.7</c:v>
                </c:pt>
                <c:pt idx="25" formatCode="General">
                  <c:v>5</c:v>
                </c:pt>
                <c:pt idx="26" formatCode="General">
                  <c:v>4.3</c:v>
                </c:pt>
                <c:pt idx="27" formatCode="General">
                  <c:v>4.5999999999999996</c:v>
                </c:pt>
                <c:pt idx="28" formatCode="General">
                  <c:v>7.4</c:v>
                </c:pt>
                <c:pt idx="29" formatCode="General">
                  <c:v>8</c:v>
                </c:pt>
                <c:pt idx="30" formatCode="General">
                  <c:v>8.4</c:v>
                </c:pt>
                <c:pt idx="31" formatCode="General">
                  <c:v>10.1</c:v>
                </c:pt>
                <c:pt idx="32" formatCode="General">
                  <c:v>9.9</c:v>
                </c:pt>
                <c:pt idx="33" formatCode="General">
                  <c:v>9</c:v>
                </c:pt>
                <c:pt idx="34" formatCode="General">
                  <c:v>9.1999999999999993</c:v>
                </c:pt>
                <c:pt idx="35" formatCode="General">
                  <c:v>8.3000000000000007</c:v>
                </c:pt>
                <c:pt idx="36" formatCode="General">
                  <c:v>7.9</c:v>
                </c:pt>
                <c:pt idx="37" formatCode="General">
                  <c:v>7.4</c:v>
                </c:pt>
                <c:pt idx="38" formatCode="General">
                  <c:v>8</c:v>
                </c:pt>
                <c:pt idx="39" formatCode="General">
                  <c:v>8.4</c:v>
                </c:pt>
                <c:pt idx="40" formatCode="General">
                  <c:v>7.5</c:v>
                </c:pt>
                <c:pt idx="41" formatCode="General">
                  <c:v>7.1</c:v>
                </c:pt>
                <c:pt idx="42" formatCode="General">
                  <c:v>6.9</c:v>
                </c:pt>
                <c:pt idx="43" formatCode="General">
                  <c:v>6.8</c:v>
                </c:pt>
                <c:pt idx="44" formatCode="General">
                  <c:v>6.6</c:v>
                </c:pt>
                <c:pt idx="45" formatCode="General">
                  <c:v>3.6</c:v>
                </c:pt>
                <c:pt idx="46" formatCode="General">
                  <c:v>3.2</c:v>
                </c:pt>
                <c:pt idx="47" formatCode="General">
                  <c:v>4.3</c:v>
                </c:pt>
                <c:pt idx="48" formatCode="General">
                  <c:v>-2.1</c:v>
                </c:pt>
                <c:pt idx="49" formatCode="General">
                  <c:v>-1.8</c:v>
                </c:pt>
                <c:pt idx="50" formatCode="General">
                  <c:v>-2.6</c:v>
                </c:pt>
                <c:pt idx="51" formatCode="General">
                  <c:v>-3.7</c:v>
                </c:pt>
                <c:pt idx="52" formatCode="General">
                  <c:v>-3.1</c:v>
                </c:pt>
                <c:pt idx="53" formatCode="General">
                  <c:v>-3.6</c:v>
                </c:pt>
                <c:pt idx="54" formatCode="General">
                  <c:v>-3.5</c:v>
                </c:pt>
                <c:pt idx="55" formatCode="General">
                  <c:v>-3.5</c:v>
                </c:pt>
                <c:pt idx="56" formatCode="General">
                  <c:v>-3.7</c:v>
                </c:pt>
                <c:pt idx="57" formatCode="General">
                  <c:v>-1.9</c:v>
                </c:pt>
                <c:pt idx="58" formatCode="General">
                  <c:v>-1.8</c:v>
                </c:pt>
                <c:pt idx="59" formatCode="General">
                  <c:v>-2.2000000000000002</c:v>
                </c:pt>
                <c:pt idx="60" formatCode="General">
                  <c:v>-0.3</c:v>
                </c:pt>
                <c:pt idx="61" formatCode="General">
                  <c:v>-0.8</c:v>
                </c:pt>
                <c:pt idx="62" formatCode="General">
                  <c:v>-0.3</c:v>
                </c:pt>
              </c:numCache>
            </c:numRef>
          </c:val>
          <c:smooth val="0"/>
          <c:extLst>
            <c:ext xmlns:c16="http://schemas.microsoft.com/office/drawing/2014/chart" uri="{C3380CC4-5D6E-409C-BE32-E72D297353CC}">
              <c16:uniqueId val="{00000001-EF79-4E5B-BD15-F228B2D29325}"/>
            </c:ext>
          </c:extLst>
        </c:ser>
        <c:ser>
          <c:idx val="2"/>
          <c:order val="2"/>
          <c:tx>
            <c:strRef>
              <c:f>'[Makroanalýza grafy.xlsx]Ceny 4'!$E$5</c:f>
              <c:strCache>
                <c:ptCount val="1"/>
                <c:pt idx="0">
                  <c:v>Zpracovatelský průmysl</c:v>
                </c:pt>
              </c:strCache>
            </c:strRef>
          </c:tx>
          <c:spPr>
            <a:ln w="19050">
              <a:solidFill>
                <a:srgbClr val="BD1B21"/>
              </a:solidFill>
            </a:ln>
          </c:spPr>
          <c:marker>
            <c:symbol val="none"/>
          </c:marker>
          <c:cat>
            <c:multiLvlStrRef>
              <c:f>'[Makroanalýza grafy.xlsx]Ceny 4'!$A$42:$B$104</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2016</c:v>
                  </c:pt>
                  <c:pt idx="12">
                    <c:v>2017</c:v>
                  </c:pt>
                  <c:pt idx="24">
                    <c:v>2018</c:v>
                  </c:pt>
                  <c:pt idx="36">
                    <c:v>2019</c:v>
                  </c:pt>
                  <c:pt idx="48">
                    <c:v>2020</c:v>
                  </c:pt>
                  <c:pt idx="60">
                    <c:v>2021</c:v>
                  </c:pt>
                </c:lvl>
              </c:multiLvlStrCache>
            </c:multiLvlStrRef>
          </c:cat>
          <c:val>
            <c:numRef>
              <c:f>'[Makroanalýza grafy.xlsx]Ceny 4'!$E$42:$E$104</c:f>
              <c:numCache>
                <c:formatCode>0.0</c:formatCode>
                <c:ptCount val="63"/>
                <c:pt idx="0">
                  <c:v>-3.2999999999999972</c:v>
                </c:pt>
                <c:pt idx="1">
                  <c:v>-4.0999999999999943</c:v>
                </c:pt>
                <c:pt idx="2">
                  <c:v>-4.5999999999999943</c:v>
                </c:pt>
                <c:pt idx="3">
                  <c:v>-4.9000000000000057</c:v>
                </c:pt>
                <c:pt idx="4">
                  <c:v>-5</c:v>
                </c:pt>
                <c:pt idx="5">
                  <c:v>-4.5</c:v>
                </c:pt>
                <c:pt idx="6">
                  <c:v>-4</c:v>
                </c:pt>
                <c:pt idx="7">
                  <c:v>-3.2000000000000028</c:v>
                </c:pt>
                <c:pt idx="8">
                  <c:v>-2</c:v>
                </c:pt>
                <c:pt idx="9">
                  <c:v>-1.0999999999999943</c:v>
                </c:pt>
                <c:pt idx="10">
                  <c:v>-0.59999999999999432</c:v>
                </c:pt>
                <c:pt idx="11">
                  <c:v>0.59999999999999432</c:v>
                </c:pt>
                <c:pt idx="12" formatCode="General">
                  <c:v>2.5999999999999943</c:v>
                </c:pt>
                <c:pt idx="13" formatCode="General">
                  <c:v>4</c:v>
                </c:pt>
                <c:pt idx="14">
                  <c:v>3.7999999999999972</c:v>
                </c:pt>
                <c:pt idx="15">
                  <c:v>4</c:v>
                </c:pt>
                <c:pt idx="16" formatCode="General">
                  <c:v>2.7999999999999972</c:v>
                </c:pt>
                <c:pt idx="17" formatCode="General">
                  <c:v>1.5</c:v>
                </c:pt>
                <c:pt idx="18" formatCode="General">
                  <c:v>1.4</c:v>
                </c:pt>
                <c:pt idx="19" formatCode="General">
                  <c:v>2</c:v>
                </c:pt>
                <c:pt idx="20" formatCode="General">
                  <c:v>2.1</c:v>
                </c:pt>
                <c:pt idx="21" formatCode="General">
                  <c:v>1.4</c:v>
                </c:pt>
                <c:pt idx="22" formatCode="General">
                  <c:v>1.1000000000000001</c:v>
                </c:pt>
                <c:pt idx="23" formatCode="General">
                  <c:v>0.9</c:v>
                </c:pt>
                <c:pt idx="24" formatCode="General">
                  <c:v>0.2</c:v>
                </c:pt>
                <c:pt idx="25" formatCode="General">
                  <c:v>-0.9</c:v>
                </c:pt>
                <c:pt idx="26" formatCode="General">
                  <c:v>-0.5</c:v>
                </c:pt>
                <c:pt idx="27" formatCode="General">
                  <c:v>-0.5</c:v>
                </c:pt>
                <c:pt idx="28" formatCode="General">
                  <c:v>1.3</c:v>
                </c:pt>
                <c:pt idx="29" formatCode="General">
                  <c:v>2.8</c:v>
                </c:pt>
                <c:pt idx="30" formatCode="General">
                  <c:v>3.4</c:v>
                </c:pt>
                <c:pt idx="31" formatCode="General">
                  <c:v>3.2</c:v>
                </c:pt>
                <c:pt idx="32" formatCode="General">
                  <c:v>3</c:v>
                </c:pt>
                <c:pt idx="33" formatCode="General">
                  <c:v>3.8</c:v>
                </c:pt>
                <c:pt idx="34" formatCode="General">
                  <c:v>3.9</c:v>
                </c:pt>
                <c:pt idx="35" formatCode="General">
                  <c:v>2.2000000000000002</c:v>
                </c:pt>
                <c:pt idx="36" formatCode="General">
                  <c:v>1.9</c:v>
                </c:pt>
                <c:pt idx="37" formatCode="General">
                  <c:v>2.9</c:v>
                </c:pt>
                <c:pt idx="38" formatCode="General">
                  <c:v>3</c:v>
                </c:pt>
                <c:pt idx="39" formatCode="General">
                  <c:v>3.5</c:v>
                </c:pt>
                <c:pt idx="40" formatCode="General">
                  <c:v>2.9</c:v>
                </c:pt>
                <c:pt idx="41" formatCode="General">
                  <c:v>1.4</c:v>
                </c:pt>
                <c:pt idx="42" formatCode="General">
                  <c:v>0.9</c:v>
                </c:pt>
                <c:pt idx="43" formatCode="General">
                  <c:v>0.8</c:v>
                </c:pt>
                <c:pt idx="44" formatCode="General">
                  <c:v>0.7</c:v>
                </c:pt>
                <c:pt idx="45" formatCode="General">
                  <c:v>-0.4</c:v>
                </c:pt>
                <c:pt idx="46" formatCode="General">
                  <c:v>-0.7</c:v>
                </c:pt>
                <c:pt idx="47" formatCode="General">
                  <c:v>0.8</c:v>
                </c:pt>
                <c:pt idx="48" formatCode="General">
                  <c:v>1.2</c:v>
                </c:pt>
                <c:pt idx="49" formatCode="General">
                  <c:v>-0.1</c:v>
                </c:pt>
                <c:pt idx="50" formatCode="General">
                  <c:v>-1.2</c:v>
                </c:pt>
                <c:pt idx="51" formatCode="General">
                  <c:v>-2.5</c:v>
                </c:pt>
                <c:pt idx="52" formatCode="General">
                  <c:v>-2.6</c:v>
                </c:pt>
                <c:pt idx="53" formatCode="General">
                  <c:v>-1.9</c:v>
                </c:pt>
                <c:pt idx="54" formatCode="General">
                  <c:v>-1.6</c:v>
                </c:pt>
                <c:pt idx="55" formatCode="General">
                  <c:v>-2</c:v>
                </c:pt>
                <c:pt idx="56" formatCode="General">
                  <c:v>-1.9</c:v>
                </c:pt>
                <c:pt idx="57" formatCode="General">
                  <c:v>-1.1000000000000001</c:v>
                </c:pt>
                <c:pt idx="58" formatCode="General">
                  <c:v>-1.4</c:v>
                </c:pt>
                <c:pt idx="59" formatCode="General">
                  <c:v>-1.2</c:v>
                </c:pt>
                <c:pt idx="60" formatCode="General">
                  <c:v>-0.3</c:v>
                </c:pt>
                <c:pt idx="61" formatCode="General">
                  <c:v>1.6</c:v>
                </c:pt>
                <c:pt idx="62" formatCode="General">
                  <c:v>4.0999999999999996</c:v>
                </c:pt>
              </c:numCache>
            </c:numRef>
          </c:val>
          <c:smooth val="0"/>
          <c:extLst>
            <c:ext xmlns:c16="http://schemas.microsoft.com/office/drawing/2014/chart" uri="{C3380CC4-5D6E-409C-BE32-E72D297353CC}">
              <c16:uniqueId val="{00000002-EF79-4E5B-BD15-F228B2D29325}"/>
            </c:ext>
          </c:extLst>
        </c:ser>
        <c:ser>
          <c:idx val="3"/>
          <c:order val="3"/>
          <c:tx>
            <c:strRef>
              <c:f>'[Makroanalýza grafy.xlsx]Ceny 4'!$F$5</c:f>
              <c:strCache>
                <c:ptCount val="1"/>
                <c:pt idx="0">
                  <c:v>Elektřina, plyn, pára a klim. vzduch</c:v>
                </c:pt>
              </c:strCache>
            </c:strRef>
          </c:tx>
          <c:spPr>
            <a:ln w="19050">
              <a:solidFill>
                <a:srgbClr val="F8A124"/>
              </a:solidFill>
            </a:ln>
          </c:spPr>
          <c:marker>
            <c:symbol val="none"/>
          </c:marker>
          <c:cat>
            <c:multiLvlStrRef>
              <c:f>'[Makroanalýza grafy.xlsx]Ceny 4'!$A$42:$B$104</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2016</c:v>
                  </c:pt>
                  <c:pt idx="12">
                    <c:v>2017</c:v>
                  </c:pt>
                  <c:pt idx="24">
                    <c:v>2018</c:v>
                  </c:pt>
                  <c:pt idx="36">
                    <c:v>2019</c:v>
                  </c:pt>
                  <c:pt idx="48">
                    <c:v>2020</c:v>
                  </c:pt>
                  <c:pt idx="60">
                    <c:v>2021</c:v>
                  </c:pt>
                </c:lvl>
              </c:multiLvlStrCache>
            </c:multiLvlStrRef>
          </c:cat>
          <c:val>
            <c:numRef>
              <c:f>'[Makroanalýza grafy.xlsx]Ceny 4'!$F$42:$F$104</c:f>
              <c:numCache>
                <c:formatCode>0.0</c:formatCode>
                <c:ptCount val="63"/>
                <c:pt idx="0">
                  <c:v>-4</c:v>
                </c:pt>
                <c:pt idx="1">
                  <c:v>-4.0999999999999943</c:v>
                </c:pt>
                <c:pt idx="2">
                  <c:v>-4.0999999999999943</c:v>
                </c:pt>
                <c:pt idx="3">
                  <c:v>-4</c:v>
                </c:pt>
                <c:pt idx="4">
                  <c:v>-4</c:v>
                </c:pt>
                <c:pt idx="5">
                  <c:v>-4.0999999999999943</c:v>
                </c:pt>
                <c:pt idx="6">
                  <c:v>-4</c:v>
                </c:pt>
                <c:pt idx="7">
                  <c:v>-4</c:v>
                </c:pt>
                <c:pt idx="8">
                  <c:v>-4.0999999999999943</c:v>
                </c:pt>
                <c:pt idx="9">
                  <c:v>-4.0999999999999943</c:v>
                </c:pt>
                <c:pt idx="10">
                  <c:v>-4.0999999999999943</c:v>
                </c:pt>
                <c:pt idx="11">
                  <c:v>-4.0999999999999943</c:v>
                </c:pt>
                <c:pt idx="12" formatCode="General">
                  <c:v>-1.0999999999999943</c:v>
                </c:pt>
                <c:pt idx="13" formatCode="General">
                  <c:v>-1.2000000000000028</c:v>
                </c:pt>
                <c:pt idx="14">
                  <c:v>-1.2000000000000028</c:v>
                </c:pt>
                <c:pt idx="15">
                  <c:v>-1.4000000000000057</c:v>
                </c:pt>
                <c:pt idx="16" formatCode="General">
                  <c:v>-1.2999999999999972</c:v>
                </c:pt>
                <c:pt idx="17" formatCode="General">
                  <c:v>-1.0999999999999943</c:v>
                </c:pt>
                <c:pt idx="18" formatCode="General">
                  <c:v>-1.1000000000000001</c:v>
                </c:pt>
                <c:pt idx="19" formatCode="General">
                  <c:v>-1.3</c:v>
                </c:pt>
                <c:pt idx="20" formatCode="General">
                  <c:v>-1.1000000000000001</c:v>
                </c:pt>
                <c:pt idx="21" formatCode="General">
                  <c:v>-1.1000000000000001</c:v>
                </c:pt>
                <c:pt idx="22" formatCode="General">
                  <c:v>-1.1000000000000001</c:v>
                </c:pt>
                <c:pt idx="23" formatCode="General">
                  <c:v>-1.1000000000000001</c:v>
                </c:pt>
                <c:pt idx="24" formatCode="General">
                  <c:v>1.5</c:v>
                </c:pt>
                <c:pt idx="25" formatCode="General">
                  <c:v>1.6</c:v>
                </c:pt>
                <c:pt idx="26" formatCode="General">
                  <c:v>1.6</c:v>
                </c:pt>
                <c:pt idx="27" formatCode="General">
                  <c:v>1.7</c:v>
                </c:pt>
                <c:pt idx="28" formatCode="General">
                  <c:v>1.7</c:v>
                </c:pt>
                <c:pt idx="29" formatCode="General">
                  <c:v>2.2999999999999998</c:v>
                </c:pt>
                <c:pt idx="30" formatCode="General">
                  <c:v>2.2999999999999998</c:v>
                </c:pt>
                <c:pt idx="31" formatCode="General">
                  <c:v>2.6</c:v>
                </c:pt>
                <c:pt idx="32" formatCode="General">
                  <c:v>2.7</c:v>
                </c:pt>
                <c:pt idx="33" formatCode="General">
                  <c:v>2.8</c:v>
                </c:pt>
                <c:pt idx="34" formatCode="General">
                  <c:v>2.8</c:v>
                </c:pt>
                <c:pt idx="35" formatCode="General">
                  <c:v>2.8</c:v>
                </c:pt>
                <c:pt idx="36" formatCode="General">
                  <c:v>7.2</c:v>
                </c:pt>
                <c:pt idx="37" formatCode="General">
                  <c:v>7.5</c:v>
                </c:pt>
                <c:pt idx="38" formatCode="General">
                  <c:v>8.4</c:v>
                </c:pt>
                <c:pt idx="39" formatCode="General">
                  <c:v>8.1999999999999993</c:v>
                </c:pt>
                <c:pt idx="40" formatCode="General">
                  <c:v>8.6</c:v>
                </c:pt>
                <c:pt idx="41" formatCode="General">
                  <c:v>7.9</c:v>
                </c:pt>
                <c:pt idx="42" formatCode="General">
                  <c:v>8</c:v>
                </c:pt>
                <c:pt idx="43" formatCode="General">
                  <c:v>7.7</c:v>
                </c:pt>
                <c:pt idx="44" formatCode="General">
                  <c:v>7.7</c:v>
                </c:pt>
                <c:pt idx="45" formatCode="General">
                  <c:v>7.5</c:v>
                </c:pt>
                <c:pt idx="46" formatCode="General">
                  <c:v>8.6999999999999993</c:v>
                </c:pt>
                <c:pt idx="47" formatCode="General">
                  <c:v>8.8000000000000007</c:v>
                </c:pt>
                <c:pt idx="48" formatCode="General">
                  <c:v>9.3000000000000007</c:v>
                </c:pt>
                <c:pt idx="49" formatCode="General">
                  <c:v>9</c:v>
                </c:pt>
                <c:pt idx="50" formatCode="General">
                  <c:v>8.3000000000000007</c:v>
                </c:pt>
                <c:pt idx="51" formatCode="General">
                  <c:v>8.6</c:v>
                </c:pt>
                <c:pt idx="52" formatCode="General">
                  <c:v>8</c:v>
                </c:pt>
                <c:pt idx="53" formatCode="General">
                  <c:v>8</c:v>
                </c:pt>
                <c:pt idx="54" formatCode="General">
                  <c:v>7.7</c:v>
                </c:pt>
                <c:pt idx="55" formatCode="General">
                  <c:v>7.9</c:v>
                </c:pt>
                <c:pt idx="56" formatCode="General">
                  <c:v>7.7</c:v>
                </c:pt>
                <c:pt idx="57" formatCode="General">
                  <c:v>7</c:v>
                </c:pt>
                <c:pt idx="58" formatCode="General">
                  <c:v>5.8</c:v>
                </c:pt>
                <c:pt idx="59" formatCode="General">
                  <c:v>5.6</c:v>
                </c:pt>
                <c:pt idx="60" formatCode="General">
                  <c:v>0.4</c:v>
                </c:pt>
                <c:pt idx="61" formatCode="General">
                  <c:v>0.4</c:v>
                </c:pt>
                <c:pt idx="62" formatCode="General">
                  <c:v>0.1</c:v>
                </c:pt>
              </c:numCache>
            </c:numRef>
          </c:val>
          <c:smooth val="0"/>
          <c:extLst>
            <c:ext xmlns:c16="http://schemas.microsoft.com/office/drawing/2014/chart" uri="{C3380CC4-5D6E-409C-BE32-E72D297353CC}">
              <c16:uniqueId val="{00000003-EF79-4E5B-BD15-F228B2D29325}"/>
            </c:ext>
          </c:extLst>
        </c:ser>
        <c:ser>
          <c:idx val="4"/>
          <c:order val="4"/>
          <c:tx>
            <c:strRef>
              <c:f>'[Makroanalýza grafy.xlsx]Ceny 4'!$G$5</c:f>
              <c:strCache>
                <c:ptCount val="1"/>
                <c:pt idx="0">
                  <c:v>Zás. vodou; odpadní vody</c:v>
                </c:pt>
              </c:strCache>
            </c:strRef>
          </c:tx>
          <c:spPr>
            <a:ln w="19050">
              <a:solidFill>
                <a:schemeClr val="accent1"/>
              </a:solidFill>
            </a:ln>
          </c:spPr>
          <c:marker>
            <c:symbol val="none"/>
          </c:marker>
          <c:cat>
            <c:multiLvlStrRef>
              <c:f>'[Makroanalýza grafy.xlsx]Ceny 4'!$A$42:$B$104</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2016</c:v>
                  </c:pt>
                  <c:pt idx="12">
                    <c:v>2017</c:v>
                  </c:pt>
                  <c:pt idx="24">
                    <c:v>2018</c:v>
                  </c:pt>
                  <c:pt idx="36">
                    <c:v>2019</c:v>
                  </c:pt>
                  <c:pt idx="48">
                    <c:v>2020</c:v>
                  </c:pt>
                  <c:pt idx="60">
                    <c:v>2021</c:v>
                  </c:pt>
                </c:lvl>
              </c:multiLvlStrCache>
            </c:multiLvlStrRef>
          </c:cat>
          <c:val>
            <c:numRef>
              <c:f>'[Makroanalýza grafy.xlsx]Ceny 4'!$G$42:$G$104</c:f>
              <c:numCache>
                <c:formatCode>General</c:formatCode>
                <c:ptCount val="63"/>
                <c:pt idx="0">
                  <c:v>0.5</c:v>
                </c:pt>
                <c:pt idx="1">
                  <c:v>0.5</c:v>
                </c:pt>
                <c:pt idx="2">
                  <c:v>0.5</c:v>
                </c:pt>
                <c:pt idx="3">
                  <c:v>1.5999999999999943</c:v>
                </c:pt>
                <c:pt idx="4">
                  <c:v>1.5999999999999943</c:v>
                </c:pt>
                <c:pt idx="5">
                  <c:v>1.5999999999999943</c:v>
                </c:pt>
                <c:pt idx="6">
                  <c:v>1.5999999999999943</c:v>
                </c:pt>
                <c:pt idx="7">
                  <c:v>1.5999999999999943</c:v>
                </c:pt>
                <c:pt idx="8">
                  <c:v>1.5999999999999943</c:v>
                </c:pt>
                <c:pt idx="9">
                  <c:v>1.5999999999999943</c:v>
                </c:pt>
                <c:pt idx="10">
                  <c:v>1.5999999999999943</c:v>
                </c:pt>
                <c:pt idx="11">
                  <c:v>1.5999999999999943</c:v>
                </c:pt>
                <c:pt idx="12">
                  <c:v>2.0999999999999943</c:v>
                </c:pt>
                <c:pt idx="13">
                  <c:v>2.0999999999999943</c:v>
                </c:pt>
                <c:pt idx="14" formatCode="0.0">
                  <c:v>2.0999999999999943</c:v>
                </c:pt>
                <c:pt idx="15" formatCode="0.0">
                  <c:v>1</c:v>
                </c:pt>
                <c:pt idx="16">
                  <c:v>1</c:v>
                </c:pt>
                <c:pt idx="17">
                  <c:v>1</c:v>
                </c:pt>
                <c:pt idx="18">
                  <c:v>1</c:v>
                </c:pt>
                <c:pt idx="19">
                  <c:v>1</c:v>
                </c:pt>
                <c:pt idx="20">
                  <c:v>1</c:v>
                </c:pt>
                <c:pt idx="21">
                  <c:v>1</c:v>
                </c:pt>
                <c:pt idx="22">
                  <c:v>1</c:v>
                </c:pt>
                <c:pt idx="23">
                  <c:v>1</c:v>
                </c:pt>
                <c:pt idx="24">
                  <c:v>1.9</c:v>
                </c:pt>
                <c:pt idx="25">
                  <c:v>1.9</c:v>
                </c:pt>
                <c:pt idx="26">
                  <c:v>1.9</c:v>
                </c:pt>
                <c:pt idx="27">
                  <c:v>1.9</c:v>
                </c:pt>
                <c:pt idx="28">
                  <c:v>1.9</c:v>
                </c:pt>
                <c:pt idx="29">
                  <c:v>1.9</c:v>
                </c:pt>
                <c:pt idx="30">
                  <c:v>1.9</c:v>
                </c:pt>
                <c:pt idx="31">
                  <c:v>1.9</c:v>
                </c:pt>
                <c:pt idx="32">
                  <c:v>1.9</c:v>
                </c:pt>
                <c:pt idx="33">
                  <c:v>1.9</c:v>
                </c:pt>
                <c:pt idx="34">
                  <c:v>1.9</c:v>
                </c:pt>
                <c:pt idx="35">
                  <c:v>1.9</c:v>
                </c:pt>
                <c:pt idx="36">
                  <c:v>2.9</c:v>
                </c:pt>
                <c:pt idx="37">
                  <c:v>2.9</c:v>
                </c:pt>
                <c:pt idx="38">
                  <c:v>2.9</c:v>
                </c:pt>
                <c:pt idx="39">
                  <c:v>2.9</c:v>
                </c:pt>
                <c:pt idx="40">
                  <c:v>2.9</c:v>
                </c:pt>
                <c:pt idx="41">
                  <c:v>2.9</c:v>
                </c:pt>
                <c:pt idx="42">
                  <c:v>2.9</c:v>
                </c:pt>
                <c:pt idx="43">
                  <c:v>2.9</c:v>
                </c:pt>
                <c:pt idx="44">
                  <c:v>2.9</c:v>
                </c:pt>
                <c:pt idx="45">
                  <c:v>2.9</c:v>
                </c:pt>
                <c:pt idx="46">
                  <c:v>2.9</c:v>
                </c:pt>
                <c:pt idx="47">
                  <c:v>2.9</c:v>
                </c:pt>
                <c:pt idx="48">
                  <c:v>5.4</c:v>
                </c:pt>
                <c:pt idx="49">
                  <c:v>5.4</c:v>
                </c:pt>
                <c:pt idx="50">
                  <c:v>5.4</c:v>
                </c:pt>
                <c:pt idx="51">
                  <c:v>5.4</c:v>
                </c:pt>
                <c:pt idx="52">
                  <c:v>6.4</c:v>
                </c:pt>
                <c:pt idx="53">
                  <c:v>6.4</c:v>
                </c:pt>
                <c:pt idx="54">
                  <c:v>6.4</c:v>
                </c:pt>
                <c:pt idx="55">
                  <c:v>6.4</c:v>
                </c:pt>
                <c:pt idx="56">
                  <c:v>6.4</c:v>
                </c:pt>
                <c:pt idx="57">
                  <c:v>6.4</c:v>
                </c:pt>
                <c:pt idx="58">
                  <c:v>6.4</c:v>
                </c:pt>
                <c:pt idx="59">
                  <c:v>6.4</c:v>
                </c:pt>
                <c:pt idx="60">
                  <c:v>6.9</c:v>
                </c:pt>
                <c:pt idx="61">
                  <c:v>6.9</c:v>
                </c:pt>
                <c:pt idx="62">
                  <c:v>6.9</c:v>
                </c:pt>
              </c:numCache>
            </c:numRef>
          </c:val>
          <c:smooth val="0"/>
          <c:extLst>
            <c:ext xmlns:c16="http://schemas.microsoft.com/office/drawing/2014/chart" uri="{C3380CC4-5D6E-409C-BE32-E72D297353CC}">
              <c16:uniqueId val="{00000004-EF79-4E5B-BD15-F228B2D29325}"/>
            </c:ext>
          </c:extLst>
        </c:ser>
        <c:dLbls>
          <c:showLegendKey val="0"/>
          <c:showVal val="0"/>
          <c:showCatName val="0"/>
          <c:showSerName val="0"/>
          <c:showPercent val="0"/>
          <c:showBubbleSize val="0"/>
        </c:dLbls>
        <c:marker val="1"/>
        <c:smooth val="0"/>
        <c:axId val="271374208"/>
        <c:axId val="271375744"/>
      </c:lineChart>
      <c:catAx>
        <c:axId val="271374208"/>
        <c:scaling>
          <c:orientation val="minMax"/>
        </c:scaling>
        <c:delete val="0"/>
        <c:axPos val="b"/>
        <c:numFmt formatCode="General" sourceLinked="0"/>
        <c:majorTickMark val="out"/>
        <c:minorTickMark val="none"/>
        <c:tickLblPos val="low"/>
        <c:spPr>
          <a:ln>
            <a:solidFill>
              <a:schemeClr val="tx1"/>
            </a:solidFill>
          </a:ln>
        </c:spPr>
        <c:crossAx val="271375744"/>
        <c:crosses val="autoZero"/>
        <c:auto val="1"/>
        <c:lblAlgn val="ctr"/>
        <c:lblOffset val="100"/>
        <c:noMultiLvlLbl val="0"/>
      </c:catAx>
      <c:valAx>
        <c:axId val="271375744"/>
        <c:scaling>
          <c:orientation val="minMax"/>
          <c:max val="12"/>
          <c:min val="-10"/>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1374208"/>
        <c:crosses val="autoZero"/>
        <c:crossBetween val="between"/>
        <c:majorUnit val="2"/>
      </c:valAx>
      <c:spPr>
        <a:ln>
          <a:solidFill>
            <a:schemeClr val="tx1"/>
          </a:solidFill>
        </a:ln>
      </c:spPr>
    </c:plotArea>
    <c:legend>
      <c:legendPos val="b"/>
      <c:layout>
        <c:manualLayout>
          <c:xMode val="edge"/>
          <c:yMode val="edge"/>
          <c:x val="6.1319022289766968E-2"/>
          <c:y val="0.86223931272106069"/>
          <c:w val="0.90901046943600139"/>
          <c:h val="0.12109402425765226"/>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88731014312048E-2"/>
          <c:y val="1.4522051060224651E-2"/>
          <c:w val="0.83420125451377358"/>
          <c:h val="0.66642820303791572"/>
        </c:manualLayout>
      </c:layout>
      <c:barChart>
        <c:barDir val="col"/>
        <c:grouping val="stacked"/>
        <c:varyColors val="0"/>
        <c:ser>
          <c:idx val="0"/>
          <c:order val="0"/>
          <c:tx>
            <c:strRef>
              <c:f>'Trh práce 1'!$AC$7</c:f>
              <c:strCache>
                <c:ptCount val="1"/>
                <c:pt idx="0">
                  <c:v>Zemědělství, lesnictví a rybářství</c:v>
                </c:pt>
              </c:strCache>
            </c:strRef>
          </c:tx>
          <c:spPr>
            <a:solidFill>
              <a:srgbClr val="7DBB2D"/>
            </a:solidFill>
            <a:ln>
              <a:noFill/>
            </a:ln>
          </c:spPr>
          <c:invertIfNegative val="0"/>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1'!$AC$28:$AC$53</c:f>
              <c:numCache>
                <c:formatCode>#\ ##0.0</c:formatCode>
                <c:ptCount val="26"/>
                <c:pt idx="0">
                  <c:v>-6.3775886113478369E-2</c:v>
                </c:pt>
                <c:pt idx="1">
                  <c:v>-5.3530554883726662E-2</c:v>
                </c:pt>
                <c:pt idx="2">
                  <c:v>-6.4075390166381849E-2</c:v>
                </c:pt>
                <c:pt idx="3">
                  <c:v>-0.13844304699479693</c:v>
                </c:pt>
                <c:pt idx="4">
                  <c:v>-0.13446730863002626</c:v>
                </c:pt>
                <c:pt idx="5">
                  <c:v>-4.2544545507820601E-2</c:v>
                </c:pt>
                <c:pt idx="6">
                  <c:v>-3.3191194580390673E-2</c:v>
                </c:pt>
                <c:pt idx="7">
                  <c:v>6.6309323471769377E-2</c:v>
                </c:pt>
                <c:pt idx="8">
                  <c:v>9.8066936941412233E-2</c:v>
                </c:pt>
                <c:pt idx="9">
                  <c:v>2.5196330912572437E-2</c:v>
                </c:pt>
                <c:pt idx="10">
                  <c:v>2.0639846638534198E-2</c:v>
                </c:pt>
                <c:pt idx="11">
                  <c:v>-8.3455519417103677E-2</c:v>
                </c:pt>
                <c:pt idx="12">
                  <c:v>2.5494598026070365E-2</c:v>
                </c:pt>
                <c:pt idx="13">
                  <c:v>2.6684441302942768E-2</c:v>
                </c:pt>
                <c:pt idx="14">
                  <c:v>1.9708592256982422E-2</c:v>
                </c:pt>
                <c:pt idx="15">
                  <c:v>8.7635855137036173E-2</c:v>
                </c:pt>
                <c:pt idx="16">
                  <c:v>-1.7993164823325757E-2</c:v>
                </c:pt>
                <c:pt idx="17">
                  <c:v>-7.0820472864832854E-2</c:v>
                </c:pt>
                <c:pt idx="18">
                  <c:v>-0.10170278786374146</c:v>
                </c:pt>
                <c:pt idx="19">
                  <c:v>-0.11671422849704614</c:v>
                </c:pt>
                <c:pt idx="20">
                  <c:v>-0.13192229045620107</c:v>
                </c:pt>
                <c:pt idx="21">
                  <c:v>-6.1309960075012639E-2</c:v>
                </c:pt>
                <c:pt idx="22">
                  <c:v>2.592734961307994E-2</c:v>
                </c:pt>
                <c:pt idx="23">
                  <c:v>1.8337259316546568E-2</c:v>
                </c:pt>
                <c:pt idx="24">
                  <c:v>2.2585068887230095E-2</c:v>
                </c:pt>
              </c:numCache>
            </c:numRef>
          </c:val>
          <c:extLst>
            <c:ext xmlns:c16="http://schemas.microsoft.com/office/drawing/2014/chart" uri="{C3380CC4-5D6E-409C-BE32-E72D297353CC}">
              <c16:uniqueId val="{00000000-A90A-4475-9596-A2F20E0693BD}"/>
            </c:ext>
          </c:extLst>
        </c:ser>
        <c:ser>
          <c:idx val="1"/>
          <c:order val="1"/>
          <c:tx>
            <c:strRef>
              <c:f>'Trh práce 1'!$AD$7</c:f>
              <c:strCache>
                <c:ptCount val="1"/>
                <c:pt idx="0">
                  <c:v>Zpracovatelský průmysl</c:v>
                </c:pt>
              </c:strCache>
            </c:strRef>
          </c:tx>
          <c:spPr>
            <a:solidFill>
              <a:srgbClr val="A6CDE8"/>
            </a:solidFill>
            <a:ln>
              <a:noFill/>
            </a:ln>
          </c:spPr>
          <c:invertIfNegative val="0"/>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1'!$AD$28:$AD$53</c:f>
              <c:numCache>
                <c:formatCode>#\ ##0.0</c:formatCode>
                <c:ptCount val="26"/>
                <c:pt idx="0">
                  <c:v>0.87384359543532464</c:v>
                </c:pt>
                <c:pt idx="1">
                  <c:v>0.93524489787512044</c:v>
                </c:pt>
                <c:pt idx="2">
                  <c:v>0.78267698384636852</c:v>
                </c:pt>
                <c:pt idx="3">
                  <c:v>0.94962455048902517</c:v>
                </c:pt>
                <c:pt idx="4">
                  <c:v>0.84718285167324348</c:v>
                </c:pt>
                <c:pt idx="5">
                  <c:v>0.62908867154608861</c:v>
                </c:pt>
                <c:pt idx="6">
                  <c:v>0.67775956738111331</c:v>
                </c:pt>
                <c:pt idx="7">
                  <c:v>0.54172812831113937</c:v>
                </c:pt>
                <c:pt idx="8">
                  <c:v>0.26867627785059034</c:v>
                </c:pt>
                <c:pt idx="9">
                  <c:v>0.39386843676908101</c:v>
                </c:pt>
                <c:pt idx="10">
                  <c:v>0.49256509811427385</c:v>
                </c:pt>
                <c:pt idx="11">
                  <c:v>0.47713964802096459</c:v>
                </c:pt>
                <c:pt idx="12">
                  <c:v>0.36434303678320645</c:v>
                </c:pt>
                <c:pt idx="13">
                  <c:v>0.28695143937637824</c:v>
                </c:pt>
                <c:pt idx="14">
                  <c:v>9.8952780783639532E-2</c:v>
                </c:pt>
                <c:pt idx="15">
                  <c:v>7.558219904144467E-2</c:v>
                </c:pt>
                <c:pt idx="16">
                  <c:v>-2.3335465306952373E-2</c:v>
                </c:pt>
                <c:pt idx="17">
                  <c:v>-0.19164270518730264</c:v>
                </c:pt>
                <c:pt idx="18">
                  <c:v>-0.35809202690016206</c:v>
                </c:pt>
                <c:pt idx="19">
                  <c:v>-0.74585932300225566</c:v>
                </c:pt>
                <c:pt idx="20">
                  <c:v>-0.68716111979198968</c:v>
                </c:pt>
                <c:pt idx="21">
                  <c:v>-0.95806001759904347</c:v>
                </c:pt>
                <c:pt idx="22">
                  <c:v>-0.98623436481310467</c:v>
                </c:pt>
                <c:pt idx="23">
                  <c:v>-0.79348811235920402</c:v>
                </c:pt>
                <c:pt idx="24">
                  <c:v>-0.5592343753981921</c:v>
                </c:pt>
              </c:numCache>
            </c:numRef>
          </c:val>
          <c:extLst>
            <c:ext xmlns:c16="http://schemas.microsoft.com/office/drawing/2014/chart" uri="{C3380CC4-5D6E-409C-BE32-E72D297353CC}">
              <c16:uniqueId val="{00000001-A90A-4475-9596-A2F20E0693BD}"/>
            </c:ext>
          </c:extLst>
        </c:ser>
        <c:ser>
          <c:idx val="2"/>
          <c:order val="2"/>
          <c:tx>
            <c:strRef>
              <c:f>'Trh práce 1'!$AE$7</c:f>
              <c:strCache>
                <c:ptCount val="1"/>
                <c:pt idx="0">
                  <c:v>Stavebnictví</c:v>
                </c:pt>
              </c:strCache>
            </c:strRef>
          </c:tx>
          <c:spPr>
            <a:solidFill>
              <a:srgbClr val="48AEE7"/>
            </a:solidFill>
            <a:ln w="19050">
              <a:noFill/>
            </a:ln>
          </c:spPr>
          <c:invertIfNegative val="0"/>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1'!$AE$28:$AE$53</c:f>
              <c:numCache>
                <c:formatCode>#\ ##0.0</c:formatCode>
                <c:ptCount val="26"/>
                <c:pt idx="0">
                  <c:v>-0.11694210540586052</c:v>
                </c:pt>
                <c:pt idx="1">
                  <c:v>-0.10810072845885586</c:v>
                </c:pt>
                <c:pt idx="2">
                  <c:v>-0.15839123886250733</c:v>
                </c:pt>
                <c:pt idx="3">
                  <c:v>-0.17189865446459995</c:v>
                </c:pt>
                <c:pt idx="4">
                  <c:v>-0.11151278826793087</c:v>
                </c:pt>
                <c:pt idx="5">
                  <c:v>-0.12826978061125432</c:v>
                </c:pt>
                <c:pt idx="6">
                  <c:v>-3.014577719148143E-2</c:v>
                </c:pt>
                <c:pt idx="7">
                  <c:v>1.7024586966207105E-2</c:v>
                </c:pt>
                <c:pt idx="8">
                  <c:v>-6.5148695688723116E-3</c:v>
                </c:pt>
                <c:pt idx="9">
                  <c:v>1.4289321905169284E-2</c:v>
                </c:pt>
                <c:pt idx="10">
                  <c:v>6.6438659970773833E-2</c:v>
                </c:pt>
                <c:pt idx="11">
                  <c:v>-6.4943430456315621E-2</c:v>
                </c:pt>
                <c:pt idx="12">
                  <c:v>0.11291809775653174</c:v>
                </c:pt>
                <c:pt idx="13">
                  <c:v>6.2607246062592548E-2</c:v>
                </c:pt>
                <c:pt idx="14">
                  <c:v>5.182353842998591E-2</c:v>
                </c:pt>
                <c:pt idx="15">
                  <c:v>0.12116998337824897</c:v>
                </c:pt>
                <c:pt idx="16">
                  <c:v>3.1719909121533031E-2</c:v>
                </c:pt>
                <c:pt idx="17">
                  <c:v>5.5381462391177826E-2</c:v>
                </c:pt>
                <c:pt idx="18">
                  <c:v>8.9850693144459925E-2</c:v>
                </c:pt>
                <c:pt idx="19">
                  <c:v>0.15065541085764433</c:v>
                </c:pt>
                <c:pt idx="20">
                  <c:v>0.22462444050650451</c:v>
                </c:pt>
                <c:pt idx="21">
                  <c:v>-3.6664679361405939E-2</c:v>
                </c:pt>
                <c:pt idx="22">
                  <c:v>8.483974244393748E-2</c:v>
                </c:pt>
                <c:pt idx="23">
                  <c:v>0.17742637211820689</c:v>
                </c:pt>
                <c:pt idx="24">
                  <c:v>-5.8872608023294797E-2</c:v>
                </c:pt>
              </c:numCache>
            </c:numRef>
          </c:val>
          <c:extLst>
            <c:ext xmlns:c16="http://schemas.microsoft.com/office/drawing/2014/chart" uri="{C3380CC4-5D6E-409C-BE32-E72D297353CC}">
              <c16:uniqueId val="{00000002-A90A-4475-9596-A2F20E0693BD}"/>
            </c:ext>
          </c:extLst>
        </c:ser>
        <c:ser>
          <c:idx val="3"/>
          <c:order val="3"/>
          <c:tx>
            <c:strRef>
              <c:f>'Trh práce 1'!$AF$7</c:f>
              <c:strCache>
                <c:ptCount val="1"/>
                <c:pt idx="0">
                  <c:v>Obchod, doprava, ubytování a pohost.</c:v>
                </c:pt>
              </c:strCache>
            </c:strRef>
          </c:tx>
          <c:spPr>
            <a:solidFill>
              <a:srgbClr val="FDDEB3"/>
            </a:solidFill>
            <a:ln w="19050">
              <a:noFill/>
            </a:ln>
          </c:spPr>
          <c:invertIfNegative val="0"/>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1'!$AF$28:$AF$53</c:f>
              <c:numCache>
                <c:formatCode>#\ ##0.0</c:formatCode>
                <c:ptCount val="26"/>
                <c:pt idx="0">
                  <c:v>0.22879550024382489</c:v>
                </c:pt>
                <c:pt idx="1">
                  <c:v>0.47330112084625897</c:v>
                </c:pt>
                <c:pt idx="2">
                  <c:v>0.33213712914903176</c:v>
                </c:pt>
                <c:pt idx="3">
                  <c:v>0.17959968299057444</c:v>
                </c:pt>
                <c:pt idx="4">
                  <c:v>8.0583366917820948E-2</c:v>
                </c:pt>
                <c:pt idx="5">
                  <c:v>0.20992754897152985</c:v>
                </c:pt>
                <c:pt idx="6">
                  <c:v>-8.6158327395090793E-3</c:v>
                </c:pt>
                <c:pt idx="7">
                  <c:v>9.5260739725036819E-2</c:v>
                </c:pt>
                <c:pt idx="8">
                  <c:v>0.16015880233389024</c:v>
                </c:pt>
                <c:pt idx="9">
                  <c:v>-9.025834979993895E-3</c:v>
                </c:pt>
                <c:pt idx="10">
                  <c:v>0.34149737055569235</c:v>
                </c:pt>
                <c:pt idx="11">
                  <c:v>0.22106834398785968</c:v>
                </c:pt>
                <c:pt idx="12">
                  <c:v>0.14583136020082346</c:v>
                </c:pt>
                <c:pt idx="13">
                  <c:v>0.38632474852631182</c:v>
                </c:pt>
                <c:pt idx="14">
                  <c:v>0.20625097681409202</c:v>
                </c:pt>
                <c:pt idx="15">
                  <c:v>0.2575234748212693</c:v>
                </c:pt>
                <c:pt idx="16">
                  <c:v>0.39403175997637707</c:v>
                </c:pt>
                <c:pt idx="17">
                  <c:v>4.5764322215464309E-2</c:v>
                </c:pt>
                <c:pt idx="18">
                  <c:v>-7.2257163132816132E-2</c:v>
                </c:pt>
                <c:pt idx="19">
                  <c:v>-0.11883095082430688</c:v>
                </c:pt>
                <c:pt idx="20">
                  <c:v>-0.26494730276074041</c:v>
                </c:pt>
                <c:pt idx="21">
                  <c:v>-0.76201884729923541</c:v>
                </c:pt>
                <c:pt idx="22">
                  <c:v>-0.57071495726133536</c:v>
                </c:pt>
                <c:pt idx="23">
                  <c:v>-1.1510369692443747</c:v>
                </c:pt>
                <c:pt idx="24">
                  <c:v>-1.1852267426421215</c:v>
                </c:pt>
              </c:numCache>
            </c:numRef>
          </c:val>
          <c:extLst>
            <c:ext xmlns:c16="http://schemas.microsoft.com/office/drawing/2014/chart" uri="{C3380CC4-5D6E-409C-BE32-E72D297353CC}">
              <c16:uniqueId val="{00000003-A90A-4475-9596-A2F20E0693BD}"/>
            </c:ext>
          </c:extLst>
        </c:ser>
        <c:ser>
          <c:idx val="4"/>
          <c:order val="4"/>
          <c:tx>
            <c:strRef>
              <c:f>'Trh práce 1'!$AG$7</c:f>
              <c:strCache>
                <c:ptCount val="1"/>
                <c:pt idx="0">
                  <c:v>Informační a komunikač. čin.</c:v>
                </c:pt>
              </c:strCache>
            </c:strRef>
          </c:tx>
          <c:spPr>
            <a:solidFill>
              <a:srgbClr val="F8A124"/>
            </a:solidFill>
            <a:ln w="19050">
              <a:noFill/>
            </a:ln>
          </c:spPr>
          <c:invertIfNegative val="0"/>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1'!$AG$28:$AG$53</c:f>
              <c:numCache>
                <c:formatCode>#\ ##0.0</c:formatCode>
                <c:ptCount val="26"/>
                <c:pt idx="0">
                  <c:v>7.3874717124669956E-3</c:v>
                </c:pt>
                <c:pt idx="1">
                  <c:v>5.6060947547706408E-2</c:v>
                </c:pt>
                <c:pt idx="2">
                  <c:v>7.3237389552977303E-2</c:v>
                </c:pt>
                <c:pt idx="3">
                  <c:v>0.10393464068853153</c:v>
                </c:pt>
                <c:pt idx="4">
                  <c:v>0.12034144994565989</c:v>
                </c:pt>
                <c:pt idx="5">
                  <c:v>0.11313726215922026</c:v>
                </c:pt>
                <c:pt idx="6">
                  <c:v>0.12927604067983756</c:v>
                </c:pt>
                <c:pt idx="7">
                  <c:v>0.16693713637598337</c:v>
                </c:pt>
                <c:pt idx="8">
                  <c:v>0.13971624972775135</c:v>
                </c:pt>
                <c:pt idx="9">
                  <c:v>0.13821878661994863</c:v>
                </c:pt>
                <c:pt idx="10">
                  <c:v>0.13496598887461</c:v>
                </c:pt>
                <c:pt idx="11">
                  <c:v>0.11698506830016364</c:v>
                </c:pt>
                <c:pt idx="12">
                  <c:v>0.11058328966551791</c:v>
                </c:pt>
                <c:pt idx="13">
                  <c:v>0.13540854835327559</c:v>
                </c:pt>
                <c:pt idx="14">
                  <c:v>0.13011769084595673</c:v>
                </c:pt>
                <c:pt idx="15">
                  <c:v>0.1533068562760779</c:v>
                </c:pt>
                <c:pt idx="16">
                  <c:v>0.14101447318239424</c:v>
                </c:pt>
                <c:pt idx="17">
                  <c:v>7.4984215546272034E-2</c:v>
                </c:pt>
                <c:pt idx="18">
                  <c:v>0.12791770141729253</c:v>
                </c:pt>
                <c:pt idx="19">
                  <c:v>0.14299839791729246</c:v>
                </c:pt>
                <c:pt idx="20">
                  <c:v>0.13885105940325984</c:v>
                </c:pt>
                <c:pt idx="21">
                  <c:v>9.7239508020651039E-2</c:v>
                </c:pt>
                <c:pt idx="22">
                  <c:v>0.10343298747563447</c:v>
                </c:pt>
                <c:pt idx="23">
                  <c:v>8.1141910812593782E-2</c:v>
                </c:pt>
                <c:pt idx="24">
                  <c:v>0.11309154690547595</c:v>
                </c:pt>
              </c:numCache>
            </c:numRef>
          </c:val>
          <c:extLst>
            <c:ext xmlns:c16="http://schemas.microsoft.com/office/drawing/2014/chart" uri="{C3380CC4-5D6E-409C-BE32-E72D297353CC}">
              <c16:uniqueId val="{00000004-A90A-4475-9596-A2F20E0693BD}"/>
            </c:ext>
          </c:extLst>
        </c:ser>
        <c:ser>
          <c:idx val="5"/>
          <c:order val="5"/>
          <c:tx>
            <c:strRef>
              <c:f>'Trh práce 1'!$AH$7</c:f>
              <c:strCache>
                <c:ptCount val="1"/>
                <c:pt idx="0">
                  <c:v>Profesní, vědec., techn. a admin. čin.</c:v>
                </c:pt>
              </c:strCache>
            </c:strRef>
          </c:tx>
          <c:spPr>
            <a:solidFill>
              <a:srgbClr val="E8C0BE"/>
            </a:solidFill>
            <a:ln w="19050">
              <a:noFill/>
            </a:ln>
          </c:spPr>
          <c:invertIfNegative val="0"/>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1'!$AH$28:$AH$53</c:f>
              <c:numCache>
                <c:formatCode>#\ ##0.0</c:formatCode>
                <c:ptCount val="26"/>
                <c:pt idx="0">
                  <c:v>0.11379850042183202</c:v>
                </c:pt>
                <c:pt idx="1">
                  <c:v>0.11820268366776726</c:v>
                </c:pt>
                <c:pt idx="2">
                  <c:v>0.23129653035669548</c:v>
                </c:pt>
                <c:pt idx="3">
                  <c:v>0.37241784026117603</c:v>
                </c:pt>
                <c:pt idx="4">
                  <c:v>0.26699425205615607</c:v>
                </c:pt>
                <c:pt idx="5">
                  <c:v>0.23716608218519117</c:v>
                </c:pt>
                <c:pt idx="6">
                  <c:v>0.24081927124703897</c:v>
                </c:pt>
                <c:pt idx="7">
                  <c:v>0.25506101535021469</c:v>
                </c:pt>
                <c:pt idx="8">
                  <c:v>0.4253197253437988</c:v>
                </c:pt>
                <c:pt idx="9">
                  <c:v>0.3617364642403027</c:v>
                </c:pt>
                <c:pt idx="10">
                  <c:v>0.29161615885428543</c:v>
                </c:pt>
                <c:pt idx="11">
                  <c:v>0.14112634349596684</c:v>
                </c:pt>
                <c:pt idx="12">
                  <c:v>0.15102819111308005</c:v>
                </c:pt>
                <c:pt idx="13">
                  <c:v>0.15512205414730354</c:v>
                </c:pt>
                <c:pt idx="14">
                  <c:v>7.7586282372714338E-2</c:v>
                </c:pt>
                <c:pt idx="15">
                  <c:v>0.21983484069239514</c:v>
                </c:pt>
                <c:pt idx="16">
                  <c:v>0.20886910918623508</c:v>
                </c:pt>
                <c:pt idx="17">
                  <c:v>0.16389670307116369</c:v>
                </c:pt>
                <c:pt idx="18">
                  <c:v>0.15468645117267918</c:v>
                </c:pt>
                <c:pt idx="19">
                  <c:v>5.7611659863705152E-3</c:v>
                </c:pt>
                <c:pt idx="20">
                  <c:v>-0.24247015575211209</c:v>
                </c:pt>
                <c:pt idx="21">
                  <c:v>-0.40867793231056837</c:v>
                </c:pt>
                <c:pt idx="22">
                  <c:v>-0.60095431811070577</c:v>
                </c:pt>
                <c:pt idx="23">
                  <c:v>-0.38602423842204375</c:v>
                </c:pt>
                <c:pt idx="24">
                  <c:v>-0.19454922381600084</c:v>
                </c:pt>
              </c:numCache>
            </c:numRef>
          </c:val>
          <c:extLst>
            <c:ext xmlns:c16="http://schemas.microsoft.com/office/drawing/2014/chart" uri="{C3380CC4-5D6E-409C-BE32-E72D297353CC}">
              <c16:uniqueId val="{00000005-A90A-4475-9596-A2F20E0693BD}"/>
            </c:ext>
          </c:extLst>
        </c:ser>
        <c:ser>
          <c:idx val="6"/>
          <c:order val="6"/>
          <c:tx>
            <c:strRef>
              <c:f>'Trh práce 1'!$AI$7</c:f>
              <c:strCache>
                <c:ptCount val="1"/>
                <c:pt idx="0">
                  <c:v>Veř.spr.,obrana, vzděl.,zdrav.a soc.péče</c:v>
                </c:pt>
              </c:strCache>
            </c:strRef>
          </c:tx>
          <c:spPr>
            <a:solidFill>
              <a:srgbClr val="D58D8B"/>
            </a:solidFill>
            <a:ln>
              <a:noFill/>
            </a:ln>
          </c:spPr>
          <c:invertIfNegative val="0"/>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1'!$AI$28:$AI$53</c:f>
              <c:numCache>
                <c:formatCode>#\ ##0.0</c:formatCode>
                <c:ptCount val="26"/>
                <c:pt idx="0">
                  <c:v>0.25561438026381811</c:v>
                </c:pt>
                <c:pt idx="1">
                  <c:v>0.23618959741845097</c:v>
                </c:pt>
                <c:pt idx="2">
                  <c:v>0.10591974557381781</c:v>
                </c:pt>
                <c:pt idx="3">
                  <c:v>9.8709639055718459E-2</c:v>
                </c:pt>
                <c:pt idx="4">
                  <c:v>0.36242141278378515</c:v>
                </c:pt>
                <c:pt idx="5">
                  <c:v>0.34758527415111612</c:v>
                </c:pt>
                <c:pt idx="6">
                  <c:v>0.42951950059780825</c:v>
                </c:pt>
                <c:pt idx="7">
                  <c:v>0.52568461923790011</c:v>
                </c:pt>
                <c:pt idx="8">
                  <c:v>0.43143338593628888</c:v>
                </c:pt>
                <c:pt idx="9">
                  <c:v>0.47637406936515148</c:v>
                </c:pt>
                <c:pt idx="10">
                  <c:v>0.54554133741649136</c:v>
                </c:pt>
                <c:pt idx="11">
                  <c:v>0.54623885355011015</c:v>
                </c:pt>
                <c:pt idx="12">
                  <c:v>0.39194649373019252</c:v>
                </c:pt>
                <c:pt idx="13">
                  <c:v>0.44662708849321481</c:v>
                </c:pt>
                <c:pt idx="14">
                  <c:v>0.31647379381273566</c:v>
                </c:pt>
                <c:pt idx="15">
                  <c:v>0.28796501123579255</c:v>
                </c:pt>
                <c:pt idx="16">
                  <c:v>0.30898159429086303</c:v>
                </c:pt>
                <c:pt idx="17">
                  <c:v>0.22102841127976061</c:v>
                </c:pt>
                <c:pt idx="18">
                  <c:v>0.30448068256247734</c:v>
                </c:pt>
                <c:pt idx="19">
                  <c:v>0.31027468061421015</c:v>
                </c:pt>
                <c:pt idx="20">
                  <c:v>0.38801106103529076</c:v>
                </c:pt>
                <c:pt idx="21">
                  <c:v>0.28629692987066752</c:v>
                </c:pt>
                <c:pt idx="22">
                  <c:v>0.49787145120553933</c:v>
                </c:pt>
                <c:pt idx="23">
                  <c:v>0.38063201312452954</c:v>
                </c:pt>
                <c:pt idx="24">
                  <c:v>0.42895010638804631</c:v>
                </c:pt>
              </c:numCache>
            </c:numRef>
          </c:val>
          <c:extLst>
            <c:ext xmlns:c16="http://schemas.microsoft.com/office/drawing/2014/chart" uri="{C3380CC4-5D6E-409C-BE32-E72D297353CC}">
              <c16:uniqueId val="{00000006-A90A-4475-9596-A2F20E0693BD}"/>
            </c:ext>
          </c:extLst>
        </c:ser>
        <c:ser>
          <c:idx val="7"/>
          <c:order val="7"/>
          <c:tx>
            <c:strRef>
              <c:f>'Trh práce 1'!$AJ$7</c:f>
              <c:strCache>
                <c:ptCount val="1"/>
                <c:pt idx="0">
                  <c:v>Ostatní odvětví*</c:v>
                </c:pt>
              </c:strCache>
            </c:strRef>
          </c:tx>
          <c:spPr>
            <a:solidFill>
              <a:schemeClr val="bg1">
                <a:lumMod val="85000"/>
              </a:schemeClr>
            </a:solidFill>
            <a:ln>
              <a:noFill/>
            </a:ln>
          </c:spPr>
          <c:invertIfNegative val="0"/>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1'!$AJ$28:$AJ$53</c:f>
              <c:numCache>
                <c:formatCode>#\ ##0.0</c:formatCode>
                <c:ptCount val="26"/>
                <c:pt idx="0">
                  <c:v>-4.1849241349879537E-2</c:v>
                </c:pt>
                <c:pt idx="1">
                  <c:v>9.7841849673883707E-2</c:v>
                </c:pt>
                <c:pt idx="2">
                  <c:v>4.8115148164572803E-2</c:v>
                </c:pt>
                <c:pt idx="3">
                  <c:v>-4.5211861143632473E-2</c:v>
                </c:pt>
                <c:pt idx="4">
                  <c:v>0.13066419283038919</c:v>
                </c:pt>
                <c:pt idx="5">
                  <c:v>8.2910779442291055E-2</c:v>
                </c:pt>
                <c:pt idx="6">
                  <c:v>0.10551022017018508</c:v>
                </c:pt>
                <c:pt idx="7">
                  <c:v>0.16861073984045793</c:v>
                </c:pt>
                <c:pt idx="8">
                  <c:v>-5.0552331024152901E-2</c:v>
                </c:pt>
                <c:pt idx="9">
                  <c:v>1.1401054711570741E-3</c:v>
                </c:pt>
                <c:pt idx="10">
                  <c:v>3.7899847185385735E-2</c:v>
                </c:pt>
                <c:pt idx="11">
                  <c:v>4.0443247413313496E-2</c:v>
                </c:pt>
                <c:pt idx="12">
                  <c:v>0.20431453706121822</c:v>
                </c:pt>
                <c:pt idx="13">
                  <c:v>0.21238866413451776</c:v>
                </c:pt>
                <c:pt idx="14">
                  <c:v>3.4275812620838987E-3</c:v>
                </c:pt>
                <c:pt idx="15">
                  <c:v>1.2817489016641342E-2</c:v>
                </c:pt>
                <c:pt idx="16">
                  <c:v>-0.11309724322455375</c:v>
                </c:pt>
                <c:pt idx="17">
                  <c:v>-5.1807276195606156E-2</c:v>
                </c:pt>
                <c:pt idx="18">
                  <c:v>3.8583922061212472E-2</c:v>
                </c:pt>
                <c:pt idx="19">
                  <c:v>4.5481920614445746E-2</c:v>
                </c:pt>
                <c:pt idx="20">
                  <c:v>9.7168173536073502E-2</c:v>
                </c:pt>
                <c:pt idx="21">
                  <c:v>-0.13635511552222562</c:v>
                </c:pt>
                <c:pt idx="22">
                  <c:v>-0.11424987036325199</c:v>
                </c:pt>
                <c:pt idx="23">
                  <c:v>-0.2069543455795945</c:v>
                </c:pt>
                <c:pt idx="24">
                  <c:v>-0.18439240624610997</c:v>
                </c:pt>
              </c:numCache>
            </c:numRef>
          </c:val>
          <c:extLst>
            <c:ext xmlns:c16="http://schemas.microsoft.com/office/drawing/2014/chart" uri="{C3380CC4-5D6E-409C-BE32-E72D297353CC}">
              <c16:uniqueId val="{00000007-A90A-4475-9596-A2F20E0693BD}"/>
            </c:ext>
          </c:extLst>
        </c:ser>
        <c:dLbls>
          <c:showLegendKey val="0"/>
          <c:showVal val="0"/>
          <c:showCatName val="0"/>
          <c:showSerName val="0"/>
          <c:showPercent val="0"/>
          <c:showBubbleSize val="0"/>
        </c:dLbls>
        <c:gapWidth val="47"/>
        <c:overlap val="100"/>
        <c:axId val="101898496"/>
        <c:axId val="101781504"/>
      </c:barChart>
      <c:lineChart>
        <c:grouping val="standard"/>
        <c:varyColors val="0"/>
        <c:ser>
          <c:idx val="8"/>
          <c:order val="8"/>
          <c:tx>
            <c:strRef>
              <c:f>'Trh práce 1'!$AK$7</c:f>
              <c:strCache>
                <c:ptCount val="1"/>
                <c:pt idx="0">
                  <c:v>Zaměstnanost celkem</c:v>
                </c:pt>
              </c:strCache>
            </c:strRef>
          </c:tx>
          <c:spPr>
            <a:ln w="22225">
              <a:solidFill>
                <a:schemeClr val="tx1">
                  <a:lumMod val="95000"/>
                  <a:lumOff val="5000"/>
                </a:schemeClr>
              </a:solidFill>
            </a:ln>
          </c:spPr>
          <c:marker>
            <c:symbol val="none"/>
          </c:marker>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1'!$AK$28:$AK$53</c:f>
              <c:numCache>
                <c:formatCode>#\ ##0.0</c:formatCode>
                <c:ptCount val="26"/>
                <c:pt idx="0">
                  <c:v>1.2568722152080483</c:v>
                </c:pt>
                <c:pt idx="1">
                  <c:v>1.755209813686605</c:v>
                </c:pt>
                <c:pt idx="2">
                  <c:v>1.3509162976145745</c:v>
                </c:pt>
                <c:pt idx="3">
                  <c:v>1.3487327908819964</c:v>
                </c:pt>
                <c:pt idx="4">
                  <c:v>1.5622074293090975</c:v>
                </c:pt>
                <c:pt idx="5">
                  <c:v>1.4490012923363622</c:v>
                </c:pt>
                <c:pt idx="6">
                  <c:v>1.510931795564602</c:v>
                </c:pt>
                <c:pt idx="7">
                  <c:v>1.8366162892787088</c:v>
                </c:pt>
                <c:pt idx="8">
                  <c:v>1.4663041775407066</c:v>
                </c:pt>
                <c:pt idx="9">
                  <c:v>1.4017976803033889</c:v>
                </c:pt>
                <c:pt idx="10">
                  <c:v>1.9311643076100466</c:v>
                </c:pt>
                <c:pt idx="11">
                  <c:v>1.3946025548949592</c:v>
                </c:pt>
                <c:pt idx="12">
                  <c:v>1.5064596043366407</c:v>
                </c:pt>
                <c:pt idx="13">
                  <c:v>1.7121142303965371</c:v>
                </c:pt>
                <c:pt idx="14">
                  <c:v>0.90434123657819043</c:v>
                </c:pt>
                <c:pt idx="15">
                  <c:v>1.2158357095989061</c:v>
                </c:pt>
                <c:pt idx="16">
                  <c:v>0.93019097240257054</c:v>
                </c:pt>
                <c:pt idx="17">
                  <c:v>0.2467846602560968</c:v>
                </c:pt>
                <c:pt idx="18">
                  <c:v>0.18346747246140183</c:v>
                </c:pt>
                <c:pt idx="19">
                  <c:v>-0.32623292633364542</c:v>
                </c:pt>
                <c:pt idx="20">
                  <c:v>-0.47784613427991474</c:v>
                </c:pt>
                <c:pt idx="21">
                  <c:v>-1.9795501142761793</c:v>
                </c:pt>
                <c:pt idx="22">
                  <c:v>-1.5600819798102066</c:v>
                </c:pt>
                <c:pt idx="23">
                  <c:v>-1.8799661102333403</c:v>
                </c:pt>
                <c:pt idx="24">
                  <c:v>-1.6176486339449667</c:v>
                </c:pt>
              </c:numCache>
            </c:numRef>
          </c:val>
          <c:smooth val="0"/>
          <c:extLst>
            <c:ext xmlns:c16="http://schemas.microsoft.com/office/drawing/2014/chart" uri="{C3380CC4-5D6E-409C-BE32-E72D297353CC}">
              <c16:uniqueId val="{00000008-A90A-4475-9596-A2F20E0693BD}"/>
            </c:ext>
          </c:extLst>
        </c:ser>
        <c:dLbls>
          <c:showLegendKey val="0"/>
          <c:showVal val="0"/>
          <c:showCatName val="0"/>
          <c:showSerName val="0"/>
          <c:showPercent val="0"/>
          <c:showBubbleSize val="0"/>
        </c:dLbls>
        <c:marker val="1"/>
        <c:smooth val="0"/>
        <c:axId val="101898496"/>
        <c:axId val="101781504"/>
      </c:lineChart>
      <c:lineChart>
        <c:grouping val="standard"/>
        <c:varyColors val="0"/>
        <c:ser>
          <c:idx val="9"/>
          <c:order val="9"/>
          <c:tx>
            <c:strRef>
              <c:f>'Trh práce 1'!$AL$7</c:f>
              <c:strCache>
                <c:ptCount val="1"/>
              </c:strCache>
            </c:strRef>
          </c:tx>
          <c:spPr>
            <a:ln>
              <a:noFill/>
            </a:ln>
          </c:spPr>
          <c:marker>
            <c:symbol val="none"/>
          </c:marker>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1'!$AL$28:$AL$53</c:f>
              <c:numCache>
                <c:formatCode>General</c:formatCode>
                <c:ptCount val="26"/>
              </c:numCache>
            </c:numRef>
          </c:val>
          <c:smooth val="0"/>
          <c:extLst>
            <c:ext xmlns:c16="http://schemas.microsoft.com/office/drawing/2014/chart" uri="{C3380CC4-5D6E-409C-BE32-E72D297353CC}">
              <c16:uniqueId val="{00000009-A90A-4475-9596-A2F20E0693BD}"/>
            </c:ext>
          </c:extLst>
        </c:ser>
        <c:ser>
          <c:idx val="10"/>
          <c:order val="10"/>
          <c:tx>
            <c:strRef>
              <c:f>'Trh práce 1'!$AM$7</c:f>
              <c:strCache>
                <c:ptCount val="1"/>
                <c:pt idx="0">
                  <c:v>Očekávání zaměstnanosti (průmysl)</c:v>
                </c:pt>
              </c:strCache>
            </c:strRef>
          </c:tx>
          <c:spPr>
            <a:ln w="15875">
              <a:solidFill>
                <a:schemeClr val="tx1">
                  <a:lumMod val="95000"/>
                  <a:lumOff val="5000"/>
                </a:schemeClr>
              </a:solidFill>
              <a:prstDash val="sysDot"/>
            </a:ln>
          </c:spPr>
          <c:marker>
            <c:symbol val="none"/>
          </c:marker>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1'!$AM$28:$AM$53</c:f>
              <c:numCache>
                <c:formatCode>General</c:formatCode>
                <c:ptCount val="26"/>
                <c:pt idx="0">
                  <c:v>-1.9</c:v>
                </c:pt>
                <c:pt idx="1">
                  <c:v>4.0999999999999996</c:v>
                </c:pt>
                <c:pt idx="2">
                  <c:v>4.7</c:v>
                </c:pt>
                <c:pt idx="3">
                  <c:v>8.8000000000000007</c:v>
                </c:pt>
                <c:pt idx="4">
                  <c:v>9.8000000000000007</c:v>
                </c:pt>
                <c:pt idx="5">
                  <c:v>10</c:v>
                </c:pt>
                <c:pt idx="6">
                  <c:v>4.2</c:v>
                </c:pt>
                <c:pt idx="7">
                  <c:v>9.1999999999999993</c:v>
                </c:pt>
                <c:pt idx="8">
                  <c:v>12.1</c:v>
                </c:pt>
                <c:pt idx="9">
                  <c:v>5.9</c:v>
                </c:pt>
                <c:pt idx="10">
                  <c:v>8.9</c:v>
                </c:pt>
                <c:pt idx="11">
                  <c:v>7.2</c:v>
                </c:pt>
                <c:pt idx="12">
                  <c:v>10.8</c:v>
                </c:pt>
                <c:pt idx="13">
                  <c:v>10.4</c:v>
                </c:pt>
                <c:pt idx="14">
                  <c:v>8.3000000000000007</c:v>
                </c:pt>
                <c:pt idx="15">
                  <c:v>6.5</c:v>
                </c:pt>
                <c:pt idx="16">
                  <c:v>3.1</c:v>
                </c:pt>
                <c:pt idx="17">
                  <c:v>2.5</c:v>
                </c:pt>
                <c:pt idx="18">
                  <c:v>1.6</c:v>
                </c:pt>
                <c:pt idx="19">
                  <c:v>-2.7</c:v>
                </c:pt>
                <c:pt idx="20">
                  <c:v>1.5</c:v>
                </c:pt>
                <c:pt idx="21">
                  <c:v>-17.399999999999999</c:v>
                </c:pt>
                <c:pt idx="22">
                  <c:v>-11.6</c:v>
                </c:pt>
                <c:pt idx="23">
                  <c:v>-5.9</c:v>
                </c:pt>
                <c:pt idx="24">
                  <c:v>0.1</c:v>
                </c:pt>
                <c:pt idx="25">
                  <c:v>9.4</c:v>
                </c:pt>
              </c:numCache>
            </c:numRef>
          </c:val>
          <c:smooth val="0"/>
          <c:extLst>
            <c:ext xmlns:c16="http://schemas.microsoft.com/office/drawing/2014/chart" uri="{C3380CC4-5D6E-409C-BE32-E72D297353CC}">
              <c16:uniqueId val="{0000000A-A90A-4475-9596-A2F20E0693BD}"/>
            </c:ext>
          </c:extLst>
        </c:ser>
        <c:ser>
          <c:idx val="11"/>
          <c:order val="11"/>
          <c:tx>
            <c:strRef>
              <c:f>'Trh práce 1'!$AN$7</c:f>
              <c:strCache>
                <c:ptCount val="1"/>
                <c:pt idx="0">
                  <c:v>Očekávání zaměstnanosti (stavebnictví)</c:v>
                </c:pt>
              </c:strCache>
            </c:strRef>
          </c:tx>
          <c:spPr>
            <a:ln w="15875">
              <a:solidFill>
                <a:srgbClr val="00B0F0"/>
              </a:solidFill>
              <a:prstDash val="sysDot"/>
            </a:ln>
          </c:spPr>
          <c:marker>
            <c:symbol val="none"/>
          </c:marker>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1'!$AN$28:$AN$53</c:f>
              <c:numCache>
                <c:formatCode>General</c:formatCode>
                <c:ptCount val="26"/>
                <c:pt idx="0">
                  <c:v>-1.9</c:v>
                </c:pt>
                <c:pt idx="1">
                  <c:v>7.3</c:v>
                </c:pt>
                <c:pt idx="2">
                  <c:v>0.6</c:v>
                </c:pt>
                <c:pt idx="3">
                  <c:v>2.2999999999999998</c:v>
                </c:pt>
                <c:pt idx="4">
                  <c:v>-0.9</c:v>
                </c:pt>
                <c:pt idx="5">
                  <c:v>-8</c:v>
                </c:pt>
                <c:pt idx="6">
                  <c:v>-6.3</c:v>
                </c:pt>
                <c:pt idx="7">
                  <c:v>-7.2</c:v>
                </c:pt>
                <c:pt idx="8">
                  <c:v>-7.7</c:v>
                </c:pt>
                <c:pt idx="9">
                  <c:v>-15.4</c:v>
                </c:pt>
                <c:pt idx="10">
                  <c:v>-9.3000000000000007</c:v>
                </c:pt>
                <c:pt idx="11">
                  <c:v>-3.2</c:v>
                </c:pt>
                <c:pt idx="12">
                  <c:v>4.3</c:v>
                </c:pt>
                <c:pt idx="13">
                  <c:v>4.3</c:v>
                </c:pt>
                <c:pt idx="14">
                  <c:v>8</c:v>
                </c:pt>
                <c:pt idx="15">
                  <c:v>11.4</c:v>
                </c:pt>
                <c:pt idx="16">
                  <c:v>8.8000000000000007</c:v>
                </c:pt>
                <c:pt idx="17">
                  <c:v>10</c:v>
                </c:pt>
                <c:pt idx="18">
                  <c:v>3.9</c:v>
                </c:pt>
                <c:pt idx="19">
                  <c:v>10.9</c:v>
                </c:pt>
                <c:pt idx="20">
                  <c:v>6.7</c:v>
                </c:pt>
                <c:pt idx="21">
                  <c:v>-3.6</c:v>
                </c:pt>
                <c:pt idx="22">
                  <c:v>-0.6</c:v>
                </c:pt>
                <c:pt idx="23">
                  <c:v>-3.1</c:v>
                </c:pt>
                <c:pt idx="24">
                  <c:v>2.1</c:v>
                </c:pt>
                <c:pt idx="25">
                  <c:v>3.6</c:v>
                </c:pt>
              </c:numCache>
            </c:numRef>
          </c:val>
          <c:smooth val="0"/>
          <c:extLst>
            <c:ext xmlns:c16="http://schemas.microsoft.com/office/drawing/2014/chart" uri="{C3380CC4-5D6E-409C-BE32-E72D297353CC}">
              <c16:uniqueId val="{0000000B-A90A-4475-9596-A2F20E0693BD}"/>
            </c:ext>
          </c:extLst>
        </c:ser>
        <c:ser>
          <c:idx val="12"/>
          <c:order val="12"/>
          <c:tx>
            <c:strRef>
              <c:f>'Trh práce 1'!$AO$7</c:f>
              <c:strCache>
                <c:ptCount val="1"/>
                <c:pt idx="0">
                  <c:v>Očekávání zaměstnanosti (obchod)</c:v>
                </c:pt>
              </c:strCache>
            </c:strRef>
          </c:tx>
          <c:spPr>
            <a:ln w="15875">
              <a:solidFill>
                <a:schemeClr val="accent6">
                  <a:lumMod val="75000"/>
                </a:schemeClr>
              </a:solidFill>
              <a:prstDash val="sysDot"/>
            </a:ln>
          </c:spPr>
          <c:marker>
            <c:symbol val="none"/>
          </c:marker>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1'!$AO$28:$AO$53</c:f>
              <c:numCache>
                <c:formatCode>General</c:formatCode>
                <c:ptCount val="26"/>
                <c:pt idx="0">
                  <c:v>15.5</c:v>
                </c:pt>
                <c:pt idx="1">
                  <c:v>5.4</c:v>
                </c:pt>
                <c:pt idx="2">
                  <c:v>3.4</c:v>
                </c:pt>
                <c:pt idx="3">
                  <c:v>-2.4</c:v>
                </c:pt>
                <c:pt idx="4">
                  <c:v>15.7</c:v>
                </c:pt>
                <c:pt idx="5">
                  <c:v>19.600000000000001</c:v>
                </c:pt>
                <c:pt idx="6">
                  <c:v>20.9</c:v>
                </c:pt>
                <c:pt idx="7">
                  <c:v>18.399999999999999</c:v>
                </c:pt>
                <c:pt idx="8">
                  <c:v>15.8</c:v>
                </c:pt>
                <c:pt idx="9">
                  <c:v>19.3</c:v>
                </c:pt>
                <c:pt idx="10">
                  <c:v>19.899999999999999</c:v>
                </c:pt>
                <c:pt idx="11">
                  <c:v>13.8</c:v>
                </c:pt>
                <c:pt idx="12">
                  <c:v>26.7</c:v>
                </c:pt>
                <c:pt idx="13">
                  <c:v>31.9</c:v>
                </c:pt>
                <c:pt idx="14">
                  <c:v>28.3</c:v>
                </c:pt>
                <c:pt idx="15">
                  <c:v>18.2</c:v>
                </c:pt>
                <c:pt idx="16">
                  <c:v>11.7</c:v>
                </c:pt>
                <c:pt idx="17">
                  <c:v>13.7</c:v>
                </c:pt>
                <c:pt idx="18">
                  <c:v>12.9</c:v>
                </c:pt>
                <c:pt idx="19">
                  <c:v>14.5</c:v>
                </c:pt>
                <c:pt idx="20">
                  <c:v>11.1</c:v>
                </c:pt>
                <c:pt idx="21">
                  <c:v>-6.9</c:v>
                </c:pt>
                <c:pt idx="22">
                  <c:v>-4.8</c:v>
                </c:pt>
                <c:pt idx="23">
                  <c:v>1.3</c:v>
                </c:pt>
                <c:pt idx="24">
                  <c:v>4.2</c:v>
                </c:pt>
                <c:pt idx="25">
                  <c:v>11.5</c:v>
                </c:pt>
              </c:numCache>
            </c:numRef>
          </c:val>
          <c:smooth val="0"/>
          <c:extLst>
            <c:ext xmlns:c16="http://schemas.microsoft.com/office/drawing/2014/chart" uri="{C3380CC4-5D6E-409C-BE32-E72D297353CC}">
              <c16:uniqueId val="{0000000C-A90A-4475-9596-A2F20E0693BD}"/>
            </c:ext>
          </c:extLst>
        </c:ser>
        <c:ser>
          <c:idx val="13"/>
          <c:order val="13"/>
          <c:tx>
            <c:strRef>
              <c:f>'Trh práce 1'!$AP$7</c:f>
              <c:strCache>
                <c:ptCount val="1"/>
                <c:pt idx="0">
                  <c:v>Očekávání zaměstnanosti (vybr. služby)</c:v>
                </c:pt>
              </c:strCache>
            </c:strRef>
          </c:tx>
          <c:spPr>
            <a:ln w="15875">
              <a:solidFill>
                <a:srgbClr val="C00000"/>
              </a:solidFill>
              <a:prstDash val="sysDot"/>
            </a:ln>
          </c:spPr>
          <c:marker>
            <c:symbol val="none"/>
          </c:marker>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1'!$AP$28:$AP$53</c:f>
              <c:numCache>
                <c:formatCode>General</c:formatCode>
                <c:ptCount val="26"/>
                <c:pt idx="0">
                  <c:v>-15.7</c:v>
                </c:pt>
                <c:pt idx="1">
                  <c:v>-21.3</c:v>
                </c:pt>
                <c:pt idx="2">
                  <c:v>2.6</c:v>
                </c:pt>
                <c:pt idx="3">
                  <c:v>3.8</c:v>
                </c:pt>
                <c:pt idx="4">
                  <c:v>2.6</c:v>
                </c:pt>
                <c:pt idx="5">
                  <c:v>24.7</c:v>
                </c:pt>
                <c:pt idx="6">
                  <c:v>-1.7</c:v>
                </c:pt>
                <c:pt idx="7">
                  <c:v>7.2</c:v>
                </c:pt>
                <c:pt idx="8">
                  <c:v>11.7</c:v>
                </c:pt>
                <c:pt idx="9">
                  <c:v>11.5</c:v>
                </c:pt>
                <c:pt idx="10">
                  <c:v>19.8</c:v>
                </c:pt>
                <c:pt idx="11">
                  <c:v>2.8</c:v>
                </c:pt>
                <c:pt idx="12">
                  <c:v>14.9</c:v>
                </c:pt>
                <c:pt idx="13">
                  <c:v>10.5</c:v>
                </c:pt>
                <c:pt idx="14">
                  <c:v>9</c:v>
                </c:pt>
                <c:pt idx="15">
                  <c:v>-5.2</c:v>
                </c:pt>
                <c:pt idx="16">
                  <c:v>-8.1</c:v>
                </c:pt>
                <c:pt idx="17">
                  <c:v>-6.9</c:v>
                </c:pt>
                <c:pt idx="18">
                  <c:v>-8.3000000000000007</c:v>
                </c:pt>
                <c:pt idx="19">
                  <c:v>-11.7</c:v>
                </c:pt>
                <c:pt idx="20">
                  <c:v>-20.3</c:v>
                </c:pt>
                <c:pt idx="21">
                  <c:v>-33.700000000000003</c:v>
                </c:pt>
                <c:pt idx="22">
                  <c:v>-33.299999999999997</c:v>
                </c:pt>
                <c:pt idx="23">
                  <c:v>-27.3</c:v>
                </c:pt>
                <c:pt idx="24">
                  <c:v>-28</c:v>
                </c:pt>
                <c:pt idx="25">
                  <c:v>-29.7</c:v>
                </c:pt>
              </c:numCache>
            </c:numRef>
          </c:val>
          <c:smooth val="0"/>
          <c:extLst>
            <c:ext xmlns:c16="http://schemas.microsoft.com/office/drawing/2014/chart" uri="{C3380CC4-5D6E-409C-BE32-E72D297353CC}">
              <c16:uniqueId val="{0000000D-A90A-4475-9596-A2F20E0693BD}"/>
            </c:ext>
          </c:extLst>
        </c:ser>
        <c:dLbls>
          <c:showLegendKey val="0"/>
          <c:showVal val="0"/>
          <c:showCatName val="0"/>
          <c:showSerName val="0"/>
          <c:showPercent val="0"/>
          <c:showBubbleSize val="0"/>
        </c:dLbls>
        <c:marker val="1"/>
        <c:smooth val="0"/>
        <c:axId val="332941824"/>
        <c:axId val="332936832"/>
      </c:lineChart>
      <c:catAx>
        <c:axId val="101898496"/>
        <c:scaling>
          <c:orientation val="minMax"/>
        </c:scaling>
        <c:delete val="0"/>
        <c:axPos val="b"/>
        <c:numFmt formatCode="General" sourceLinked="1"/>
        <c:majorTickMark val="out"/>
        <c:minorTickMark val="none"/>
        <c:tickLblPos val="low"/>
        <c:spPr>
          <a:ln>
            <a:solidFill>
              <a:schemeClr val="tx1"/>
            </a:solidFill>
          </a:ln>
        </c:spPr>
        <c:crossAx val="101781504"/>
        <c:crosses val="autoZero"/>
        <c:auto val="1"/>
        <c:lblAlgn val="ctr"/>
        <c:lblOffset val="10"/>
        <c:noMultiLvlLbl val="0"/>
      </c:catAx>
      <c:valAx>
        <c:axId val="101781504"/>
        <c:scaling>
          <c:orientation val="minMax"/>
          <c:max val="2"/>
          <c:min val="-5"/>
        </c:scaling>
        <c:delete val="0"/>
        <c:axPos val="l"/>
        <c:majorGridlines>
          <c:spPr>
            <a:ln w="6350">
              <a:solidFill>
                <a:schemeClr val="bg1">
                  <a:lumMod val="75000"/>
                </a:schemeClr>
              </a:solidFill>
            </a:ln>
          </c:spPr>
        </c:majorGridlines>
        <c:title>
          <c:tx>
            <c:rich>
              <a:bodyPr/>
              <a:lstStyle/>
              <a:p>
                <a:pPr>
                  <a:defRPr sz="700" b="0" i="1"/>
                </a:pPr>
                <a:r>
                  <a:rPr lang="cs-CZ" sz="700" b="0" i="1"/>
                  <a:t>Příspěvky</a:t>
                </a:r>
                <a:r>
                  <a:rPr lang="cs-CZ" sz="700" b="0" i="1" baseline="0"/>
                  <a:t> k</a:t>
                </a:r>
                <a:r>
                  <a:rPr lang="cs-CZ" sz="700" b="0" i="1" u="none" strike="noStrike" kern="1200" baseline="0">
                    <a:solidFill>
                      <a:sysClr val="windowText" lastClr="000000"/>
                    </a:solidFill>
                    <a:latin typeface="Arial" panose="020B0604020202020204" pitchFamily="34" charset="0"/>
                    <a:ea typeface="+mn-ea"/>
                    <a:cs typeface="Arial" panose="020B0604020202020204" pitchFamily="34" charset="0"/>
                  </a:rPr>
                  <a:t> </a:t>
                </a:r>
                <a:r>
                  <a:rPr lang="cs-CZ" sz="700" b="0" i="1" baseline="0"/>
                  <a:t>růstu zaměstnanosti</a:t>
                </a:r>
                <a:endParaRPr lang="cs-CZ" sz="700" b="0" i="1"/>
              </a:p>
            </c:rich>
          </c:tx>
          <c:layout>
            <c:manualLayout>
              <c:xMode val="edge"/>
              <c:yMode val="edge"/>
              <c:x val="0"/>
              <c:y val="0.15110810581510684"/>
            </c:manualLayout>
          </c:layout>
          <c:overlay val="0"/>
        </c:title>
        <c:numFmt formatCode="0.0" sourceLinked="0"/>
        <c:majorTickMark val="out"/>
        <c:minorTickMark val="none"/>
        <c:tickLblPos val="nextTo"/>
        <c:spPr>
          <a:ln>
            <a:solidFill>
              <a:schemeClr val="tx1"/>
            </a:solidFill>
          </a:ln>
        </c:spPr>
        <c:crossAx val="101898496"/>
        <c:crosses val="autoZero"/>
        <c:crossBetween val="between"/>
        <c:majorUnit val="0.5"/>
      </c:valAx>
      <c:valAx>
        <c:axId val="332936832"/>
        <c:scaling>
          <c:orientation val="minMax"/>
          <c:max val="100"/>
          <c:min val="-40"/>
        </c:scaling>
        <c:delete val="0"/>
        <c:axPos val="r"/>
        <c:title>
          <c:tx>
            <c:rich>
              <a:bodyPr/>
              <a:lstStyle/>
              <a:p>
                <a:pPr>
                  <a:defRPr sz="700" b="0" i="1"/>
                </a:pPr>
                <a:r>
                  <a:rPr lang="cs-CZ" sz="700" b="0" i="1"/>
                  <a:t>Očekávání</a:t>
                </a:r>
                <a:r>
                  <a:rPr lang="cs-CZ" sz="700" b="0" i="1" baseline="0"/>
                  <a:t> vývoje zaměstnanosti</a:t>
                </a:r>
                <a:endParaRPr lang="cs-CZ" sz="700" b="0" i="1"/>
              </a:p>
            </c:rich>
          </c:tx>
          <c:layout>
            <c:manualLayout>
              <c:xMode val="edge"/>
              <c:yMode val="edge"/>
              <c:x val="0.97040343782834393"/>
              <c:y val="0.19420735772001382"/>
            </c:manualLayout>
          </c:layout>
          <c:overlay val="0"/>
        </c:title>
        <c:numFmt formatCode="#,##0" sourceLinked="0"/>
        <c:majorTickMark val="out"/>
        <c:minorTickMark val="none"/>
        <c:tickLblPos val="nextTo"/>
        <c:crossAx val="332941824"/>
        <c:crosses val="max"/>
        <c:crossBetween val="between"/>
        <c:majorUnit val="10"/>
      </c:valAx>
      <c:catAx>
        <c:axId val="332941824"/>
        <c:scaling>
          <c:orientation val="minMax"/>
        </c:scaling>
        <c:delete val="1"/>
        <c:axPos val="b"/>
        <c:numFmt formatCode="General" sourceLinked="1"/>
        <c:majorTickMark val="out"/>
        <c:minorTickMark val="none"/>
        <c:tickLblPos val="nextTo"/>
        <c:crossAx val="332936832"/>
        <c:crosses val="autoZero"/>
        <c:auto val="1"/>
        <c:lblAlgn val="ctr"/>
        <c:lblOffset val="100"/>
        <c:noMultiLvlLbl val="0"/>
      </c:catAx>
      <c:spPr>
        <a:ln>
          <a:solidFill>
            <a:schemeClr val="tx1"/>
          </a:solidFill>
        </a:ln>
      </c:spPr>
    </c:plotArea>
    <c:legend>
      <c:legendPos val="b"/>
      <c:layout>
        <c:manualLayout>
          <c:xMode val="edge"/>
          <c:yMode val="edge"/>
          <c:x val="4.692510837063792E-3"/>
          <c:y val="0.7737351285059999"/>
          <c:w val="0.96005692595618608"/>
          <c:h val="0.21194618315349945"/>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97366722205891E-2"/>
          <c:y val="1.6081916099773243E-2"/>
          <c:w val="0.83584199323558972"/>
          <c:h val="0.75393509070294773"/>
        </c:manualLayout>
      </c:layout>
      <c:barChart>
        <c:barDir val="col"/>
        <c:grouping val="clustered"/>
        <c:varyColors val="0"/>
        <c:ser>
          <c:idx val="0"/>
          <c:order val="0"/>
          <c:tx>
            <c:strRef>
              <c:f>'Trh práce-2b'!$A$29</c:f>
              <c:strCache>
                <c:ptCount val="1"/>
                <c:pt idx="0">
                  <c:v>Míra nezaměstnanosti mužů (levá osa)</c:v>
                </c:pt>
              </c:strCache>
            </c:strRef>
          </c:tx>
          <c:spPr>
            <a:solidFill>
              <a:srgbClr val="BCBCBC"/>
            </a:solidFill>
          </c:spPr>
          <c:invertIfNegative val="0"/>
          <c:cat>
            <c:multiLvlStrRef>
              <c:f>'Trh práce-2b'!$B$27:$AA$28</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práce-2b'!$B$29:$AA$29</c:f>
              <c:numCache>
                <c:formatCode>0.0</c:formatCode>
                <c:ptCount val="26"/>
                <c:pt idx="0">
                  <c:v>5.0279442811649515</c:v>
                </c:pt>
                <c:pt idx="1">
                  <c:v>4.3132022848917435</c:v>
                </c:pt>
                <c:pt idx="2">
                  <c:v>4.0493220315169971</c:v>
                </c:pt>
                <c:pt idx="3">
                  <c:v>3.796297064946359</c:v>
                </c:pt>
                <c:pt idx="4">
                  <c:v>3.6579593231451923</c:v>
                </c:pt>
                <c:pt idx="5">
                  <c:v>3.5625192464593023</c:v>
                </c:pt>
                <c:pt idx="6">
                  <c:v>3.3812822208883007</c:v>
                </c:pt>
                <c:pt idx="7">
                  <c:v>3.1604955590050579</c:v>
                </c:pt>
                <c:pt idx="8">
                  <c:v>2.7018943335334851</c:v>
                </c:pt>
                <c:pt idx="9">
                  <c:v>2.4843960569492856</c:v>
                </c:pt>
                <c:pt idx="10">
                  <c:v>2.2430057716347727</c:v>
                </c:pt>
                <c:pt idx="11">
                  <c:v>2.086614723505777</c:v>
                </c:pt>
                <c:pt idx="12">
                  <c:v>1.900186791646451</c:v>
                </c:pt>
                <c:pt idx="13">
                  <c:v>1.8247057320577735</c:v>
                </c:pt>
                <c:pt idx="14">
                  <c:v>1.8814809605942038</c:v>
                </c:pt>
                <c:pt idx="15">
                  <c:v>1.6838644007455752</c:v>
                </c:pt>
                <c:pt idx="16">
                  <c:v>1.8091345291598684</c:v>
                </c:pt>
                <c:pt idx="17">
                  <c:v>1.6718639728590583</c:v>
                </c:pt>
                <c:pt idx="18">
                  <c:v>1.7587593615374626</c:v>
                </c:pt>
                <c:pt idx="19">
                  <c:v>1.8616281034094877</c:v>
                </c:pt>
                <c:pt idx="20">
                  <c:v>1.8498512391749937</c:v>
                </c:pt>
                <c:pt idx="21">
                  <c:v>2.2720588923440892</c:v>
                </c:pt>
                <c:pt idx="22">
                  <c:v>2.4985859599987545</c:v>
                </c:pt>
                <c:pt idx="23">
                  <c:v>2.5706106644583726</c:v>
                </c:pt>
                <c:pt idx="24">
                  <c:v>2.6176776716422299</c:v>
                </c:pt>
              </c:numCache>
            </c:numRef>
          </c:val>
          <c:extLst>
            <c:ext xmlns:c16="http://schemas.microsoft.com/office/drawing/2014/chart" uri="{C3380CC4-5D6E-409C-BE32-E72D297353CC}">
              <c16:uniqueId val="{00000000-78AD-4B38-86C2-C17E60B86A59}"/>
            </c:ext>
          </c:extLst>
        </c:ser>
        <c:ser>
          <c:idx val="1"/>
          <c:order val="1"/>
          <c:tx>
            <c:strRef>
              <c:f>'Trh práce-2b'!$A$30</c:f>
              <c:strCache>
                <c:ptCount val="1"/>
                <c:pt idx="0">
                  <c:v>Míra nezaměstnanosti žen (levá osa)</c:v>
                </c:pt>
              </c:strCache>
            </c:strRef>
          </c:tx>
          <c:spPr>
            <a:solidFill>
              <a:schemeClr val="bg1">
                <a:lumMod val="95000"/>
              </a:schemeClr>
            </a:solidFill>
            <a:ln>
              <a:solidFill>
                <a:schemeClr val="bg1">
                  <a:lumMod val="65000"/>
                </a:schemeClr>
              </a:solidFill>
            </a:ln>
          </c:spPr>
          <c:invertIfNegative val="0"/>
          <c:cat>
            <c:multiLvlStrRef>
              <c:f>'Trh práce-2b'!$B$27:$AA$28</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práce-2b'!$B$30:$AA$30</c:f>
              <c:numCache>
                <c:formatCode>0.0</c:formatCode>
                <c:ptCount val="26"/>
                <c:pt idx="0">
                  <c:v>6.9457408606984989</c:v>
                </c:pt>
                <c:pt idx="1">
                  <c:v>6.177648448786127</c:v>
                </c:pt>
                <c:pt idx="2">
                  <c:v>5.9674466507578154</c:v>
                </c:pt>
                <c:pt idx="3">
                  <c:v>5.6521751054305609</c:v>
                </c:pt>
                <c:pt idx="4">
                  <c:v>5.0891718315980876</c:v>
                </c:pt>
                <c:pt idx="5">
                  <c:v>4.8062266995652889</c:v>
                </c:pt>
                <c:pt idx="6">
                  <c:v>4.7750484852108821</c:v>
                </c:pt>
                <c:pt idx="7">
                  <c:v>4.3473349153216212</c:v>
                </c:pt>
                <c:pt idx="8">
                  <c:v>4.2801462931522218</c:v>
                </c:pt>
                <c:pt idx="9">
                  <c:v>3.9213812677822548</c:v>
                </c:pt>
                <c:pt idx="10">
                  <c:v>3.3888114698518668</c:v>
                </c:pt>
                <c:pt idx="11">
                  <c:v>2.9905820242198646</c:v>
                </c:pt>
                <c:pt idx="12">
                  <c:v>2.9402559950808258</c:v>
                </c:pt>
                <c:pt idx="13">
                  <c:v>2.9353227379584781</c:v>
                </c:pt>
                <c:pt idx="14">
                  <c:v>2.8604233097151144</c:v>
                </c:pt>
                <c:pt idx="15">
                  <c:v>2.6486774454254731</c:v>
                </c:pt>
                <c:pt idx="16">
                  <c:v>2.2492984850555064</c:v>
                </c:pt>
                <c:pt idx="17">
                  <c:v>2.5011272609131612</c:v>
                </c:pt>
                <c:pt idx="18">
                  <c:v>2.5456393371021431</c:v>
                </c:pt>
                <c:pt idx="19">
                  <c:v>2.4415807173650577</c:v>
                </c:pt>
                <c:pt idx="20">
                  <c:v>2.0698278802825825</c:v>
                </c:pt>
                <c:pt idx="21">
                  <c:v>2.8182122704870634</c:v>
                </c:pt>
                <c:pt idx="22">
                  <c:v>3.3459924034590363</c:v>
                </c:pt>
                <c:pt idx="23">
                  <c:v>3.8739925140162246</c:v>
                </c:pt>
                <c:pt idx="24">
                  <c:v>4.1159607762157213</c:v>
                </c:pt>
              </c:numCache>
            </c:numRef>
          </c:val>
          <c:extLst>
            <c:ext xmlns:c16="http://schemas.microsoft.com/office/drawing/2014/chart" uri="{C3380CC4-5D6E-409C-BE32-E72D297353CC}">
              <c16:uniqueId val="{00000001-78AD-4B38-86C2-C17E60B86A59}"/>
            </c:ext>
          </c:extLst>
        </c:ser>
        <c:dLbls>
          <c:showLegendKey val="0"/>
          <c:showVal val="0"/>
          <c:showCatName val="0"/>
          <c:showSerName val="0"/>
          <c:showPercent val="0"/>
          <c:showBubbleSize val="0"/>
        </c:dLbls>
        <c:gapWidth val="68"/>
        <c:axId val="100654464"/>
        <c:axId val="101647488"/>
      </c:barChart>
      <c:lineChart>
        <c:grouping val="standard"/>
        <c:varyColors val="0"/>
        <c:ser>
          <c:idx val="2"/>
          <c:order val="2"/>
          <c:tx>
            <c:strRef>
              <c:f>'Trh práce-2b'!$A$31</c:f>
              <c:strCache>
                <c:ptCount val="1"/>
                <c:pt idx="0">
                  <c:v>Podíl nezam. déle než 1 rok (pravá osa)</c:v>
                </c:pt>
              </c:strCache>
            </c:strRef>
          </c:tx>
          <c:spPr>
            <a:ln w="19050">
              <a:solidFill>
                <a:srgbClr val="663300"/>
              </a:solidFill>
              <a:prstDash val="sysDash"/>
            </a:ln>
          </c:spPr>
          <c:marker>
            <c:symbol val="none"/>
          </c:marker>
          <c:cat>
            <c:multiLvlStrRef>
              <c:f>'Trh práce-2b'!$B$27:$AA$28</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práce-2b'!$B$31:$AA$31</c:f>
              <c:numCache>
                <c:formatCode>0.0</c:formatCode>
                <c:ptCount val="26"/>
                <c:pt idx="0">
                  <c:v>45.762175838077162</c:v>
                </c:pt>
                <c:pt idx="1">
                  <c:v>46.715049656226128</c:v>
                </c:pt>
                <c:pt idx="2">
                  <c:v>48.521400778210108</c:v>
                </c:pt>
                <c:pt idx="3">
                  <c:v>48.542458808618512</c:v>
                </c:pt>
                <c:pt idx="4">
                  <c:v>45.847750865051907</c:v>
                </c:pt>
                <c:pt idx="5">
                  <c:v>43.490701001430608</c:v>
                </c:pt>
                <c:pt idx="6">
                  <c:v>39.295774647887328</c:v>
                </c:pt>
                <c:pt idx="7">
                  <c:v>39.196242171189979</c:v>
                </c:pt>
                <c:pt idx="8">
                  <c:v>37.093275488069416</c:v>
                </c:pt>
                <c:pt idx="9">
                  <c:v>37.366099558916197</c:v>
                </c:pt>
                <c:pt idx="10">
                  <c:v>32.798931195724784</c:v>
                </c:pt>
                <c:pt idx="11">
                  <c:v>31.546231546231553</c:v>
                </c:pt>
                <c:pt idx="12">
                  <c:v>31.741140215716484</c:v>
                </c:pt>
                <c:pt idx="13">
                  <c:v>30.28764805414551</c:v>
                </c:pt>
                <c:pt idx="14">
                  <c:v>28.796223446105422</c:v>
                </c:pt>
                <c:pt idx="15">
                  <c:v>31.317689530685922</c:v>
                </c:pt>
                <c:pt idx="16">
                  <c:v>32.360984503190522</c:v>
                </c:pt>
                <c:pt idx="17">
                  <c:v>32.2265625</c:v>
                </c:pt>
                <c:pt idx="18">
                  <c:v>26.979982593559615</c:v>
                </c:pt>
                <c:pt idx="19">
                  <c:v>28.623853211009177</c:v>
                </c:pt>
                <c:pt idx="20">
                  <c:v>29.4</c:v>
                </c:pt>
                <c:pt idx="21">
                  <c:v>20.823436262866192</c:v>
                </c:pt>
                <c:pt idx="22">
                  <c:v>20.012995451591941</c:v>
                </c:pt>
                <c:pt idx="23">
                  <c:v>21.521335807050093</c:v>
                </c:pt>
                <c:pt idx="24">
                  <c:v>19.387186629526461</c:v>
                </c:pt>
              </c:numCache>
            </c:numRef>
          </c:val>
          <c:smooth val="0"/>
          <c:extLst>
            <c:ext xmlns:c16="http://schemas.microsoft.com/office/drawing/2014/chart" uri="{C3380CC4-5D6E-409C-BE32-E72D297353CC}">
              <c16:uniqueId val="{00000002-78AD-4B38-86C2-C17E60B86A59}"/>
            </c:ext>
          </c:extLst>
        </c:ser>
        <c:ser>
          <c:idx val="3"/>
          <c:order val="3"/>
          <c:tx>
            <c:strRef>
              <c:f>'Trh práce-2b'!$A$32</c:f>
              <c:strCache>
                <c:ptCount val="1"/>
                <c:pt idx="0">
                  <c:v>Podíl osob do 25 let mezi nezam. (pr. osa)</c:v>
                </c:pt>
              </c:strCache>
            </c:strRef>
          </c:tx>
          <c:spPr>
            <a:ln w="19050">
              <a:solidFill>
                <a:srgbClr val="00B050"/>
              </a:solidFill>
              <a:prstDash val="sysDash"/>
            </a:ln>
          </c:spPr>
          <c:marker>
            <c:symbol val="none"/>
          </c:marker>
          <c:cat>
            <c:multiLvlStrRef>
              <c:f>'Trh práce-2b'!$B$27:$AA$28</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práce-2b'!$B$32:$AA$32</c:f>
              <c:numCache>
                <c:formatCode>0.0</c:formatCode>
                <c:ptCount val="26"/>
                <c:pt idx="0">
                  <c:v>15.50632911392405</c:v>
                </c:pt>
                <c:pt idx="1">
                  <c:v>15.648854961832063</c:v>
                </c:pt>
                <c:pt idx="2">
                  <c:v>17.509727626459142</c:v>
                </c:pt>
                <c:pt idx="3">
                  <c:v>16.455696202531644</c:v>
                </c:pt>
                <c:pt idx="4">
                  <c:v>13.852813852813853</c:v>
                </c:pt>
                <c:pt idx="5">
                  <c:v>15.238095238095239</c:v>
                </c:pt>
                <c:pt idx="6">
                  <c:v>18.30985915492958</c:v>
                </c:pt>
                <c:pt idx="7">
                  <c:v>18.75</c:v>
                </c:pt>
                <c:pt idx="8">
                  <c:v>14.673913043478262</c:v>
                </c:pt>
                <c:pt idx="9">
                  <c:v>16.352201257861633</c:v>
                </c:pt>
                <c:pt idx="10">
                  <c:v>18.666666666666668</c:v>
                </c:pt>
                <c:pt idx="11">
                  <c:v>14.728682170542637</c:v>
                </c:pt>
                <c:pt idx="12">
                  <c:v>14.615384615384617</c:v>
                </c:pt>
                <c:pt idx="13">
                  <c:v>16.949152542372879</c:v>
                </c:pt>
                <c:pt idx="14">
                  <c:v>18.110236220472441</c:v>
                </c:pt>
                <c:pt idx="15">
                  <c:v>16.216216216216218</c:v>
                </c:pt>
                <c:pt idx="16">
                  <c:v>14.545454545454545</c:v>
                </c:pt>
                <c:pt idx="17">
                  <c:v>15.686274509803921</c:v>
                </c:pt>
                <c:pt idx="18">
                  <c:v>15.65217391304348</c:v>
                </c:pt>
                <c:pt idx="19">
                  <c:v>13.761467889908257</c:v>
                </c:pt>
                <c:pt idx="20">
                  <c:v>13.522012578616351</c:v>
                </c:pt>
                <c:pt idx="21">
                  <c:v>14.248021108179421</c:v>
                </c:pt>
                <c:pt idx="22">
                  <c:v>16.702819956616054</c:v>
                </c:pt>
                <c:pt idx="23">
                  <c:v>15.670103092783505</c:v>
                </c:pt>
                <c:pt idx="24">
                  <c:v>13.857677902621724</c:v>
                </c:pt>
              </c:numCache>
            </c:numRef>
          </c:val>
          <c:smooth val="0"/>
          <c:extLst>
            <c:ext xmlns:c16="http://schemas.microsoft.com/office/drawing/2014/chart" uri="{C3380CC4-5D6E-409C-BE32-E72D297353CC}">
              <c16:uniqueId val="{00000003-78AD-4B38-86C2-C17E60B86A59}"/>
            </c:ext>
          </c:extLst>
        </c:ser>
        <c:ser>
          <c:idx val="6"/>
          <c:order val="4"/>
          <c:tx>
            <c:strRef>
              <c:f>'Trh práce-2b'!$A$33</c:f>
              <c:strCache>
                <c:ptCount val="1"/>
                <c:pt idx="0">
                  <c:v>Podíl osob nad 50 let mezi nezam. (pr. osa)</c:v>
                </c:pt>
              </c:strCache>
            </c:strRef>
          </c:tx>
          <c:spPr>
            <a:ln w="19050">
              <a:solidFill>
                <a:srgbClr val="0070C0"/>
              </a:solidFill>
              <a:prstDash val="sysDash"/>
            </a:ln>
          </c:spPr>
          <c:marker>
            <c:symbol val="none"/>
          </c:marker>
          <c:cat>
            <c:multiLvlStrRef>
              <c:f>'Trh práce-2b'!$B$27:$AA$28</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práce-2b'!$B$33:$AA$33</c:f>
              <c:numCache>
                <c:formatCode>0.0</c:formatCode>
                <c:ptCount val="26"/>
                <c:pt idx="0">
                  <c:v>23.213156230234031</c:v>
                </c:pt>
                <c:pt idx="1">
                  <c:v>24.140565317035907</c:v>
                </c:pt>
                <c:pt idx="2">
                  <c:v>22.451361867704282</c:v>
                </c:pt>
                <c:pt idx="3">
                  <c:v>23.954372623574148</c:v>
                </c:pt>
                <c:pt idx="4">
                  <c:v>28.157439446366784</c:v>
                </c:pt>
                <c:pt idx="5">
                  <c:v>26.180257510729614</c:v>
                </c:pt>
                <c:pt idx="6">
                  <c:v>22.86384976525822</c:v>
                </c:pt>
                <c:pt idx="7">
                  <c:v>24.947807933194156</c:v>
                </c:pt>
                <c:pt idx="8">
                  <c:v>26.138828633405641</c:v>
                </c:pt>
                <c:pt idx="9">
                  <c:v>24.763705103969755</c:v>
                </c:pt>
                <c:pt idx="10">
                  <c:v>23.380093520374086</c:v>
                </c:pt>
                <c:pt idx="11">
                  <c:v>23.931623931623935</c:v>
                </c:pt>
                <c:pt idx="12">
                  <c:v>25.808936825885976</c:v>
                </c:pt>
                <c:pt idx="13">
                  <c:v>24.957698815566832</c:v>
                </c:pt>
                <c:pt idx="14">
                  <c:v>24.311565696302122</c:v>
                </c:pt>
                <c:pt idx="15">
                  <c:v>23.285198555956679</c:v>
                </c:pt>
                <c:pt idx="16">
                  <c:v>26.253418413855972</c:v>
                </c:pt>
                <c:pt idx="17">
                  <c:v>24.609374999999996</c:v>
                </c:pt>
                <c:pt idx="18">
                  <c:v>26.02262837249782</c:v>
                </c:pt>
                <c:pt idx="19">
                  <c:v>25.596330275229356</c:v>
                </c:pt>
                <c:pt idx="20">
                  <c:v>24.976437323279928</c:v>
                </c:pt>
                <c:pt idx="21">
                  <c:v>21.61520190023753</c:v>
                </c:pt>
                <c:pt idx="22">
                  <c:v>22.157244964262507</c:v>
                </c:pt>
                <c:pt idx="23">
                  <c:v>20.5</c:v>
                </c:pt>
              </c:numCache>
            </c:numRef>
          </c:val>
          <c:smooth val="0"/>
          <c:extLst>
            <c:ext xmlns:c16="http://schemas.microsoft.com/office/drawing/2014/chart" uri="{C3380CC4-5D6E-409C-BE32-E72D297353CC}">
              <c16:uniqueId val="{00000004-78AD-4B38-86C2-C17E60B86A59}"/>
            </c:ext>
          </c:extLst>
        </c:ser>
        <c:ser>
          <c:idx val="7"/>
          <c:order val="5"/>
          <c:tx>
            <c:strRef>
              <c:f>'Trh práce-2b'!$A$34</c:f>
              <c:strCache>
                <c:ptCount val="1"/>
                <c:pt idx="0">
                  <c:v>Ekon. neaktiv. chtějící pracovat (pr. osa)</c:v>
                </c:pt>
              </c:strCache>
            </c:strRef>
          </c:tx>
          <c:spPr>
            <a:ln w="19050">
              <a:solidFill>
                <a:schemeClr val="accent2">
                  <a:lumMod val="60000"/>
                  <a:lumOff val="40000"/>
                </a:schemeClr>
              </a:solidFill>
              <a:prstDash val="solid"/>
            </a:ln>
          </c:spPr>
          <c:marker>
            <c:symbol val="none"/>
          </c:marker>
          <c:cat>
            <c:multiLvlStrRef>
              <c:f>'Trh práce-2b'!$B$27:$AA$28</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práce-2b'!$B$34:$AA$34</c:f>
              <c:numCache>
                <c:formatCode>General</c:formatCode>
                <c:ptCount val="26"/>
                <c:pt idx="0">
                  <c:v>138.5</c:v>
                </c:pt>
                <c:pt idx="1">
                  <c:v>141.4</c:v>
                </c:pt>
                <c:pt idx="2">
                  <c:v>137.1</c:v>
                </c:pt>
                <c:pt idx="3">
                  <c:v>130.4</c:v>
                </c:pt>
                <c:pt idx="4">
                  <c:v>141</c:v>
                </c:pt>
                <c:pt idx="5">
                  <c:v>126.4</c:v>
                </c:pt>
                <c:pt idx="6">
                  <c:v>129.69999999999999</c:v>
                </c:pt>
                <c:pt idx="7">
                  <c:v>127.1</c:v>
                </c:pt>
                <c:pt idx="8" formatCode="0.0">
                  <c:v>133.1</c:v>
                </c:pt>
                <c:pt idx="9" formatCode="0.0">
                  <c:v>120.1</c:v>
                </c:pt>
                <c:pt idx="10" formatCode="0.0">
                  <c:v>121.3</c:v>
                </c:pt>
                <c:pt idx="11" formatCode="0.0">
                  <c:v>119.1</c:v>
                </c:pt>
                <c:pt idx="12" formatCode="0.0">
                  <c:v>113.5</c:v>
                </c:pt>
                <c:pt idx="13" formatCode="0.0">
                  <c:v>108.4</c:v>
                </c:pt>
                <c:pt idx="14" formatCode="0.0">
                  <c:v>110.3</c:v>
                </c:pt>
                <c:pt idx="15" formatCode="0.0">
                  <c:v>101.7</c:v>
                </c:pt>
                <c:pt idx="16" formatCode="0.0">
                  <c:v>104.6</c:v>
                </c:pt>
                <c:pt idx="17" formatCode="0.0">
                  <c:v>104.6</c:v>
                </c:pt>
                <c:pt idx="18" formatCode="0.0">
                  <c:v>97.6</c:v>
                </c:pt>
                <c:pt idx="19" formatCode="0.0">
                  <c:v>99.9</c:v>
                </c:pt>
                <c:pt idx="20" formatCode="0.0">
                  <c:v>93.4</c:v>
                </c:pt>
                <c:pt idx="21" formatCode="0.0">
                  <c:v>109.3</c:v>
                </c:pt>
                <c:pt idx="22" formatCode="0.0">
                  <c:v>98.8</c:v>
                </c:pt>
                <c:pt idx="23" formatCode="0.0">
                  <c:v>95.7</c:v>
                </c:pt>
                <c:pt idx="24" formatCode="0.0">
                  <c:v>108</c:v>
                </c:pt>
              </c:numCache>
            </c:numRef>
          </c:val>
          <c:smooth val="0"/>
          <c:extLst>
            <c:ext xmlns:c16="http://schemas.microsoft.com/office/drawing/2014/chart" uri="{C3380CC4-5D6E-409C-BE32-E72D297353CC}">
              <c16:uniqueId val="{00000005-78AD-4B38-86C2-C17E60B86A59}"/>
            </c:ext>
          </c:extLst>
        </c:ser>
        <c:ser>
          <c:idx val="4"/>
          <c:order val="6"/>
          <c:tx>
            <c:strRef>
              <c:f>'Trh práce-2b'!$A$35</c:f>
              <c:strCache>
                <c:ptCount val="1"/>
                <c:pt idx="0">
                  <c:v>Očekávání vývoje nezam. (pravá osa)</c:v>
                </c:pt>
              </c:strCache>
            </c:strRef>
          </c:tx>
          <c:spPr>
            <a:ln w="9525">
              <a:solidFill>
                <a:schemeClr val="accent6">
                  <a:lumMod val="75000"/>
                </a:schemeClr>
              </a:solidFill>
              <a:prstDash val="sysDot"/>
            </a:ln>
          </c:spPr>
          <c:marker>
            <c:symbol val="circle"/>
            <c:size val="4"/>
            <c:spPr>
              <a:solidFill>
                <a:schemeClr val="accent6">
                  <a:lumMod val="75000"/>
                </a:schemeClr>
              </a:solidFill>
              <a:ln>
                <a:noFill/>
              </a:ln>
            </c:spPr>
          </c:marker>
          <c:cat>
            <c:multiLvlStrRef>
              <c:f>'Trh práce-2b'!$B$27:$AA$28</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práce-2b'!$B$35:$AA$35</c:f>
              <c:numCache>
                <c:formatCode>#\ ##0.0</c:formatCode>
                <c:ptCount val="26"/>
                <c:pt idx="0">
                  <c:v>12.2</c:v>
                </c:pt>
                <c:pt idx="1">
                  <c:v>7.3</c:v>
                </c:pt>
                <c:pt idx="2">
                  <c:v>12.3</c:v>
                </c:pt>
                <c:pt idx="3">
                  <c:v>4.9000000000000004</c:v>
                </c:pt>
                <c:pt idx="4">
                  <c:v>1.1000000000000001</c:v>
                </c:pt>
                <c:pt idx="5">
                  <c:v>8.5</c:v>
                </c:pt>
                <c:pt idx="6">
                  <c:v>7</c:v>
                </c:pt>
                <c:pt idx="7">
                  <c:v>3.6</c:v>
                </c:pt>
                <c:pt idx="8">
                  <c:v>-1.6</c:v>
                </c:pt>
                <c:pt idx="9">
                  <c:v>-4.0999999999999996</c:v>
                </c:pt>
                <c:pt idx="10">
                  <c:v>3.5</c:v>
                </c:pt>
                <c:pt idx="11">
                  <c:v>-0.2</c:v>
                </c:pt>
                <c:pt idx="12">
                  <c:v>-2.8</c:v>
                </c:pt>
                <c:pt idx="13">
                  <c:v>-3.4</c:v>
                </c:pt>
                <c:pt idx="14">
                  <c:v>1.7</c:v>
                </c:pt>
                <c:pt idx="15">
                  <c:v>5.5</c:v>
                </c:pt>
                <c:pt idx="16">
                  <c:v>6</c:v>
                </c:pt>
                <c:pt idx="17">
                  <c:v>6.8</c:v>
                </c:pt>
                <c:pt idx="18">
                  <c:v>13.9</c:v>
                </c:pt>
                <c:pt idx="19">
                  <c:v>12.8</c:v>
                </c:pt>
                <c:pt idx="20">
                  <c:v>16.2</c:v>
                </c:pt>
                <c:pt idx="21">
                  <c:v>48.6</c:v>
                </c:pt>
                <c:pt idx="22">
                  <c:v>46.7</c:v>
                </c:pt>
                <c:pt idx="23">
                  <c:v>59.5</c:v>
                </c:pt>
                <c:pt idx="24">
                  <c:v>51.5</c:v>
                </c:pt>
                <c:pt idx="25">
                  <c:v>17.8</c:v>
                </c:pt>
              </c:numCache>
            </c:numRef>
          </c:val>
          <c:smooth val="0"/>
          <c:extLst>
            <c:ext xmlns:c16="http://schemas.microsoft.com/office/drawing/2014/chart" uri="{C3380CC4-5D6E-409C-BE32-E72D297353CC}">
              <c16:uniqueId val="{00000006-78AD-4B38-86C2-C17E60B86A59}"/>
            </c:ext>
          </c:extLst>
        </c:ser>
        <c:dLbls>
          <c:showLegendKey val="0"/>
          <c:showVal val="0"/>
          <c:showCatName val="0"/>
          <c:showSerName val="0"/>
          <c:showPercent val="0"/>
          <c:showBubbleSize val="0"/>
        </c:dLbls>
        <c:marker val="1"/>
        <c:smooth val="0"/>
        <c:axId val="331670576"/>
        <c:axId val="323971328"/>
      </c:lineChart>
      <c:catAx>
        <c:axId val="100654464"/>
        <c:scaling>
          <c:orientation val="minMax"/>
        </c:scaling>
        <c:delete val="0"/>
        <c:axPos val="b"/>
        <c:numFmt formatCode="General" sourceLinked="0"/>
        <c:majorTickMark val="out"/>
        <c:minorTickMark val="none"/>
        <c:tickLblPos val="low"/>
        <c:spPr>
          <a:ln>
            <a:solidFill>
              <a:schemeClr val="tx1"/>
            </a:solidFill>
          </a:ln>
        </c:spPr>
        <c:crossAx val="101647488"/>
        <c:crossesAt val="-50"/>
        <c:auto val="1"/>
        <c:lblAlgn val="ctr"/>
        <c:lblOffset val="0"/>
        <c:noMultiLvlLbl val="0"/>
      </c:catAx>
      <c:valAx>
        <c:axId val="101647488"/>
        <c:scaling>
          <c:orientation val="minMax"/>
          <c:max val="7.6"/>
          <c:min val="0"/>
        </c:scaling>
        <c:delete val="0"/>
        <c:axPos val="l"/>
        <c:majorGridlines>
          <c:spPr>
            <a:ln w="6350">
              <a:solidFill>
                <a:schemeClr val="bg1">
                  <a:lumMod val="75000"/>
                </a:schemeClr>
              </a:solidFill>
            </a:ln>
          </c:spPr>
        </c:majorGridlines>
        <c:title>
          <c:tx>
            <c:rich>
              <a:bodyPr/>
              <a:lstStyle/>
              <a:p>
                <a:pPr>
                  <a:defRPr sz="700" b="0" i="1"/>
                </a:pPr>
                <a:r>
                  <a:rPr lang="cs-CZ" sz="700" b="0" i="1"/>
                  <a:t>Míra</a:t>
                </a:r>
                <a:r>
                  <a:rPr lang="cs-CZ" sz="700" b="0" i="1" baseline="0"/>
                  <a:t> nezaměstnanosti</a:t>
                </a:r>
                <a:endParaRPr lang="cs-CZ" sz="700" b="0" i="1"/>
              </a:p>
            </c:rich>
          </c:tx>
          <c:overlay val="0"/>
        </c:title>
        <c:numFmt formatCode="0.0" sourceLinked="0"/>
        <c:majorTickMark val="out"/>
        <c:minorTickMark val="none"/>
        <c:tickLblPos val="nextTo"/>
        <c:spPr>
          <a:ln>
            <a:solidFill>
              <a:schemeClr val="tx1"/>
            </a:solidFill>
          </a:ln>
        </c:spPr>
        <c:crossAx val="100654464"/>
        <c:crosses val="autoZero"/>
        <c:crossBetween val="between"/>
        <c:majorUnit val="0.5"/>
      </c:valAx>
      <c:valAx>
        <c:axId val="323971328"/>
        <c:scaling>
          <c:orientation val="minMax"/>
          <c:max val="142"/>
          <c:min val="-10"/>
        </c:scaling>
        <c:delete val="0"/>
        <c:axPos val="r"/>
        <c:title>
          <c:tx>
            <c:rich>
              <a:bodyPr/>
              <a:lstStyle/>
              <a:p>
                <a:pPr>
                  <a:defRPr sz="700" b="0" i="1"/>
                </a:pPr>
                <a:r>
                  <a:rPr lang="cs-CZ" sz="700" b="0" i="1" u="none" strike="noStrike" baseline="0">
                    <a:effectLst/>
                  </a:rPr>
                  <a:t>Ekon. neaktivní, </a:t>
                </a:r>
                <a:r>
                  <a:rPr lang="cs-CZ" sz="700" b="0" i="1" baseline="0"/>
                  <a:t>vybr. skupiny nezam., očekávání nezaměstnanosti</a:t>
                </a:r>
                <a:endParaRPr lang="cs-CZ" sz="700" b="0" i="1"/>
              </a:p>
            </c:rich>
          </c:tx>
          <c:overlay val="0"/>
        </c:title>
        <c:numFmt formatCode="#,##0" sourceLinked="0"/>
        <c:majorTickMark val="out"/>
        <c:minorTickMark val="none"/>
        <c:tickLblPos val="nextTo"/>
        <c:crossAx val="331670576"/>
        <c:crosses val="max"/>
        <c:crossBetween val="between"/>
        <c:majorUnit val="10"/>
      </c:valAx>
      <c:catAx>
        <c:axId val="331670576"/>
        <c:scaling>
          <c:orientation val="minMax"/>
        </c:scaling>
        <c:delete val="1"/>
        <c:axPos val="b"/>
        <c:numFmt formatCode="General" sourceLinked="1"/>
        <c:majorTickMark val="out"/>
        <c:minorTickMark val="none"/>
        <c:tickLblPos val="nextTo"/>
        <c:crossAx val="323971328"/>
        <c:crosses val="autoZero"/>
        <c:auto val="1"/>
        <c:lblAlgn val="ctr"/>
        <c:lblOffset val="100"/>
        <c:noMultiLvlLbl val="0"/>
      </c:catAx>
      <c:spPr>
        <a:ln>
          <a:solidFill>
            <a:schemeClr val="tx1"/>
          </a:solidFill>
        </a:ln>
      </c:spPr>
    </c:plotArea>
    <c:legend>
      <c:legendPos val="b"/>
      <c:layout>
        <c:manualLayout>
          <c:xMode val="edge"/>
          <c:yMode val="edge"/>
          <c:x val="6.9661976872503594E-3"/>
          <c:y val="0.85929280045351475"/>
          <c:w val="0.98428486364480727"/>
          <c:h val="0.13700935374149659"/>
        </c:manualLayout>
      </c:layout>
      <c:overlay val="0"/>
      <c:spPr>
        <a:ln w="6350">
          <a:solidFill>
            <a:schemeClr val="tx1"/>
          </a:solidFill>
        </a:ln>
      </c:spPr>
      <c:txPr>
        <a:bodyPr/>
        <a:lstStyle/>
        <a:p>
          <a:pPr>
            <a:defRPr sz="77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091348527306885E-2"/>
          <c:y val="1.6549886621315273E-2"/>
          <c:w val="0.94100987714831696"/>
          <c:h val="0.76395209750566906"/>
        </c:manualLayout>
      </c:layout>
      <c:barChart>
        <c:barDir val="col"/>
        <c:grouping val="clustered"/>
        <c:varyColors val="0"/>
        <c:ser>
          <c:idx val="4"/>
          <c:order val="1"/>
          <c:tx>
            <c:strRef>
              <c:f>'Trh práce 3'!$D$8</c:f>
              <c:strCache>
                <c:ptCount val="1"/>
                <c:pt idx="0">
                  <c:v>Průměrná mzda celkem (reálně)</c:v>
                </c:pt>
              </c:strCache>
            </c:strRef>
          </c:tx>
          <c:spPr>
            <a:solidFill>
              <a:srgbClr val="DBDBDB"/>
            </a:solidFill>
            <a:ln w="19050">
              <a:noFill/>
            </a:ln>
          </c:spPr>
          <c:invertIfNegative val="0"/>
          <c:cat>
            <c:multiLvlStrRef>
              <c:f>'Trh práce 3'!$A$29:$B$53</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3'!$D$29:$D$53</c:f>
              <c:numCache>
                <c:formatCode>#\ ##0.0</c:formatCode>
                <c:ptCount val="25"/>
                <c:pt idx="0">
                  <c:v>2.2000000000000028</c:v>
                </c:pt>
                <c:pt idx="1">
                  <c:v>2.5999999999999943</c:v>
                </c:pt>
                <c:pt idx="2">
                  <c:v>3.0999999999999943</c:v>
                </c:pt>
                <c:pt idx="3">
                  <c:v>3.5999999999999943</c:v>
                </c:pt>
                <c:pt idx="4">
                  <c:v>4.2000000000000028</c:v>
                </c:pt>
                <c:pt idx="5">
                  <c:v>3.7999999999999972</c:v>
                </c:pt>
                <c:pt idx="6">
                  <c:v>4.2000000000000028</c:v>
                </c:pt>
                <c:pt idx="7">
                  <c:v>3</c:v>
                </c:pt>
                <c:pt idx="8">
                  <c:v>2.5999999999999943</c:v>
                </c:pt>
                <c:pt idx="9">
                  <c:v>4.9000000000000057</c:v>
                </c:pt>
                <c:pt idx="10">
                  <c:v>4.0999999999999943</c:v>
                </c:pt>
                <c:pt idx="11">
                  <c:v>5.0999999999999943</c:v>
                </c:pt>
                <c:pt idx="12">
                  <c:v>6.5</c:v>
                </c:pt>
                <c:pt idx="13">
                  <c:v>6.2999999999999972</c:v>
                </c:pt>
                <c:pt idx="14">
                  <c:v>5.9000000000000057</c:v>
                </c:pt>
                <c:pt idx="15">
                  <c:v>4.9000000000000057</c:v>
                </c:pt>
                <c:pt idx="16">
                  <c:v>5.5</c:v>
                </c:pt>
                <c:pt idx="17">
                  <c:v>5.0999999999999943</c:v>
                </c:pt>
                <c:pt idx="18">
                  <c:v>4.7999999999999972</c:v>
                </c:pt>
                <c:pt idx="19">
                  <c:v>4.5</c:v>
                </c:pt>
                <c:pt idx="20">
                  <c:v>0.20000000000000284</c:v>
                </c:pt>
                <c:pt idx="21">
                  <c:v>-3.5999999999999943</c:v>
                </c:pt>
                <c:pt idx="22">
                  <c:v>0.70000000000000284</c:v>
                </c:pt>
                <c:pt idx="23">
                  <c:v>2.5999999999999943</c:v>
                </c:pt>
                <c:pt idx="24">
                  <c:v>1</c:v>
                </c:pt>
              </c:numCache>
            </c:numRef>
          </c:val>
          <c:extLst>
            <c:ext xmlns:c16="http://schemas.microsoft.com/office/drawing/2014/chart" uri="{C3380CC4-5D6E-409C-BE32-E72D297353CC}">
              <c16:uniqueId val="{00000000-6C88-4644-9B0B-7AD571537288}"/>
            </c:ext>
          </c:extLst>
        </c:ser>
        <c:dLbls>
          <c:showLegendKey val="0"/>
          <c:showVal val="0"/>
          <c:showCatName val="0"/>
          <c:showSerName val="0"/>
          <c:showPercent val="0"/>
          <c:showBubbleSize val="0"/>
        </c:dLbls>
        <c:gapWidth val="37"/>
        <c:axId val="100688640"/>
        <c:axId val="100690560"/>
      </c:barChart>
      <c:lineChart>
        <c:grouping val="standard"/>
        <c:varyColors val="0"/>
        <c:ser>
          <c:idx val="0"/>
          <c:order val="0"/>
          <c:tx>
            <c:strRef>
              <c:f>'Trh práce 3'!$C$8</c:f>
              <c:strCache>
                <c:ptCount val="1"/>
                <c:pt idx="0">
                  <c:v>Průměrná mzda celkem (nominálně)</c:v>
                </c:pt>
              </c:strCache>
            </c:strRef>
          </c:tx>
          <c:spPr>
            <a:ln w="19050">
              <a:solidFill>
                <a:schemeClr val="tx1">
                  <a:lumMod val="95000"/>
                  <a:lumOff val="5000"/>
                </a:schemeClr>
              </a:solidFill>
            </a:ln>
          </c:spPr>
          <c:marker>
            <c:symbol val="none"/>
          </c:marker>
          <c:cat>
            <c:multiLvlStrRef>
              <c:f>'Trh práce 3'!$A$29:$B$53</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3'!$C$29:$C$53</c:f>
              <c:numCache>
                <c:formatCode>0.0</c:formatCode>
                <c:ptCount val="25"/>
                <c:pt idx="0">
                  <c:v>2.2999999999999972</c:v>
                </c:pt>
                <c:pt idx="1">
                  <c:v>3.2999999999999972</c:v>
                </c:pt>
                <c:pt idx="2">
                  <c:v>3.5</c:v>
                </c:pt>
                <c:pt idx="3">
                  <c:v>3.7000000000000028</c:v>
                </c:pt>
                <c:pt idx="4">
                  <c:v>4.7000000000000028</c:v>
                </c:pt>
                <c:pt idx="5">
                  <c:v>4</c:v>
                </c:pt>
                <c:pt idx="6">
                  <c:v>4.7000000000000028</c:v>
                </c:pt>
                <c:pt idx="7">
                  <c:v>4.4000000000000057</c:v>
                </c:pt>
                <c:pt idx="8">
                  <c:v>5.0999999999999943</c:v>
                </c:pt>
                <c:pt idx="9">
                  <c:v>7.2000000000000028</c:v>
                </c:pt>
                <c:pt idx="10">
                  <c:v>6.7000000000000028</c:v>
                </c:pt>
                <c:pt idx="11">
                  <c:v>7.7999999999999972</c:v>
                </c:pt>
                <c:pt idx="12">
                  <c:v>8.5</c:v>
                </c:pt>
                <c:pt idx="13">
                  <c:v>8.7000000000000028</c:v>
                </c:pt>
                <c:pt idx="14">
                  <c:v>8.4000000000000057</c:v>
                </c:pt>
                <c:pt idx="15">
                  <c:v>7.0999999999999943</c:v>
                </c:pt>
                <c:pt idx="16">
                  <c:v>8.2999999999999972</c:v>
                </c:pt>
                <c:pt idx="17">
                  <c:v>8</c:v>
                </c:pt>
                <c:pt idx="18">
                  <c:v>7.7000000000000028</c:v>
                </c:pt>
                <c:pt idx="19">
                  <c:v>7.5999999999999943</c:v>
                </c:pt>
                <c:pt idx="20">
                  <c:v>3.7999999999999972</c:v>
                </c:pt>
                <c:pt idx="21">
                  <c:v>-0.59999999999999432</c:v>
                </c:pt>
                <c:pt idx="22">
                  <c:v>4</c:v>
                </c:pt>
                <c:pt idx="23">
                  <c:v>5.2999999999999972</c:v>
                </c:pt>
                <c:pt idx="24">
                  <c:v>3.2000000000000028</c:v>
                </c:pt>
              </c:numCache>
            </c:numRef>
          </c:val>
          <c:smooth val="0"/>
          <c:extLst>
            <c:ext xmlns:c16="http://schemas.microsoft.com/office/drawing/2014/chart" uri="{C3380CC4-5D6E-409C-BE32-E72D297353CC}">
              <c16:uniqueId val="{00000001-6C88-4644-9B0B-7AD571537288}"/>
            </c:ext>
          </c:extLst>
        </c:ser>
        <c:ser>
          <c:idx val="5"/>
          <c:order val="2"/>
          <c:tx>
            <c:strRef>
              <c:f>'Trh práce 3'!$E$8</c:f>
              <c:strCache>
                <c:ptCount val="1"/>
                <c:pt idx="0">
                  <c:v>Prům. mzda v průmyslu (nominálně)</c:v>
                </c:pt>
              </c:strCache>
            </c:strRef>
          </c:tx>
          <c:spPr>
            <a:ln w="9525">
              <a:solidFill>
                <a:srgbClr val="C00000"/>
              </a:solidFill>
              <a:prstDash val="solid"/>
            </a:ln>
          </c:spPr>
          <c:marker>
            <c:symbol val="none"/>
          </c:marker>
          <c:cat>
            <c:multiLvlStrRef>
              <c:f>'Trh práce 3'!$A$29:$B$53</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3'!$E$29:$E$53</c:f>
              <c:numCache>
                <c:formatCode>0.0</c:formatCode>
                <c:ptCount val="25"/>
                <c:pt idx="0">
                  <c:v>1.6381118189372046</c:v>
                </c:pt>
                <c:pt idx="1">
                  <c:v>2.6920877025738719</c:v>
                </c:pt>
                <c:pt idx="2">
                  <c:v>3.010059729644766</c:v>
                </c:pt>
                <c:pt idx="3">
                  <c:v>2.9788308269320822</c:v>
                </c:pt>
                <c:pt idx="4">
                  <c:v>4.6482656596722052</c:v>
                </c:pt>
                <c:pt idx="5">
                  <c:v>3.9508373250157831</c:v>
                </c:pt>
                <c:pt idx="6">
                  <c:v>4.6540016784924205</c:v>
                </c:pt>
                <c:pt idx="7">
                  <c:v>3.8977412011906836</c:v>
                </c:pt>
                <c:pt idx="8">
                  <c:v>5.1746586808526445</c:v>
                </c:pt>
                <c:pt idx="9">
                  <c:v>8.0728701553848907</c:v>
                </c:pt>
                <c:pt idx="10">
                  <c:v>6.8272945979441602</c:v>
                </c:pt>
                <c:pt idx="11">
                  <c:v>7.0884454631252538</c:v>
                </c:pt>
                <c:pt idx="12">
                  <c:v>7.9018109790605564</c:v>
                </c:pt>
                <c:pt idx="13">
                  <c:v>8.1936869938853221</c:v>
                </c:pt>
                <c:pt idx="14">
                  <c:v>7.3566042242467802</c:v>
                </c:pt>
                <c:pt idx="15">
                  <c:v>7.6170092222467076</c:v>
                </c:pt>
                <c:pt idx="16">
                  <c:v>7.1985838851373387</c:v>
                </c:pt>
                <c:pt idx="17">
                  <c:v>7.0904869554591556</c:v>
                </c:pt>
                <c:pt idx="18">
                  <c:v>6.753964974732213</c:v>
                </c:pt>
                <c:pt idx="19">
                  <c:v>5.6242870930946793</c:v>
                </c:pt>
                <c:pt idx="20">
                  <c:v>3.2413919637942712</c:v>
                </c:pt>
                <c:pt idx="21">
                  <c:v>-4.9579232634431634</c:v>
                </c:pt>
                <c:pt idx="22">
                  <c:v>1.4528998451827988</c:v>
                </c:pt>
                <c:pt idx="23">
                  <c:v>2.5087223791327489</c:v>
                </c:pt>
                <c:pt idx="24">
                  <c:v>2.1651560926485303</c:v>
                </c:pt>
              </c:numCache>
            </c:numRef>
          </c:val>
          <c:smooth val="0"/>
          <c:extLst>
            <c:ext xmlns:c16="http://schemas.microsoft.com/office/drawing/2014/chart" uri="{C3380CC4-5D6E-409C-BE32-E72D297353CC}">
              <c16:uniqueId val="{00000002-6C88-4644-9B0B-7AD571537288}"/>
            </c:ext>
          </c:extLst>
        </c:ser>
        <c:ser>
          <c:idx val="1"/>
          <c:order val="3"/>
          <c:tx>
            <c:strRef>
              <c:f>'Trh práce 3'!$F$8</c:f>
              <c:strCache>
                <c:ptCount val="1"/>
                <c:pt idx="0">
                  <c:v>Prům. mzda v obchodu (nominálně)</c:v>
                </c:pt>
              </c:strCache>
            </c:strRef>
          </c:tx>
          <c:spPr>
            <a:ln w="9525">
              <a:solidFill>
                <a:srgbClr val="0070C0"/>
              </a:solidFill>
              <a:prstDash val="solid"/>
            </a:ln>
          </c:spPr>
          <c:marker>
            <c:symbol val="none"/>
          </c:marker>
          <c:cat>
            <c:multiLvlStrRef>
              <c:f>'Trh práce 3'!$A$29:$B$53</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3'!$F$29:$F$53</c:f>
              <c:numCache>
                <c:formatCode>0.0</c:formatCode>
                <c:ptCount val="25"/>
                <c:pt idx="0">
                  <c:v>3.1055099144049194</c:v>
                </c:pt>
                <c:pt idx="1">
                  <c:v>3.9141414141414117</c:v>
                </c:pt>
                <c:pt idx="2">
                  <c:v>3.949146815340427</c:v>
                </c:pt>
                <c:pt idx="3">
                  <c:v>5.7916298497871423</c:v>
                </c:pt>
                <c:pt idx="4">
                  <c:v>5.6443202202661524</c:v>
                </c:pt>
                <c:pt idx="5">
                  <c:v>3.9570676387201189</c:v>
                </c:pt>
                <c:pt idx="6">
                  <c:v>4.9977652269310511</c:v>
                </c:pt>
                <c:pt idx="7">
                  <c:v>4.4950645406226215</c:v>
                </c:pt>
                <c:pt idx="8">
                  <c:v>5.6231243089559229</c:v>
                </c:pt>
                <c:pt idx="9">
                  <c:v>7.9284684614485457</c:v>
                </c:pt>
                <c:pt idx="10">
                  <c:v>7.693200727526019</c:v>
                </c:pt>
                <c:pt idx="11">
                  <c:v>8.3926754832146457</c:v>
                </c:pt>
                <c:pt idx="12">
                  <c:v>7.2416629280693883</c:v>
                </c:pt>
                <c:pt idx="13">
                  <c:v>7.0392029456356937</c:v>
                </c:pt>
                <c:pt idx="14">
                  <c:v>6.8381903769449082</c:v>
                </c:pt>
                <c:pt idx="15">
                  <c:v>6.6970570490044992</c:v>
                </c:pt>
                <c:pt idx="16">
                  <c:v>9.5345999651385682</c:v>
                </c:pt>
                <c:pt idx="17">
                  <c:v>7.4227708080399282</c:v>
                </c:pt>
                <c:pt idx="18">
                  <c:v>8.1629221041302316</c:v>
                </c:pt>
                <c:pt idx="19">
                  <c:v>6.3018346318170444</c:v>
                </c:pt>
                <c:pt idx="20">
                  <c:v>3.0935709739019757</c:v>
                </c:pt>
                <c:pt idx="21">
                  <c:v>-2.0939942862524816</c:v>
                </c:pt>
                <c:pt idx="22">
                  <c:v>1.6200752510961109</c:v>
                </c:pt>
                <c:pt idx="23">
                  <c:v>-0.64424611383651609</c:v>
                </c:pt>
                <c:pt idx="24">
                  <c:v>2.2443813287231364</c:v>
                </c:pt>
              </c:numCache>
            </c:numRef>
          </c:val>
          <c:smooth val="0"/>
          <c:extLst>
            <c:ext xmlns:c16="http://schemas.microsoft.com/office/drawing/2014/chart" uri="{C3380CC4-5D6E-409C-BE32-E72D297353CC}">
              <c16:uniqueId val="{00000003-6C88-4644-9B0B-7AD571537288}"/>
            </c:ext>
          </c:extLst>
        </c:ser>
        <c:ser>
          <c:idx val="2"/>
          <c:order val="4"/>
          <c:tx>
            <c:strRef>
              <c:f>'Trh práce 3'!$G$8</c:f>
              <c:strCache>
                <c:ptCount val="1"/>
                <c:pt idx="0">
                  <c:v>Prům. mzda ve veř. službách (nominálně)*</c:v>
                </c:pt>
              </c:strCache>
            </c:strRef>
          </c:tx>
          <c:spPr>
            <a:ln w="9525">
              <a:solidFill>
                <a:srgbClr val="00B050"/>
              </a:solidFill>
              <a:prstDash val="solid"/>
            </a:ln>
          </c:spPr>
          <c:marker>
            <c:symbol val="none"/>
          </c:marker>
          <c:cat>
            <c:multiLvlStrRef>
              <c:f>'Trh práce 3'!$A$29:$B$53</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3'!$G$29:$G$53</c:f>
              <c:numCache>
                <c:formatCode>0.0</c:formatCode>
                <c:ptCount val="25"/>
                <c:pt idx="0">
                  <c:v>3.2925091204842687</c:v>
                </c:pt>
                <c:pt idx="1">
                  <c:v>4.3135889286729565</c:v>
                </c:pt>
                <c:pt idx="2">
                  <c:v>3.8145419077079765</c:v>
                </c:pt>
                <c:pt idx="3">
                  <c:v>3.6381766938736746</c:v>
                </c:pt>
                <c:pt idx="4">
                  <c:v>4.64178325585614</c:v>
                </c:pt>
                <c:pt idx="5">
                  <c:v>3.8061258933532116</c:v>
                </c:pt>
                <c:pt idx="6">
                  <c:v>4.8526374704253925</c:v>
                </c:pt>
                <c:pt idx="7">
                  <c:v>6.1351981806606233</c:v>
                </c:pt>
                <c:pt idx="8">
                  <c:v>5.4566112929362163</c:v>
                </c:pt>
                <c:pt idx="9">
                  <c:v>7.3192456135909225</c:v>
                </c:pt>
                <c:pt idx="10">
                  <c:v>7.9981713137873953</c:v>
                </c:pt>
                <c:pt idx="11">
                  <c:v>10.484072576559427</c:v>
                </c:pt>
                <c:pt idx="12">
                  <c:v>12.179699393983398</c:v>
                </c:pt>
                <c:pt idx="13">
                  <c:v>11.89217733254111</c:v>
                </c:pt>
                <c:pt idx="14">
                  <c:v>11.361326321628667</c:v>
                </c:pt>
                <c:pt idx="15">
                  <c:v>6.1282038917470629</c:v>
                </c:pt>
                <c:pt idx="16">
                  <c:v>9.4162908795776019</c:v>
                </c:pt>
                <c:pt idx="17">
                  <c:v>9.3022383570098555</c:v>
                </c:pt>
                <c:pt idx="18">
                  <c:v>8.3925247282538464</c:v>
                </c:pt>
                <c:pt idx="19">
                  <c:v>11.041060141001239</c:v>
                </c:pt>
                <c:pt idx="20">
                  <c:v>4.0761706440969334</c:v>
                </c:pt>
                <c:pt idx="21">
                  <c:v>3.8609569062914204</c:v>
                </c:pt>
                <c:pt idx="22">
                  <c:v>7.6176258951069542</c:v>
                </c:pt>
                <c:pt idx="23">
                  <c:v>12.682983973452551</c:v>
                </c:pt>
                <c:pt idx="24">
                  <c:v>4.841283987161944</c:v>
                </c:pt>
              </c:numCache>
            </c:numRef>
          </c:val>
          <c:smooth val="0"/>
          <c:extLst>
            <c:ext xmlns:c16="http://schemas.microsoft.com/office/drawing/2014/chart" uri="{C3380CC4-5D6E-409C-BE32-E72D297353CC}">
              <c16:uniqueId val="{00000004-6C88-4644-9B0B-7AD571537288}"/>
            </c:ext>
          </c:extLst>
        </c:ser>
        <c:ser>
          <c:idx val="3"/>
          <c:order val="5"/>
          <c:tx>
            <c:strRef>
              <c:f>'Trh práce 3'!$H$8</c:f>
              <c:strCache>
                <c:ptCount val="1"/>
                <c:pt idx="0">
                  <c:v>Mediánová mzda celkem (nominálně)</c:v>
                </c:pt>
              </c:strCache>
            </c:strRef>
          </c:tx>
          <c:spPr>
            <a:ln w="19050">
              <a:noFill/>
            </a:ln>
          </c:spPr>
          <c:marker>
            <c:symbol val="circle"/>
            <c:size val="5"/>
            <c:spPr>
              <a:solidFill>
                <a:srgbClr val="FFFF00"/>
              </a:solidFill>
              <a:ln w="6350">
                <a:solidFill>
                  <a:schemeClr val="bg1">
                    <a:lumMod val="50000"/>
                  </a:schemeClr>
                </a:solidFill>
              </a:ln>
            </c:spPr>
          </c:marker>
          <c:cat>
            <c:multiLvlStrRef>
              <c:f>'Trh práce 3'!$A$29:$B$53</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3'!$H$29:$H$53</c:f>
              <c:numCache>
                <c:formatCode>0.0</c:formatCode>
                <c:ptCount val="25"/>
                <c:pt idx="0">
                  <c:v>0.70000000000000284</c:v>
                </c:pt>
                <c:pt idx="1">
                  <c:v>2.2999999999999972</c:v>
                </c:pt>
                <c:pt idx="2">
                  <c:v>3.7999999999999972</c:v>
                </c:pt>
                <c:pt idx="3">
                  <c:v>4.7000000000000028</c:v>
                </c:pt>
                <c:pt idx="4">
                  <c:v>6.7000000000000028</c:v>
                </c:pt>
                <c:pt idx="5">
                  <c:v>4.5999999999999943</c:v>
                </c:pt>
                <c:pt idx="6">
                  <c:v>5.2999999999999972</c:v>
                </c:pt>
                <c:pt idx="7">
                  <c:v>6.2000000000000028</c:v>
                </c:pt>
                <c:pt idx="8">
                  <c:v>4.9000000000000057</c:v>
                </c:pt>
                <c:pt idx="9">
                  <c:v>7.7000000000000028</c:v>
                </c:pt>
                <c:pt idx="10">
                  <c:v>7</c:v>
                </c:pt>
                <c:pt idx="11">
                  <c:v>8.9000000000000057</c:v>
                </c:pt>
                <c:pt idx="12">
                  <c:v>8.7000000000000028</c:v>
                </c:pt>
                <c:pt idx="13">
                  <c:v>9.7000000000000028</c:v>
                </c:pt>
                <c:pt idx="14">
                  <c:v>9.2999999999999972</c:v>
                </c:pt>
                <c:pt idx="15">
                  <c:v>6.7000000000000028</c:v>
                </c:pt>
                <c:pt idx="16">
                  <c:v>8.7000000000000028</c:v>
                </c:pt>
                <c:pt idx="17">
                  <c:v>8</c:v>
                </c:pt>
                <c:pt idx="18">
                  <c:v>8.5999999999999943</c:v>
                </c:pt>
                <c:pt idx="19">
                  <c:v>8</c:v>
                </c:pt>
                <c:pt idx="20">
                  <c:v>3.5</c:v>
                </c:pt>
                <c:pt idx="21">
                  <c:v>-1.2000000000000028</c:v>
                </c:pt>
                <c:pt idx="22">
                  <c:v>4</c:v>
                </c:pt>
                <c:pt idx="23">
                  <c:v>4.0999999999999943</c:v>
                </c:pt>
                <c:pt idx="24">
                  <c:v>2.5</c:v>
                </c:pt>
              </c:numCache>
            </c:numRef>
          </c:val>
          <c:smooth val="0"/>
          <c:extLst>
            <c:ext xmlns:c16="http://schemas.microsoft.com/office/drawing/2014/chart" uri="{C3380CC4-5D6E-409C-BE32-E72D297353CC}">
              <c16:uniqueId val="{00000005-6C88-4644-9B0B-7AD571537288}"/>
            </c:ext>
          </c:extLst>
        </c:ser>
        <c:dLbls>
          <c:showLegendKey val="0"/>
          <c:showVal val="0"/>
          <c:showCatName val="0"/>
          <c:showSerName val="0"/>
          <c:showPercent val="0"/>
          <c:showBubbleSize val="0"/>
        </c:dLbls>
        <c:marker val="1"/>
        <c:smooth val="0"/>
        <c:axId val="100688640"/>
        <c:axId val="100690560"/>
      </c:lineChart>
      <c:catAx>
        <c:axId val="100688640"/>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00690560"/>
        <c:crosses val="autoZero"/>
        <c:auto val="1"/>
        <c:lblAlgn val="ctr"/>
        <c:lblOffset val="0"/>
        <c:tickMarkSkip val="4"/>
        <c:noMultiLvlLbl val="0"/>
      </c:catAx>
      <c:valAx>
        <c:axId val="100690560"/>
        <c:scaling>
          <c:orientation val="minMax"/>
          <c:max val="13"/>
          <c:min val="-5"/>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100688640"/>
        <c:crosses val="autoZero"/>
        <c:crossBetween val="between"/>
        <c:majorUnit val="1"/>
      </c:valAx>
      <c:spPr>
        <a:ln>
          <a:solidFill>
            <a:schemeClr val="tx1"/>
          </a:solidFill>
        </a:ln>
      </c:spPr>
    </c:plotArea>
    <c:legend>
      <c:legendPos val="b"/>
      <c:layout>
        <c:manualLayout>
          <c:xMode val="edge"/>
          <c:yMode val="edge"/>
          <c:x val="2.5777042272800643E-2"/>
          <c:y val="0.87578174603174608"/>
          <c:w val="0.9607966303114982"/>
          <c:h val="0.11341893424036281"/>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581433637284705E-2"/>
          <c:y val="2.1711264016309892E-2"/>
          <c:w val="0.93508633063154345"/>
          <c:h val="0.73130361364405005"/>
        </c:manualLayout>
      </c:layout>
      <c:barChart>
        <c:barDir val="col"/>
        <c:grouping val="clustered"/>
        <c:varyColors val="0"/>
        <c:ser>
          <c:idx val="0"/>
          <c:order val="0"/>
          <c:tx>
            <c:strRef>
              <c:f>'Měnové podmínky 1'!$C$5</c:f>
              <c:strCache>
                <c:ptCount val="1"/>
                <c:pt idx="0">
                  <c:v>2T repo sazba</c:v>
                </c:pt>
              </c:strCache>
            </c:strRef>
          </c:tx>
          <c:spPr>
            <a:solidFill>
              <a:schemeClr val="bg1">
                <a:lumMod val="65000"/>
              </a:schemeClr>
            </a:solidFill>
          </c:spPr>
          <c:invertIfNegative val="0"/>
          <c:cat>
            <c:multiLvlStrRef>
              <c:f>'Měnové podmínky 1'!$A$42:$B$116</c:f>
              <c:multiLvlStrCache>
                <c:ptCount val="75"/>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pt idx="72">
                    <c:v>1</c:v>
                  </c:pt>
                  <c:pt idx="73">
                    <c:v>2</c:v>
                  </c:pt>
                  <c:pt idx="74">
                    <c:v>3</c:v>
                  </c:pt>
                </c:lvl>
                <c:lvl>
                  <c:pt idx="0">
                    <c:v>2015</c:v>
                  </c:pt>
                  <c:pt idx="12">
                    <c:v>2016</c:v>
                  </c:pt>
                  <c:pt idx="24">
                    <c:v>2017</c:v>
                  </c:pt>
                  <c:pt idx="36">
                    <c:v>2018</c:v>
                  </c:pt>
                  <c:pt idx="48">
                    <c:v>2019</c:v>
                  </c:pt>
                  <c:pt idx="60">
                    <c:v>2020</c:v>
                  </c:pt>
                  <c:pt idx="72">
                    <c:v>2021</c:v>
                  </c:pt>
                </c:lvl>
              </c:multiLvlStrCache>
            </c:multiLvlStrRef>
          </c:cat>
          <c:val>
            <c:numRef>
              <c:f>'Měnové podmínky 1'!$C$42:$C$116</c:f>
              <c:numCache>
                <c:formatCode>0.00</c:formatCode>
                <c:ptCount val="75"/>
                <c:pt idx="0">
                  <c:v>0.05</c:v>
                </c:pt>
                <c:pt idx="1">
                  <c:v>0.05</c:v>
                </c:pt>
                <c:pt idx="2">
                  <c:v>0.05</c:v>
                </c:pt>
                <c:pt idx="3">
                  <c:v>0.05</c:v>
                </c:pt>
                <c:pt idx="4">
                  <c:v>0.05</c:v>
                </c:pt>
                <c:pt idx="5">
                  <c:v>0.05</c:v>
                </c:pt>
                <c:pt idx="6">
                  <c:v>0.05</c:v>
                </c:pt>
                <c:pt idx="7">
                  <c:v>0.05</c:v>
                </c:pt>
                <c:pt idx="8">
                  <c:v>0.05</c:v>
                </c:pt>
                <c:pt idx="9">
                  <c:v>0.05</c:v>
                </c:pt>
                <c:pt idx="10">
                  <c:v>0.05</c:v>
                </c:pt>
                <c:pt idx="11">
                  <c:v>0.05</c:v>
                </c:pt>
                <c:pt idx="12" formatCode="General">
                  <c:v>0.05</c:v>
                </c:pt>
                <c:pt idx="13" formatCode="General">
                  <c:v>0.05</c:v>
                </c:pt>
                <c:pt idx="14" formatCode="General">
                  <c:v>0.05</c:v>
                </c:pt>
                <c:pt idx="15" formatCode="General">
                  <c:v>0.05</c:v>
                </c:pt>
                <c:pt idx="16" formatCode="General">
                  <c:v>0.05</c:v>
                </c:pt>
                <c:pt idx="17" formatCode="General">
                  <c:v>0.05</c:v>
                </c:pt>
                <c:pt idx="18" formatCode="General">
                  <c:v>0.05</c:v>
                </c:pt>
                <c:pt idx="19" formatCode="General">
                  <c:v>0.05</c:v>
                </c:pt>
                <c:pt idx="20" formatCode="General">
                  <c:v>0.05</c:v>
                </c:pt>
                <c:pt idx="21" formatCode="General">
                  <c:v>0.05</c:v>
                </c:pt>
                <c:pt idx="22" formatCode="General">
                  <c:v>0.05</c:v>
                </c:pt>
                <c:pt idx="23" formatCode="General">
                  <c:v>0.05</c:v>
                </c:pt>
                <c:pt idx="24" formatCode="General">
                  <c:v>0.05</c:v>
                </c:pt>
                <c:pt idx="25" formatCode="General">
                  <c:v>0.05</c:v>
                </c:pt>
                <c:pt idx="26" formatCode="General">
                  <c:v>0.05</c:v>
                </c:pt>
                <c:pt idx="27" formatCode="General">
                  <c:v>0.05</c:v>
                </c:pt>
                <c:pt idx="28" formatCode="General">
                  <c:v>0.05</c:v>
                </c:pt>
                <c:pt idx="29" formatCode="General">
                  <c:v>0.05</c:v>
                </c:pt>
                <c:pt idx="30" formatCode="General">
                  <c:v>0.05</c:v>
                </c:pt>
                <c:pt idx="31" formatCode="General">
                  <c:v>0.25</c:v>
                </c:pt>
                <c:pt idx="32" formatCode="General">
                  <c:v>0.25</c:v>
                </c:pt>
                <c:pt idx="33" formatCode="General">
                  <c:v>0.25</c:v>
                </c:pt>
                <c:pt idx="34" formatCode="General">
                  <c:v>0.5</c:v>
                </c:pt>
                <c:pt idx="35" formatCode="General">
                  <c:v>0.5</c:v>
                </c:pt>
                <c:pt idx="36" formatCode="General">
                  <c:v>0.5</c:v>
                </c:pt>
                <c:pt idx="37" formatCode="General">
                  <c:v>0.75</c:v>
                </c:pt>
                <c:pt idx="38" formatCode="General">
                  <c:v>0.75</c:v>
                </c:pt>
                <c:pt idx="39" formatCode="General">
                  <c:v>0.75</c:v>
                </c:pt>
                <c:pt idx="40" formatCode="General">
                  <c:v>0.75</c:v>
                </c:pt>
                <c:pt idx="41" formatCode="General">
                  <c:v>1</c:v>
                </c:pt>
                <c:pt idx="42" formatCode="General">
                  <c:v>1</c:v>
                </c:pt>
                <c:pt idx="43" formatCode="General">
                  <c:v>1.25</c:v>
                </c:pt>
                <c:pt idx="44" formatCode="General">
                  <c:v>1.5</c:v>
                </c:pt>
                <c:pt idx="45" formatCode="General">
                  <c:v>1.5</c:v>
                </c:pt>
                <c:pt idx="46" formatCode="General">
                  <c:v>1.75</c:v>
                </c:pt>
                <c:pt idx="47" formatCode="General">
                  <c:v>1.75</c:v>
                </c:pt>
                <c:pt idx="48" formatCode="General">
                  <c:v>1.75</c:v>
                </c:pt>
                <c:pt idx="49" formatCode="General">
                  <c:v>1.75</c:v>
                </c:pt>
                <c:pt idx="50" formatCode="General">
                  <c:v>1.75</c:v>
                </c:pt>
                <c:pt idx="51" formatCode="General">
                  <c:v>1.75</c:v>
                </c:pt>
                <c:pt idx="52" formatCode="General">
                  <c:v>2</c:v>
                </c:pt>
                <c:pt idx="53" formatCode="General">
                  <c:v>2</c:v>
                </c:pt>
                <c:pt idx="54" formatCode="General">
                  <c:v>2</c:v>
                </c:pt>
                <c:pt idx="55" formatCode="General">
                  <c:v>2</c:v>
                </c:pt>
                <c:pt idx="56" formatCode="General">
                  <c:v>2</c:v>
                </c:pt>
                <c:pt idx="57" formatCode="General">
                  <c:v>2</c:v>
                </c:pt>
                <c:pt idx="58" formatCode="General">
                  <c:v>2</c:v>
                </c:pt>
                <c:pt idx="59" formatCode="General">
                  <c:v>2</c:v>
                </c:pt>
                <c:pt idx="60" formatCode="General">
                  <c:v>2</c:v>
                </c:pt>
                <c:pt idx="61" formatCode="General">
                  <c:v>2.25</c:v>
                </c:pt>
                <c:pt idx="62" formatCode="General">
                  <c:v>1</c:v>
                </c:pt>
                <c:pt idx="63" formatCode="General">
                  <c:v>1</c:v>
                </c:pt>
                <c:pt idx="64" formatCode="General">
                  <c:v>0.25</c:v>
                </c:pt>
                <c:pt idx="65" formatCode="General">
                  <c:v>0.25</c:v>
                </c:pt>
                <c:pt idx="66" formatCode="General">
                  <c:v>0.25</c:v>
                </c:pt>
                <c:pt idx="67" formatCode="General">
                  <c:v>0.25</c:v>
                </c:pt>
                <c:pt idx="68" formatCode="General">
                  <c:v>0.25</c:v>
                </c:pt>
                <c:pt idx="69" formatCode="General">
                  <c:v>0.25</c:v>
                </c:pt>
                <c:pt idx="70" formatCode="General">
                  <c:v>0.25</c:v>
                </c:pt>
                <c:pt idx="71" formatCode="General">
                  <c:v>0.25</c:v>
                </c:pt>
                <c:pt idx="72" formatCode="General">
                  <c:v>0.25</c:v>
                </c:pt>
                <c:pt idx="73" formatCode="General">
                  <c:v>0.25</c:v>
                </c:pt>
                <c:pt idx="74" formatCode="General">
                  <c:v>0.25</c:v>
                </c:pt>
              </c:numCache>
            </c:numRef>
          </c:val>
          <c:extLst>
            <c:ext xmlns:c16="http://schemas.microsoft.com/office/drawing/2014/chart" uri="{C3380CC4-5D6E-409C-BE32-E72D297353CC}">
              <c16:uniqueId val="{00000000-7454-4435-A3D8-9A5F95DAD468}"/>
            </c:ext>
          </c:extLst>
        </c:ser>
        <c:dLbls>
          <c:showLegendKey val="0"/>
          <c:showVal val="0"/>
          <c:showCatName val="0"/>
          <c:showSerName val="0"/>
          <c:showPercent val="0"/>
          <c:showBubbleSize val="0"/>
        </c:dLbls>
        <c:gapWidth val="31"/>
        <c:axId val="271742464"/>
        <c:axId val="271744000"/>
      </c:barChart>
      <c:lineChart>
        <c:grouping val="standard"/>
        <c:varyColors val="0"/>
        <c:ser>
          <c:idx val="3"/>
          <c:order val="1"/>
          <c:tx>
            <c:strRef>
              <c:f>'Měnové podmínky 1'!$F$5</c:f>
              <c:strCache>
                <c:ptCount val="1"/>
                <c:pt idx="0">
                  <c:v>Průměrný výnos státních dluhopisů (2Y)</c:v>
                </c:pt>
              </c:strCache>
            </c:strRef>
          </c:tx>
          <c:spPr>
            <a:ln w="19050">
              <a:solidFill>
                <a:srgbClr val="7DBB2D"/>
              </a:solidFill>
            </a:ln>
          </c:spPr>
          <c:marker>
            <c:symbol val="none"/>
          </c:marker>
          <c:cat>
            <c:multiLvlStrRef>
              <c:f>'Měnové podmínky 1'!$A$42:$B$116</c:f>
              <c:multiLvlStrCache>
                <c:ptCount val="75"/>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pt idx="72">
                    <c:v>1</c:v>
                  </c:pt>
                  <c:pt idx="73">
                    <c:v>2</c:v>
                  </c:pt>
                  <c:pt idx="74">
                    <c:v>3</c:v>
                  </c:pt>
                </c:lvl>
                <c:lvl>
                  <c:pt idx="0">
                    <c:v>2015</c:v>
                  </c:pt>
                  <c:pt idx="12">
                    <c:v>2016</c:v>
                  </c:pt>
                  <c:pt idx="24">
                    <c:v>2017</c:v>
                  </c:pt>
                  <c:pt idx="36">
                    <c:v>2018</c:v>
                  </c:pt>
                  <c:pt idx="48">
                    <c:v>2019</c:v>
                  </c:pt>
                  <c:pt idx="60">
                    <c:v>2020</c:v>
                  </c:pt>
                  <c:pt idx="72">
                    <c:v>2021</c:v>
                  </c:pt>
                </c:lvl>
              </c:multiLvlStrCache>
            </c:multiLvlStrRef>
          </c:cat>
          <c:val>
            <c:numRef>
              <c:f>'Měnové podmínky 1'!$F$42:$F$116</c:f>
              <c:numCache>
                <c:formatCode>General</c:formatCode>
                <c:ptCount val="75"/>
                <c:pt idx="0">
                  <c:v>0.09</c:v>
                </c:pt>
                <c:pt idx="1">
                  <c:v>0.06</c:v>
                </c:pt>
                <c:pt idx="2">
                  <c:v>0.04</c:v>
                </c:pt>
                <c:pt idx="3">
                  <c:v>-0.03</c:v>
                </c:pt>
                <c:pt idx="4">
                  <c:v>0.04</c:v>
                </c:pt>
                <c:pt idx="5">
                  <c:v>0.11</c:v>
                </c:pt>
                <c:pt idx="6">
                  <c:v>0.02</c:v>
                </c:pt>
                <c:pt idx="7">
                  <c:v>-7.0000000000000007E-2</c:v>
                </c:pt>
                <c:pt idx="8">
                  <c:v>-0.3</c:v>
                </c:pt>
                <c:pt idx="9">
                  <c:v>-0.28000000000000003</c:v>
                </c:pt>
                <c:pt idx="10">
                  <c:v>-0.33</c:v>
                </c:pt>
                <c:pt idx="11">
                  <c:v>-0.38</c:v>
                </c:pt>
                <c:pt idx="12">
                  <c:v>-0.21</c:v>
                </c:pt>
                <c:pt idx="13">
                  <c:v>-0.18</c:v>
                </c:pt>
                <c:pt idx="14">
                  <c:v>-0.17</c:v>
                </c:pt>
                <c:pt idx="15">
                  <c:v>-0.08</c:v>
                </c:pt>
                <c:pt idx="16">
                  <c:v>-0.04</c:v>
                </c:pt>
                <c:pt idx="17">
                  <c:v>-0.05</c:v>
                </c:pt>
                <c:pt idx="18">
                  <c:v>-0.13</c:v>
                </c:pt>
                <c:pt idx="19">
                  <c:v>-0.22</c:v>
                </c:pt>
                <c:pt idx="20">
                  <c:v>-0.5</c:v>
                </c:pt>
                <c:pt idx="21">
                  <c:v>-0.74</c:v>
                </c:pt>
                <c:pt idx="22">
                  <c:v>-0.73</c:v>
                </c:pt>
                <c:pt idx="23">
                  <c:v>-0.81</c:v>
                </c:pt>
                <c:pt idx="24">
                  <c:v>-0.88</c:v>
                </c:pt>
                <c:pt idx="25">
                  <c:v>-0.53</c:v>
                </c:pt>
                <c:pt idx="26">
                  <c:v>-0.44</c:v>
                </c:pt>
                <c:pt idx="27">
                  <c:v>-0.23</c:v>
                </c:pt>
                <c:pt idx="28">
                  <c:v>-0.24</c:v>
                </c:pt>
                <c:pt idx="29">
                  <c:v>-0.25</c:v>
                </c:pt>
                <c:pt idx="30">
                  <c:v>-0.28999999999999998</c:v>
                </c:pt>
                <c:pt idx="31">
                  <c:v>-0.33</c:v>
                </c:pt>
                <c:pt idx="32">
                  <c:v>-0.28999999999999998</c:v>
                </c:pt>
                <c:pt idx="33">
                  <c:v>0.12</c:v>
                </c:pt>
                <c:pt idx="34">
                  <c:v>0.31</c:v>
                </c:pt>
                <c:pt idx="35">
                  <c:v>0.19</c:v>
                </c:pt>
                <c:pt idx="36">
                  <c:v>0.46</c:v>
                </c:pt>
                <c:pt idx="37">
                  <c:v>0.55000000000000004</c:v>
                </c:pt>
                <c:pt idx="38">
                  <c:v>0.62</c:v>
                </c:pt>
                <c:pt idx="39">
                  <c:v>0.6</c:v>
                </c:pt>
                <c:pt idx="40">
                  <c:v>0.7</c:v>
                </c:pt>
                <c:pt idx="41">
                  <c:v>0.89</c:v>
                </c:pt>
                <c:pt idx="42">
                  <c:v>1.0900000000000001</c:v>
                </c:pt>
                <c:pt idx="43">
                  <c:v>1.26</c:v>
                </c:pt>
                <c:pt idx="44">
                  <c:v>1.34</c:v>
                </c:pt>
                <c:pt idx="45">
                  <c:v>1.44</c:v>
                </c:pt>
                <c:pt idx="46">
                  <c:v>1.49</c:v>
                </c:pt>
                <c:pt idx="47">
                  <c:v>1.52</c:v>
                </c:pt>
                <c:pt idx="48">
                  <c:v>1.66</c:v>
                </c:pt>
                <c:pt idx="49">
                  <c:v>1.74</c:v>
                </c:pt>
                <c:pt idx="50">
                  <c:v>1.71</c:v>
                </c:pt>
                <c:pt idx="51">
                  <c:v>1.63</c:v>
                </c:pt>
                <c:pt idx="52">
                  <c:v>1.62</c:v>
                </c:pt>
                <c:pt idx="53">
                  <c:v>1.52</c:v>
                </c:pt>
                <c:pt idx="54">
                  <c:v>1.35</c:v>
                </c:pt>
                <c:pt idx="55">
                  <c:v>0.85</c:v>
                </c:pt>
                <c:pt idx="56">
                  <c:v>1.07</c:v>
                </c:pt>
                <c:pt idx="57">
                  <c:v>1.17</c:v>
                </c:pt>
                <c:pt idx="58">
                  <c:v>1.33</c:v>
                </c:pt>
                <c:pt idx="59">
                  <c:v>1.36</c:v>
                </c:pt>
                <c:pt idx="60">
                  <c:v>1.55</c:v>
                </c:pt>
                <c:pt idx="61">
                  <c:v>1.57</c:v>
                </c:pt>
                <c:pt idx="62">
                  <c:v>1.27</c:v>
                </c:pt>
                <c:pt idx="63">
                  <c:v>0.71</c:v>
                </c:pt>
                <c:pt idx="64">
                  <c:v>0.13</c:v>
                </c:pt>
                <c:pt idx="65">
                  <c:v>0.08</c:v>
                </c:pt>
                <c:pt idx="66">
                  <c:v>0.02</c:v>
                </c:pt>
                <c:pt idx="67">
                  <c:v>0.04</c:v>
                </c:pt>
                <c:pt idx="68">
                  <c:v>0.05</c:v>
                </c:pt>
                <c:pt idx="69">
                  <c:v>0</c:v>
                </c:pt>
                <c:pt idx="70">
                  <c:v>0.06</c:v>
                </c:pt>
                <c:pt idx="71">
                  <c:v>0.16</c:v>
                </c:pt>
                <c:pt idx="72">
                  <c:v>0.26</c:v>
                </c:pt>
                <c:pt idx="73">
                  <c:v>0.45</c:v>
                </c:pt>
                <c:pt idx="74">
                  <c:v>0.75</c:v>
                </c:pt>
              </c:numCache>
            </c:numRef>
          </c:val>
          <c:smooth val="0"/>
          <c:extLst>
            <c:ext xmlns:c16="http://schemas.microsoft.com/office/drawing/2014/chart" uri="{C3380CC4-5D6E-409C-BE32-E72D297353CC}">
              <c16:uniqueId val="{00000001-7454-4435-A3D8-9A5F95DAD468}"/>
            </c:ext>
          </c:extLst>
        </c:ser>
        <c:ser>
          <c:idx val="1"/>
          <c:order val="2"/>
          <c:tx>
            <c:strRef>
              <c:f>'Měnové podmínky 1'!$D$5</c:f>
              <c:strCache>
                <c:ptCount val="1"/>
                <c:pt idx="0">
                  <c:v>PRIBOR (3M)</c:v>
                </c:pt>
              </c:strCache>
            </c:strRef>
          </c:tx>
          <c:spPr>
            <a:ln w="19050">
              <a:solidFill>
                <a:srgbClr val="0071BC"/>
              </a:solidFill>
            </a:ln>
          </c:spPr>
          <c:marker>
            <c:symbol val="none"/>
          </c:marker>
          <c:cat>
            <c:multiLvlStrRef>
              <c:f>'Měnové podmínky 1'!$A$42:$B$116</c:f>
              <c:multiLvlStrCache>
                <c:ptCount val="75"/>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pt idx="72">
                    <c:v>1</c:v>
                  </c:pt>
                  <c:pt idx="73">
                    <c:v>2</c:v>
                  </c:pt>
                  <c:pt idx="74">
                    <c:v>3</c:v>
                  </c:pt>
                </c:lvl>
                <c:lvl>
                  <c:pt idx="0">
                    <c:v>2015</c:v>
                  </c:pt>
                  <c:pt idx="12">
                    <c:v>2016</c:v>
                  </c:pt>
                  <c:pt idx="24">
                    <c:v>2017</c:v>
                  </c:pt>
                  <c:pt idx="36">
                    <c:v>2018</c:v>
                  </c:pt>
                  <c:pt idx="48">
                    <c:v>2019</c:v>
                  </c:pt>
                  <c:pt idx="60">
                    <c:v>2020</c:v>
                  </c:pt>
                  <c:pt idx="72">
                    <c:v>2021</c:v>
                  </c:pt>
                </c:lvl>
              </c:multiLvlStrCache>
            </c:multiLvlStrRef>
          </c:cat>
          <c:val>
            <c:numRef>
              <c:f>'Měnové podmínky 1'!$D$42:$D$116</c:f>
              <c:numCache>
                <c:formatCode>General</c:formatCode>
                <c:ptCount val="75"/>
                <c:pt idx="0">
                  <c:v>0.33</c:v>
                </c:pt>
                <c:pt idx="1">
                  <c:v>0.33</c:v>
                </c:pt>
                <c:pt idx="2">
                  <c:v>0.32</c:v>
                </c:pt>
                <c:pt idx="3">
                  <c:v>0.31</c:v>
                </c:pt>
                <c:pt idx="4">
                  <c:v>0.31</c:v>
                </c:pt>
                <c:pt idx="5">
                  <c:v>0.31</c:v>
                </c:pt>
                <c:pt idx="6">
                  <c:v>0.31</c:v>
                </c:pt>
                <c:pt idx="7">
                  <c:v>0.31</c:v>
                </c:pt>
                <c:pt idx="8">
                  <c:v>0.3</c:v>
                </c:pt>
                <c:pt idx="9">
                  <c:v>0.28999999999999998</c:v>
                </c:pt>
                <c:pt idx="10">
                  <c:v>0.28999999999999998</c:v>
                </c:pt>
                <c:pt idx="11">
                  <c:v>0.28999999999999998</c:v>
                </c:pt>
                <c:pt idx="12">
                  <c:v>0.28999999999999998</c:v>
                </c:pt>
                <c:pt idx="13">
                  <c:v>0.28000000000000003</c:v>
                </c:pt>
                <c:pt idx="14">
                  <c:v>0.28999999999999998</c:v>
                </c:pt>
                <c:pt idx="15">
                  <c:v>0.28999999999999998</c:v>
                </c:pt>
                <c:pt idx="16">
                  <c:v>0.28999999999999998</c:v>
                </c:pt>
                <c:pt idx="17">
                  <c:v>0.28999999999999998</c:v>
                </c:pt>
                <c:pt idx="18">
                  <c:v>0.28999999999999998</c:v>
                </c:pt>
                <c:pt idx="19">
                  <c:v>0.28999999999999998</c:v>
                </c:pt>
                <c:pt idx="20">
                  <c:v>0.28999999999999998</c:v>
                </c:pt>
                <c:pt idx="21">
                  <c:v>0.28999999999999998</c:v>
                </c:pt>
                <c:pt idx="22">
                  <c:v>0.28999999999999998</c:v>
                </c:pt>
                <c:pt idx="23">
                  <c:v>0.28999999999999998</c:v>
                </c:pt>
                <c:pt idx="24">
                  <c:v>0.28000000000000003</c:v>
                </c:pt>
                <c:pt idx="25">
                  <c:v>0.28000000000000003</c:v>
                </c:pt>
                <c:pt idx="26">
                  <c:v>0.28000000000000003</c:v>
                </c:pt>
                <c:pt idx="27">
                  <c:v>0.28999999999999998</c:v>
                </c:pt>
                <c:pt idx="28">
                  <c:v>0.3</c:v>
                </c:pt>
                <c:pt idx="29">
                  <c:v>0.3</c:v>
                </c:pt>
                <c:pt idx="30">
                  <c:v>0.3</c:v>
                </c:pt>
                <c:pt idx="31">
                  <c:v>0.43</c:v>
                </c:pt>
                <c:pt idx="32">
                  <c:v>0.46</c:v>
                </c:pt>
                <c:pt idx="33">
                  <c:v>0.51</c:v>
                </c:pt>
                <c:pt idx="34">
                  <c:v>0.71</c:v>
                </c:pt>
                <c:pt idx="35">
                  <c:v>0.75</c:v>
                </c:pt>
                <c:pt idx="36">
                  <c:v>0.77</c:v>
                </c:pt>
                <c:pt idx="37">
                  <c:v>0.9</c:v>
                </c:pt>
                <c:pt idx="38">
                  <c:v>0.9</c:v>
                </c:pt>
                <c:pt idx="39">
                  <c:v>0.9</c:v>
                </c:pt>
                <c:pt idx="40">
                  <c:v>0.9</c:v>
                </c:pt>
                <c:pt idx="41">
                  <c:v>0.93</c:v>
                </c:pt>
                <c:pt idx="42">
                  <c:v>1.18</c:v>
                </c:pt>
                <c:pt idx="43">
                  <c:v>1.45</c:v>
                </c:pt>
                <c:pt idx="44">
                  <c:v>1.54</c:v>
                </c:pt>
                <c:pt idx="45">
                  <c:v>1.76</c:v>
                </c:pt>
                <c:pt idx="46">
                  <c:v>1.99</c:v>
                </c:pt>
                <c:pt idx="47">
                  <c:v>2.0099999999999998</c:v>
                </c:pt>
                <c:pt idx="48">
                  <c:v>2.0099999999999998</c:v>
                </c:pt>
                <c:pt idx="49">
                  <c:v>2.0099999999999998</c:v>
                </c:pt>
                <c:pt idx="50">
                  <c:v>2.0299999999999998</c:v>
                </c:pt>
                <c:pt idx="51">
                  <c:v>2.02</c:v>
                </c:pt>
                <c:pt idx="52">
                  <c:v>2.19</c:v>
                </c:pt>
                <c:pt idx="53">
                  <c:v>2.17</c:v>
                </c:pt>
                <c:pt idx="54">
                  <c:v>2.16</c:v>
                </c:pt>
                <c:pt idx="55">
                  <c:v>2.14</c:v>
                </c:pt>
                <c:pt idx="56">
                  <c:v>2.14</c:v>
                </c:pt>
                <c:pt idx="57">
                  <c:v>2.17</c:v>
                </c:pt>
                <c:pt idx="58">
                  <c:v>2.1800000000000002</c:v>
                </c:pt>
                <c:pt idx="59">
                  <c:v>2.1800000000000002</c:v>
                </c:pt>
                <c:pt idx="60">
                  <c:v>2.17</c:v>
                </c:pt>
                <c:pt idx="61">
                  <c:v>2.34</c:v>
                </c:pt>
                <c:pt idx="62">
                  <c:v>2</c:v>
                </c:pt>
                <c:pt idx="63">
                  <c:v>0.97</c:v>
                </c:pt>
                <c:pt idx="64">
                  <c:v>0.46</c:v>
                </c:pt>
                <c:pt idx="65">
                  <c:v>0.34</c:v>
                </c:pt>
                <c:pt idx="66">
                  <c:v>0.34</c:v>
                </c:pt>
                <c:pt idx="67">
                  <c:v>0.34</c:v>
                </c:pt>
                <c:pt idx="68">
                  <c:v>0.34</c:v>
                </c:pt>
                <c:pt idx="69">
                  <c:v>0.35</c:v>
                </c:pt>
                <c:pt idx="70">
                  <c:v>0.35</c:v>
                </c:pt>
                <c:pt idx="71">
                  <c:v>0.35</c:v>
                </c:pt>
                <c:pt idx="72">
                  <c:v>0.36</c:v>
                </c:pt>
                <c:pt idx="73">
                  <c:v>0.36</c:v>
                </c:pt>
                <c:pt idx="74">
                  <c:v>0.36</c:v>
                </c:pt>
              </c:numCache>
            </c:numRef>
          </c:val>
          <c:smooth val="0"/>
          <c:extLst>
            <c:ext xmlns:c16="http://schemas.microsoft.com/office/drawing/2014/chart" uri="{C3380CC4-5D6E-409C-BE32-E72D297353CC}">
              <c16:uniqueId val="{00000002-7454-4435-A3D8-9A5F95DAD468}"/>
            </c:ext>
          </c:extLst>
        </c:ser>
        <c:ser>
          <c:idx val="4"/>
          <c:order val="3"/>
          <c:tx>
            <c:strRef>
              <c:f>'Měnové podmínky 1'!$G$5</c:f>
              <c:strCache>
                <c:ptCount val="1"/>
                <c:pt idx="0">
                  <c:v>Průměrný výnos státních dluhopisů (5Y)</c:v>
                </c:pt>
              </c:strCache>
            </c:strRef>
          </c:tx>
          <c:spPr>
            <a:ln w="19050">
              <a:solidFill>
                <a:srgbClr val="F8A124"/>
              </a:solidFill>
            </a:ln>
          </c:spPr>
          <c:marker>
            <c:symbol val="none"/>
          </c:marker>
          <c:cat>
            <c:multiLvlStrRef>
              <c:f>'Měnové podmínky 1'!$A$42:$B$116</c:f>
              <c:multiLvlStrCache>
                <c:ptCount val="75"/>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pt idx="72">
                    <c:v>1</c:v>
                  </c:pt>
                  <c:pt idx="73">
                    <c:v>2</c:v>
                  </c:pt>
                  <c:pt idx="74">
                    <c:v>3</c:v>
                  </c:pt>
                </c:lvl>
                <c:lvl>
                  <c:pt idx="0">
                    <c:v>2015</c:v>
                  </c:pt>
                  <c:pt idx="12">
                    <c:v>2016</c:v>
                  </c:pt>
                  <c:pt idx="24">
                    <c:v>2017</c:v>
                  </c:pt>
                  <c:pt idx="36">
                    <c:v>2018</c:v>
                  </c:pt>
                  <c:pt idx="48">
                    <c:v>2019</c:v>
                  </c:pt>
                  <c:pt idx="60">
                    <c:v>2020</c:v>
                  </c:pt>
                  <c:pt idx="72">
                    <c:v>2021</c:v>
                  </c:pt>
                </c:lvl>
              </c:multiLvlStrCache>
            </c:multiLvlStrRef>
          </c:cat>
          <c:val>
            <c:numRef>
              <c:f>'Měnové podmínky 1'!$G$42:$G$116</c:f>
              <c:numCache>
                <c:formatCode>General</c:formatCode>
                <c:ptCount val="75"/>
                <c:pt idx="0">
                  <c:v>0.13</c:v>
                </c:pt>
                <c:pt idx="1">
                  <c:v>0.17</c:v>
                </c:pt>
                <c:pt idx="2">
                  <c:v>0.14000000000000001</c:v>
                </c:pt>
                <c:pt idx="3">
                  <c:v>0.05</c:v>
                </c:pt>
                <c:pt idx="4">
                  <c:v>0.22</c:v>
                </c:pt>
                <c:pt idx="5">
                  <c:v>0.43</c:v>
                </c:pt>
                <c:pt idx="6">
                  <c:v>0.35</c:v>
                </c:pt>
                <c:pt idx="7">
                  <c:v>0.2</c:v>
                </c:pt>
                <c:pt idx="8">
                  <c:v>0.06</c:v>
                </c:pt>
                <c:pt idx="9">
                  <c:v>-0.05</c:v>
                </c:pt>
                <c:pt idx="10">
                  <c:v>-0.05</c:v>
                </c:pt>
                <c:pt idx="11">
                  <c:v>-0.11</c:v>
                </c:pt>
                <c:pt idx="12">
                  <c:v>0.04</c:v>
                </c:pt>
                <c:pt idx="13">
                  <c:v>-0.08</c:v>
                </c:pt>
                <c:pt idx="14">
                  <c:v>-0.1</c:v>
                </c:pt>
                <c:pt idx="15">
                  <c:v>0.04</c:v>
                </c:pt>
                <c:pt idx="16">
                  <c:v>7.0000000000000007E-2</c:v>
                </c:pt>
                <c:pt idx="17">
                  <c:v>0.05</c:v>
                </c:pt>
                <c:pt idx="18">
                  <c:v>-0.02</c:v>
                </c:pt>
                <c:pt idx="19">
                  <c:v>-0.09</c:v>
                </c:pt>
                <c:pt idx="20">
                  <c:v>-0.19</c:v>
                </c:pt>
                <c:pt idx="21">
                  <c:v>-0.17</c:v>
                </c:pt>
                <c:pt idx="22">
                  <c:v>-0.17</c:v>
                </c:pt>
                <c:pt idx="23">
                  <c:v>-0.21</c:v>
                </c:pt>
                <c:pt idx="24">
                  <c:v>-0.22</c:v>
                </c:pt>
                <c:pt idx="25">
                  <c:v>0.09</c:v>
                </c:pt>
                <c:pt idx="26">
                  <c:v>0.1</c:v>
                </c:pt>
                <c:pt idx="27">
                  <c:v>0.16</c:v>
                </c:pt>
                <c:pt idx="28">
                  <c:v>0.04</c:v>
                </c:pt>
                <c:pt idx="29">
                  <c:v>-0.03</c:v>
                </c:pt>
                <c:pt idx="30">
                  <c:v>0.14000000000000001</c:v>
                </c:pt>
                <c:pt idx="31">
                  <c:v>0.09</c:v>
                </c:pt>
                <c:pt idx="32">
                  <c:v>0.1</c:v>
                </c:pt>
                <c:pt idx="33">
                  <c:v>0.63</c:v>
                </c:pt>
                <c:pt idx="34">
                  <c:v>0.87</c:v>
                </c:pt>
                <c:pt idx="35">
                  <c:v>0.68</c:v>
                </c:pt>
                <c:pt idx="36">
                  <c:v>0.99</c:v>
                </c:pt>
                <c:pt idx="37">
                  <c:v>1.07</c:v>
                </c:pt>
                <c:pt idx="38">
                  <c:v>1.0900000000000001</c:v>
                </c:pt>
                <c:pt idx="39">
                  <c:v>1.05</c:v>
                </c:pt>
                <c:pt idx="40">
                  <c:v>1.21</c:v>
                </c:pt>
                <c:pt idx="41">
                  <c:v>1.41</c:v>
                </c:pt>
                <c:pt idx="42">
                  <c:v>1.44</c:v>
                </c:pt>
                <c:pt idx="43">
                  <c:v>1.55</c:v>
                </c:pt>
                <c:pt idx="44">
                  <c:v>1.7</c:v>
                </c:pt>
                <c:pt idx="45">
                  <c:v>1.81</c:v>
                </c:pt>
                <c:pt idx="46">
                  <c:v>1.79</c:v>
                </c:pt>
                <c:pt idx="47">
                  <c:v>1.71</c:v>
                </c:pt>
                <c:pt idx="48">
                  <c:v>1.6</c:v>
                </c:pt>
                <c:pt idx="49">
                  <c:v>1.61</c:v>
                </c:pt>
                <c:pt idx="50">
                  <c:v>1.7</c:v>
                </c:pt>
                <c:pt idx="51">
                  <c:v>1.63</c:v>
                </c:pt>
                <c:pt idx="52">
                  <c:v>1.57</c:v>
                </c:pt>
                <c:pt idx="53">
                  <c:v>1.43</c:v>
                </c:pt>
                <c:pt idx="54">
                  <c:v>1.31</c:v>
                </c:pt>
                <c:pt idx="55">
                  <c:v>0.89</c:v>
                </c:pt>
                <c:pt idx="56">
                  <c:v>1.1299999999999999</c:v>
                </c:pt>
                <c:pt idx="57">
                  <c:v>1.23</c:v>
                </c:pt>
                <c:pt idx="58">
                  <c:v>1.32</c:v>
                </c:pt>
                <c:pt idx="59">
                  <c:v>1.31</c:v>
                </c:pt>
                <c:pt idx="60">
                  <c:v>1.51</c:v>
                </c:pt>
                <c:pt idx="61">
                  <c:v>1.52</c:v>
                </c:pt>
                <c:pt idx="62">
                  <c:v>1.23</c:v>
                </c:pt>
                <c:pt idx="63">
                  <c:v>1.06</c:v>
                </c:pt>
                <c:pt idx="64">
                  <c:v>0.56999999999999995</c:v>
                </c:pt>
                <c:pt idx="65">
                  <c:v>0.52</c:v>
                </c:pt>
                <c:pt idx="66">
                  <c:v>0.52</c:v>
                </c:pt>
                <c:pt idx="67">
                  <c:v>0.57999999999999996</c:v>
                </c:pt>
                <c:pt idx="68">
                  <c:v>0.57999999999999996</c:v>
                </c:pt>
                <c:pt idx="69">
                  <c:v>0.54</c:v>
                </c:pt>
                <c:pt idx="70">
                  <c:v>0.66</c:v>
                </c:pt>
                <c:pt idx="71">
                  <c:v>0.8</c:v>
                </c:pt>
                <c:pt idx="72">
                  <c:v>0.82</c:v>
                </c:pt>
                <c:pt idx="73">
                  <c:v>1.06</c:v>
                </c:pt>
                <c:pt idx="74">
                  <c:v>1.4</c:v>
                </c:pt>
              </c:numCache>
            </c:numRef>
          </c:val>
          <c:smooth val="0"/>
          <c:extLst>
            <c:ext xmlns:c16="http://schemas.microsoft.com/office/drawing/2014/chart" uri="{C3380CC4-5D6E-409C-BE32-E72D297353CC}">
              <c16:uniqueId val="{00000003-7454-4435-A3D8-9A5F95DAD468}"/>
            </c:ext>
          </c:extLst>
        </c:ser>
        <c:ser>
          <c:idx val="2"/>
          <c:order val="4"/>
          <c:tx>
            <c:strRef>
              <c:f>'Měnové podmínky 1'!$E$5</c:f>
              <c:strCache>
                <c:ptCount val="1"/>
                <c:pt idx="0">
                  <c:v>PRIBOR (1Y)</c:v>
                </c:pt>
              </c:strCache>
            </c:strRef>
          </c:tx>
          <c:spPr>
            <a:ln w="19050">
              <a:solidFill>
                <a:srgbClr val="BD1B21"/>
              </a:solidFill>
            </a:ln>
          </c:spPr>
          <c:marker>
            <c:symbol val="none"/>
          </c:marker>
          <c:cat>
            <c:multiLvlStrRef>
              <c:f>'Měnové podmínky 1'!$A$42:$B$116</c:f>
              <c:multiLvlStrCache>
                <c:ptCount val="75"/>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pt idx="72">
                    <c:v>1</c:v>
                  </c:pt>
                  <c:pt idx="73">
                    <c:v>2</c:v>
                  </c:pt>
                  <c:pt idx="74">
                    <c:v>3</c:v>
                  </c:pt>
                </c:lvl>
                <c:lvl>
                  <c:pt idx="0">
                    <c:v>2015</c:v>
                  </c:pt>
                  <c:pt idx="12">
                    <c:v>2016</c:v>
                  </c:pt>
                  <c:pt idx="24">
                    <c:v>2017</c:v>
                  </c:pt>
                  <c:pt idx="36">
                    <c:v>2018</c:v>
                  </c:pt>
                  <c:pt idx="48">
                    <c:v>2019</c:v>
                  </c:pt>
                  <c:pt idx="60">
                    <c:v>2020</c:v>
                  </c:pt>
                  <c:pt idx="72">
                    <c:v>2021</c:v>
                  </c:pt>
                </c:lvl>
              </c:multiLvlStrCache>
            </c:multiLvlStrRef>
          </c:cat>
          <c:val>
            <c:numRef>
              <c:f>'Měnové podmínky 1'!$E$42:$E$116</c:f>
              <c:numCache>
                <c:formatCode>General</c:formatCode>
                <c:ptCount val="75"/>
                <c:pt idx="0">
                  <c:v>0.51</c:v>
                </c:pt>
                <c:pt idx="1">
                  <c:v>0.51</c:v>
                </c:pt>
                <c:pt idx="2">
                  <c:v>0.49</c:v>
                </c:pt>
                <c:pt idx="3">
                  <c:v>0.48</c:v>
                </c:pt>
                <c:pt idx="4">
                  <c:v>0.48</c:v>
                </c:pt>
                <c:pt idx="5">
                  <c:v>0.48</c:v>
                </c:pt>
                <c:pt idx="6">
                  <c:v>0.48</c:v>
                </c:pt>
                <c:pt idx="7">
                  <c:v>0.48</c:v>
                </c:pt>
                <c:pt idx="8">
                  <c:v>0.47</c:v>
                </c:pt>
                <c:pt idx="9">
                  <c:v>0.46</c:v>
                </c:pt>
                <c:pt idx="10">
                  <c:v>0.46</c:v>
                </c:pt>
                <c:pt idx="11">
                  <c:v>0.46</c:v>
                </c:pt>
                <c:pt idx="12">
                  <c:v>0.45</c:v>
                </c:pt>
                <c:pt idx="13">
                  <c:v>0.45</c:v>
                </c:pt>
                <c:pt idx="14">
                  <c:v>0.45</c:v>
                </c:pt>
                <c:pt idx="15">
                  <c:v>0.45</c:v>
                </c:pt>
                <c:pt idx="16">
                  <c:v>0.45</c:v>
                </c:pt>
                <c:pt idx="17">
                  <c:v>0.45</c:v>
                </c:pt>
                <c:pt idx="18">
                  <c:v>0.45</c:v>
                </c:pt>
                <c:pt idx="19">
                  <c:v>0.45</c:v>
                </c:pt>
                <c:pt idx="20">
                  <c:v>0.45</c:v>
                </c:pt>
                <c:pt idx="21">
                  <c:v>0.45</c:v>
                </c:pt>
                <c:pt idx="22">
                  <c:v>0.45</c:v>
                </c:pt>
                <c:pt idx="23">
                  <c:v>0.45</c:v>
                </c:pt>
                <c:pt idx="24">
                  <c:v>0.44</c:v>
                </c:pt>
                <c:pt idx="25">
                  <c:v>0.44</c:v>
                </c:pt>
                <c:pt idx="26">
                  <c:v>0.44</c:v>
                </c:pt>
                <c:pt idx="27">
                  <c:v>0.45</c:v>
                </c:pt>
                <c:pt idx="28">
                  <c:v>0.46</c:v>
                </c:pt>
                <c:pt idx="29">
                  <c:v>0.46</c:v>
                </c:pt>
                <c:pt idx="30">
                  <c:v>0.47</c:v>
                </c:pt>
                <c:pt idx="31">
                  <c:v>0.6</c:v>
                </c:pt>
                <c:pt idx="32">
                  <c:v>0.64</c:v>
                </c:pt>
                <c:pt idx="33">
                  <c:v>0.69</c:v>
                </c:pt>
                <c:pt idx="34">
                  <c:v>0.91</c:v>
                </c:pt>
                <c:pt idx="35">
                  <c:v>0.96</c:v>
                </c:pt>
                <c:pt idx="36">
                  <c:v>0.98</c:v>
                </c:pt>
                <c:pt idx="37">
                  <c:v>1.1100000000000001</c:v>
                </c:pt>
                <c:pt idx="38">
                  <c:v>1.1200000000000001</c:v>
                </c:pt>
                <c:pt idx="39">
                  <c:v>1.1200000000000001</c:v>
                </c:pt>
                <c:pt idx="40">
                  <c:v>1.1200000000000001</c:v>
                </c:pt>
                <c:pt idx="41">
                  <c:v>1.1499999999999999</c:v>
                </c:pt>
                <c:pt idx="42">
                  <c:v>1.39</c:v>
                </c:pt>
                <c:pt idx="43">
                  <c:v>1.67</c:v>
                </c:pt>
                <c:pt idx="44">
                  <c:v>1.79</c:v>
                </c:pt>
                <c:pt idx="45">
                  <c:v>1.95</c:v>
                </c:pt>
                <c:pt idx="46">
                  <c:v>2.1800000000000002</c:v>
                </c:pt>
                <c:pt idx="47">
                  <c:v>2.21</c:v>
                </c:pt>
                <c:pt idx="48">
                  <c:v>2.21</c:v>
                </c:pt>
                <c:pt idx="49">
                  <c:v>2.2000000000000002</c:v>
                </c:pt>
                <c:pt idx="50">
                  <c:v>2.2000000000000002</c:v>
                </c:pt>
                <c:pt idx="51">
                  <c:v>2.21</c:v>
                </c:pt>
                <c:pt idx="52">
                  <c:v>2.3199999999999998</c:v>
                </c:pt>
                <c:pt idx="53">
                  <c:v>2.29</c:v>
                </c:pt>
                <c:pt idx="54">
                  <c:v>2.2799999999999998</c:v>
                </c:pt>
                <c:pt idx="55">
                  <c:v>2.2200000000000002</c:v>
                </c:pt>
                <c:pt idx="56">
                  <c:v>2.2000000000000002</c:v>
                </c:pt>
                <c:pt idx="57">
                  <c:v>2.2799999999999998</c:v>
                </c:pt>
                <c:pt idx="58">
                  <c:v>2.2799999999999998</c:v>
                </c:pt>
                <c:pt idx="59">
                  <c:v>2.27</c:v>
                </c:pt>
                <c:pt idx="60">
                  <c:v>2.27</c:v>
                </c:pt>
                <c:pt idx="61">
                  <c:v>2.42</c:v>
                </c:pt>
                <c:pt idx="62">
                  <c:v>2.0099999999999998</c:v>
                </c:pt>
                <c:pt idx="63">
                  <c:v>0.92</c:v>
                </c:pt>
                <c:pt idx="64">
                  <c:v>0.51</c:v>
                </c:pt>
                <c:pt idx="65">
                  <c:v>0.43</c:v>
                </c:pt>
                <c:pt idx="66">
                  <c:v>0.43</c:v>
                </c:pt>
                <c:pt idx="67">
                  <c:v>0.43</c:v>
                </c:pt>
                <c:pt idx="68">
                  <c:v>0.44</c:v>
                </c:pt>
                <c:pt idx="69">
                  <c:v>0.43</c:v>
                </c:pt>
                <c:pt idx="70">
                  <c:v>0.44</c:v>
                </c:pt>
                <c:pt idx="71">
                  <c:v>0.49</c:v>
                </c:pt>
                <c:pt idx="72">
                  <c:v>0.49</c:v>
                </c:pt>
                <c:pt idx="73">
                  <c:v>0.54</c:v>
                </c:pt>
                <c:pt idx="74">
                  <c:v>0.56000000000000005</c:v>
                </c:pt>
              </c:numCache>
            </c:numRef>
          </c:val>
          <c:smooth val="0"/>
          <c:extLst>
            <c:ext xmlns:c16="http://schemas.microsoft.com/office/drawing/2014/chart" uri="{C3380CC4-5D6E-409C-BE32-E72D297353CC}">
              <c16:uniqueId val="{00000004-7454-4435-A3D8-9A5F95DAD468}"/>
            </c:ext>
          </c:extLst>
        </c:ser>
        <c:ser>
          <c:idx val="5"/>
          <c:order val="5"/>
          <c:tx>
            <c:strRef>
              <c:f>'Měnové podmínky 1'!$H$5</c:f>
              <c:strCache>
                <c:ptCount val="1"/>
                <c:pt idx="0">
                  <c:v>Průměrný výnos státních dluhopisů (10Y)</c:v>
                </c:pt>
              </c:strCache>
            </c:strRef>
          </c:tx>
          <c:spPr>
            <a:ln w="19050">
              <a:solidFill>
                <a:srgbClr val="48AEE7"/>
              </a:solidFill>
            </a:ln>
          </c:spPr>
          <c:marker>
            <c:symbol val="none"/>
          </c:marker>
          <c:cat>
            <c:multiLvlStrRef>
              <c:f>'Měnové podmínky 1'!$A$42:$B$116</c:f>
              <c:multiLvlStrCache>
                <c:ptCount val="75"/>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pt idx="72">
                    <c:v>1</c:v>
                  </c:pt>
                  <c:pt idx="73">
                    <c:v>2</c:v>
                  </c:pt>
                  <c:pt idx="74">
                    <c:v>3</c:v>
                  </c:pt>
                </c:lvl>
                <c:lvl>
                  <c:pt idx="0">
                    <c:v>2015</c:v>
                  </c:pt>
                  <c:pt idx="12">
                    <c:v>2016</c:v>
                  </c:pt>
                  <c:pt idx="24">
                    <c:v>2017</c:v>
                  </c:pt>
                  <c:pt idx="36">
                    <c:v>2018</c:v>
                  </c:pt>
                  <c:pt idx="48">
                    <c:v>2019</c:v>
                  </c:pt>
                  <c:pt idx="60">
                    <c:v>2020</c:v>
                  </c:pt>
                  <c:pt idx="72">
                    <c:v>2021</c:v>
                  </c:pt>
                </c:lvl>
              </c:multiLvlStrCache>
            </c:multiLvlStrRef>
          </c:cat>
          <c:val>
            <c:numRef>
              <c:f>'Měnové podmínky 1'!$H$42:$H$116</c:f>
              <c:numCache>
                <c:formatCode>General</c:formatCode>
                <c:ptCount val="75"/>
                <c:pt idx="0">
                  <c:v>0.35</c:v>
                </c:pt>
                <c:pt idx="1">
                  <c:v>0.4</c:v>
                </c:pt>
                <c:pt idx="2">
                  <c:v>0.35</c:v>
                </c:pt>
                <c:pt idx="3">
                  <c:v>0.26</c:v>
                </c:pt>
                <c:pt idx="4">
                  <c:v>0.6</c:v>
                </c:pt>
                <c:pt idx="5">
                  <c:v>1.01</c:v>
                </c:pt>
                <c:pt idx="6">
                  <c:v>0.97</c:v>
                </c:pt>
                <c:pt idx="7">
                  <c:v>0.74</c:v>
                </c:pt>
                <c:pt idx="8">
                  <c:v>0.68</c:v>
                </c:pt>
                <c:pt idx="9">
                  <c:v>0.56000000000000005</c:v>
                </c:pt>
                <c:pt idx="10">
                  <c:v>0.49</c:v>
                </c:pt>
                <c:pt idx="11">
                  <c:v>0.49</c:v>
                </c:pt>
                <c:pt idx="12">
                  <c:v>0.62</c:v>
                </c:pt>
                <c:pt idx="13">
                  <c:v>0.46</c:v>
                </c:pt>
                <c:pt idx="14">
                  <c:v>0.35</c:v>
                </c:pt>
                <c:pt idx="15">
                  <c:v>0.43</c:v>
                </c:pt>
                <c:pt idx="16">
                  <c:v>0.46</c:v>
                </c:pt>
                <c:pt idx="17">
                  <c:v>0.45</c:v>
                </c:pt>
                <c:pt idx="18">
                  <c:v>0.37</c:v>
                </c:pt>
                <c:pt idx="19">
                  <c:v>0.28999999999999998</c:v>
                </c:pt>
                <c:pt idx="20">
                  <c:v>0.25</c:v>
                </c:pt>
                <c:pt idx="21">
                  <c:v>0.37</c:v>
                </c:pt>
                <c:pt idx="22">
                  <c:v>0.55000000000000004</c:v>
                </c:pt>
                <c:pt idx="23">
                  <c:v>0.53</c:v>
                </c:pt>
                <c:pt idx="24">
                  <c:v>0.47</c:v>
                </c:pt>
                <c:pt idx="25">
                  <c:v>0.63</c:v>
                </c:pt>
                <c:pt idx="26">
                  <c:v>0.87</c:v>
                </c:pt>
                <c:pt idx="27">
                  <c:v>0.96</c:v>
                </c:pt>
                <c:pt idx="28">
                  <c:v>0.74</c:v>
                </c:pt>
                <c:pt idx="29">
                  <c:v>0.77</c:v>
                </c:pt>
                <c:pt idx="30">
                  <c:v>0.9</c:v>
                </c:pt>
                <c:pt idx="31">
                  <c:v>0.83</c:v>
                </c:pt>
                <c:pt idx="32">
                  <c:v>0.97</c:v>
                </c:pt>
                <c:pt idx="33">
                  <c:v>1.45</c:v>
                </c:pt>
                <c:pt idx="34">
                  <c:v>1.68</c:v>
                </c:pt>
                <c:pt idx="35">
                  <c:v>1.5</c:v>
                </c:pt>
                <c:pt idx="36">
                  <c:v>1.77</c:v>
                </c:pt>
                <c:pt idx="37">
                  <c:v>1.82</c:v>
                </c:pt>
                <c:pt idx="38">
                  <c:v>1.81</c:v>
                </c:pt>
                <c:pt idx="39">
                  <c:v>1.74</c:v>
                </c:pt>
                <c:pt idx="40">
                  <c:v>1.89</c:v>
                </c:pt>
                <c:pt idx="41">
                  <c:v>2.14</c:v>
                </c:pt>
                <c:pt idx="42">
                  <c:v>2.11</c:v>
                </c:pt>
                <c:pt idx="43">
                  <c:v>2.14</c:v>
                </c:pt>
                <c:pt idx="44">
                  <c:v>2.14</c:v>
                </c:pt>
                <c:pt idx="45">
                  <c:v>2.14</c:v>
                </c:pt>
                <c:pt idx="46">
                  <c:v>2.0699999999999998</c:v>
                </c:pt>
                <c:pt idx="47">
                  <c:v>2.0099999999999998</c:v>
                </c:pt>
                <c:pt idx="48">
                  <c:v>1.85</c:v>
                </c:pt>
                <c:pt idx="49">
                  <c:v>1.76</c:v>
                </c:pt>
                <c:pt idx="50">
                  <c:v>1.82</c:v>
                </c:pt>
                <c:pt idx="51">
                  <c:v>1.82</c:v>
                </c:pt>
                <c:pt idx="52">
                  <c:v>1.86</c:v>
                </c:pt>
                <c:pt idx="53">
                  <c:v>1.58</c:v>
                </c:pt>
                <c:pt idx="54">
                  <c:v>1.36</c:v>
                </c:pt>
                <c:pt idx="55">
                  <c:v>0.99</c:v>
                </c:pt>
                <c:pt idx="56">
                  <c:v>1.24</c:v>
                </c:pt>
                <c:pt idx="57">
                  <c:v>1.32</c:v>
                </c:pt>
                <c:pt idx="58">
                  <c:v>1.47</c:v>
                </c:pt>
                <c:pt idx="59">
                  <c:v>1.51</c:v>
                </c:pt>
                <c:pt idx="60">
                  <c:v>1.62</c:v>
                </c:pt>
                <c:pt idx="61">
                  <c:v>1.47</c:v>
                </c:pt>
                <c:pt idx="62">
                  <c:v>1.28</c:v>
                </c:pt>
                <c:pt idx="63">
                  <c:v>1.28</c:v>
                </c:pt>
                <c:pt idx="64">
                  <c:v>0.92</c:v>
                </c:pt>
                <c:pt idx="65">
                  <c:v>0.86</c:v>
                </c:pt>
                <c:pt idx="66">
                  <c:v>0.86</c:v>
                </c:pt>
                <c:pt idx="67">
                  <c:v>0.95</c:v>
                </c:pt>
                <c:pt idx="68">
                  <c:v>0.98</c:v>
                </c:pt>
                <c:pt idx="69">
                  <c:v>0.94</c:v>
                </c:pt>
                <c:pt idx="70">
                  <c:v>1.1200000000000001</c:v>
                </c:pt>
                <c:pt idx="71">
                  <c:v>1.26</c:v>
                </c:pt>
                <c:pt idx="72">
                  <c:v>1.28</c:v>
                </c:pt>
                <c:pt idx="73">
                  <c:v>1.49</c:v>
                </c:pt>
                <c:pt idx="74">
                  <c:v>1.87</c:v>
                </c:pt>
              </c:numCache>
            </c:numRef>
          </c:val>
          <c:smooth val="0"/>
          <c:extLst>
            <c:ext xmlns:c16="http://schemas.microsoft.com/office/drawing/2014/chart" uri="{C3380CC4-5D6E-409C-BE32-E72D297353CC}">
              <c16:uniqueId val="{00000005-7454-4435-A3D8-9A5F95DAD468}"/>
            </c:ext>
          </c:extLst>
        </c:ser>
        <c:dLbls>
          <c:showLegendKey val="0"/>
          <c:showVal val="0"/>
          <c:showCatName val="0"/>
          <c:showSerName val="0"/>
          <c:showPercent val="0"/>
          <c:showBubbleSize val="0"/>
        </c:dLbls>
        <c:marker val="1"/>
        <c:smooth val="0"/>
        <c:axId val="271742464"/>
        <c:axId val="271744000"/>
      </c:lineChart>
      <c:catAx>
        <c:axId val="271742464"/>
        <c:scaling>
          <c:orientation val="minMax"/>
        </c:scaling>
        <c:delete val="0"/>
        <c:axPos val="b"/>
        <c:numFmt formatCode="General" sourceLinked="0"/>
        <c:majorTickMark val="out"/>
        <c:minorTickMark val="none"/>
        <c:tickLblPos val="low"/>
        <c:spPr>
          <a:ln>
            <a:solidFill>
              <a:schemeClr val="tx1"/>
            </a:solidFill>
          </a:ln>
        </c:spPr>
        <c:crossAx val="271744000"/>
        <c:crosses val="autoZero"/>
        <c:auto val="1"/>
        <c:lblAlgn val="ctr"/>
        <c:lblOffset val="100"/>
        <c:noMultiLvlLbl val="0"/>
      </c:catAx>
      <c:valAx>
        <c:axId val="271744000"/>
        <c:scaling>
          <c:orientation val="minMax"/>
          <c:min val="-1"/>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1742464"/>
        <c:crosses val="autoZero"/>
        <c:crossBetween val="between"/>
        <c:majorUnit val="1"/>
      </c:valAx>
      <c:spPr>
        <a:ln>
          <a:solidFill>
            <a:schemeClr val="tx1"/>
          </a:solidFill>
        </a:ln>
      </c:spPr>
    </c:plotArea>
    <c:legend>
      <c:legendPos val="b"/>
      <c:layout>
        <c:manualLayout>
          <c:xMode val="edge"/>
          <c:yMode val="edge"/>
          <c:x val="4.7501055386693677E-2"/>
          <c:y val="0.87558269120103249"/>
          <c:w val="0.93350515028706516"/>
          <c:h val="0.1101570592445996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941807701508628E-2"/>
          <c:y val="1.7107238390107405E-2"/>
          <c:w val="0.85025814723822324"/>
          <c:h val="0.81082663967425594"/>
        </c:manualLayout>
      </c:layout>
      <c:barChart>
        <c:barDir val="col"/>
        <c:grouping val="clustered"/>
        <c:varyColors val="0"/>
        <c:ser>
          <c:idx val="2"/>
          <c:order val="4"/>
          <c:tx>
            <c:strRef>
              <c:f>'G1-Státní rozpočet-příjmy-2020'!$A$37</c:f>
              <c:strCache>
                <c:ptCount val="1"/>
                <c:pt idx="0">
                  <c:v>Saldo státního rozpočtu (SR, pravá osa)</c:v>
                </c:pt>
              </c:strCache>
            </c:strRef>
          </c:tx>
          <c:spPr>
            <a:solidFill>
              <a:schemeClr val="bg1">
                <a:lumMod val="65000"/>
              </a:schemeClr>
            </a:solidFill>
          </c:spPr>
          <c:invertIfNegative val="0"/>
          <c:cat>
            <c:numRef>
              <c:f>'G1-Státní rozpočet-příjmy-2020'!$B$32:$O$32</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'G1-Státní rozpočet-příjmy-2020'!$B$37:$O$37</c:f>
              <c:numCache>
                <c:formatCode>#\ ##0.0</c:formatCode>
                <c:ptCount val="14"/>
                <c:pt idx="0">
                  <c:v>-13.347</c:v>
                </c:pt>
                <c:pt idx="1">
                  <c:v>-2.3460000000000001</c:v>
                </c:pt>
                <c:pt idx="2">
                  <c:v>-45.942</c:v>
                </c:pt>
                <c:pt idx="3">
                  <c:v>-25.202000000000002</c:v>
                </c:pt>
                <c:pt idx="4">
                  <c:v>-22.69</c:v>
                </c:pt>
                <c:pt idx="5">
                  <c:v>13.97</c:v>
                </c:pt>
                <c:pt idx="6">
                  <c:v>43.59</c:v>
                </c:pt>
                <c:pt idx="7">
                  <c:v>19.91</c:v>
                </c:pt>
                <c:pt idx="8">
                  <c:v>43.6</c:v>
                </c:pt>
                <c:pt idx="9">
                  <c:v>4.68</c:v>
                </c:pt>
                <c:pt idx="10">
                  <c:v>16.260000000000002</c:v>
                </c:pt>
                <c:pt idx="11">
                  <c:v>-9.24</c:v>
                </c:pt>
                <c:pt idx="12">
                  <c:v>-44.70771591839997</c:v>
                </c:pt>
                <c:pt idx="13">
                  <c:v>-125.1977047449202</c:v>
                </c:pt>
              </c:numCache>
            </c:numRef>
          </c:val>
          <c:extLst>
            <c:ext xmlns:c16="http://schemas.microsoft.com/office/drawing/2014/chart" uri="{C3380CC4-5D6E-409C-BE32-E72D297353CC}">
              <c16:uniqueId val="{00000000-8F16-4B7A-8DBC-A2BE6AC73E82}"/>
            </c:ext>
          </c:extLst>
        </c:ser>
        <c:ser>
          <c:idx val="5"/>
          <c:order val="5"/>
          <c:tx>
            <c:strRef>
              <c:f>'G1-Státní rozpočet-příjmy-2020'!$A$38</c:f>
              <c:strCache>
                <c:ptCount val="1"/>
                <c:pt idx="0">
                  <c:v>Saldo SR očišť. o vliv EU a FM* (pr. osa)</c:v>
                </c:pt>
              </c:strCache>
            </c:strRef>
          </c:tx>
          <c:spPr>
            <a:solidFill>
              <a:schemeClr val="bg1">
                <a:lumMod val="85000"/>
              </a:schemeClr>
            </a:solidFill>
            <a:ln>
              <a:solidFill>
                <a:schemeClr val="bg1">
                  <a:lumMod val="65000"/>
                </a:schemeClr>
              </a:solidFill>
            </a:ln>
          </c:spPr>
          <c:invertIfNegative val="0"/>
          <c:cat>
            <c:numRef>
              <c:f>'G1-Státní rozpočet-příjmy-2020'!$B$32:$O$32</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'G1-Státní rozpočet-příjmy-2020'!$B$38:$O$38</c:f>
              <c:numCache>
                <c:formatCode>General</c:formatCode>
                <c:ptCount val="14"/>
                <c:pt idx="5" formatCode="0.0">
                  <c:v>-9.4</c:v>
                </c:pt>
                <c:pt idx="6" formatCode="0.0">
                  <c:v>11</c:v>
                </c:pt>
                <c:pt idx="7">
                  <c:v>-18.100000000000001</c:v>
                </c:pt>
                <c:pt idx="8" formatCode="#\ ##0.0">
                  <c:v>-11.9</c:v>
                </c:pt>
                <c:pt idx="9" formatCode="#\ ##0.0">
                  <c:v>-4.5599999999999996</c:v>
                </c:pt>
                <c:pt idx="10" formatCode="#\ ##0.0">
                  <c:v>-5.26</c:v>
                </c:pt>
                <c:pt idx="11" formatCode="#\ ##0.0">
                  <c:v>-6.1961843930897658</c:v>
                </c:pt>
                <c:pt idx="12" formatCode="#\ ##0.0">
                  <c:v>-41.582504753719945</c:v>
                </c:pt>
                <c:pt idx="13" formatCode="#\ ##0.0">
                  <c:v>-123.9</c:v>
                </c:pt>
              </c:numCache>
            </c:numRef>
          </c:val>
          <c:extLst>
            <c:ext xmlns:c16="http://schemas.microsoft.com/office/drawing/2014/chart" uri="{C3380CC4-5D6E-409C-BE32-E72D297353CC}">
              <c16:uniqueId val="{00000001-8F16-4B7A-8DBC-A2BE6AC73E82}"/>
            </c:ext>
          </c:extLst>
        </c:ser>
        <c:dLbls>
          <c:showLegendKey val="0"/>
          <c:showVal val="0"/>
          <c:showCatName val="0"/>
          <c:showSerName val="0"/>
          <c:showPercent val="0"/>
          <c:showBubbleSize val="0"/>
        </c:dLbls>
        <c:gapWidth val="60"/>
        <c:overlap val="12"/>
        <c:axId val="539204576"/>
        <c:axId val="556140592"/>
      </c:barChart>
      <c:lineChart>
        <c:grouping val="standard"/>
        <c:varyColors val="0"/>
        <c:ser>
          <c:idx val="0"/>
          <c:order val="0"/>
          <c:tx>
            <c:strRef>
              <c:f>'G1-Státní rozpočet-příjmy-2020'!$A$33</c:f>
              <c:strCache>
                <c:ptCount val="1"/>
                <c:pt idx="0">
                  <c:v>DPH</c:v>
                </c:pt>
              </c:strCache>
            </c:strRef>
          </c:tx>
          <c:spPr>
            <a:ln w="19050">
              <a:solidFill>
                <a:srgbClr val="BD1B25"/>
              </a:solidFill>
            </a:ln>
          </c:spPr>
          <c:marker>
            <c:symbol val="none"/>
          </c:marker>
          <c:cat>
            <c:numRef>
              <c:f>'G1-Státní rozpočet-příjmy-2020'!$B$32:$O$32</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'G1-Státní rozpočet-příjmy-2020'!$B$33:$O$33</c:f>
              <c:numCache>
                <c:formatCode>0.0</c:formatCode>
                <c:ptCount val="14"/>
                <c:pt idx="0">
                  <c:v>4.3689320388349557</c:v>
                </c:pt>
                <c:pt idx="1">
                  <c:v>-6.4254952627045583</c:v>
                </c:pt>
                <c:pt idx="2">
                  <c:v>11.616347569955821</c:v>
                </c:pt>
                <c:pt idx="3">
                  <c:v>-6.6138875144318092</c:v>
                </c:pt>
                <c:pt idx="4">
                  <c:v>3.2144118685976792</c:v>
                </c:pt>
                <c:pt idx="5">
                  <c:v>25.496235455167707</c:v>
                </c:pt>
                <c:pt idx="6">
                  <c:v>15.121352604308711</c:v>
                </c:pt>
                <c:pt idx="7">
                  <c:v>-14.307710529432683</c:v>
                </c:pt>
                <c:pt idx="8">
                  <c:v>4.1879751209398677</c:v>
                </c:pt>
                <c:pt idx="9">
                  <c:v>8.6229769169541015</c:v>
                </c:pt>
                <c:pt idx="10">
                  <c:v>13.14118221787983</c:v>
                </c:pt>
                <c:pt idx="11">
                  <c:v>-0.16191709844561331</c:v>
                </c:pt>
                <c:pt idx="12">
                  <c:v>5.7174974991134349</c:v>
                </c:pt>
                <c:pt idx="13">
                  <c:v>-6.9116831971698929</c:v>
                </c:pt>
              </c:numCache>
            </c:numRef>
          </c:val>
          <c:smooth val="0"/>
          <c:extLst>
            <c:ext xmlns:c16="http://schemas.microsoft.com/office/drawing/2014/chart" uri="{C3380CC4-5D6E-409C-BE32-E72D297353CC}">
              <c16:uniqueId val="{00000002-8F16-4B7A-8DBC-A2BE6AC73E82}"/>
            </c:ext>
          </c:extLst>
        </c:ser>
        <c:ser>
          <c:idx val="1"/>
          <c:order val="1"/>
          <c:tx>
            <c:strRef>
              <c:f>'G1-Státní rozpočet-příjmy-2020'!$A$34</c:f>
              <c:strCache>
                <c:ptCount val="1"/>
                <c:pt idx="0">
                  <c:v>Spotřební daně</c:v>
                </c:pt>
              </c:strCache>
            </c:strRef>
          </c:tx>
          <c:spPr>
            <a:ln w="12700">
              <a:solidFill>
                <a:schemeClr val="accent6">
                  <a:lumMod val="75000"/>
                </a:schemeClr>
              </a:solidFill>
              <a:prstDash val="solid"/>
            </a:ln>
          </c:spPr>
          <c:marker>
            <c:symbol val="none"/>
          </c:marker>
          <c:cat>
            <c:numRef>
              <c:f>'G1-Státní rozpočet-příjmy-2020'!$B$32:$O$32</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'G1-Státní rozpočet-příjmy-2020'!$B$34:$O$34</c:f>
              <c:numCache>
                <c:formatCode>0.0</c:formatCode>
                <c:ptCount val="14"/>
                <c:pt idx="0">
                  <c:v>-0.98070230939575254</c:v>
                </c:pt>
                <c:pt idx="1">
                  <c:v>-13.322683706070293</c:v>
                </c:pt>
                <c:pt idx="2">
                  <c:v>28.603022484334673</c:v>
                </c:pt>
                <c:pt idx="3">
                  <c:v>-3.6113499570077323</c:v>
                </c:pt>
                <c:pt idx="4">
                  <c:v>9.5450490633363074</c:v>
                </c:pt>
                <c:pt idx="5">
                  <c:v>9.9077090119435383</c:v>
                </c:pt>
                <c:pt idx="6">
                  <c:v>13.879970363052593</c:v>
                </c:pt>
                <c:pt idx="7">
                  <c:v>-27.998265018434182</c:v>
                </c:pt>
                <c:pt idx="8">
                  <c:v>8.162650602409613</c:v>
                </c:pt>
                <c:pt idx="9">
                  <c:v>2.339181286549703</c:v>
                </c:pt>
                <c:pt idx="10">
                  <c:v>3.4013605442176953</c:v>
                </c:pt>
                <c:pt idx="11">
                  <c:v>-3.8421052631579045</c:v>
                </c:pt>
                <c:pt idx="12">
                  <c:v>7.1724296093322408</c:v>
                </c:pt>
                <c:pt idx="13">
                  <c:v>-19.383681280818053</c:v>
                </c:pt>
              </c:numCache>
            </c:numRef>
          </c:val>
          <c:smooth val="0"/>
          <c:extLst>
            <c:ext xmlns:c16="http://schemas.microsoft.com/office/drawing/2014/chart" uri="{C3380CC4-5D6E-409C-BE32-E72D297353CC}">
              <c16:uniqueId val="{00000003-8F16-4B7A-8DBC-A2BE6AC73E82}"/>
            </c:ext>
          </c:extLst>
        </c:ser>
        <c:ser>
          <c:idx val="3"/>
          <c:order val="2"/>
          <c:tx>
            <c:strRef>
              <c:f>'G1-Státní rozpočet-příjmy-2020'!$A$35</c:f>
              <c:strCache>
                <c:ptCount val="1"/>
                <c:pt idx="0">
                  <c:v>Daně z příjmů (DPFO) ze závislé činnosti</c:v>
                </c:pt>
              </c:strCache>
            </c:strRef>
          </c:tx>
          <c:spPr>
            <a:ln w="19050">
              <a:solidFill>
                <a:srgbClr val="0071BC"/>
              </a:solidFill>
              <a:prstDash val="sysDot"/>
            </a:ln>
          </c:spPr>
          <c:marker>
            <c:symbol val="diamond"/>
            <c:size val="5"/>
            <c:spPr>
              <a:solidFill>
                <a:schemeClr val="bg1"/>
              </a:solidFill>
              <a:ln>
                <a:solidFill>
                  <a:srgbClr val="0071BC"/>
                </a:solidFill>
              </a:ln>
            </c:spPr>
          </c:marker>
          <c:cat>
            <c:numRef>
              <c:f>'G1-Státní rozpočet-příjmy-2020'!$B$32:$O$32</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'G1-Státní rozpočet-příjmy-2020'!$B$35:$O$35</c:f>
              <c:numCache>
                <c:formatCode>0.0</c:formatCode>
                <c:ptCount val="14"/>
                <c:pt idx="0">
                  <c:v>1.2636612021857729</c:v>
                </c:pt>
                <c:pt idx="1">
                  <c:v>-4.5531197301855002</c:v>
                </c:pt>
                <c:pt idx="2">
                  <c:v>-1.7314487632508815</c:v>
                </c:pt>
                <c:pt idx="3">
                  <c:v>3.8475368572455864</c:v>
                </c:pt>
                <c:pt idx="4">
                  <c:v>3.8781163434903192</c:v>
                </c:pt>
                <c:pt idx="5">
                  <c:v>4.5000000000000142</c:v>
                </c:pt>
                <c:pt idx="6">
                  <c:v>0.7655502392344431</c:v>
                </c:pt>
                <c:pt idx="7">
                  <c:v>1.772712883823985</c:v>
                </c:pt>
                <c:pt idx="8">
                  <c:v>8.2426127527216266</c:v>
                </c:pt>
                <c:pt idx="9">
                  <c:v>10.287356321839098</c:v>
                </c:pt>
                <c:pt idx="10">
                  <c:v>15.398645127670662</c:v>
                </c:pt>
                <c:pt idx="11">
                  <c:v>12.485888462406862</c:v>
                </c:pt>
                <c:pt idx="12">
                  <c:v>9.9123042259534344</c:v>
                </c:pt>
                <c:pt idx="13">
                  <c:v>-36.539312440474447</c:v>
                </c:pt>
              </c:numCache>
            </c:numRef>
          </c:val>
          <c:smooth val="0"/>
          <c:extLst>
            <c:ext xmlns:c16="http://schemas.microsoft.com/office/drawing/2014/chart" uri="{C3380CC4-5D6E-409C-BE32-E72D297353CC}">
              <c16:uniqueId val="{00000004-8F16-4B7A-8DBC-A2BE6AC73E82}"/>
            </c:ext>
          </c:extLst>
        </c:ser>
        <c:ser>
          <c:idx val="4"/>
          <c:order val="3"/>
          <c:tx>
            <c:strRef>
              <c:f>'G1-Státní rozpočet-příjmy-2020'!$A$36</c:f>
              <c:strCache>
                <c:ptCount val="1"/>
                <c:pt idx="0">
                  <c:v>Daně z příjmů právnických osob (DPPO)</c:v>
                </c:pt>
              </c:strCache>
            </c:strRef>
          </c:tx>
          <c:spPr>
            <a:ln w="19050">
              <a:solidFill>
                <a:srgbClr val="92D050"/>
              </a:solidFill>
              <a:prstDash val="sysDot"/>
            </a:ln>
          </c:spPr>
          <c:marker>
            <c:symbol val="circle"/>
            <c:size val="5"/>
            <c:spPr>
              <a:solidFill>
                <a:srgbClr val="00B050"/>
              </a:solidFill>
              <a:ln>
                <a:noFill/>
              </a:ln>
            </c:spPr>
          </c:marker>
          <c:cat>
            <c:numRef>
              <c:f>'G1-Státní rozpočet-příjmy-2020'!$B$32:$O$32</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'G1-Státní rozpočet-příjmy-2020'!$B$36:$O$36</c:f>
              <c:numCache>
                <c:formatCode>0.0</c:formatCode>
                <c:ptCount val="14"/>
                <c:pt idx="0">
                  <c:v>18.38259175056838</c:v>
                </c:pt>
                <c:pt idx="1">
                  <c:v>-14.074074074074076</c:v>
                </c:pt>
                <c:pt idx="2">
                  <c:v>-3.1928480204342691E-2</c:v>
                </c:pt>
                <c:pt idx="3">
                  <c:v>-8.6234429894602442</c:v>
                </c:pt>
                <c:pt idx="4">
                  <c:v>-0.66410346032854761</c:v>
                </c:pt>
                <c:pt idx="5">
                  <c:v>-0.49261083743841994</c:v>
                </c:pt>
                <c:pt idx="6">
                  <c:v>2.5813295615275962</c:v>
                </c:pt>
                <c:pt idx="7">
                  <c:v>7.2388831437435215</c:v>
                </c:pt>
                <c:pt idx="8">
                  <c:v>12.600450016072017</c:v>
                </c:pt>
                <c:pt idx="9">
                  <c:v>10.248358549814427</c:v>
                </c:pt>
                <c:pt idx="10">
                  <c:v>1.1651993785603452</c:v>
                </c:pt>
                <c:pt idx="11">
                  <c:v>3.7880726900435064</c:v>
                </c:pt>
                <c:pt idx="12">
                  <c:v>1.9680718055980151</c:v>
                </c:pt>
                <c:pt idx="13">
                  <c:v>0.65770178358668829</c:v>
                </c:pt>
              </c:numCache>
            </c:numRef>
          </c:val>
          <c:smooth val="0"/>
          <c:extLst>
            <c:ext xmlns:c16="http://schemas.microsoft.com/office/drawing/2014/chart" uri="{C3380CC4-5D6E-409C-BE32-E72D297353CC}">
              <c16:uniqueId val="{00000005-8F16-4B7A-8DBC-A2BE6AC73E82}"/>
            </c:ext>
          </c:extLst>
        </c:ser>
        <c:dLbls>
          <c:showLegendKey val="0"/>
          <c:showVal val="0"/>
          <c:showCatName val="0"/>
          <c:showSerName val="0"/>
          <c:showPercent val="0"/>
          <c:showBubbleSize val="0"/>
        </c:dLbls>
        <c:marker val="1"/>
        <c:smooth val="0"/>
        <c:axId val="194467712"/>
        <c:axId val="194473984"/>
      </c:lineChart>
      <c:catAx>
        <c:axId val="194467712"/>
        <c:scaling>
          <c:orientation val="minMax"/>
        </c:scaling>
        <c:delete val="0"/>
        <c:axPos val="b"/>
        <c:numFmt formatCode="General" sourceLinked="1"/>
        <c:majorTickMark val="out"/>
        <c:minorTickMark val="none"/>
        <c:tickLblPos val="low"/>
        <c:spPr>
          <a:ln w="6350">
            <a:solidFill>
              <a:schemeClr val="tx1"/>
            </a:solidFill>
          </a:ln>
        </c:spPr>
        <c:crossAx val="194473984"/>
        <c:crosses val="autoZero"/>
        <c:auto val="1"/>
        <c:lblAlgn val="ctr"/>
        <c:lblOffset val="0"/>
        <c:noMultiLvlLbl val="0"/>
      </c:catAx>
      <c:valAx>
        <c:axId val="194473984"/>
        <c:scaling>
          <c:orientation val="minMax"/>
          <c:max val="30"/>
          <c:min val="-40"/>
        </c:scaling>
        <c:delete val="0"/>
        <c:axPos val="l"/>
        <c:majorGridlines>
          <c:spPr>
            <a:ln w="6350">
              <a:solidFill>
                <a:schemeClr val="bg1">
                  <a:lumMod val="75000"/>
                </a:schemeClr>
              </a:solidFill>
            </a:ln>
          </c:spPr>
        </c:majorGridlines>
        <c:title>
          <c:tx>
            <c:rich>
              <a:bodyPr/>
              <a:lstStyle/>
              <a:p>
                <a:pPr>
                  <a:defRPr sz="700" b="0" i="1"/>
                </a:pPr>
                <a:r>
                  <a:rPr lang="cs-CZ" sz="700" b="0" i="1"/>
                  <a:t>Jednotlivé</a:t>
                </a:r>
                <a:r>
                  <a:rPr lang="cs-CZ" sz="700" b="0" i="1" baseline="0"/>
                  <a:t> druhy příjmů (meziroční změna </a:t>
                </a:r>
                <a:r>
                  <a:rPr lang="cs-CZ" sz="700" b="0" i="1" u="none" strike="noStrike" kern="1200" baseline="0">
                    <a:solidFill>
                      <a:sysClr val="windowText" lastClr="000000"/>
                    </a:solidFill>
                    <a:latin typeface="Arial" panose="020B0604020202020204" pitchFamily="34" charset="0"/>
                    <a:ea typeface="+mn-ea"/>
                    <a:cs typeface="Arial" panose="020B0604020202020204" pitchFamily="34" charset="0"/>
                  </a:rPr>
                  <a:t>v </a:t>
                </a:r>
                <a:r>
                  <a:rPr lang="cs-CZ" sz="700" b="0" i="1" baseline="0"/>
                  <a:t>%)</a:t>
                </a:r>
                <a:endParaRPr lang="cs-CZ" sz="700" b="0" i="1"/>
              </a:p>
            </c:rich>
          </c:tx>
          <c:overlay val="0"/>
        </c:title>
        <c:numFmt formatCode="0" sourceLinked="0"/>
        <c:majorTickMark val="out"/>
        <c:minorTickMark val="none"/>
        <c:tickLblPos val="nextTo"/>
        <c:spPr>
          <a:ln w="6350">
            <a:solidFill>
              <a:schemeClr val="tx1"/>
            </a:solidFill>
          </a:ln>
        </c:spPr>
        <c:crossAx val="194467712"/>
        <c:crosses val="autoZero"/>
        <c:crossBetween val="between"/>
        <c:majorUnit val="5"/>
      </c:valAx>
      <c:valAx>
        <c:axId val="556140592"/>
        <c:scaling>
          <c:orientation val="minMax"/>
          <c:max val="120"/>
          <c:min val="-160"/>
        </c:scaling>
        <c:delete val="0"/>
        <c:axPos val="r"/>
        <c:title>
          <c:tx>
            <c:rich>
              <a:bodyPr/>
              <a:lstStyle/>
              <a:p>
                <a:pPr>
                  <a:defRPr sz="700" b="0" i="1"/>
                </a:pPr>
                <a:r>
                  <a:rPr lang="cs-CZ" sz="700" b="0" i="1"/>
                  <a:t>Saldo státního rozpočtu (v</a:t>
                </a:r>
                <a:r>
                  <a:rPr lang="cs-CZ" sz="700" b="0" i="1" u="none" strike="noStrike" kern="1200" baseline="0">
                    <a:solidFill>
                      <a:sysClr val="windowText" lastClr="000000"/>
                    </a:solidFill>
                    <a:latin typeface="Arial" panose="020B0604020202020204" pitchFamily="34" charset="0"/>
                    <a:ea typeface="+mn-ea"/>
                    <a:cs typeface="Arial" panose="020B0604020202020204" pitchFamily="34" charset="0"/>
                  </a:rPr>
                  <a:t> mld.</a:t>
                </a:r>
                <a:r>
                  <a:rPr lang="cs-CZ" sz="700" b="0" i="1"/>
                  <a:t> korun)</a:t>
                </a:r>
              </a:p>
            </c:rich>
          </c:tx>
          <c:layout>
            <c:manualLayout>
              <c:xMode val="edge"/>
              <c:yMode val="edge"/>
              <c:x val="0.97045792894156713"/>
              <c:y val="0.17482631219571415"/>
            </c:manualLayout>
          </c:layout>
          <c:overlay val="0"/>
        </c:title>
        <c:numFmt formatCode="#,##0" sourceLinked="0"/>
        <c:majorTickMark val="out"/>
        <c:minorTickMark val="none"/>
        <c:tickLblPos val="nextTo"/>
        <c:crossAx val="539204576"/>
        <c:crosses val="max"/>
        <c:crossBetween val="between"/>
        <c:majorUnit val="20"/>
      </c:valAx>
      <c:catAx>
        <c:axId val="539204576"/>
        <c:scaling>
          <c:orientation val="minMax"/>
        </c:scaling>
        <c:delete val="1"/>
        <c:axPos val="b"/>
        <c:numFmt formatCode="General" sourceLinked="1"/>
        <c:majorTickMark val="out"/>
        <c:minorTickMark val="none"/>
        <c:tickLblPos val="nextTo"/>
        <c:crossAx val="556140592"/>
        <c:crosses val="autoZero"/>
        <c:auto val="1"/>
        <c:lblAlgn val="ctr"/>
        <c:lblOffset val="100"/>
        <c:noMultiLvlLbl val="0"/>
      </c:catAx>
      <c:spPr>
        <a:ln w="6350">
          <a:solidFill>
            <a:schemeClr val="tx1"/>
          </a:solidFill>
        </a:ln>
      </c:spPr>
    </c:plotArea>
    <c:legend>
      <c:legendPos val="b"/>
      <c:layout>
        <c:manualLayout>
          <c:xMode val="edge"/>
          <c:yMode val="edge"/>
          <c:x val="2.9416606460500545E-2"/>
          <c:y val="0.87940106577842259"/>
          <c:w val="0.96194907147777087"/>
          <c:h val="0.11339681185859984"/>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233554716266127E-2"/>
          <c:y val="1.7112323287741892E-2"/>
          <c:w val="0.82968371809808084"/>
          <c:h val="0.76067747074773961"/>
        </c:manualLayout>
      </c:layout>
      <c:barChart>
        <c:barDir val="col"/>
        <c:grouping val="clustered"/>
        <c:varyColors val="0"/>
        <c:ser>
          <c:idx val="0"/>
          <c:order val="0"/>
          <c:tx>
            <c:strRef>
              <c:f>'SR-výdaje-celorok-2021'!$B$30</c:f>
              <c:strCache>
                <c:ptCount val="1"/>
                <c:pt idx="0">
                  <c:v>Běžné výdaje (pravá osa)</c:v>
                </c:pt>
              </c:strCache>
            </c:strRef>
          </c:tx>
          <c:spPr>
            <a:solidFill>
              <a:srgbClr val="D3D3D3"/>
            </a:solidFill>
            <a:ln>
              <a:noFill/>
            </a:ln>
          </c:spPr>
          <c:invertIfNegative val="0"/>
          <c:cat>
            <c:numRef>
              <c:f>'SR-výdaje-celorok-2021'!$A$34:$A$47</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'SR-výdaje-celorok-2021'!$B$34:$B$47</c:f>
              <c:numCache>
                <c:formatCode>0.0</c:formatCode>
                <c:ptCount val="14"/>
                <c:pt idx="0">
                  <c:v>251.64</c:v>
                </c:pt>
                <c:pt idx="1">
                  <c:v>242.03</c:v>
                </c:pt>
                <c:pt idx="2">
                  <c:v>262.01</c:v>
                </c:pt>
                <c:pt idx="3">
                  <c:v>252.45</c:v>
                </c:pt>
                <c:pt idx="4">
                  <c:v>258.94</c:v>
                </c:pt>
                <c:pt idx="5">
                  <c:v>261.20999999999998</c:v>
                </c:pt>
                <c:pt idx="6">
                  <c:v>265.72000000000003</c:v>
                </c:pt>
                <c:pt idx="7">
                  <c:v>274.76</c:v>
                </c:pt>
                <c:pt idx="8">
                  <c:v>278.33</c:v>
                </c:pt>
                <c:pt idx="9">
                  <c:v>296.72000000000003</c:v>
                </c:pt>
                <c:pt idx="10">
                  <c:v>317.70999999999998</c:v>
                </c:pt>
                <c:pt idx="11">
                  <c:v>357.12</c:v>
                </c:pt>
                <c:pt idx="12">
                  <c:v>398.64712341415998</c:v>
                </c:pt>
                <c:pt idx="13">
                  <c:v>441.6</c:v>
                </c:pt>
              </c:numCache>
            </c:numRef>
          </c:val>
          <c:extLst>
            <c:ext xmlns:c16="http://schemas.microsoft.com/office/drawing/2014/chart" uri="{C3380CC4-5D6E-409C-BE32-E72D297353CC}">
              <c16:uniqueId val="{00000000-3956-4F06-A1C8-4A53CBA2CF8D}"/>
            </c:ext>
          </c:extLst>
        </c:ser>
        <c:dLbls>
          <c:showLegendKey val="0"/>
          <c:showVal val="0"/>
          <c:showCatName val="0"/>
          <c:showSerName val="0"/>
          <c:showPercent val="0"/>
          <c:showBubbleSize val="0"/>
        </c:dLbls>
        <c:gapWidth val="70"/>
        <c:axId val="72836608"/>
        <c:axId val="72835072"/>
      </c:barChart>
      <c:lineChart>
        <c:grouping val="standard"/>
        <c:varyColors val="0"/>
        <c:ser>
          <c:idx val="1"/>
          <c:order val="1"/>
          <c:tx>
            <c:strRef>
              <c:f>'SR-výdaje-celorok-2021'!$C$30</c:f>
              <c:strCache>
                <c:ptCount val="1"/>
                <c:pt idx="0">
                  <c:v>Platy a související výdaje*</c:v>
                </c:pt>
              </c:strCache>
            </c:strRef>
          </c:tx>
          <c:spPr>
            <a:ln w="15875">
              <a:solidFill>
                <a:srgbClr val="92D050"/>
              </a:solidFill>
            </a:ln>
          </c:spPr>
          <c:marker>
            <c:symbol val="none"/>
          </c:marker>
          <c:cat>
            <c:numRef>
              <c:f>'SR-výdaje-celorok-2021'!$A$34:$A$47</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'SR-výdaje-celorok-2021'!$C$34:$C$47</c:f>
              <c:numCache>
                <c:formatCode>0.0</c:formatCode>
                <c:ptCount val="14"/>
                <c:pt idx="0">
                  <c:v>14.73</c:v>
                </c:pt>
                <c:pt idx="1">
                  <c:v>15.14</c:v>
                </c:pt>
                <c:pt idx="2">
                  <c:v>15.42</c:v>
                </c:pt>
                <c:pt idx="3">
                  <c:v>14.05</c:v>
                </c:pt>
                <c:pt idx="4">
                  <c:v>14.35</c:v>
                </c:pt>
                <c:pt idx="5">
                  <c:v>14.46</c:v>
                </c:pt>
                <c:pt idx="6">
                  <c:v>14.8</c:v>
                </c:pt>
                <c:pt idx="7">
                  <c:v>15.8</c:v>
                </c:pt>
                <c:pt idx="8">
                  <c:v>16.75</c:v>
                </c:pt>
                <c:pt idx="9">
                  <c:v>17.75</c:v>
                </c:pt>
                <c:pt idx="10">
                  <c:v>20.47</c:v>
                </c:pt>
                <c:pt idx="11">
                  <c:v>22.19</c:v>
                </c:pt>
                <c:pt idx="12">
                  <c:v>23.3823472427</c:v>
                </c:pt>
                <c:pt idx="13">
                  <c:v>23.5</c:v>
                </c:pt>
              </c:numCache>
            </c:numRef>
          </c:val>
          <c:smooth val="0"/>
          <c:extLst>
            <c:ext xmlns:c16="http://schemas.microsoft.com/office/drawing/2014/chart" uri="{C3380CC4-5D6E-409C-BE32-E72D297353CC}">
              <c16:uniqueId val="{00000001-3956-4F06-A1C8-4A53CBA2CF8D}"/>
            </c:ext>
          </c:extLst>
        </c:ser>
        <c:ser>
          <c:idx val="6"/>
          <c:order val="2"/>
          <c:tx>
            <c:strRef>
              <c:f>'SR-výdaje-celorok-2021'!$D$30</c:f>
              <c:strCache>
                <c:ptCount val="1"/>
                <c:pt idx="0">
                  <c:v>Podpora v nezaměstnanosti</c:v>
                </c:pt>
              </c:strCache>
            </c:strRef>
          </c:tx>
          <c:spPr>
            <a:ln w="15875">
              <a:solidFill>
                <a:srgbClr val="48AEE7"/>
              </a:solidFill>
            </a:ln>
          </c:spPr>
          <c:marker>
            <c:symbol val="none"/>
          </c:marker>
          <c:cat>
            <c:numRef>
              <c:f>'SR-výdaje-celorok-2021'!$A$34:$A$47</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'SR-výdaje-celorok-2021'!$D$34:$D$47</c:f>
              <c:numCache>
                <c:formatCode>0.0</c:formatCode>
                <c:ptCount val="14"/>
                <c:pt idx="0">
                  <c:v>1.87</c:v>
                </c:pt>
                <c:pt idx="1">
                  <c:v>3.07</c:v>
                </c:pt>
                <c:pt idx="2">
                  <c:v>4.21</c:v>
                </c:pt>
                <c:pt idx="3">
                  <c:v>3.62</c:v>
                </c:pt>
                <c:pt idx="4">
                  <c:v>2.63</c:v>
                </c:pt>
                <c:pt idx="5">
                  <c:v>2.82</c:v>
                </c:pt>
                <c:pt idx="6">
                  <c:v>2.86</c:v>
                </c:pt>
                <c:pt idx="7">
                  <c:v>2.56</c:v>
                </c:pt>
                <c:pt idx="8">
                  <c:v>2.4500000000000002</c:v>
                </c:pt>
                <c:pt idx="9">
                  <c:v>2.42</c:v>
                </c:pt>
                <c:pt idx="10">
                  <c:v>2.21</c:v>
                </c:pt>
                <c:pt idx="11">
                  <c:v>2.30140118962</c:v>
                </c:pt>
                <c:pt idx="12">
                  <c:v>2.4618649264500001</c:v>
                </c:pt>
                <c:pt idx="13">
                  <c:v>3</c:v>
                </c:pt>
              </c:numCache>
            </c:numRef>
          </c:val>
          <c:smooth val="0"/>
          <c:extLst>
            <c:ext xmlns:c16="http://schemas.microsoft.com/office/drawing/2014/chart" uri="{C3380CC4-5D6E-409C-BE32-E72D297353CC}">
              <c16:uniqueId val="{00000002-3956-4F06-A1C8-4A53CBA2CF8D}"/>
            </c:ext>
          </c:extLst>
        </c:ser>
        <c:ser>
          <c:idx val="7"/>
          <c:order val="3"/>
          <c:tx>
            <c:strRef>
              <c:f>'SR-výdaje-celorok-2021'!$E$30</c:f>
              <c:strCache>
                <c:ptCount val="1"/>
                <c:pt idx="0">
                  <c:v>Státní sociální podpora**</c:v>
                </c:pt>
              </c:strCache>
            </c:strRef>
          </c:tx>
          <c:spPr>
            <a:ln w="15875">
              <a:solidFill>
                <a:srgbClr val="00B050"/>
              </a:solidFill>
            </a:ln>
          </c:spPr>
          <c:marker>
            <c:symbol val="none"/>
          </c:marker>
          <c:cat>
            <c:numRef>
              <c:f>'SR-výdaje-celorok-2021'!$A$34:$A$47</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'SR-výdaje-celorok-2021'!$E$34:$E$47</c:f>
              <c:numCache>
                <c:formatCode>General</c:formatCode>
                <c:ptCount val="14"/>
                <c:pt idx="0">
                  <c:v>11.07</c:v>
                </c:pt>
                <c:pt idx="1">
                  <c:v>10.199999999999999</c:v>
                </c:pt>
                <c:pt idx="2">
                  <c:v>10.3</c:v>
                </c:pt>
                <c:pt idx="3">
                  <c:v>9.3800000000000008</c:v>
                </c:pt>
                <c:pt idx="4">
                  <c:v>8.89</c:v>
                </c:pt>
                <c:pt idx="5">
                  <c:v>9.2200000000000006</c:v>
                </c:pt>
                <c:pt idx="6">
                  <c:v>9.3699999999999992</c:v>
                </c:pt>
                <c:pt idx="7">
                  <c:v>9.33</c:v>
                </c:pt>
                <c:pt idx="8">
                  <c:v>9.3800000000000008</c:v>
                </c:pt>
                <c:pt idx="9">
                  <c:v>9.2899999999999991</c:v>
                </c:pt>
                <c:pt idx="10">
                  <c:v>9.48</c:v>
                </c:pt>
                <c:pt idx="11" formatCode="0.00">
                  <c:v>9.5169305102399999</c:v>
                </c:pt>
                <c:pt idx="12">
                  <c:v>11.83410995721</c:v>
                </c:pt>
                <c:pt idx="13" formatCode="0.00">
                  <c:v>12.2</c:v>
                </c:pt>
              </c:numCache>
            </c:numRef>
          </c:val>
          <c:smooth val="0"/>
          <c:extLst>
            <c:ext xmlns:c16="http://schemas.microsoft.com/office/drawing/2014/chart" uri="{C3380CC4-5D6E-409C-BE32-E72D297353CC}">
              <c16:uniqueId val="{00000003-3956-4F06-A1C8-4A53CBA2CF8D}"/>
            </c:ext>
          </c:extLst>
        </c:ser>
        <c:ser>
          <c:idx val="2"/>
          <c:order val="4"/>
          <c:tx>
            <c:strRef>
              <c:f>'SR-výdaje-celorok-2021'!$F$30</c:f>
              <c:strCache>
                <c:ptCount val="1"/>
                <c:pt idx="0">
                  <c:v>Dávky nemocenského pojištění</c:v>
                </c:pt>
              </c:strCache>
            </c:strRef>
          </c:tx>
          <c:spPr>
            <a:ln w="15875">
              <a:solidFill>
                <a:srgbClr val="0071BC"/>
              </a:solidFill>
            </a:ln>
          </c:spPr>
          <c:marker>
            <c:symbol val="none"/>
          </c:marker>
          <c:cat>
            <c:numRef>
              <c:f>'SR-výdaje-celorok-2021'!$A$34:$A$47</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'SR-výdaje-celorok-2021'!$F$34:$F$47</c:f>
              <c:numCache>
                <c:formatCode>0.00</c:formatCode>
                <c:ptCount val="14"/>
                <c:pt idx="0">
                  <c:v>9.09</c:v>
                </c:pt>
                <c:pt idx="1">
                  <c:v>7.27</c:v>
                </c:pt>
                <c:pt idx="2">
                  <c:v>6.07</c:v>
                </c:pt>
                <c:pt idx="3">
                  <c:v>6.07</c:v>
                </c:pt>
                <c:pt idx="4">
                  <c:v>5.21</c:v>
                </c:pt>
                <c:pt idx="5">
                  <c:v>5.3</c:v>
                </c:pt>
                <c:pt idx="6">
                  <c:v>5.47</c:v>
                </c:pt>
                <c:pt idx="7">
                  <c:v>6.21</c:v>
                </c:pt>
                <c:pt idx="8">
                  <c:v>6.67</c:v>
                </c:pt>
                <c:pt idx="9">
                  <c:v>7.47</c:v>
                </c:pt>
                <c:pt idx="10">
                  <c:v>8.2899999999999991</c:v>
                </c:pt>
                <c:pt idx="11">
                  <c:v>9.92</c:v>
                </c:pt>
                <c:pt idx="12">
                  <c:v>10.97</c:v>
                </c:pt>
                <c:pt idx="13">
                  <c:v>13.3</c:v>
                </c:pt>
              </c:numCache>
            </c:numRef>
          </c:val>
          <c:smooth val="0"/>
          <c:extLst>
            <c:ext xmlns:c16="http://schemas.microsoft.com/office/drawing/2014/chart" uri="{C3380CC4-5D6E-409C-BE32-E72D297353CC}">
              <c16:uniqueId val="{00000004-3956-4F06-A1C8-4A53CBA2CF8D}"/>
            </c:ext>
          </c:extLst>
        </c:ser>
        <c:ser>
          <c:idx val="3"/>
          <c:order val="5"/>
          <c:tx>
            <c:strRef>
              <c:f>'SR-výdaje-celorok-2021'!$G$30</c:f>
              <c:strCache>
                <c:ptCount val="1"/>
                <c:pt idx="0">
                  <c:v>Dávky sociální péče***</c:v>
                </c:pt>
              </c:strCache>
            </c:strRef>
          </c:tx>
          <c:spPr>
            <a:ln w="15875">
              <a:solidFill>
                <a:srgbClr val="7030A0"/>
              </a:solidFill>
            </a:ln>
          </c:spPr>
          <c:marker>
            <c:symbol val="none"/>
          </c:marker>
          <c:cat>
            <c:numRef>
              <c:f>'SR-výdaje-celorok-2021'!$A$34:$A$47</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'SR-výdaje-celorok-2021'!$G$34:$G$47</c:f>
              <c:numCache>
                <c:formatCode>0.00</c:formatCode>
                <c:ptCount val="14"/>
                <c:pt idx="0">
                  <c:v>7.8000000000000007</c:v>
                </c:pt>
                <c:pt idx="1">
                  <c:v>7.1</c:v>
                </c:pt>
                <c:pt idx="2">
                  <c:v>7.1999999999999993</c:v>
                </c:pt>
                <c:pt idx="3">
                  <c:v>6.68</c:v>
                </c:pt>
                <c:pt idx="4">
                  <c:v>6.37</c:v>
                </c:pt>
                <c:pt idx="5">
                  <c:v>7.64</c:v>
                </c:pt>
                <c:pt idx="6">
                  <c:v>8.2100000000000009</c:v>
                </c:pt>
                <c:pt idx="7">
                  <c:v>8.44</c:v>
                </c:pt>
                <c:pt idx="8">
                  <c:v>8.34</c:v>
                </c:pt>
                <c:pt idx="9">
                  <c:v>8.85</c:v>
                </c:pt>
                <c:pt idx="10">
                  <c:v>8.48</c:v>
                </c:pt>
                <c:pt idx="11">
                  <c:v>8.3800000000000008</c:v>
                </c:pt>
                <c:pt idx="12">
                  <c:v>9.91</c:v>
                </c:pt>
                <c:pt idx="13">
                  <c:v>10.199999999999999</c:v>
                </c:pt>
              </c:numCache>
            </c:numRef>
          </c:val>
          <c:smooth val="0"/>
          <c:extLst>
            <c:ext xmlns:c16="http://schemas.microsoft.com/office/drawing/2014/chart" uri="{C3380CC4-5D6E-409C-BE32-E72D297353CC}">
              <c16:uniqueId val="{00000005-3956-4F06-A1C8-4A53CBA2CF8D}"/>
            </c:ext>
          </c:extLst>
        </c:ser>
        <c:ser>
          <c:idx val="4"/>
          <c:order val="6"/>
          <c:tx>
            <c:strRef>
              <c:f>'SR-výdaje-celorok-2021'!$H$30</c:f>
              <c:strCache>
                <c:ptCount val="1"/>
                <c:pt idx="0">
                  <c:v>Neinv. nákupy a souvis.výdaje****</c:v>
                </c:pt>
              </c:strCache>
            </c:strRef>
          </c:tx>
          <c:spPr>
            <a:ln w="15875">
              <a:solidFill>
                <a:srgbClr val="F8A124"/>
              </a:solidFill>
              <a:prstDash val="solid"/>
            </a:ln>
          </c:spPr>
          <c:marker>
            <c:symbol val="none"/>
          </c:marker>
          <c:cat>
            <c:numRef>
              <c:f>'SR-výdaje-celorok-2021'!$A$34:$A$47</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'SR-výdaje-celorok-2021'!$H$34:$H$47</c:f>
              <c:numCache>
                <c:formatCode>General</c:formatCode>
                <c:ptCount val="14"/>
                <c:pt idx="4" formatCode="0.0">
                  <c:v>14.04</c:v>
                </c:pt>
                <c:pt idx="5" formatCode="0.0">
                  <c:v>11.8</c:v>
                </c:pt>
                <c:pt idx="6" formatCode="0.0">
                  <c:v>10.3</c:v>
                </c:pt>
                <c:pt idx="7" formatCode="0.0">
                  <c:v>12.43</c:v>
                </c:pt>
                <c:pt idx="8" formatCode="0.0">
                  <c:v>11.780000000000001</c:v>
                </c:pt>
                <c:pt idx="9" formatCode="0.0">
                  <c:v>14.34</c:v>
                </c:pt>
                <c:pt idx="10" formatCode="0.0">
                  <c:v>15.51</c:v>
                </c:pt>
                <c:pt idx="11" formatCode="0.0">
                  <c:v>13.6</c:v>
                </c:pt>
                <c:pt idx="12" formatCode="0.0">
                  <c:v>18.412898374919997</c:v>
                </c:pt>
                <c:pt idx="13" formatCode="0.0">
                  <c:v>13.9</c:v>
                </c:pt>
              </c:numCache>
            </c:numRef>
          </c:val>
          <c:smooth val="0"/>
          <c:extLst>
            <c:ext xmlns:c16="http://schemas.microsoft.com/office/drawing/2014/chart" uri="{C3380CC4-5D6E-409C-BE32-E72D297353CC}">
              <c16:uniqueId val="{00000006-3956-4F06-A1C8-4A53CBA2CF8D}"/>
            </c:ext>
          </c:extLst>
        </c:ser>
        <c:ser>
          <c:idx val="5"/>
          <c:order val="7"/>
          <c:tx>
            <c:strRef>
              <c:f>'SR-výdaje-celorok-2021'!$I$30</c:f>
              <c:strCache>
                <c:ptCount val="1"/>
                <c:pt idx="0">
                  <c:v>Neinvestič. transfery podnik. subj.</c:v>
                </c:pt>
              </c:strCache>
            </c:strRef>
          </c:tx>
          <c:spPr>
            <a:ln w="15875">
              <a:solidFill>
                <a:schemeClr val="tx1">
                  <a:lumMod val="95000"/>
                  <a:lumOff val="5000"/>
                </a:schemeClr>
              </a:solidFill>
              <a:prstDash val="sysDash"/>
            </a:ln>
          </c:spPr>
          <c:marker>
            <c:symbol val="none"/>
          </c:marker>
          <c:cat>
            <c:numRef>
              <c:f>'SR-výdaje-celorok-2021'!$A$34:$A$47</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'SR-výdaje-celorok-2021'!$I$34:$I$47</c:f>
              <c:numCache>
                <c:formatCode>General</c:formatCode>
                <c:ptCount val="14"/>
                <c:pt idx="4" formatCode="0.0">
                  <c:v>8.6300000000000008</c:v>
                </c:pt>
                <c:pt idx="5" formatCode="0.0">
                  <c:v>7.93</c:v>
                </c:pt>
                <c:pt idx="6" formatCode="0.0">
                  <c:v>9.3800000000000008</c:v>
                </c:pt>
                <c:pt idx="7" formatCode="0.0">
                  <c:v>10.44</c:v>
                </c:pt>
                <c:pt idx="8" formatCode="0.0">
                  <c:v>9.8800000000000008</c:v>
                </c:pt>
                <c:pt idx="9" formatCode="0.0">
                  <c:v>13.31</c:v>
                </c:pt>
                <c:pt idx="10" formatCode="0.0">
                  <c:v>11.74</c:v>
                </c:pt>
                <c:pt idx="11" formatCode="0.0">
                  <c:v>15.29</c:v>
                </c:pt>
                <c:pt idx="12" formatCode="0.0">
                  <c:v>15.09</c:v>
                </c:pt>
                <c:pt idx="13" formatCode="0.0">
                  <c:v>38.6</c:v>
                </c:pt>
              </c:numCache>
            </c:numRef>
          </c:val>
          <c:smooth val="0"/>
          <c:extLst>
            <c:ext xmlns:c16="http://schemas.microsoft.com/office/drawing/2014/chart" uri="{C3380CC4-5D6E-409C-BE32-E72D297353CC}">
              <c16:uniqueId val="{00000007-3956-4F06-A1C8-4A53CBA2CF8D}"/>
            </c:ext>
          </c:extLst>
        </c:ser>
        <c:ser>
          <c:idx val="8"/>
          <c:order val="8"/>
          <c:tx>
            <c:strRef>
              <c:f>'SR-výdaje-celorok-2021'!$J$30</c:f>
              <c:strCache>
                <c:ptCount val="1"/>
                <c:pt idx="0">
                  <c:v>Kapitálové výdaje</c:v>
                </c:pt>
              </c:strCache>
            </c:strRef>
          </c:tx>
          <c:spPr>
            <a:ln w="15875">
              <a:solidFill>
                <a:srgbClr val="C00000"/>
              </a:solidFill>
              <a:prstDash val="solid"/>
            </a:ln>
          </c:spPr>
          <c:marker>
            <c:symbol val="none"/>
          </c:marker>
          <c:cat>
            <c:numRef>
              <c:f>'SR-výdaje-celorok-2021'!$A$34:$A$47</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'SR-výdaje-celorok-2021'!$J$34:$J$47</c:f>
              <c:numCache>
                <c:formatCode>0.0</c:formatCode>
                <c:ptCount val="14"/>
                <c:pt idx="0">
                  <c:v>31.85</c:v>
                </c:pt>
                <c:pt idx="1">
                  <c:v>31.88</c:v>
                </c:pt>
                <c:pt idx="2">
                  <c:v>33.1</c:v>
                </c:pt>
                <c:pt idx="3">
                  <c:v>26.12</c:v>
                </c:pt>
                <c:pt idx="4">
                  <c:v>22.19</c:v>
                </c:pt>
                <c:pt idx="5">
                  <c:v>17.690000000000001</c:v>
                </c:pt>
                <c:pt idx="6">
                  <c:v>14.93</c:v>
                </c:pt>
                <c:pt idx="7">
                  <c:v>19.78</c:v>
                </c:pt>
                <c:pt idx="8">
                  <c:v>20.02</c:v>
                </c:pt>
                <c:pt idx="9">
                  <c:v>6.27</c:v>
                </c:pt>
                <c:pt idx="10">
                  <c:v>11.73</c:v>
                </c:pt>
                <c:pt idx="11">
                  <c:v>16.43</c:v>
                </c:pt>
                <c:pt idx="12">
                  <c:v>23.367157547710001</c:v>
                </c:pt>
                <c:pt idx="13">
                  <c:v>23.3</c:v>
                </c:pt>
              </c:numCache>
            </c:numRef>
          </c:val>
          <c:smooth val="0"/>
          <c:extLst>
            <c:ext xmlns:c16="http://schemas.microsoft.com/office/drawing/2014/chart" uri="{C3380CC4-5D6E-409C-BE32-E72D297353CC}">
              <c16:uniqueId val="{00000008-3956-4F06-A1C8-4A53CBA2CF8D}"/>
            </c:ext>
          </c:extLst>
        </c:ser>
        <c:dLbls>
          <c:showLegendKey val="0"/>
          <c:showVal val="0"/>
          <c:showCatName val="0"/>
          <c:showSerName val="0"/>
          <c:showPercent val="0"/>
          <c:showBubbleSize val="0"/>
        </c:dLbls>
        <c:marker val="1"/>
        <c:smooth val="0"/>
        <c:axId val="72827648"/>
        <c:axId val="72829184"/>
      </c:lineChart>
      <c:catAx>
        <c:axId val="72827648"/>
        <c:scaling>
          <c:orientation val="minMax"/>
        </c:scaling>
        <c:delete val="0"/>
        <c:axPos val="b"/>
        <c:numFmt formatCode="General" sourceLinked="1"/>
        <c:majorTickMark val="out"/>
        <c:minorTickMark val="none"/>
        <c:tickLblPos val="low"/>
        <c:spPr>
          <a:ln w="6350">
            <a:solidFill>
              <a:schemeClr val="bg1">
                <a:lumMod val="50000"/>
              </a:schemeClr>
            </a:solidFill>
          </a:ln>
        </c:spPr>
        <c:crossAx val="72829184"/>
        <c:crosses val="autoZero"/>
        <c:auto val="1"/>
        <c:lblAlgn val="ctr"/>
        <c:lblOffset val="20"/>
        <c:noMultiLvlLbl val="0"/>
      </c:catAx>
      <c:valAx>
        <c:axId val="72829184"/>
        <c:scaling>
          <c:orientation val="minMax"/>
          <c:max val="45"/>
          <c:min val="0"/>
        </c:scaling>
        <c:delete val="0"/>
        <c:axPos val="l"/>
        <c:majorGridlines>
          <c:spPr>
            <a:ln w="6350">
              <a:solidFill>
                <a:schemeClr val="bg1">
                  <a:lumMod val="75000"/>
                </a:schemeClr>
              </a:solidFill>
            </a:ln>
          </c:spPr>
        </c:majorGridlines>
        <c:title>
          <c:tx>
            <c:rich>
              <a:bodyPr/>
              <a:lstStyle/>
              <a:p>
                <a:pPr>
                  <a:defRPr sz="700" b="0"/>
                </a:pPr>
                <a:r>
                  <a:rPr lang="cs-CZ" sz="700" b="0" i="1" u="none" strike="noStrike" baseline="0">
                    <a:effectLst/>
                  </a:rPr>
                  <a:t>Ostatní výdaje (v</a:t>
                </a:r>
                <a:r>
                  <a:rPr lang="cs-CZ" sz="700" b="0" i="1" u="none" strike="noStrike" kern="1200" baseline="0">
                    <a:solidFill>
                      <a:sysClr val="windowText" lastClr="000000"/>
                    </a:solidFill>
                    <a:effectLst/>
                    <a:latin typeface="Arial" panose="020B0604020202020204" pitchFamily="34" charset="0"/>
                    <a:ea typeface="+mn-ea"/>
                    <a:cs typeface="Arial" panose="020B0604020202020204" pitchFamily="34" charset="0"/>
                  </a:rPr>
                  <a:t> mld.</a:t>
                </a:r>
                <a:r>
                  <a:rPr lang="cs-CZ" sz="700" b="0" i="1" u="none" strike="noStrike" baseline="0">
                    <a:effectLst/>
                  </a:rPr>
                  <a:t> korun)</a:t>
                </a:r>
                <a:endParaRPr lang="cs-CZ" sz="700" b="0"/>
              </a:p>
            </c:rich>
          </c:tx>
          <c:overlay val="0"/>
        </c:title>
        <c:numFmt formatCode="0" sourceLinked="0"/>
        <c:majorTickMark val="out"/>
        <c:minorTickMark val="none"/>
        <c:tickLblPos val="nextTo"/>
        <c:spPr>
          <a:ln w="6350">
            <a:solidFill>
              <a:schemeClr val="tx1"/>
            </a:solidFill>
          </a:ln>
        </c:spPr>
        <c:crossAx val="72827648"/>
        <c:crosses val="autoZero"/>
        <c:crossBetween val="between"/>
        <c:majorUnit val="5"/>
      </c:valAx>
      <c:valAx>
        <c:axId val="72835072"/>
        <c:scaling>
          <c:orientation val="minMax"/>
          <c:max val="450"/>
          <c:min val="0"/>
        </c:scaling>
        <c:delete val="0"/>
        <c:axPos val="r"/>
        <c:title>
          <c:tx>
            <c:rich>
              <a:bodyPr/>
              <a:lstStyle/>
              <a:p>
                <a:pPr>
                  <a:defRPr sz="700" b="0" i="1"/>
                </a:pPr>
                <a:r>
                  <a:rPr lang="cs-CZ" sz="700" b="0" i="1"/>
                  <a:t>Běžné</a:t>
                </a:r>
                <a:r>
                  <a:rPr lang="cs-CZ" sz="700" b="0" i="1" baseline="0"/>
                  <a:t> výdaje celkem (v</a:t>
                </a:r>
                <a:r>
                  <a:rPr lang="cs-CZ" sz="700" b="0" i="1" u="none" strike="noStrike" kern="1200" baseline="0">
                    <a:solidFill>
                      <a:sysClr val="windowText" lastClr="000000"/>
                    </a:solidFill>
                    <a:latin typeface="Arial" panose="020B0604020202020204" pitchFamily="34" charset="0"/>
                    <a:ea typeface="+mn-ea"/>
                    <a:cs typeface="Arial" panose="020B0604020202020204" pitchFamily="34" charset="0"/>
                  </a:rPr>
                  <a:t> mld.</a:t>
                </a:r>
                <a:r>
                  <a:rPr lang="cs-CZ" sz="700" b="0" i="1" baseline="0"/>
                  <a:t> korun)</a:t>
                </a:r>
                <a:endParaRPr lang="cs-CZ" sz="700" b="0" i="1"/>
              </a:p>
            </c:rich>
          </c:tx>
          <c:overlay val="0"/>
        </c:title>
        <c:numFmt formatCode="0" sourceLinked="0"/>
        <c:majorTickMark val="out"/>
        <c:minorTickMark val="none"/>
        <c:tickLblPos val="nextTo"/>
        <c:spPr>
          <a:ln w="6350">
            <a:solidFill>
              <a:schemeClr val="tx1"/>
            </a:solidFill>
          </a:ln>
        </c:spPr>
        <c:txPr>
          <a:bodyPr rot="0" vert="horz"/>
          <a:lstStyle/>
          <a:p>
            <a:pPr>
              <a:defRPr/>
            </a:pPr>
            <a:endParaRPr lang="cs-CZ"/>
          </a:p>
        </c:txPr>
        <c:crossAx val="72836608"/>
        <c:crosses val="max"/>
        <c:crossBetween val="between"/>
        <c:majorUnit val="50"/>
        <c:minorUnit val="10"/>
      </c:valAx>
      <c:catAx>
        <c:axId val="72836608"/>
        <c:scaling>
          <c:orientation val="minMax"/>
        </c:scaling>
        <c:delete val="1"/>
        <c:axPos val="b"/>
        <c:numFmt formatCode="General" sourceLinked="1"/>
        <c:majorTickMark val="out"/>
        <c:minorTickMark val="none"/>
        <c:tickLblPos val="none"/>
        <c:crossAx val="72835072"/>
        <c:crosses val="autoZero"/>
        <c:auto val="1"/>
        <c:lblAlgn val="ctr"/>
        <c:lblOffset val="100"/>
        <c:noMultiLvlLbl val="0"/>
      </c:catAx>
      <c:spPr>
        <a:ln w="6350">
          <a:solidFill>
            <a:schemeClr val="tx1"/>
          </a:solidFill>
        </a:ln>
      </c:spPr>
    </c:plotArea>
    <c:legend>
      <c:legendPos val="b"/>
      <c:layout>
        <c:manualLayout>
          <c:xMode val="edge"/>
          <c:yMode val="edge"/>
          <c:x val="7.4619073571775774E-2"/>
          <c:y val="0.83055036538478355"/>
          <c:w val="0.82415013583096774"/>
          <c:h val="0.15879396132773915"/>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629137115839245E-2"/>
          <c:y val="2.8458510079622041E-2"/>
          <c:w val="0.93688386524822698"/>
          <c:h val="0.6497469886299676"/>
        </c:manualLayout>
      </c:layout>
      <c:barChart>
        <c:barDir val="col"/>
        <c:grouping val="stacked"/>
        <c:varyColors val="0"/>
        <c:ser>
          <c:idx val="5"/>
          <c:order val="1"/>
          <c:tx>
            <c:strRef>
              <c:f>'souhrnná výkonnost 3'!$D$5</c:f>
              <c:strCache>
                <c:ptCount val="1"/>
                <c:pt idx="0">
                  <c:v>Výdaje na konečnou spotřebu domácností (vč. nezisk. inst.)</c:v>
                </c:pt>
              </c:strCache>
            </c:strRef>
          </c:tx>
          <c:spPr>
            <a:solidFill>
              <a:srgbClr val="0071BC"/>
            </a:solidFill>
            <a:ln>
              <a:noFill/>
            </a:ln>
          </c:spPr>
          <c:invertIfNegative val="0"/>
          <c:val>
            <c:numRef>
              <c:f>'souhrnná výkonnost 3'!$D$22:$D$42</c:f>
              <c:numCache>
                <c:formatCode>#\ ##0.0</c:formatCode>
                <c:ptCount val="21"/>
                <c:pt idx="0">
                  <c:v>1.011033178528604</c:v>
                </c:pt>
                <c:pt idx="1">
                  <c:v>0.84092037321111202</c:v>
                </c:pt>
                <c:pt idx="2">
                  <c:v>1.0599389176360645</c:v>
                </c:pt>
                <c:pt idx="3">
                  <c:v>0.97961312874423945</c:v>
                </c:pt>
                <c:pt idx="4">
                  <c:v>1.0820067439812537</c:v>
                </c:pt>
                <c:pt idx="5">
                  <c:v>1.4390025136660056</c:v>
                </c:pt>
                <c:pt idx="6">
                  <c:v>1.3061872269069228</c:v>
                </c:pt>
                <c:pt idx="7">
                  <c:v>1.0872722376357689</c:v>
                </c:pt>
                <c:pt idx="8">
                  <c:v>1.4946157705821075</c:v>
                </c:pt>
                <c:pt idx="9">
                  <c:v>1.2142838411264594</c:v>
                </c:pt>
                <c:pt idx="10">
                  <c:v>1.0289002157801086</c:v>
                </c:pt>
                <c:pt idx="11">
                  <c:v>0.93050000708627612</c:v>
                </c:pt>
                <c:pt idx="12">
                  <c:v>0.95628944982116215</c:v>
                </c:pt>
                <c:pt idx="13">
                  <c:v>1.3437109083643106</c:v>
                </c:pt>
                <c:pt idx="14">
                  <c:v>1.1786413228066261</c:v>
                </c:pt>
                <c:pt idx="15">
                  <c:v>1.3244967154849818</c:v>
                </c:pt>
                <c:pt idx="16">
                  <c:v>8.6108932982968643E-3</c:v>
                </c:pt>
                <c:pt idx="17">
                  <c:v>-2.4834732053345796</c:v>
                </c:pt>
                <c:pt idx="18">
                  <c:v>-1.2161502340431314</c:v>
                </c:pt>
                <c:pt idx="19">
                  <c:v>-3.8235451379675851</c:v>
                </c:pt>
                <c:pt idx="20">
                  <c:v>-3.2087287540696381</c:v>
                </c:pt>
              </c:numCache>
            </c:numRef>
          </c:val>
          <c:extLst>
            <c:ext xmlns:c16="http://schemas.microsoft.com/office/drawing/2014/chart" uri="{C3380CC4-5D6E-409C-BE32-E72D297353CC}">
              <c16:uniqueId val="{00000000-D536-4240-AFA7-099AE655FE35}"/>
            </c:ext>
          </c:extLst>
        </c:ser>
        <c:ser>
          <c:idx val="4"/>
          <c:order val="2"/>
          <c:tx>
            <c:strRef>
              <c:f>'souhrnná výkonnost 3'!$E$5</c:f>
              <c:strCache>
                <c:ptCount val="1"/>
                <c:pt idx="0">
                  <c:v>Výdaje na konečnou spotřebu vládních institucí</c:v>
                </c:pt>
              </c:strCache>
            </c:strRef>
          </c:tx>
          <c:spPr>
            <a:solidFill>
              <a:srgbClr val="A6CDE8"/>
            </a:solidFill>
            <a:ln>
              <a:noFill/>
            </a:ln>
          </c:spPr>
          <c:invertIfNegative val="0"/>
          <c:val>
            <c:numRef>
              <c:f>'souhrnná výkonnost 3'!$E$22:$E$42</c:f>
              <c:numCache>
                <c:formatCode>#\ ##0.0</c:formatCode>
                <c:ptCount val="21"/>
                <c:pt idx="0">
                  <c:v>0.42501610259126504</c:v>
                </c:pt>
                <c:pt idx="1">
                  <c:v>0.47017789747807115</c:v>
                </c:pt>
                <c:pt idx="2">
                  <c:v>0.42973407124759544</c:v>
                </c:pt>
                <c:pt idx="3">
                  <c:v>0.47700779378045444</c:v>
                </c:pt>
                <c:pt idx="4">
                  <c:v>0.4285629075979569</c:v>
                </c:pt>
                <c:pt idx="5">
                  <c:v>0.36487116628719296</c:v>
                </c:pt>
                <c:pt idx="6">
                  <c:v>0.22397478701370191</c:v>
                </c:pt>
                <c:pt idx="7">
                  <c:v>0.25198788808759842</c:v>
                </c:pt>
                <c:pt idx="8">
                  <c:v>0.55545322397874786</c:v>
                </c:pt>
                <c:pt idx="9">
                  <c:v>0.56563297121642442</c:v>
                </c:pt>
                <c:pt idx="10">
                  <c:v>0.85620414943517464</c:v>
                </c:pt>
                <c:pt idx="11">
                  <c:v>0.79947731678211598</c:v>
                </c:pt>
                <c:pt idx="12">
                  <c:v>0.35314674266144058</c:v>
                </c:pt>
                <c:pt idx="13">
                  <c:v>0.47275530186714843</c:v>
                </c:pt>
                <c:pt idx="14">
                  <c:v>0.3752076605407596</c:v>
                </c:pt>
                <c:pt idx="15">
                  <c:v>0.38684117827578673</c:v>
                </c:pt>
                <c:pt idx="16">
                  <c:v>0.92114040988423918</c:v>
                </c:pt>
                <c:pt idx="17">
                  <c:v>0.43193473322200288</c:v>
                </c:pt>
                <c:pt idx="18">
                  <c:v>7.4098696930565311E-2</c:v>
                </c:pt>
                <c:pt idx="19">
                  <c:v>1.3780149229016956</c:v>
                </c:pt>
                <c:pt idx="20">
                  <c:v>0.24319785179659884</c:v>
                </c:pt>
              </c:numCache>
            </c:numRef>
          </c:val>
          <c:extLst>
            <c:ext xmlns:c16="http://schemas.microsoft.com/office/drawing/2014/chart" uri="{C3380CC4-5D6E-409C-BE32-E72D297353CC}">
              <c16:uniqueId val="{00000001-D536-4240-AFA7-099AE655FE35}"/>
            </c:ext>
          </c:extLst>
        </c:ser>
        <c:ser>
          <c:idx val="3"/>
          <c:order val="3"/>
          <c:tx>
            <c:strRef>
              <c:f>'souhrnná výkonnost 3'!$G$5</c:f>
              <c:strCache>
                <c:ptCount val="1"/>
                <c:pt idx="0">
                  <c:v>Tvorba hrubého kapitálu</c:v>
                </c:pt>
              </c:strCache>
            </c:strRef>
          </c:tx>
          <c:spPr>
            <a:solidFill>
              <a:srgbClr val="BD1B21"/>
            </a:solidFill>
            <a:ln>
              <a:noFill/>
            </a:ln>
          </c:spPr>
          <c:invertIfNegative val="0"/>
          <c:val>
            <c:numRef>
              <c:f>'souhrnná výkonnost 3'!$G$22:$G$42</c:f>
              <c:numCache>
                <c:formatCode>#\ ##0.0</c:formatCode>
                <c:ptCount val="21"/>
                <c:pt idx="0">
                  <c:v>0.1426787206126395</c:v>
                </c:pt>
                <c:pt idx="1">
                  <c:v>-1.4507925661177268</c:v>
                </c:pt>
                <c:pt idx="2">
                  <c:v>-0.98123446043739548</c:v>
                </c:pt>
                <c:pt idx="3">
                  <c:v>-0.61353806390597054</c:v>
                </c:pt>
                <c:pt idx="4">
                  <c:v>-0.96942712410588472</c:v>
                </c:pt>
                <c:pt idx="5">
                  <c:v>0.73262216993952523</c:v>
                </c:pt>
                <c:pt idx="6">
                  <c:v>1.5238713260674783</c:v>
                </c:pt>
                <c:pt idx="7">
                  <c:v>2.2323726403134958</c:v>
                </c:pt>
                <c:pt idx="8">
                  <c:v>3.0952033404087724</c:v>
                </c:pt>
                <c:pt idx="9">
                  <c:v>1.6598485290447111</c:v>
                </c:pt>
                <c:pt idx="10">
                  <c:v>1.8068887705851226</c:v>
                </c:pt>
                <c:pt idx="11">
                  <c:v>0.39151322871173594</c:v>
                </c:pt>
                <c:pt idx="12">
                  <c:v>0.95030598176660519</c:v>
                </c:pt>
                <c:pt idx="13">
                  <c:v>-1.1488329075459902</c:v>
                </c:pt>
                <c:pt idx="14">
                  <c:v>-1.1907175426027021</c:v>
                </c:pt>
                <c:pt idx="15">
                  <c:v>1.1321774143229344</c:v>
                </c:pt>
                <c:pt idx="16">
                  <c:v>-1.9785099817780982</c:v>
                </c:pt>
                <c:pt idx="17">
                  <c:v>-0.71964951349482154</c:v>
                </c:pt>
                <c:pt idx="18">
                  <c:v>-4.3555725657265594</c:v>
                </c:pt>
                <c:pt idx="19">
                  <c:v>-5.8467659900945419</c:v>
                </c:pt>
                <c:pt idx="20">
                  <c:v>0.49432828166440806</c:v>
                </c:pt>
              </c:numCache>
            </c:numRef>
          </c:val>
          <c:extLst>
            <c:ext xmlns:c16="http://schemas.microsoft.com/office/drawing/2014/chart" uri="{C3380CC4-5D6E-409C-BE32-E72D297353CC}">
              <c16:uniqueId val="{00000002-D536-4240-AFA7-099AE655FE35}"/>
            </c:ext>
          </c:extLst>
        </c:ser>
        <c:ser>
          <c:idx val="1"/>
          <c:order val="4"/>
          <c:tx>
            <c:strRef>
              <c:f>'souhrnná výkonnost 3'!$F$5</c:f>
              <c:strCache>
                <c:ptCount val="1"/>
                <c:pt idx="0">
                  <c:v>Bilance zahraničního obchodu</c:v>
                </c:pt>
              </c:strCache>
            </c:strRef>
          </c:tx>
          <c:spPr>
            <a:solidFill>
              <a:srgbClr val="7DBB2D"/>
            </a:solidFill>
            <a:ln>
              <a:noFill/>
            </a:ln>
          </c:spPr>
          <c:invertIfNegative val="0"/>
          <c:val>
            <c:numRef>
              <c:f>'souhrnná výkonnost 3'!$F$22:$F$42</c:f>
              <c:numCache>
                <c:formatCode>#\ ##0.0</c:formatCode>
                <c:ptCount val="21"/>
                <c:pt idx="0">
                  <c:v>1.7620830562499514</c:v>
                </c:pt>
                <c:pt idx="1">
                  <c:v>2.3990552594367274</c:v>
                </c:pt>
                <c:pt idx="2">
                  <c:v>1.370993307029881</c:v>
                </c:pt>
                <c:pt idx="3">
                  <c:v>1.2526206333504177</c:v>
                </c:pt>
                <c:pt idx="4">
                  <c:v>3.0648181369329626</c:v>
                </c:pt>
                <c:pt idx="5">
                  <c:v>3.4601141630489307</c:v>
                </c:pt>
                <c:pt idx="6">
                  <c:v>2.7091491429512415</c:v>
                </c:pt>
                <c:pt idx="7">
                  <c:v>2.1602088091475098</c:v>
                </c:pt>
                <c:pt idx="8">
                  <c:v>-0.47609047269948945</c:v>
                </c:pt>
                <c:pt idx="9">
                  <c:v>-0.80874071873919284</c:v>
                </c:pt>
                <c:pt idx="10">
                  <c:v>-1.037162889607357</c:v>
                </c:pt>
                <c:pt idx="11">
                  <c:v>0.25724717059829372</c:v>
                </c:pt>
                <c:pt idx="12">
                  <c:v>0.10748557741256393</c:v>
                </c:pt>
                <c:pt idx="13">
                  <c:v>1.5467605826471411</c:v>
                </c:pt>
                <c:pt idx="14">
                  <c:v>1.7784931462823457</c:v>
                </c:pt>
                <c:pt idx="15">
                  <c:v>-0.8906917898123291</c:v>
                </c:pt>
                <c:pt idx="16">
                  <c:v>-0.72797161079113848</c:v>
                </c:pt>
                <c:pt idx="17">
                  <c:v>-7.9796540058361014</c:v>
                </c:pt>
                <c:pt idx="18">
                  <c:v>0.45996126259435499</c:v>
                </c:pt>
                <c:pt idx="19">
                  <c:v>3.450877892372223</c:v>
                </c:pt>
                <c:pt idx="20">
                  <c:v>0.38948113421734121</c:v>
                </c:pt>
              </c:numCache>
            </c:numRef>
          </c:val>
          <c:extLst>
            <c:ext xmlns:c16="http://schemas.microsoft.com/office/drawing/2014/chart" uri="{C3380CC4-5D6E-409C-BE32-E72D297353CC}">
              <c16:uniqueId val="{00000003-D536-4240-AFA7-099AE655FE35}"/>
            </c:ext>
          </c:extLst>
        </c:ser>
        <c:dLbls>
          <c:showLegendKey val="0"/>
          <c:showVal val="0"/>
          <c:showCatName val="0"/>
          <c:showSerName val="0"/>
          <c:showPercent val="0"/>
          <c:showBubbleSize val="0"/>
        </c:dLbls>
        <c:gapWidth val="40"/>
        <c:overlap val="100"/>
        <c:axId val="267591040"/>
        <c:axId val="267605120"/>
      </c:barChart>
      <c:lineChart>
        <c:grouping val="standard"/>
        <c:varyColors val="0"/>
        <c:ser>
          <c:idx val="0"/>
          <c:order val="0"/>
          <c:tx>
            <c:strRef>
              <c:f>'souhrnná výkonnost 3'!$C$5</c:f>
              <c:strCache>
                <c:ptCount val="1"/>
                <c:pt idx="0">
                  <c:v>HDP</c:v>
                </c:pt>
              </c:strCache>
            </c:strRef>
          </c:tx>
          <c:spPr>
            <a:ln>
              <a:solidFill>
                <a:prstClr val="black"/>
              </a:solidFill>
            </a:ln>
          </c:spPr>
          <c:marker>
            <c:symbol val="none"/>
          </c:marker>
          <c:cat>
            <c:multiLvlStrRef>
              <c:f>'souhrnná výkonnost 3'!$A$22:$B$42</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2016</c:v>
                  </c:pt>
                  <c:pt idx="4">
                    <c:v>2017</c:v>
                  </c:pt>
                  <c:pt idx="8">
                    <c:v>2018</c:v>
                  </c:pt>
                  <c:pt idx="12">
                    <c:v>2019</c:v>
                  </c:pt>
                  <c:pt idx="16">
                    <c:v>2020</c:v>
                  </c:pt>
                  <c:pt idx="20">
                    <c:v>2021</c:v>
                  </c:pt>
                </c:lvl>
              </c:multiLvlStrCache>
            </c:multiLvlStrRef>
          </c:cat>
          <c:val>
            <c:numRef>
              <c:f>'souhrnná výkonnost 3'!$C$22:$C$42</c:f>
              <c:numCache>
                <c:formatCode>#\ ##0.0</c:formatCode>
                <c:ptCount val="21"/>
                <c:pt idx="0">
                  <c:v>3.4010558338826229</c:v>
                </c:pt>
                <c:pt idx="1">
                  <c:v>2.3184007606832324</c:v>
                </c:pt>
                <c:pt idx="2">
                  <c:v>1.9346258296187244</c:v>
                </c:pt>
                <c:pt idx="3">
                  <c:v>2.1527861842497913</c:v>
                </c:pt>
                <c:pt idx="4">
                  <c:v>3.6789755923611835</c:v>
                </c:pt>
                <c:pt idx="5">
                  <c:v>6.0785791748313187</c:v>
                </c:pt>
                <c:pt idx="6">
                  <c:v>5.8461673142579968</c:v>
                </c:pt>
                <c:pt idx="7">
                  <c:v>5.8135294348367665</c:v>
                </c:pt>
                <c:pt idx="8">
                  <c:v>4.7870310097690947</c:v>
                </c:pt>
                <c:pt idx="9">
                  <c:v>2.7415951273320331</c:v>
                </c:pt>
                <c:pt idx="10">
                  <c:v>2.7643378154414791</c:v>
                </c:pt>
                <c:pt idx="11">
                  <c:v>2.4875508102028903</c:v>
                </c:pt>
                <c:pt idx="12">
                  <c:v>2.4452702840320768</c:v>
                </c:pt>
                <c:pt idx="13">
                  <c:v>2.2867541286130972</c:v>
                </c:pt>
                <c:pt idx="14">
                  <c:v>2.2190768640245579</c:v>
                </c:pt>
                <c:pt idx="15">
                  <c:v>2.0355599675258418</c:v>
                </c:pt>
                <c:pt idx="16">
                  <c:v>-1.7539137502953537</c:v>
                </c:pt>
                <c:pt idx="17">
                  <c:v>-10.759215426179239</c:v>
                </c:pt>
                <c:pt idx="18">
                  <c:v>-5.0810861555070517</c:v>
                </c:pt>
                <c:pt idx="19">
                  <c:v>-4.8495905190780633</c:v>
                </c:pt>
                <c:pt idx="20">
                  <c:v>-2.0612161665722368</c:v>
                </c:pt>
              </c:numCache>
            </c:numRef>
          </c:val>
          <c:smooth val="0"/>
          <c:extLst>
            <c:ext xmlns:c16="http://schemas.microsoft.com/office/drawing/2014/chart" uri="{C3380CC4-5D6E-409C-BE32-E72D297353CC}">
              <c16:uniqueId val="{00000004-D536-4240-AFA7-099AE655FE35}"/>
            </c:ext>
          </c:extLst>
        </c:ser>
        <c:dLbls>
          <c:showLegendKey val="0"/>
          <c:showVal val="0"/>
          <c:showCatName val="0"/>
          <c:showSerName val="0"/>
          <c:showPercent val="0"/>
          <c:showBubbleSize val="0"/>
        </c:dLbls>
        <c:marker val="1"/>
        <c:smooth val="0"/>
        <c:axId val="267591040"/>
        <c:axId val="267605120"/>
      </c:lineChart>
      <c:catAx>
        <c:axId val="267591040"/>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267605120"/>
        <c:crosses val="autoZero"/>
        <c:auto val="1"/>
        <c:lblAlgn val="ctr"/>
        <c:lblOffset val="100"/>
        <c:noMultiLvlLbl val="0"/>
      </c:catAx>
      <c:valAx>
        <c:axId val="267605120"/>
        <c:scaling>
          <c:orientation val="minMax"/>
          <c:max val="7"/>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7591040"/>
        <c:crosses val="autoZero"/>
        <c:crossBetween val="between"/>
        <c:majorUnit val="3"/>
      </c:valAx>
      <c:spPr>
        <a:ln>
          <a:solidFill>
            <a:schemeClr val="tx1"/>
          </a:solidFill>
        </a:ln>
      </c:spPr>
    </c:plotArea>
    <c:legend>
      <c:legendPos val="b"/>
      <c:layout>
        <c:manualLayout>
          <c:xMode val="edge"/>
          <c:yMode val="edge"/>
          <c:x val="4.7571766295170556E-2"/>
          <c:y val="0.79301446583361457"/>
          <c:w val="0.93781598277608913"/>
          <c:h val="0.19014325115388939"/>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126857480580882E-2"/>
          <c:y val="3.7154479717354444E-2"/>
          <c:w val="0.9260266801756164"/>
          <c:h val="0.63445260610154264"/>
        </c:manualLayout>
      </c:layout>
      <c:barChart>
        <c:barDir val="col"/>
        <c:grouping val="stacked"/>
        <c:varyColors val="0"/>
        <c:ser>
          <c:idx val="4"/>
          <c:order val="0"/>
          <c:tx>
            <c:strRef>
              <c:f>'souhrnná výkonnost 4'!$C$5</c:f>
              <c:strCache>
                <c:ptCount val="1"/>
                <c:pt idx="0">
                  <c:v>Zemědělství, lesnictví a rybářství</c:v>
                </c:pt>
              </c:strCache>
            </c:strRef>
          </c:tx>
          <c:spPr>
            <a:solidFill>
              <a:srgbClr val="0071BC"/>
            </a:solidFill>
            <a:ln>
              <a:noFill/>
            </a:ln>
          </c:spPr>
          <c:invertIfNegative val="0"/>
          <c:val>
            <c:numRef>
              <c:f>'souhrnná výkonnost 4'!$C$22:$C$42</c:f>
              <c:numCache>
                <c:formatCode>#\ ##0.0</c:formatCode>
                <c:ptCount val="21"/>
                <c:pt idx="0">
                  <c:v>5.3855687366031392E-2</c:v>
                </c:pt>
                <c:pt idx="1">
                  <c:v>0.14849879547587463</c:v>
                </c:pt>
                <c:pt idx="2">
                  <c:v>0.21032935295139474</c:v>
                </c:pt>
                <c:pt idx="3">
                  <c:v>0.10195129284322399</c:v>
                </c:pt>
                <c:pt idx="4">
                  <c:v>-9.6443702202456318E-3</c:v>
                </c:pt>
                <c:pt idx="5">
                  <c:v>-0.1183984267345688</c:v>
                </c:pt>
                <c:pt idx="6">
                  <c:v>-0.19416190528766372</c:v>
                </c:pt>
                <c:pt idx="7">
                  <c:v>-3.0322150838633197E-2</c:v>
                </c:pt>
                <c:pt idx="8">
                  <c:v>5.0044921066203105E-2</c:v>
                </c:pt>
                <c:pt idx="9">
                  <c:v>6.4956526264887057E-2</c:v>
                </c:pt>
                <c:pt idx="10">
                  <c:v>0.12486105995197894</c:v>
                </c:pt>
                <c:pt idx="11">
                  <c:v>0.13154654151227857</c:v>
                </c:pt>
                <c:pt idx="12">
                  <c:v>7.081167345092805E-2</c:v>
                </c:pt>
                <c:pt idx="13">
                  <c:v>6.3206484217815842E-2</c:v>
                </c:pt>
                <c:pt idx="14">
                  <c:v>0.13939824971947998</c:v>
                </c:pt>
                <c:pt idx="15">
                  <c:v>0.20779550254411278</c:v>
                </c:pt>
                <c:pt idx="16">
                  <c:v>0.15148305730879388</c:v>
                </c:pt>
                <c:pt idx="17">
                  <c:v>6.1759810851569605E-2</c:v>
                </c:pt>
                <c:pt idx="18">
                  <c:v>8.810158202093718E-2</c:v>
                </c:pt>
                <c:pt idx="19">
                  <c:v>0.10903228788820159</c:v>
                </c:pt>
                <c:pt idx="20">
                  <c:v>0.13536304824269854</c:v>
                </c:pt>
              </c:numCache>
            </c:numRef>
          </c:val>
          <c:extLst>
            <c:ext xmlns:c16="http://schemas.microsoft.com/office/drawing/2014/chart" uri="{C3380CC4-5D6E-409C-BE32-E72D297353CC}">
              <c16:uniqueId val="{00000000-D814-4679-B670-4CF87C3BFEAF}"/>
            </c:ext>
          </c:extLst>
        </c:ser>
        <c:ser>
          <c:idx val="3"/>
          <c:order val="1"/>
          <c:tx>
            <c:strRef>
              <c:f>'souhrnná výkonnost 4'!$D$5</c:f>
              <c:strCache>
                <c:ptCount val="1"/>
                <c:pt idx="0">
                  <c:v>Zpracovatelský průmysl (CZ-NACE C)</c:v>
                </c:pt>
              </c:strCache>
            </c:strRef>
          </c:tx>
          <c:spPr>
            <a:solidFill>
              <a:srgbClr val="A6CDE8"/>
            </a:solidFill>
            <a:ln>
              <a:noFill/>
            </a:ln>
          </c:spPr>
          <c:invertIfNegative val="0"/>
          <c:val>
            <c:numRef>
              <c:f>'souhrnná výkonnost 4'!$D$22:$D$42</c:f>
              <c:numCache>
                <c:formatCode>#\ ##0.0</c:formatCode>
                <c:ptCount val="21"/>
                <c:pt idx="0">
                  <c:v>1.5749274984416446</c:v>
                </c:pt>
                <c:pt idx="1">
                  <c:v>0.83208666717303936</c:v>
                </c:pt>
                <c:pt idx="2">
                  <c:v>0.93499427724552242</c:v>
                </c:pt>
                <c:pt idx="3">
                  <c:v>1.2180600651181106</c:v>
                </c:pt>
                <c:pt idx="4">
                  <c:v>1.3791245235480027</c:v>
                </c:pt>
                <c:pt idx="5">
                  <c:v>3.156295399272143</c:v>
                </c:pt>
                <c:pt idx="6">
                  <c:v>3.0056722211992475</c:v>
                </c:pt>
                <c:pt idx="7">
                  <c:v>2.3263082145418474</c:v>
                </c:pt>
                <c:pt idx="8">
                  <c:v>1.5335167130194982</c:v>
                </c:pt>
                <c:pt idx="9">
                  <c:v>0.19981038241166935</c:v>
                </c:pt>
                <c:pt idx="10">
                  <c:v>1.4811571147741608E-2</c:v>
                </c:pt>
                <c:pt idx="11">
                  <c:v>0.23183920009067607</c:v>
                </c:pt>
                <c:pt idx="12">
                  <c:v>0.65901524280795287</c:v>
                </c:pt>
                <c:pt idx="13">
                  <c:v>0.87998369250049879</c:v>
                </c:pt>
                <c:pt idx="14">
                  <c:v>0.90491958201141753</c:v>
                </c:pt>
                <c:pt idx="15">
                  <c:v>0.38172687932398586</c:v>
                </c:pt>
                <c:pt idx="16">
                  <c:v>-0.74806111584399393</c:v>
                </c:pt>
                <c:pt idx="17">
                  <c:v>-4.7013410232517154</c:v>
                </c:pt>
                <c:pt idx="18">
                  <c:v>-1.1584772570819732</c:v>
                </c:pt>
                <c:pt idx="19">
                  <c:v>-0.28469545935519697</c:v>
                </c:pt>
                <c:pt idx="20">
                  <c:v>0.71084233156103038</c:v>
                </c:pt>
              </c:numCache>
            </c:numRef>
          </c:val>
          <c:extLst>
            <c:ext xmlns:c16="http://schemas.microsoft.com/office/drawing/2014/chart" uri="{C3380CC4-5D6E-409C-BE32-E72D297353CC}">
              <c16:uniqueId val="{00000001-D814-4679-B670-4CF87C3BFEAF}"/>
            </c:ext>
          </c:extLst>
        </c:ser>
        <c:ser>
          <c:idx val="2"/>
          <c:order val="2"/>
          <c:tx>
            <c:strRef>
              <c:f>'souhrnná výkonnost 4'!$E$5</c:f>
              <c:strCache>
                <c:ptCount val="1"/>
                <c:pt idx="0">
                  <c:v>Ostatní průmyslová odvětví (CZ-NACE B, D, E)</c:v>
                </c:pt>
              </c:strCache>
            </c:strRef>
          </c:tx>
          <c:spPr>
            <a:solidFill>
              <a:srgbClr val="BD1B21"/>
            </a:solidFill>
            <a:ln>
              <a:noFill/>
            </a:ln>
          </c:spPr>
          <c:invertIfNegative val="0"/>
          <c:val>
            <c:numRef>
              <c:f>'souhrnná výkonnost 4'!$E$22:$E$42</c:f>
              <c:numCache>
                <c:formatCode>#\ ##0.0</c:formatCode>
                <c:ptCount val="21"/>
                <c:pt idx="0">
                  <c:v>-0.61869060635239537</c:v>
                </c:pt>
                <c:pt idx="1">
                  <c:v>-0.25512934357205408</c:v>
                </c:pt>
                <c:pt idx="2">
                  <c:v>-0.19959002476284948</c:v>
                </c:pt>
                <c:pt idx="3">
                  <c:v>3.2746825671393198E-2</c:v>
                </c:pt>
                <c:pt idx="4">
                  <c:v>0.18450614676852783</c:v>
                </c:pt>
                <c:pt idx="5">
                  <c:v>9.0995210938591864E-2</c:v>
                </c:pt>
                <c:pt idx="6">
                  <c:v>9.3791960410576802E-2</c:v>
                </c:pt>
                <c:pt idx="7">
                  <c:v>9.7481504130754182E-3</c:v>
                </c:pt>
                <c:pt idx="8">
                  <c:v>-0.12069430817929794</c:v>
                </c:pt>
                <c:pt idx="9">
                  <c:v>-5.5819651243370877E-2</c:v>
                </c:pt>
                <c:pt idx="10" formatCode="General">
                  <c:v>7.5358871745050016E-2</c:v>
                </c:pt>
                <c:pt idx="11" formatCode="General">
                  <c:v>-1.4282054294332547E-2</c:v>
                </c:pt>
                <c:pt idx="12" formatCode="General">
                  <c:v>-5.059819013915523E-2</c:v>
                </c:pt>
                <c:pt idx="13" formatCode="General">
                  <c:v>-0.12947450207232991</c:v>
                </c:pt>
                <c:pt idx="14" formatCode="General">
                  <c:v>-0.16950374479973207</c:v>
                </c:pt>
                <c:pt idx="15" formatCode="General">
                  <c:v>-1.133243621179153E-2</c:v>
                </c:pt>
                <c:pt idx="16" formatCode="General">
                  <c:v>-0.25677134020987469</c:v>
                </c:pt>
                <c:pt idx="17" formatCode="General">
                  <c:v>-0.70239863086551413</c:v>
                </c:pt>
                <c:pt idx="18" formatCode="General">
                  <c:v>-0.40334726344642591</c:v>
                </c:pt>
                <c:pt idx="19" formatCode="General">
                  <c:v>-0.11675875515755735</c:v>
                </c:pt>
                <c:pt idx="20" formatCode="General">
                  <c:v>0.12415398719286719</c:v>
                </c:pt>
              </c:numCache>
            </c:numRef>
          </c:val>
          <c:extLst>
            <c:ext xmlns:c16="http://schemas.microsoft.com/office/drawing/2014/chart" uri="{C3380CC4-5D6E-409C-BE32-E72D297353CC}">
              <c16:uniqueId val="{00000002-D814-4679-B670-4CF87C3BFEAF}"/>
            </c:ext>
          </c:extLst>
        </c:ser>
        <c:ser>
          <c:idx val="1"/>
          <c:order val="3"/>
          <c:tx>
            <c:strRef>
              <c:f>'souhrnná výkonnost 4'!$F$5</c:f>
              <c:strCache>
                <c:ptCount val="1"/>
                <c:pt idx="0">
                  <c:v>Stavebnictví</c:v>
                </c:pt>
              </c:strCache>
            </c:strRef>
          </c:tx>
          <c:spPr>
            <a:solidFill>
              <a:srgbClr val="E8AFB2"/>
            </a:solidFill>
            <a:ln>
              <a:noFill/>
            </a:ln>
          </c:spPr>
          <c:invertIfNegative val="0"/>
          <c:val>
            <c:numRef>
              <c:f>'souhrnná výkonnost 4'!$F$22:$F$42</c:f>
              <c:numCache>
                <c:formatCode>#\ ##0.0</c:formatCode>
                <c:ptCount val="21"/>
                <c:pt idx="0">
                  <c:v>-0.10952448541686127</c:v>
                </c:pt>
                <c:pt idx="1">
                  <c:v>-0.28214741197780213</c:v>
                </c:pt>
                <c:pt idx="2">
                  <c:v>-0.27168672817032663</c:v>
                </c:pt>
                <c:pt idx="3">
                  <c:v>-0.20754684715757324</c:v>
                </c:pt>
                <c:pt idx="4">
                  <c:v>-8.524394743114426E-2</c:v>
                </c:pt>
                <c:pt idx="5">
                  <c:v>0.11383434006711636</c:v>
                </c:pt>
                <c:pt idx="6">
                  <c:v>4.3349635308544285E-2</c:v>
                </c:pt>
                <c:pt idx="7">
                  <c:v>0.17858744375528909</c:v>
                </c:pt>
                <c:pt idx="8">
                  <c:v>0.11784079575472811</c:v>
                </c:pt>
                <c:pt idx="9">
                  <c:v>3.4351403274769446E-2</c:v>
                </c:pt>
                <c:pt idx="10">
                  <c:v>6.4292065770569871E-3</c:v>
                </c:pt>
                <c:pt idx="11">
                  <c:v>-0.14625229498792841</c:v>
                </c:pt>
                <c:pt idx="12">
                  <c:v>-0.21512252328197207</c:v>
                </c:pt>
                <c:pt idx="13">
                  <c:v>-0.18844102026698162</c:v>
                </c:pt>
                <c:pt idx="14">
                  <c:v>-0.14303462630376634</c:v>
                </c:pt>
                <c:pt idx="15">
                  <c:v>-6.4393486585439266E-2</c:v>
                </c:pt>
                <c:pt idx="16">
                  <c:v>9.4470818785182958E-2</c:v>
                </c:pt>
                <c:pt idx="17">
                  <c:v>-0.334046409248136</c:v>
                </c:pt>
                <c:pt idx="18">
                  <c:v>-0.23200281654040777</c:v>
                </c:pt>
                <c:pt idx="19">
                  <c:v>-0.30281703992160902</c:v>
                </c:pt>
                <c:pt idx="20">
                  <c:v>-0.28620187332599473</c:v>
                </c:pt>
              </c:numCache>
            </c:numRef>
          </c:val>
          <c:extLst>
            <c:ext xmlns:c16="http://schemas.microsoft.com/office/drawing/2014/chart" uri="{C3380CC4-5D6E-409C-BE32-E72D297353CC}">
              <c16:uniqueId val="{00000003-D814-4679-B670-4CF87C3BFEAF}"/>
            </c:ext>
          </c:extLst>
        </c:ser>
        <c:ser>
          <c:idx val="0"/>
          <c:order val="4"/>
          <c:tx>
            <c:strRef>
              <c:f>'souhrnná výkonnost 4'!$G$5</c:f>
              <c:strCache>
                <c:ptCount val="1"/>
                <c:pt idx="0">
                  <c:v>Služby (CZ-NACE G až U)</c:v>
                </c:pt>
              </c:strCache>
            </c:strRef>
          </c:tx>
          <c:spPr>
            <a:solidFill>
              <a:srgbClr val="7DBB2D"/>
            </a:solidFill>
            <a:ln>
              <a:noFill/>
            </a:ln>
          </c:spPr>
          <c:invertIfNegative val="0"/>
          <c:val>
            <c:numRef>
              <c:f>'souhrnná výkonnost 4'!$G$22:$G$42</c:f>
              <c:numCache>
                <c:formatCode>#\ ##0.0</c:formatCode>
                <c:ptCount val="21"/>
                <c:pt idx="0">
                  <c:v>2.2669828358604827</c:v>
                </c:pt>
                <c:pt idx="1">
                  <c:v>1.7472095584606271</c:v>
                </c:pt>
                <c:pt idx="2">
                  <c:v>1.2199893940422677</c:v>
                </c:pt>
                <c:pt idx="3">
                  <c:v>1.2038927401746593</c:v>
                </c:pt>
                <c:pt idx="4">
                  <c:v>2.1828063096576567</c:v>
                </c:pt>
                <c:pt idx="5">
                  <c:v>3.1402341655549573</c:v>
                </c:pt>
                <c:pt idx="6">
                  <c:v>2.9649621789836469</c:v>
                </c:pt>
                <c:pt idx="7">
                  <c:v>3.2019367955598788</c:v>
                </c:pt>
                <c:pt idx="8">
                  <c:v>3.3049533952383974</c:v>
                </c:pt>
                <c:pt idx="9">
                  <c:v>2.5891316897173389</c:v>
                </c:pt>
                <c:pt idx="10" formatCode="General">
                  <c:v>2.8718259229432168</c:v>
                </c:pt>
                <c:pt idx="11" formatCode="General">
                  <c:v>2.4174879675858536</c:v>
                </c:pt>
                <c:pt idx="12" formatCode="General">
                  <c:v>2.1162989981981855</c:v>
                </c:pt>
                <c:pt idx="13" formatCode="General">
                  <c:v>1.491444737244932</c:v>
                </c:pt>
                <c:pt idx="14" formatCode="General">
                  <c:v>1.2523982293970002</c:v>
                </c:pt>
                <c:pt idx="15" formatCode="General">
                  <c:v>1.2983334838140204</c:v>
                </c:pt>
                <c:pt idx="16" formatCode="General">
                  <c:v>-0.51188075639223141</c:v>
                </c:pt>
                <c:pt idx="17" formatCode="General">
                  <c:v>-5.3520907931745603</c:v>
                </c:pt>
                <c:pt idx="18" formatCode="General">
                  <c:v>-3.1066897450658448</c:v>
                </c:pt>
                <c:pt idx="19" formatCode="General">
                  <c:v>-3.8390575105853242</c:v>
                </c:pt>
                <c:pt idx="20" formatCode="General">
                  <c:v>-2.7668793755967265</c:v>
                </c:pt>
              </c:numCache>
            </c:numRef>
          </c:val>
          <c:extLst>
            <c:ext xmlns:c16="http://schemas.microsoft.com/office/drawing/2014/chart" uri="{C3380CC4-5D6E-409C-BE32-E72D297353CC}">
              <c16:uniqueId val="{00000004-D814-4679-B670-4CF87C3BFEAF}"/>
            </c:ext>
          </c:extLst>
        </c:ser>
        <c:dLbls>
          <c:showLegendKey val="0"/>
          <c:showVal val="0"/>
          <c:showCatName val="0"/>
          <c:showSerName val="0"/>
          <c:showPercent val="0"/>
          <c:showBubbleSize val="0"/>
        </c:dLbls>
        <c:gapWidth val="70"/>
        <c:overlap val="100"/>
        <c:axId val="269005952"/>
        <c:axId val="269007488"/>
      </c:barChart>
      <c:lineChart>
        <c:grouping val="standard"/>
        <c:varyColors val="0"/>
        <c:ser>
          <c:idx val="5"/>
          <c:order val="5"/>
          <c:tx>
            <c:strRef>
              <c:f>'souhrnná výkonnost 4'!$H$5</c:f>
              <c:strCache>
                <c:ptCount val="1"/>
                <c:pt idx="0">
                  <c:v>Hrubá přidaná hodnota celkem</c:v>
                </c:pt>
              </c:strCache>
            </c:strRef>
          </c:tx>
          <c:spPr>
            <a:ln w="19050">
              <a:solidFill>
                <a:prstClr val="black"/>
              </a:solidFill>
            </a:ln>
          </c:spPr>
          <c:marker>
            <c:symbol val="none"/>
          </c:marker>
          <c:cat>
            <c:multiLvlStrRef>
              <c:f>'souhrnná výkonnost 4'!$A$22:$B$42</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2016</c:v>
                  </c:pt>
                  <c:pt idx="4">
                    <c:v>2017</c:v>
                  </c:pt>
                  <c:pt idx="8">
                    <c:v>2018</c:v>
                  </c:pt>
                  <c:pt idx="12">
                    <c:v>2019</c:v>
                  </c:pt>
                  <c:pt idx="16">
                    <c:v>2020</c:v>
                  </c:pt>
                  <c:pt idx="20">
                    <c:v>2021</c:v>
                  </c:pt>
                </c:lvl>
              </c:multiLvlStrCache>
            </c:multiLvlStrRef>
          </c:cat>
          <c:val>
            <c:numRef>
              <c:f>'souhrnná výkonnost 4'!$H$22:$H$42</c:f>
              <c:numCache>
                <c:formatCode>#\ ##0.0</c:formatCode>
                <c:ptCount val="21"/>
                <c:pt idx="0">
                  <c:v>3.1674424411731508</c:v>
                </c:pt>
                <c:pt idx="1">
                  <c:v>2.1906580742636379</c:v>
                </c:pt>
                <c:pt idx="2">
                  <c:v>1.8939325302629584</c:v>
                </c:pt>
                <c:pt idx="3">
                  <c:v>2.3492580716968376</c:v>
                </c:pt>
                <c:pt idx="4">
                  <c:v>3.6516543205207768</c:v>
                </c:pt>
                <c:pt idx="5">
                  <c:v>6.3830027976023729</c:v>
                </c:pt>
                <c:pt idx="6">
                  <c:v>5.9135095065788903</c:v>
                </c:pt>
                <c:pt idx="7">
                  <c:v>5.6861848632479877</c:v>
                </c:pt>
                <c:pt idx="8">
                  <c:v>4.9727813716583285</c:v>
                </c:pt>
                <c:pt idx="9">
                  <c:v>2.8323610276482327</c:v>
                </c:pt>
                <c:pt idx="10">
                  <c:v>3.0934986686980182</c:v>
                </c:pt>
                <c:pt idx="11">
                  <c:v>2.6205519578609966</c:v>
                </c:pt>
                <c:pt idx="12">
                  <c:v>2.5805834944496269</c:v>
                </c:pt>
                <c:pt idx="13">
                  <c:v>2.1167003676946052</c:v>
                </c:pt>
                <c:pt idx="14">
                  <c:v>1.9840477282370585</c:v>
                </c:pt>
                <c:pt idx="15">
                  <c:v>1.812161862338499</c:v>
                </c:pt>
                <c:pt idx="16">
                  <c:v>-1.2707926910360925</c:v>
                </c:pt>
                <c:pt idx="17">
                  <c:v>-11.02788750464228</c:v>
                </c:pt>
                <c:pt idx="18">
                  <c:v>-4.8122674408342618</c:v>
                </c:pt>
                <c:pt idx="19">
                  <c:v>-4.4344294172472303</c:v>
                </c:pt>
                <c:pt idx="20">
                  <c:v>-2.0827595555978746</c:v>
                </c:pt>
              </c:numCache>
            </c:numRef>
          </c:val>
          <c:smooth val="0"/>
          <c:extLst>
            <c:ext xmlns:c16="http://schemas.microsoft.com/office/drawing/2014/chart" uri="{C3380CC4-5D6E-409C-BE32-E72D297353CC}">
              <c16:uniqueId val="{00000005-D814-4679-B670-4CF87C3BFEAF}"/>
            </c:ext>
          </c:extLst>
        </c:ser>
        <c:dLbls>
          <c:showLegendKey val="0"/>
          <c:showVal val="0"/>
          <c:showCatName val="0"/>
          <c:showSerName val="0"/>
          <c:showPercent val="0"/>
          <c:showBubbleSize val="0"/>
        </c:dLbls>
        <c:marker val="1"/>
        <c:smooth val="0"/>
        <c:axId val="269005952"/>
        <c:axId val="269007488"/>
      </c:lineChart>
      <c:catAx>
        <c:axId val="269005952"/>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269007488"/>
        <c:crosses val="autoZero"/>
        <c:auto val="1"/>
        <c:lblAlgn val="ctr"/>
        <c:lblOffset val="100"/>
        <c:noMultiLvlLbl val="0"/>
      </c:catAx>
      <c:valAx>
        <c:axId val="269007488"/>
        <c:scaling>
          <c:orientation val="minMax"/>
          <c:max val="7"/>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9005952"/>
        <c:crosses val="autoZero"/>
        <c:crossBetween val="between"/>
        <c:majorUnit val="3"/>
      </c:valAx>
      <c:spPr>
        <a:ln>
          <a:solidFill>
            <a:schemeClr val="tx1"/>
          </a:solidFill>
        </a:ln>
      </c:spPr>
    </c:plotArea>
    <c:legend>
      <c:legendPos val="b"/>
      <c:layout>
        <c:manualLayout>
          <c:xMode val="edge"/>
          <c:yMode val="edge"/>
          <c:x val="5.4144292468760548E-2"/>
          <c:y val="0.79016604750647301"/>
          <c:w val="0.92386482607227283"/>
          <c:h val="0.19462484520994944"/>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88042665536843E-2"/>
          <c:y val="1.6203544707895996E-2"/>
          <c:w val="0.84974974879787502"/>
          <c:h val="0.71911425331511469"/>
        </c:manualLayout>
      </c:layout>
      <c:barChart>
        <c:barDir val="col"/>
        <c:grouping val="stacked"/>
        <c:varyColors val="0"/>
        <c:ser>
          <c:idx val="0"/>
          <c:order val="0"/>
          <c:tx>
            <c:strRef>
              <c:f>'GRAF příspěvky IPP'!$A$27</c:f>
              <c:strCache>
                <c:ptCount val="1"/>
                <c:pt idx="0">
                  <c:v>Výroba dopravních prostředků (29, 30)</c:v>
                </c:pt>
              </c:strCache>
            </c:strRef>
          </c:tx>
          <c:spPr>
            <a:solidFill>
              <a:srgbClr val="E8AFB2"/>
            </a:solidFill>
          </c:spPr>
          <c:invertIfNegative val="0"/>
          <c:cat>
            <c:multiLvlStrRef>
              <c:f>'GRAF příspěvky IPP'!$R$25:$AQ$26</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'GRAF příspěvky IPP'!$R$27:$AQ$27</c:f>
              <c:numCache>
                <c:formatCode>0.0</c:formatCode>
                <c:ptCount val="26"/>
                <c:pt idx="0">
                  <c:v>1.5428898176392496</c:v>
                </c:pt>
                <c:pt idx="1">
                  <c:v>2.1743718256924107</c:v>
                </c:pt>
                <c:pt idx="2">
                  <c:v>2.3590492908960439</c:v>
                </c:pt>
                <c:pt idx="3">
                  <c:v>2.8772486090638396</c:v>
                </c:pt>
                <c:pt idx="4">
                  <c:v>3.3183568360577667</c:v>
                </c:pt>
                <c:pt idx="5">
                  <c:v>2.726135980015763</c:v>
                </c:pt>
                <c:pt idx="6">
                  <c:v>1.4737639394577176</c:v>
                </c:pt>
                <c:pt idx="7">
                  <c:v>1.0298153192049733</c:v>
                </c:pt>
                <c:pt idx="8">
                  <c:v>1.7609137024842152</c:v>
                </c:pt>
                <c:pt idx="9">
                  <c:v>2.1167862077962001</c:v>
                </c:pt>
                <c:pt idx="10">
                  <c:v>1.5869964664235507</c:v>
                </c:pt>
                <c:pt idx="11">
                  <c:v>1.681411454669806</c:v>
                </c:pt>
                <c:pt idx="12">
                  <c:v>0.74237714955218947</c:v>
                </c:pt>
                <c:pt idx="13">
                  <c:v>0.54613557309892891</c:v>
                </c:pt>
                <c:pt idx="14">
                  <c:v>0.23904640916369443</c:v>
                </c:pt>
                <c:pt idx="15">
                  <c:v>0.98490029941942658</c:v>
                </c:pt>
                <c:pt idx="16">
                  <c:v>-0.22712700654221288</c:v>
                </c:pt>
                <c:pt idx="17">
                  <c:v>0.47876328427856657</c:v>
                </c:pt>
                <c:pt idx="18">
                  <c:v>0.83775598681488828</c:v>
                </c:pt>
                <c:pt idx="19">
                  <c:v>-1.1010749377233835</c:v>
                </c:pt>
                <c:pt idx="20">
                  <c:v>-1.5400994508720254</c:v>
                </c:pt>
                <c:pt idx="21">
                  <c:v>-9.3996605775771389</c:v>
                </c:pt>
                <c:pt idx="22">
                  <c:v>-0.1984331735847174</c:v>
                </c:pt>
                <c:pt idx="23">
                  <c:v>2.0419884732728906</c:v>
                </c:pt>
                <c:pt idx="24">
                  <c:v>1.783245169103493</c:v>
                </c:pt>
              </c:numCache>
            </c:numRef>
          </c:val>
          <c:extLst>
            <c:ext xmlns:c16="http://schemas.microsoft.com/office/drawing/2014/chart" uri="{C3380CC4-5D6E-409C-BE32-E72D297353CC}">
              <c16:uniqueId val="{00000000-E269-4381-A6C7-31DA1E3D0080}"/>
            </c:ext>
          </c:extLst>
        </c:ser>
        <c:ser>
          <c:idx val="1"/>
          <c:order val="1"/>
          <c:tx>
            <c:strRef>
              <c:f>'GRAF příspěvky IPP'!$A$28</c:f>
              <c:strCache>
                <c:ptCount val="1"/>
                <c:pt idx="0">
                  <c:v>Gumárenství, elektrotechnický pr. (22, 27)</c:v>
                </c:pt>
              </c:strCache>
            </c:strRef>
          </c:tx>
          <c:spPr>
            <a:solidFill>
              <a:srgbClr val="BD1B21"/>
            </a:solidFill>
          </c:spPr>
          <c:invertIfNegative val="0"/>
          <c:cat>
            <c:multiLvlStrRef>
              <c:f>'GRAF příspěvky IPP'!$R$25:$AQ$26</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'GRAF příspěvky IPP'!$R$28:$AQ$28</c:f>
              <c:numCache>
                <c:formatCode>0.0</c:formatCode>
                <c:ptCount val="26"/>
                <c:pt idx="0">
                  <c:v>1.034672951175343</c:v>
                </c:pt>
                <c:pt idx="1">
                  <c:v>1.2402872249055439</c:v>
                </c:pt>
                <c:pt idx="2">
                  <c:v>1.3942884794721908</c:v>
                </c:pt>
                <c:pt idx="3">
                  <c:v>0.63756976588884984</c:v>
                </c:pt>
                <c:pt idx="4">
                  <c:v>0.7944903405734538</c:v>
                </c:pt>
                <c:pt idx="5">
                  <c:v>0.20047553290148593</c:v>
                </c:pt>
                <c:pt idx="6">
                  <c:v>0.26203247933087592</c:v>
                </c:pt>
                <c:pt idx="7">
                  <c:v>0.42925022381945577</c:v>
                </c:pt>
                <c:pt idx="8">
                  <c:v>0.85509469319178899</c:v>
                </c:pt>
                <c:pt idx="9">
                  <c:v>1.4003096522077234</c:v>
                </c:pt>
                <c:pt idx="10">
                  <c:v>0.85542183955477147</c:v>
                </c:pt>
                <c:pt idx="11">
                  <c:v>1.6527257176884005</c:v>
                </c:pt>
                <c:pt idx="12">
                  <c:v>0.96912614591005941</c:v>
                </c:pt>
                <c:pt idx="13">
                  <c:v>0.34015391143850388</c:v>
                </c:pt>
                <c:pt idx="14">
                  <c:v>0.42914077951440655</c:v>
                </c:pt>
                <c:pt idx="15">
                  <c:v>-4.0280326098931243E-2</c:v>
                </c:pt>
                <c:pt idx="16">
                  <c:v>0.52468036745672719</c:v>
                </c:pt>
                <c:pt idx="17">
                  <c:v>0.40727721709233999</c:v>
                </c:pt>
                <c:pt idx="18">
                  <c:v>0.23777798772963615</c:v>
                </c:pt>
                <c:pt idx="19">
                  <c:v>0.39315489791744185</c:v>
                </c:pt>
                <c:pt idx="20">
                  <c:v>-0.5336834932447807</c:v>
                </c:pt>
                <c:pt idx="21">
                  <c:v>-4.0591767538544659</c:v>
                </c:pt>
                <c:pt idx="22">
                  <c:v>-0.43318739953820484</c:v>
                </c:pt>
                <c:pt idx="23">
                  <c:v>0.56877492176088063</c:v>
                </c:pt>
                <c:pt idx="24">
                  <c:v>0.90068361305567801</c:v>
                </c:pt>
              </c:numCache>
            </c:numRef>
          </c:val>
          <c:extLst>
            <c:ext xmlns:c16="http://schemas.microsoft.com/office/drawing/2014/chart" uri="{C3380CC4-5D6E-409C-BE32-E72D297353CC}">
              <c16:uniqueId val="{00000001-E269-4381-A6C7-31DA1E3D0080}"/>
            </c:ext>
          </c:extLst>
        </c:ser>
        <c:ser>
          <c:idx val="2"/>
          <c:order val="2"/>
          <c:tx>
            <c:strRef>
              <c:f>'GRAF příspěvky IPP'!$A$29</c:f>
              <c:strCache>
                <c:ptCount val="1"/>
                <c:pt idx="0">
                  <c:v>Strojírenství (28)</c:v>
                </c:pt>
              </c:strCache>
            </c:strRef>
          </c:tx>
          <c:spPr>
            <a:solidFill>
              <a:srgbClr val="BFE3F7"/>
            </a:solidFill>
          </c:spPr>
          <c:invertIfNegative val="0"/>
          <c:cat>
            <c:multiLvlStrRef>
              <c:f>'GRAF příspěvky IPP'!$R$25:$AQ$26</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'GRAF příspěvky IPP'!$R$29:$AQ$29</c:f>
              <c:numCache>
                <c:formatCode>0.0</c:formatCode>
                <c:ptCount val="26"/>
                <c:pt idx="0">
                  <c:v>0.27254464463314693</c:v>
                </c:pt>
                <c:pt idx="1">
                  <c:v>0.29396963786095853</c:v>
                </c:pt>
                <c:pt idx="2">
                  <c:v>0.39152523509606818</c:v>
                </c:pt>
                <c:pt idx="3">
                  <c:v>1.6200417736821196E-2</c:v>
                </c:pt>
                <c:pt idx="4">
                  <c:v>0.36694942006841863</c:v>
                </c:pt>
                <c:pt idx="5">
                  <c:v>-7.7911792574484814E-2</c:v>
                </c:pt>
                <c:pt idx="6">
                  <c:v>0.1987099016441323</c:v>
                </c:pt>
                <c:pt idx="7">
                  <c:v>0.31990708238357735</c:v>
                </c:pt>
                <c:pt idx="8">
                  <c:v>0.34959411680822744</c:v>
                </c:pt>
                <c:pt idx="9">
                  <c:v>1.0827590636445108</c:v>
                </c:pt>
                <c:pt idx="10">
                  <c:v>0.85295353330611445</c:v>
                </c:pt>
                <c:pt idx="11">
                  <c:v>0.80087396958540291</c:v>
                </c:pt>
                <c:pt idx="12">
                  <c:v>0.479471307913379</c:v>
                </c:pt>
                <c:pt idx="13">
                  <c:v>0.1423157226032094</c:v>
                </c:pt>
                <c:pt idx="14">
                  <c:v>0.18574582107238052</c:v>
                </c:pt>
                <c:pt idx="15">
                  <c:v>-0.19599700087649827</c:v>
                </c:pt>
                <c:pt idx="16">
                  <c:v>0.14262071470057108</c:v>
                </c:pt>
                <c:pt idx="17">
                  <c:v>-1.7720632744717035E-2</c:v>
                </c:pt>
                <c:pt idx="18">
                  <c:v>-0.26820737830766378</c:v>
                </c:pt>
                <c:pt idx="19">
                  <c:v>-0.13470183553131065</c:v>
                </c:pt>
                <c:pt idx="20">
                  <c:v>-0.70067449755996181</c:v>
                </c:pt>
                <c:pt idx="21">
                  <c:v>-2.1429229667168639</c:v>
                </c:pt>
                <c:pt idx="22">
                  <c:v>-0.79850670146483804</c:v>
                </c:pt>
                <c:pt idx="23">
                  <c:v>-0.53309088102789204</c:v>
                </c:pt>
                <c:pt idx="24">
                  <c:v>6.0882399541106913E-2</c:v>
                </c:pt>
              </c:numCache>
            </c:numRef>
          </c:val>
          <c:extLst>
            <c:ext xmlns:c16="http://schemas.microsoft.com/office/drawing/2014/chart" uri="{C3380CC4-5D6E-409C-BE32-E72D297353CC}">
              <c16:uniqueId val="{00000002-E269-4381-A6C7-31DA1E3D0080}"/>
            </c:ext>
          </c:extLst>
        </c:ser>
        <c:ser>
          <c:idx val="3"/>
          <c:order val="3"/>
          <c:tx>
            <c:strRef>
              <c:f>'GRAF příspěvky IPP'!$A$30</c:f>
              <c:strCache>
                <c:ptCount val="1"/>
                <c:pt idx="0">
                  <c:v>Kovodělný průmysl (25)</c:v>
                </c:pt>
              </c:strCache>
            </c:strRef>
          </c:tx>
          <c:spPr>
            <a:solidFill>
              <a:srgbClr val="48AEE7"/>
            </a:solidFill>
          </c:spPr>
          <c:invertIfNegative val="0"/>
          <c:cat>
            <c:multiLvlStrRef>
              <c:f>'GRAF příspěvky IPP'!$R$25:$AQ$26</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'GRAF příspěvky IPP'!$R$30:$AQ$30</c:f>
              <c:numCache>
                <c:formatCode>0.0</c:formatCode>
                <c:ptCount val="26"/>
                <c:pt idx="0">
                  <c:v>0.69598466412593474</c:v>
                </c:pt>
                <c:pt idx="1">
                  <c:v>0.78523209830157625</c:v>
                </c:pt>
                <c:pt idx="2">
                  <c:v>0.97812808698582676</c:v>
                </c:pt>
                <c:pt idx="3">
                  <c:v>0.60585855548016065</c:v>
                </c:pt>
                <c:pt idx="4">
                  <c:v>0.7974142567928203</c:v>
                </c:pt>
                <c:pt idx="5">
                  <c:v>0.39435941300086852</c:v>
                </c:pt>
                <c:pt idx="6">
                  <c:v>0.22320292471013239</c:v>
                </c:pt>
                <c:pt idx="7">
                  <c:v>0.25093421694411544</c:v>
                </c:pt>
                <c:pt idx="8">
                  <c:v>0.420593323359785</c:v>
                </c:pt>
                <c:pt idx="9">
                  <c:v>0.91449350181259326</c:v>
                </c:pt>
                <c:pt idx="10">
                  <c:v>0.85069745323039048</c:v>
                </c:pt>
                <c:pt idx="11">
                  <c:v>0.96475784711286927</c:v>
                </c:pt>
                <c:pt idx="12">
                  <c:v>0.6496282287639249</c:v>
                </c:pt>
                <c:pt idx="13">
                  <c:v>0.47190400503104318</c:v>
                </c:pt>
                <c:pt idx="14">
                  <c:v>0.40332248383604502</c:v>
                </c:pt>
                <c:pt idx="15">
                  <c:v>0.15276873851363962</c:v>
                </c:pt>
                <c:pt idx="16">
                  <c:v>0.25794025853962294</c:v>
                </c:pt>
                <c:pt idx="17">
                  <c:v>8.1804977725853222E-3</c:v>
                </c:pt>
                <c:pt idx="18">
                  <c:v>-0.23678308583363922</c:v>
                </c:pt>
                <c:pt idx="19">
                  <c:v>-0.3569761365718796</c:v>
                </c:pt>
                <c:pt idx="20">
                  <c:v>-0.60279608093648751</c:v>
                </c:pt>
                <c:pt idx="21">
                  <c:v>-2.0867839126509864</c:v>
                </c:pt>
                <c:pt idx="22">
                  <c:v>-0.54628616828783072</c:v>
                </c:pt>
                <c:pt idx="23">
                  <c:v>0.14233966871529949</c:v>
                </c:pt>
                <c:pt idx="24">
                  <c:v>0.5024976254118193</c:v>
                </c:pt>
              </c:numCache>
            </c:numRef>
          </c:val>
          <c:extLst>
            <c:ext xmlns:c16="http://schemas.microsoft.com/office/drawing/2014/chart" uri="{C3380CC4-5D6E-409C-BE32-E72D297353CC}">
              <c16:uniqueId val="{00000003-E269-4381-A6C7-31DA1E3D0080}"/>
            </c:ext>
          </c:extLst>
        </c:ser>
        <c:ser>
          <c:idx val="4"/>
          <c:order val="4"/>
          <c:tx>
            <c:strRef>
              <c:f>'GRAF příspěvky IPP'!$A$31</c:f>
              <c:strCache>
                <c:ptCount val="1"/>
                <c:pt idx="0">
                  <c:v>Výroba PC, elektronic. a optic. přístr. (26)</c:v>
                </c:pt>
              </c:strCache>
            </c:strRef>
          </c:tx>
          <c:spPr>
            <a:solidFill>
              <a:srgbClr val="FDDEB3"/>
            </a:solidFill>
          </c:spPr>
          <c:invertIfNegative val="0"/>
          <c:cat>
            <c:multiLvlStrRef>
              <c:f>'GRAF příspěvky IPP'!$R$25:$AQ$26</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'GRAF příspěvky IPP'!$R$31:$AQ$31</c:f>
              <c:numCache>
                <c:formatCode>0.0</c:formatCode>
                <c:ptCount val="26"/>
                <c:pt idx="0">
                  <c:v>0.10174478910853679</c:v>
                </c:pt>
                <c:pt idx="1">
                  <c:v>1.5828953523061507E-2</c:v>
                </c:pt>
                <c:pt idx="2">
                  <c:v>4.099582748163963E-2</c:v>
                </c:pt>
                <c:pt idx="3">
                  <c:v>-7.2764071813088554E-2</c:v>
                </c:pt>
                <c:pt idx="4">
                  <c:v>-5.3199772200864092E-3</c:v>
                </c:pt>
                <c:pt idx="5">
                  <c:v>6.0334021815885465E-2</c:v>
                </c:pt>
                <c:pt idx="6">
                  <c:v>5.0638983184188399E-2</c:v>
                </c:pt>
                <c:pt idx="7">
                  <c:v>0.16208161104378524</c:v>
                </c:pt>
                <c:pt idx="8">
                  <c:v>0.14164406764460333</c:v>
                </c:pt>
                <c:pt idx="9">
                  <c:v>0.36084600241723092</c:v>
                </c:pt>
                <c:pt idx="10">
                  <c:v>0.23025191154693395</c:v>
                </c:pt>
                <c:pt idx="11">
                  <c:v>0.23490510719047802</c:v>
                </c:pt>
                <c:pt idx="12">
                  <c:v>0.39487785017355559</c:v>
                </c:pt>
                <c:pt idx="13">
                  <c:v>0.15525543720367532</c:v>
                </c:pt>
                <c:pt idx="14">
                  <c:v>0.63668466142391178</c:v>
                </c:pt>
                <c:pt idx="15">
                  <c:v>0.31239835694712781</c:v>
                </c:pt>
                <c:pt idx="16">
                  <c:v>-0.11382932295885198</c:v>
                </c:pt>
                <c:pt idx="17">
                  <c:v>-4.341493446561568E-2</c:v>
                </c:pt>
                <c:pt idx="18">
                  <c:v>-0.61087240850785662</c:v>
                </c:pt>
                <c:pt idx="19">
                  <c:v>-0.34647971068415334</c:v>
                </c:pt>
                <c:pt idx="20">
                  <c:v>-9.3262273282259972E-2</c:v>
                </c:pt>
                <c:pt idx="21">
                  <c:v>-0.27991365476515007</c:v>
                </c:pt>
                <c:pt idx="22">
                  <c:v>3.7480674787972556E-3</c:v>
                </c:pt>
                <c:pt idx="23">
                  <c:v>-5.8376761155660142E-3</c:v>
                </c:pt>
                <c:pt idx="24">
                  <c:v>9.3943210027643706E-2</c:v>
                </c:pt>
              </c:numCache>
            </c:numRef>
          </c:val>
          <c:extLst>
            <c:ext xmlns:c16="http://schemas.microsoft.com/office/drawing/2014/chart" uri="{C3380CC4-5D6E-409C-BE32-E72D297353CC}">
              <c16:uniqueId val="{00000004-E269-4381-A6C7-31DA1E3D0080}"/>
            </c:ext>
          </c:extLst>
        </c:ser>
        <c:ser>
          <c:idx val="5"/>
          <c:order val="5"/>
          <c:tx>
            <c:strRef>
              <c:f>'GRAF příspěvky IPP'!$A$32</c:f>
              <c:strCache>
                <c:ptCount val="1"/>
                <c:pt idx="0">
                  <c:v>Chemický a farmaceutický pr. (20, 21)</c:v>
                </c:pt>
              </c:strCache>
            </c:strRef>
          </c:tx>
          <c:spPr>
            <a:solidFill>
              <a:srgbClr val="F8A124"/>
            </a:solidFill>
          </c:spPr>
          <c:invertIfNegative val="0"/>
          <c:cat>
            <c:multiLvlStrRef>
              <c:f>'GRAF příspěvky IPP'!$R$25:$AQ$26</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'GRAF příspěvky IPP'!$R$32:$AQ$32</c:f>
              <c:numCache>
                <c:formatCode>0.0</c:formatCode>
                <c:ptCount val="26"/>
                <c:pt idx="0">
                  <c:v>7.7143378794105238E-2</c:v>
                </c:pt>
                <c:pt idx="1">
                  <c:v>0.23593739633638305</c:v>
                </c:pt>
                <c:pt idx="2">
                  <c:v>-0.1618035309720528</c:v>
                </c:pt>
                <c:pt idx="3">
                  <c:v>-0.33496224531375707</c:v>
                </c:pt>
                <c:pt idx="4">
                  <c:v>-0.41674583594172754</c:v>
                </c:pt>
                <c:pt idx="5">
                  <c:v>-0.4282443957917389</c:v>
                </c:pt>
                <c:pt idx="6">
                  <c:v>-0.10705569687500868</c:v>
                </c:pt>
                <c:pt idx="7">
                  <c:v>0.23734613396913962</c:v>
                </c:pt>
                <c:pt idx="8">
                  <c:v>0.52004631375398047</c:v>
                </c:pt>
                <c:pt idx="9">
                  <c:v>0.82674096187567125</c:v>
                </c:pt>
                <c:pt idx="10">
                  <c:v>0.6516009273870198</c:v>
                </c:pt>
                <c:pt idx="11">
                  <c:v>0.50475413241681488</c:v>
                </c:pt>
                <c:pt idx="12">
                  <c:v>0.40512406777705501</c:v>
                </c:pt>
                <c:pt idx="13">
                  <c:v>7.9522592595157926E-2</c:v>
                </c:pt>
                <c:pt idx="14">
                  <c:v>-5.31759637412869E-2</c:v>
                </c:pt>
                <c:pt idx="15">
                  <c:v>-6.9085533222069381E-2</c:v>
                </c:pt>
                <c:pt idx="16">
                  <c:v>0.10389114606048008</c:v>
                </c:pt>
                <c:pt idx="17">
                  <c:v>4.8518655211085254E-2</c:v>
                </c:pt>
                <c:pt idx="18">
                  <c:v>0.22788597854650419</c:v>
                </c:pt>
                <c:pt idx="19">
                  <c:v>3.146341110732534E-2</c:v>
                </c:pt>
                <c:pt idx="20">
                  <c:v>-3.2343833499911212E-2</c:v>
                </c:pt>
                <c:pt idx="21">
                  <c:v>-0.54875551656759858</c:v>
                </c:pt>
                <c:pt idx="22">
                  <c:v>-0.21314624785035269</c:v>
                </c:pt>
                <c:pt idx="23">
                  <c:v>0.43258748242153289</c:v>
                </c:pt>
                <c:pt idx="24">
                  <c:v>0.26430043366619738</c:v>
                </c:pt>
              </c:numCache>
            </c:numRef>
          </c:val>
          <c:extLst>
            <c:ext xmlns:c16="http://schemas.microsoft.com/office/drawing/2014/chart" uri="{C3380CC4-5D6E-409C-BE32-E72D297353CC}">
              <c16:uniqueId val="{00000005-E269-4381-A6C7-31DA1E3D0080}"/>
            </c:ext>
          </c:extLst>
        </c:ser>
        <c:ser>
          <c:idx val="6"/>
          <c:order val="6"/>
          <c:tx>
            <c:strRef>
              <c:f>'GRAF příspěvky IPP'!$A$33</c:f>
              <c:strCache>
                <c:ptCount val="1"/>
                <c:pt idx="0">
                  <c:v>Zbývající zpracovatelský průmysl</c:v>
                </c:pt>
              </c:strCache>
            </c:strRef>
          </c:tx>
          <c:spPr>
            <a:solidFill>
              <a:schemeClr val="bg1">
                <a:lumMod val="85000"/>
              </a:schemeClr>
            </a:solidFill>
          </c:spPr>
          <c:invertIfNegative val="0"/>
          <c:cat>
            <c:multiLvlStrRef>
              <c:f>'GRAF příspěvky IPP'!$R$25:$AQ$26</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'GRAF příspěvky IPP'!$R$33:$AQ$33</c:f>
              <c:numCache>
                <c:formatCode>0.0</c:formatCode>
                <c:ptCount val="26"/>
                <c:pt idx="0">
                  <c:v>0.99790191745106882</c:v>
                </c:pt>
                <c:pt idx="1">
                  <c:v>0.89869551924785085</c:v>
                </c:pt>
                <c:pt idx="2">
                  <c:v>1.0140985408551135</c:v>
                </c:pt>
                <c:pt idx="3">
                  <c:v>-0.23144536420896189</c:v>
                </c:pt>
                <c:pt idx="4">
                  <c:v>0.26284587339298521</c:v>
                </c:pt>
                <c:pt idx="5">
                  <c:v>-0.36379862472242158</c:v>
                </c:pt>
                <c:pt idx="6">
                  <c:v>6.0778320295188704E-2</c:v>
                </c:pt>
                <c:pt idx="7">
                  <c:v>0.57462664260793739</c:v>
                </c:pt>
                <c:pt idx="8">
                  <c:v>7.0021742223497829E-2</c:v>
                </c:pt>
                <c:pt idx="9">
                  <c:v>1.4968765381346332</c:v>
                </c:pt>
                <c:pt idx="10">
                  <c:v>0.75563441850938817</c:v>
                </c:pt>
                <c:pt idx="11">
                  <c:v>0.97414760712501969</c:v>
                </c:pt>
                <c:pt idx="12">
                  <c:v>1.1572391799219797</c:v>
                </c:pt>
                <c:pt idx="13">
                  <c:v>0.6725057701913375</c:v>
                </c:pt>
                <c:pt idx="14">
                  <c:v>1.1043020585420495</c:v>
                </c:pt>
                <c:pt idx="15">
                  <c:v>0.49003903449396968</c:v>
                </c:pt>
                <c:pt idx="16">
                  <c:v>-4.5073361183030347E-2</c:v>
                </c:pt>
                <c:pt idx="17">
                  <c:v>4.2642071767505327E-2</c:v>
                </c:pt>
                <c:pt idx="18">
                  <c:v>-0.66202289851528051</c:v>
                </c:pt>
                <c:pt idx="19">
                  <c:v>-0.22564017800563624</c:v>
                </c:pt>
                <c:pt idx="20">
                  <c:v>7.6841219891765677E-2</c:v>
                </c:pt>
                <c:pt idx="21">
                  <c:v>-2.8313423651484886</c:v>
                </c:pt>
                <c:pt idx="22">
                  <c:v>8.2797121426130077E-2</c:v>
                </c:pt>
                <c:pt idx="23">
                  <c:v>9.7557088121208529E-2</c:v>
                </c:pt>
                <c:pt idx="24">
                  <c:v>-0.15110672459180577</c:v>
                </c:pt>
              </c:numCache>
            </c:numRef>
          </c:val>
          <c:extLst>
            <c:ext xmlns:c16="http://schemas.microsoft.com/office/drawing/2014/chart" uri="{C3380CC4-5D6E-409C-BE32-E72D297353CC}">
              <c16:uniqueId val="{00000006-E269-4381-A6C7-31DA1E3D0080}"/>
            </c:ext>
          </c:extLst>
        </c:ser>
        <c:ser>
          <c:idx val="7"/>
          <c:order val="7"/>
          <c:tx>
            <c:strRef>
              <c:f>'GRAF příspěvky IPP'!$A$34</c:f>
              <c:strCache>
                <c:ptCount val="1"/>
                <c:pt idx="0">
                  <c:v>Těžba a energetika (B, D)</c:v>
                </c:pt>
              </c:strCache>
            </c:strRef>
          </c:tx>
          <c:spPr>
            <a:solidFill>
              <a:srgbClr val="808080"/>
            </a:solidFill>
          </c:spPr>
          <c:invertIfNegative val="0"/>
          <c:cat>
            <c:multiLvlStrRef>
              <c:f>'GRAF příspěvky IPP'!$R$25:$AQ$26</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'GRAF příspěvky IPP'!$R$34:$AQ$34</c:f>
              <c:numCache>
                <c:formatCode>0.0</c:formatCode>
                <c:ptCount val="26"/>
                <c:pt idx="0">
                  <c:v>0.14536369337262112</c:v>
                </c:pt>
                <c:pt idx="1">
                  <c:v>-0.33984851886778389</c:v>
                </c:pt>
                <c:pt idx="2">
                  <c:v>-0.39719330301482159</c:v>
                </c:pt>
                <c:pt idx="3">
                  <c:v>-1.1146161627338653</c:v>
                </c:pt>
                <c:pt idx="4">
                  <c:v>-0.64581780602362893</c:v>
                </c:pt>
                <c:pt idx="5">
                  <c:v>9.8757674154636987E-2</c:v>
                </c:pt>
                <c:pt idx="6">
                  <c:v>-0.47678822664722548</c:v>
                </c:pt>
                <c:pt idx="7">
                  <c:v>0.5038061309270212</c:v>
                </c:pt>
                <c:pt idx="8">
                  <c:v>0.66217224583389844</c:v>
                </c:pt>
                <c:pt idx="9">
                  <c:v>-0.18248944438855802</c:v>
                </c:pt>
                <c:pt idx="10">
                  <c:v>0.77178193644183435</c:v>
                </c:pt>
                <c:pt idx="11">
                  <c:v>0.73275070181120505</c:v>
                </c:pt>
                <c:pt idx="12">
                  <c:v>-0.53887865891214681</c:v>
                </c:pt>
                <c:pt idx="13">
                  <c:v>4.2205690381435096E-3</c:v>
                </c:pt>
                <c:pt idx="14">
                  <c:v>0.78780707738879552</c:v>
                </c:pt>
                <c:pt idx="15">
                  <c:v>0.33124326032333173</c:v>
                </c:pt>
                <c:pt idx="16">
                  <c:v>0.21326016962669453</c:v>
                </c:pt>
                <c:pt idx="17">
                  <c:v>4.593311018825097E-2</c:v>
                </c:pt>
                <c:pt idx="18">
                  <c:v>-0.66562135602659178</c:v>
                </c:pt>
                <c:pt idx="19">
                  <c:v>-0.33090067760840614</c:v>
                </c:pt>
                <c:pt idx="20">
                  <c:v>-0.97349114199634235</c:v>
                </c:pt>
                <c:pt idx="21">
                  <c:v>-1.5874404115193026</c:v>
                </c:pt>
                <c:pt idx="22">
                  <c:v>-0.71569504087898972</c:v>
                </c:pt>
                <c:pt idx="23">
                  <c:v>-0.6949618157483497</c:v>
                </c:pt>
                <c:pt idx="24">
                  <c:v>0.45638788328587099</c:v>
                </c:pt>
              </c:numCache>
            </c:numRef>
          </c:val>
          <c:extLst>
            <c:ext xmlns:c16="http://schemas.microsoft.com/office/drawing/2014/chart" uri="{C3380CC4-5D6E-409C-BE32-E72D297353CC}">
              <c16:uniqueId val="{00000007-E269-4381-A6C7-31DA1E3D0080}"/>
            </c:ext>
          </c:extLst>
        </c:ser>
        <c:dLbls>
          <c:showLegendKey val="0"/>
          <c:showVal val="0"/>
          <c:showCatName val="0"/>
          <c:showSerName val="0"/>
          <c:showPercent val="0"/>
          <c:showBubbleSize val="0"/>
        </c:dLbls>
        <c:gapWidth val="15"/>
        <c:overlap val="100"/>
        <c:axId val="112768128"/>
        <c:axId val="112769664"/>
      </c:barChart>
      <c:lineChart>
        <c:grouping val="standard"/>
        <c:varyColors val="0"/>
        <c:ser>
          <c:idx val="8"/>
          <c:order val="8"/>
          <c:tx>
            <c:strRef>
              <c:f>'GRAF příspěvky IPP'!$A$35</c:f>
              <c:strCache>
                <c:ptCount val="1"/>
                <c:pt idx="0">
                  <c:v>Průmysl celkem (NACE B, C, D)</c:v>
                </c:pt>
              </c:strCache>
            </c:strRef>
          </c:tx>
          <c:spPr>
            <a:ln w="19050">
              <a:noFill/>
            </a:ln>
          </c:spPr>
          <c:marker>
            <c:symbol val="circle"/>
            <c:size val="4"/>
            <c:spPr>
              <a:solidFill>
                <a:schemeClr val="bg1"/>
              </a:solidFill>
              <a:ln>
                <a:solidFill>
                  <a:schemeClr val="tx1">
                    <a:lumMod val="95000"/>
                    <a:lumOff val="5000"/>
                  </a:schemeClr>
                </a:solidFill>
              </a:ln>
            </c:spPr>
          </c:marker>
          <c:cat>
            <c:multiLvlStrRef>
              <c:f>'GRAF příspěvky IPP'!$R$25:$AQ$26</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'GRAF příspěvky IPP'!$R$35:$AQ$35</c:f>
              <c:numCache>
                <c:formatCode>0.0</c:formatCode>
                <c:ptCount val="26"/>
                <c:pt idx="0">
                  <c:v>4.8682458563000068</c:v>
                </c:pt>
                <c:pt idx="1">
                  <c:v>5.3044741369999997</c:v>
                </c:pt>
                <c:pt idx="2">
                  <c:v>5.6190886268000071</c:v>
                </c:pt>
                <c:pt idx="3">
                  <c:v>2.3830895040999991</c:v>
                </c:pt>
                <c:pt idx="4">
                  <c:v>4.4721731077000015</c:v>
                </c:pt>
                <c:pt idx="5">
                  <c:v>2.6101078087999952</c:v>
                </c:pt>
                <c:pt idx="6">
                  <c:v>1.685282625100001</c:v>
                </c:pt>
                <c:pt idx="7">
                  <c:v>3.5077673609000044</c:v>
                </c:pt>
                <c:pt idx="8">
                  <c:v>4.7800802052999956</c:v>
                </c:pt>
                <c:pt idx="9">
                  <c:v>8.0163224835000051</c:v>
                </c:pt>
                <c:pt idx="10">
                  <c:v>6.5553384864000037</c:v>
                </c:pt>
                <c:pt idx="11">
                  <c:v>7.5463265375999953</c:v>
                </c:pt>
                <c:pt idx="12">
                  <c:v>4.2589652710999957</c:v>
                </c:pt>
                <c:pt idx="13">
                  <c:v>2.4120135812000001</c:v>
                </c:pt>
                <c:pt idx="14">
                  <c:v>3.7328733271999965</c:v>
                </c:pt>
                <c:pt idx="15">
                  <c:v>1.9659868294999967</c:v>
                </c:pt>
                <c:pt idx="16">
                  <c:v>0.8563629657000007</c:v>
                </c:pt>
                <c:pt idx="17">
                  <c:v>0.97017926910000085</c:v>
                </c:pt>
                <c:pt idx="18">
                  <c:v>-1.1400871741000032</c:v>
                </c:pt>
                <c:pt idx="19">
                  <c:v>-2.0711551671000024</c:v>
                </c:pt>
                <c:pt idx="20">
                  <c:v>-4.3995095515000031</c:v>
                </c:pt>
                <c:pt idx="21">
                  <c:v>-22.935996158799995</c:v>
                </c:pt>
                <c:pt idx="22">
                  <c:v>-2.818709542700006</c:v>
                </c:pt>
                <c:pt idx="23">
                  <c:v>2.0493572614000044</c:v>
                </c:pt>
                <c:pt idx="24">
                  <c:v>3.9108336095000027</c:v>
                </c:pt>
              </c:numCache>
            </c:numRef>
          </c:val>
          <c:smooth val="0"/>
          <c:extLst>
            <c:ext xmlns:c16="http://schemas.microsoft.com/office/drawing/2014/chart" uri="{C3380CC4-5D6E-409C-BE32-E72D297353CC}">
              <c16:uniqueId val="{00000008-E269-4381-A6C7-31DA1E3D0080}"/>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9"/>
          <c:order val="9"/>
          <c:tx>
            <c:strRef>
              <c:f>'GRAF příspěvky IPP'!$A$36</c:f>
              <c:strCache>
                <c:ptCount val="1"/>
                <c:pt idx="0">
                  <c:v>Saldo souhrn. indik. důvěry v průmyslu</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'GRAF příspěvky IPP'!$R$25:$AQ$26</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'GRAF příspěvky IPP'!$R$36:$AQ$36</c:f>
              <c:numCache>
                <c:formatCode>0.0</c:formatCode>
                <c:ptCount val="26"/>
                <c:pt idx="0">
                  <c:v>2.2999999999999998</c:v>
                </c:pt>
                <c:pt idx="1">
                  <c:v>3.3</c:v>
                </c:pt>
                <c:pt idx="2">
                  <c:v>3</c:v>
                </c:pt>
                <c:pt idx="3">
                  <c:v>1</c:v>
                </c:pt>
                <c:pt idx="4">
                  <c:v>3.7</c:v>
                </c:pt>
                <c:pt idx="5">
                  <c:v>2.7</c:v>
                </c:pt>
                <c:pt idx="6">
                  <c:v>5</c:v>
                </c:pt>
                <c:pt idx="7">
                  <c:v>6.3</c:v>
                </c:pt>
                <c:pt idx="8">
                  <c:v>3.7</c:v>
                </c:pt>
                <c:pt idx="9">
                  <c:v>0.5</c:v>
                </c:pt>
                <c:pt idx="10">
                  <c:v>4</c:v>
                </c:pt>
                <c:pt idx="11">
                  <c:v>4.7</c:v>
                </c:pt>
                <c:pt idx="12">
                  <c:v>3.7</c:v>
                </c:pt>
                <c:pt idx="13">
                  <c:v>2</c:v>
                </c:pt>
                <c:pt idx="14">
                  <c:v>2.2999999999999998</c:v>
                </c:pt>
                <c:pt idx="15">
                  <c:v>2.2999999999999998</c:v>
                </c:pt>
                <c:pt idx="16">
                  <c:v>0.3</c:v>
                </c:pt>
                <c:pt idx="17">
                  <c:v>-2</c:v>
                </c:pt>
                <c:pt idx="18">
                  <c:v>-3</c:v>
                </c:pt>
                <c:pt idx="19">
                  <c:v>-6.7</c:v>
                </c:pt>
                <c:pt idx="20">
                  <c:v>-5</c:v>
                </c:pt>
                <c:pt idx="21">
                  <c:v>-25</c:v>
                </c:pt>
                <c:pt idx="22">
                  <c:v>-6.3</c:v>
                </c:pt>
                <c:pt idx="23">
                  <c:v>-10</c:v>
                </c:pt>
                <c:pt idx="24">
                  <c:v>-1.3</c:v>
                </c:pt>
                <c:pt idx="25">
                  <c:v>5.3</c:v>
                </c:pt>
              </c:numCache>
            </c:numRef>
          </c:val>
          <c:smooth val="0"/>
          <c:extLst>
            <c:ext xmlns:c16="http://schemas.microsoft.com/office/drawing/2014/chart" uri="{C3380CC4-5D6E-409C-BE32-E72D297353CC}">
              <c16:uniqueId val="{00000009-E269-4381-A6C7-31DA1E3D0080}"/>
            </c:ext>
          </c:extLst>
        </c:ser>
        <c:dLbls>
          <c:showLegendKey val="0"/>
          <c:showVal val="0"/>
          <c:showCatName val="0"/>
          <c:showSerName val="0"/>
          <c:showPercent val="0"/>
          <c:showBubbleSize val="0"/>
        </c:dLbls>
        <c:marker val="1"/>
        <c:smooth val="0"/>
        <c:axId val="1513731104"/>
        <c:axId val="1513729024"/>
      </c:lineChart>
      <c:catAx>
        <c:axId val="11276812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9"/>
          <c:min val="-24"/>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Příspěvky ke změně průmyslové</a:t>
                </a:r>
                <a:r>
                  <a:rPr lang="cs-CZ" sz="700" b="0" i="1" baseline="0">
                    <a:latin typeface="Arial" panose="020B0604020202020204" pitchFamily="34" charset="0"/>
                    <a:cs typeface="Arial" panose="020B0604020202020204" pitchFamily="34" charset="0"/>
                  </a:rPr>
                  <a:t> produkce</a:t>
                </a:r>
                <a:endParaRPr lang="cs-CZ" sz="700" b="0" i="1">
                  <a:latin typeface="Arial" panose="020B0604020202020204" pitchFamily="34" charset="0"/>
                  <a:cs typeface="Arial" panose="020B0604020202020204" pitchFamily="34" charset="0"/>
                </a:endParaRPr>
              </a:p>
            </c:rich>
          </c:tx>
          <c:layout>
            <c:manualLayout>
              <c:xMode val="edge"/>
              <c:yMode val="edge"/>
              <c:x val="0"/>
              <c:y val="0.11838217245611374"/>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3"/>
      </c:valAx>
      <c:valAx>
        <c:axId val="1513729024"/>
        <c:scaling>
          <c:orientation val="minMax"/>
          <c:max val="30"/>
          <c:min val="-25"/>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Saldo</a:t>
                </a:r>
                <a:r>
                  <a:rPr lang="cs-CZ" sz="700" b="0" i="1" baseline="0">
                    <a:latin typeface="Arial" panose="020B0604020202020204" pitchFamily="34" charset="0"/>
                    <a:cs typeface="Arial" panose="020B0604020202020204" pitchFamily="34" charset="0"/>
                  </a:rPr>
                  <a:t> indikátoru důvěry</a:t>
                </a:r>
                <a:endParaRPr lang="cs-CZ" sz="700" b="0" i="1">
                  <a:latin typeface="Arial" panose="020B0604020202020204" pitchFamily="34" charset="0"/>
                  <a:cs typeface="Arial" panose="020B0604020202020204" pitchFamily="34" charset="0"/>
                </a:endParaRPr>
              </a:p>
            </c:rich>
          </c:tx>
          <c:layout>
            <c:manualLayout>
              <c:xMode val="edge"/>
              <c:yMode val="edge"/>
              <c:x val="0.97073916983354047"/>
              <c:y val="0.1919156077545873"/>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513731104"/>
        <c:crosses val="max"/>
        <c:crossBetween val="between"/>
        <c:majorUnit val="5"/>
      </c:valAx>
      <c:catAx>
        <c:axId val="1513731104"/>
        <c:scaling>
          <c:orientation val="minMax"/>
        </c:scaling>
        <c:delete val="1"/>
        <c:axPos val="b"/>
        <c:numFmt formatCode="General" sourceLinked="1"/>
        <c:majorTickMark val="out"/>
        <c:minorTickMark val="none"/>
        <c:tickLblPos val="nextTo"/>
        <c:crossAx val="1513729024"/>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3674313143127631E-3"/>
          <c:y val="0.8208401379824497"/>
          <c:w val="0.99049246182308814"/>
          <c:h val="0.1680903527628885"/>
        </c:manualLayout>
      </c:layout>
      <c:overlay val="0"/>
      <c:spPr>
        <a:ln w="6350">
          <a:solidFill>
            <a:prstClr val="black">
              <a:lumMod val="95000"/>
              <a:lumOff val="5000"/>
            </a:prstClr>
          </a:solidFill>
        </a:ln>
      </c:spPr>
      <c:txPr>
        <a:bodyPr/>
        <a:lstStyle/>
        <a:p>
          <a:pPr>
            <a:defRPr sz="80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015582501720615E-2"/>
          <c:y val="1.643251153889452E-2"/>
          <c:w val="0.86254083709606399"/>
          <c:h val="0.76336766858043459"/>
        </c:manualLayout>
      </c:layout>
      <c:barChart>
        <c:barDir val="col"/>
        <c:grouping val="clustered"/>
        <c:varyColors val="0"/>
        <c:ser>
          <c:idx val="0"/>
          <c:order val="0"/>
          <c:tx>
            <c:strRef>
              <c:f>'výkonnost odvětví 2'!$A$31</c:f>
              <c:strCache>
                <c:ptCount val="1"/>
                <c:pt idx="0">
                  <c:v>Průmyslové zakázky celkem</c:v>
                </c:pt>
              </c:strCache>
            </c:strRef>
          </c:tx>
          <c:spPr>
            <a:solidFill>
              <a:schemeClr val="bg1">
                <a:lumMod val="65000"/>
              </a:schemeClr>
            </a:solidFill>
            <a:ln w="12700">
              <a:noFill/>
              <a:prstDash val="solid"/>
            </a:ln>
          </c:spPr>
          <c:invertIfNegative val="0"/>
          <c:cat>
            <c:multiLvlStrRef>
              <c:f>'výkonnost odvětví 2'!$R$29:$AQ$30</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'výkonnost odvětví 2'!$R$31:$AQ$31</c:f>
              <c:numCache>
                <c:formatCode>#\ ##0.0__</c:formatCode>
                <c:ptCount val="26"/>
                <c:pt idx="0">
                  <c:v>8.5397251010390391</c:v>
                </c:pt>
                <c:pt idx="1">
                  <c:v>6.4894834031568251</c:v>
                </c:pt>
                <c:pt idx="2">
                  <c:v>4.1045761314248068</c:v>
                </c:pt>
                <c:pt idx="3">
                  <c:v>6.0151063810169205</c:v>
                </c:pt>
                <c:pt idx="4">
                  <c:v>1.3550678522953064</c:v>
                </c:pt>
                <c:pt idx="5">
                  <c:v>10.856046878525433</c:v>
                </c:pt>
                <c:pt idx="6">
                  <c:v>1.6431282237439291</c:v>
                </c:pt>
                <c:pt idx="7">
                  <c:v>6.7220844736941103</c:v>
                </c:pt>
                <c:pt idx="8">
                  <c:v>10.841479121555906</c:v>
                </c:pt>
                <c:pt idx="9">
                  <c:v>4.5315942367003714</c:v>
                </c:pt>
                <c:pt idx="10">
                  <c:v>6.9082617878945598</c:v>
                </c:pt>
                <c:pt idx="11">
                  <c:v>7.5112613571588724</c:v>
                </c:pt>
                <c:pt idx="12">
                  <c:v>1.6339188767607453</c:v>
                </c:pt>
                <c:pt idx="13">
                  <c:v>4.6301209797549205</c:v>
                </c:pt>
                <c:pt idx="14">
                  <c:v>3.6945404784506337</c:v>
                </c:pt>
                <c:pt idx="15">
                  <c:v>4.2467023509658759</c:v>
                </c:pt>
                <c:pt idx="16">
                  <c:v>3.2159327201169816</c:v>
                </c:pt>
                <c:pt idx="17">
                  <c:v>0.65858715061426665</c:v>
                </c:pt>
                <c:pt idx="18">
                  <c:v>2.2747163836690305</c:v>
                </c:pt>
                <c:pt idx="19">
                  <c:v>-4.7832000111320241</c:v>
                </c:pt>
                <c:pt idx="20">
                  <c:v>-1.2762466132796817</c:v>
                </c:pt>
                <c:pt idx="21">
                  <c:v>-27.685678861776282</c:v>
                </c:pt>
                <c:pt idx="22">
                  <c:v>-2.0849225069869703</c:v>
                </c:pt>
                <c:pt idx="23">
                  <c:v>6.882954384462451</c:v>
                </c:pt>
                <c:pt idx="24">
                  <c:v>7.4402517572367941</c:v>
                </c:pt>
              </c:numCache>
            </c:numRef>
          </c:val>
          <c:extLst>
            <c:ext xmlns:c16="http://schemas.microsoft.com/office/drawing/2014/chart" uri="{C3380CC4-5D6E-409C-BE32-E72D297353CC}">
              <c16:uniqueId val="{00000000-D40B-49FD-A472-3F1BD2E100C9}"/>
            </c:ext>
          </c:extLst>
        </c:ser>
        <c:dLbls>
          <c:showLegendKey val="0"/>
          <c:showVal val="0"/>
          <c:showCatName val="0"/>
          <c:showSerName val="0"/>
          <c:showPercent val="0"/>
          <c:showBubbleSize val="0"/>
        </c:dLbls>
        <c:gapWidth val="34"/>
        <c:overlap val="28"/>
        <c:axId val="139174272"/>
        <c:axId val="139175808"/>
      </c:barChart>
      <c:lineChart>
        <c:grouping val="standard"/>
        <c:varyColors val="0"/>
        <c:ser>
          <c:idx val="2"/>
          <c:order val="1"/>
          <c:tx>
            <c:strRef>
              <c:f>'výkonnost odvětví 2'!$A$32</c:f>
              <c:strCache>
                <c:ptCount val="1"/>
                <c:pt idx="0">
                  <c:v>Průmyslové zakázky z tuzemska</c:v>
                </c:pt>
              </c:strCache>
            </c:strRef>
          </c:tx>
          <c:spPr>
            <a:ln w="15875">
              <a:solidFill>
                <a:schemeClr val="tx1">
                  <a:lumMod val="85000"/>
                  <a:lumOff val="15000"/>
                </a:schemeClr>
              </a:solidFill>
              <a:prstDash val="sysDash"/>
            </a:ln>
          </c:spPr>
          <c:marker>
            <c:symbol val="none"/>
          </c:marker>
          <c:cat>
            <c:multiLvlStrRef>
              <c:f>'výkonnost odvětví 2'!$R$29:$AQ$30</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'výkonnost odvětví 2'!$R$32:$AQ$32</c:f>
              <c:numCache>
                <c:formatCode>#\ ##0.0__</c:formatCode>
                <c:ptCount val="26"/>
                <c:pt idx="0">
                  <c:v>4.341961301010727</c:v>
                </c:pt>
                <c:pt idx="1">
                  <c:v>10.024449168168019</c:v>
                </c:pt>
                <c:pt idx="2">
                  <c:v>-4.7604240586837108</c:v>
                </c:pt>
                <c:pt idx="3">
                  <c:v>0.56107209694786775</c:v>
                </c:pt>
                <c:pt idx="4">
                  <c:v>0.20304376106223287</c:v>
                </c:pt>
                <c:pt idx="5">
                  <c:v>4.9376200007964286</c:v>
                </c:pt>
                <c:pt idx="6">
                  <c:v>-0.65834656713856532</c:v>
                </c:pt>
                <c:pt idx="7">
                  <c:v>2.873089889380708</c:v>
                </c:pt>
                <c:pt idx="8">
                  <c:v>16.722989365311648</c:v>
                </c:pt>
                <c:pt idx="9">
                  <c:v>11.567742610098009</c:v>
                </c:pt>
                <c:pt idx="10">
                  <c:v>14.702871802754672</c:v>
                </c:pt>
                <c:pt idx="11">
                  <c:v>15.641374658030259</c:v>
                </c:pt>
                <c:pt idx="12">
                  <c:v>-0.54655499165191657</c:v>
                </c:pt>
                <c:pt idx="13">
                  <c:v>3.3862320433243838</c:v>
                </c:pt>
                <c:pt idx="14">
                  <c:v>4.5707977831681177</c:v>
                </c:pt>
                <c:pt idx="15">
                  <c:v>4.8009732818449038</c:v>
                </c:pt>
                <c:pt idx="16">
                  <c:v>8.0074778782798006</c:v>
                </c:pt>
                <c:pt idx="17">
                  <c:v>4.3685672275757952</c:v>
                </c:pt>
                <c:pt idx="18">
                  <c:v>3.2795252635021939</c:v>
                </c:pt>
                <c:pt idx="19">
                  <c:v>-2.4886565019466786</c:v>
                </c:pt>
                <c:pt idx="20">
                  <c:v>6.4934467246087451</c:v>
                </c:pt>
                <c:pt idx="21">
                  <c:v>-25.916734002239323</c:v>
                </c:pt>
                <c:pt idx="22">
                  <c:v>-3.9678211678045017</c:v>
                </c:pt>
                <c:pt idx="23">
                  <c:v>6.667164135045283</c:v>
                </c:pt>
                <c:pt idx="24">
                  <c:v>-3.7246606881854945</c:v>
                </c:pt>
              </c:numCache>
            </c:numRef>
          </c:val>
          <c:smooth val="0"/>
          <c:extLst>
            <c:ext xmlns:c16="http://schemas.microsoft.com/office/drawing/2014/chart" uri="{C3380CC4-5D6E-409C-BE32-E72D297353CC}">
              <c16:uniqueId val="{00000001-D40B-49FD-A472-3F1BD2E100C9}"/>
            </c:ext>
          </c:extLst>
        </c:ser>
        <c:ser>
          <c:idx val="5"/>
          <c:order val="2"/>
          <c:tx>
            <c:strRef>
              <c:f>'výkonnost odvětví 2'!$A$33</c:f>
              <c:strCache>
                <c:ptCount val="1"/>
                <c:pt idx="0">
                  <c:v>Celk. zakázky ve výrobě motor. voz.</c:v>
                </c:pt>
              </c:strCache>
            </c:strRef>
          </c:tx>
          <c:spPr>
            <a:ln w="15875">
              <a:solidFill>
                <a:srgbClr val="BD1B21"/>
              </a:solidFill>
              <a:prstDash val="solid"/>
            </a:ln>
          </c:spPr>
          <c:marker>
            <c:symbol val="none"/>
          </c:marker>
          <c:cat>
            <c:multiLvlStrRef>
              <c:f>'výkonnost odvětví 2'!$R$29:$AQ$30</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'výkonnost odvětví 2'!$R$33:$AQ$33</c:f>
              <c:numCache>
                <c:formatCode>#\ ##0.0__</c:formatCode>
                <c:ptCount val="26"/>
                <c:pt idx="0">
                  <c:v>15.316352438277931</c:v>
                </c:pt>
                <c:pt idx="1">
                  <c:v>5.584343456517459</c:v>
                </c:pt>
                <c:pt idx="2">
                  <c:v>13.898535777390734</c:v>
                </c:pt>
                <c:pt idx="3">
                  <c:v>18.975191723154538</c:v>
                </c:pt>
                <c:pt idx="4">
                  <c:v>11.460497347422447</c:v>
                </c:pt>
                <c:pt idx="5">
                  <c:v>33.085131031292235</c:v>
                </c:pt>
                <c:pt idx="6">
                  <c:v>5.912380139380474</c:v>
                </c:pt>
                <c:pt idx="7">
                  <c:v>12.001000805244416</c:v>
                </c:pt>
                <c:pt idx="8">
                  <c:v>7.9804719471503205</c:v>
                </c:pt>
                <c:pt idx="9">
                  <c:v>-1.7592612473364966</c:v>
                </c:pt>
                <c:pt idx="10">
                  <c:v>3.8626497182263222</c:v>
                </c:pt>
                <c:pt idx="11">
                  <c:v>0.37376710568412364</c:v>
                </c:pt>
                <c:pt idx="12">
                  <c:v>0.60861960894675349</c:v>
                </c:pt>
                <c:pt idx="13">
                  <c:v>3.6675371997157811</c:v>
                </c:pt>
                <c:pt idx="14">
                  <c:v>0.69699979014031044</c:v>
                </c:pt>
                <c:pt idx="15">
                  <c:v>1.0371076901644045</c:v>
                </c:pt>
                <c:pt idx="16">
                  <c:v>2.3844519038519962</c:v>
                </c:pt>
                <c:pt idx="17">
                  <c:v>3.1505861553301884</c:v>
                </c:pt>
                <c:pt idx="18">
                  <c:v>7.8772894879504776</c:v>
                </c:pt>
                <c:pt idx="19">
                  <c:v>-0.27078960340936931</c:v>
                </c:pt>
                <c:pt idx="20">
                  <c:v>-6.5941090261626556</c:v>
                </c:pt>
                <c:pt idx="21">
                  <c:v>-43.297757603226039</c:v>
                </c:pt>
                <c:pt idx="22">
                  <c:v>3.6539438072891244</c:v>
                </c:pt>
                <c:pt idx="23">
                  <c:v>8.0597939162845336</c:v>
                </c:pt>
                <c:pt idx="24">
                  <c:v>16.785005657074436</c:v>
                </c:pt>
              </c:numCache>
            </c:numRef>
          </c:val>
          <c:smooth val="0"/>
          <c:extLst>
            <c:ext xmlns:c16="http://schemas.microsoft.com/office/drawing/2014/chart" uri="{C3380CC4-5D6E-409C-BE32-E72D297353CC}">
              <c16:uniqueId val="{00000002-D40B-49FD-A472-3F1BD2E100C9}"/>
            </c:ext>
          </c:extLst>
        </c:ser>
        <c:dLbls>
          <c:showLegendKey val="0"/>
          <c:showVal val="0"/>
          <c:showCatName val="0"/>
          <c:showSerName val="0"/>
          <c:showPercent val="0"/>
          <c:showBubbleSize val="0"/>
        </c:dLbls>
        <c:marker val="1"/>
        <c:smooth val="0"/>
        <c:axId val="139174272"/>
        <c:axId val="139175808"/>
      </c:lineChart>
      <c:lineChart>
        <c:grouping val="standard"/>
        <c:varyColors val="0"/>
        <c:ser>
          <c:idx val="3"/>
          <c:order val="3"/>
          <c:tx>
            <c:strRef>
              <c:f>'výkonnost odvětví 2'!$A$34</c:f>
              <c:strCache>
                <c:ptCount val="1"/>
                <c:pt idx="0">
                  <c:v>Využití výrob. kapacit v prům. (pr. osa)</c:v>
                </c:pt>
              </c:strCache>
            </c:strRef>
          </c:tx>
          <c:spPr>
            <a:ln w="19050">
              <a:solidFill>
                <a:srgbClr val="00B050"/>
              </a:solidFill>
              <a:prstDash val="solid"/>
            </a:ln>
          </c:spPr>
          <c:marker>
            <c:symbol val="none"/>
          </c:marker>
          <c:cat>
            <c:multiLvlStrRef>
              <c:f>'výkonnost odvětví 2'!$R$29:$AQ$30</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'výkonnost odvětví 2'!$R$34:$AQ$34</c:f>
              <c:numCache>
                <c:formatCode>#\ ##0.0</c:formatCode>
                <c:ptCount val="26"/>
                <c:pt idx="0">
                  <c:v>86.2</c:v>
                </c:pt>
                <c:pt idx="1">
                  <c:v>85</c:v>
                </c:pt>
                <c:pt idx="2">
                  <c:v>85.6</c:v>
                </c:pt>
                <c:pt idx="3">
                  <c:v>83.9</c:v>
                </c:pt>
                <c:pt idx="4">
                  <c:v>84.5</c:v>
                </c:pt>
                <c:pt idx="5">
                  <c:v>84.7</c:v>
                </c:pt>
                <c:pt idx="6">
                  <c:v>84.7</c:v>
                </c:pt>
                <c:pt idx="7">
                  <c:v>84.1</c:v>
                </c:pt>
                <c:pt idx="8">
                  <c:v>84.9</c:v>
                </c:pt>
                <c:pt idx="9">
                  <c:v>83.1</c:v>
                </c:pt>
                <c:pt idx="10">
                  <c:v>84.4</c:v>
                </c:pt>
                <c:pt idx="11">
                  <c:v>84.3</c:v>
                </c:pt>
                <c:pt idx="12">
                  <c:v>85.8</c:v>
                </c:pt>
                <c:pt idx="13">
                  <c:v>85.4</c:v>
                </c:pt>
                <c:pt idx="14">
                  <c:v>86.2</c:v>
                </c:pt>
                <c:pt idx="15">
                  <c:v>85.8</c:v>
                </c:pt>
                <c:pt idx="16">
                  <c:v>85.8</c:v>
                </c:pt>
                <c:pt idx="17">
                  <c:v>85.9</c:v>
                </c:pt>
                <c:pt idx="18">
                  <c:v>84.8</c:v>
                </c:pt>
                <c:pt idx="19">
                  <c:v>84.1</c:v>
                </c:pt>
                <c:pt idx="20">
                  <c:v>84.2</c:v>
                </c:pt>
                <c:pt idx="21">
                  <c:v>71</c:v>
                </c:pt>
                <c:pt idx="22">
                  <c:v>75.5</c:v>
                </c:pt>
                <c:pt idx="23">
                  <c:v>81.099999999999994</c:v>
                </c:pt>
                <c:pt idx="24">
                  <c:v>83.4</c:v>
                </c:pt>
                <c:pt idx="25">
                  <c:v>87.5</c:v>
                </c:pt>
              </c:numCache>
            </c:numRef>
          </c:val>
          <c:smooth val="0"/>
          <c:extLst>
            <c:ext xmlns:c16="http://schemas.microsoft.com/office/drawing/2014/chart" uri="{C3380CC4-5D6E-409C-BE32-E72D297353CC}">
              <c16:uniqueId val="{00000003-D40B-49FD-A472-3F1BD2E100C9}"/>
            </c:ext>
          </c:extLst>
        </c:ser>
        <c:ser>
          <c:idx val="1"/>
          <c:order val="4"/>
          <c:tx>
            <c:strRef>
              <c:f>'výkonnost odvětví 2'!$A$35</c:f>
              <c:strCache>
                <c:ptCount val="1"/>
                <c:pt idx="0">
                  <c:v>Využití kapac. v automobil. pr. (pr. osa)</c:v>
                </c:pt>
              </c:strCache>
            </c:strRef>
          </c:tx>
          <c:spPr>
            <a:ln w="15875">
              <a:solidFill>
                <a:srgbClr val="00B050"/>
              </a:solidFill>
              <a:prstDash val="sysDash"/>
            </a:ln>
          </c:spPr>
          <c:marker>
            <c:symbol val="none"/>
          </c:marker>
          <c:cat>
            <c:multiLvlStrRef>
              <c:f>'výkonnost odvětví 2'!$R$29:$AQ$30</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'výkonnost odvětví 2'!$R$35:$AQ$35</c:f>
              <c:numCache>
                <c:formatCode>0.0</c:formatCode>
                <c:ptCount val="26"/>
                <c:pt idx="0">
                  <c:v>92.8</c:v>
                </c:pt>
                <c:pt idx="1">
                  <c:v>91.1</c:v>
                </c:pt>
                <c:pt idx="2">
                  <c:v>93.1</c:v>
                </c:pt>
                <c:pt idx="3">
                  <c:v>88.7</c:v>
                </c:pt>
                <c:pt idx="4">
                  <c:v>91.6</c:v>
                </c:pt>
                <c:pt idx="5">
                  <c:v>90.3</c:v>
                </c:pt>
                <c:pt idx="6">
                  <c:v>93.1</c:v>
                </c:pt>
                <c:pt idx="7">
                  <c:v>90.9</c:v>
                </c:pt>
                <c:pt idx="8">
                  <c:v>93.2</c:v>
                </c:pt>
                <c:pt idx="9">
                  <c:v>87.3</c:v>
                </c:pt>
                <c:pt idx="10">
                  <c:v>90.7</c:v>
                </c:pt>
                <c:pt idx="11">
                  <c:v>90.5</c:v>
                </c:pt>
                <c:pt idx="12">
                  <c:v>91.1</c:v>
                </c:pt>
                <c:pt idx="13">
                  <c:v>91.6</c:v>
                </c:pt>
                <c:pt idx="14">
                  <c:v>92.1</c:v>
                </c:pt>
                <c:pt idx="15">
                  <c:v>93</c:v>
                </c:pt>
                <c:pt idx="16">
                  <c:v>92.8</c:v>
                </c:pt>
                <c:pt idx="17">
                  <c:v>93.6</c:v>
                </c:pt>
                <c:pt idx="18">
                  <c:v>92.3</c:v>
                </c:pt>
                <c:pt idx="19">
                  <c:v>93.4</c:v>
                </c:pt>
                <c:pt idx="20">
                  <c:v>90.5</c:v>
                </c:pt>
                <c:pt idx="21">
                  <c:v>50.8</c:v>
                </c:pt>
                <c:pt idx="22" formatCode="General">
                  <c:v>75.3</c:v>
                </c:pt>
                <c:pt idx="23" formatCode="General">
                  <c:v>90.9</c:v>
                </c:pt>
                <c:pt idx="24" formatCode="General">
                  <c:v>90.3</c:v>
                </c:pt>
                <c:pt idx="25" formatCode="General">
                  <c:v>99.1</c:v>
                </c:pt>
              </c:numCache>
            </c:numRef>
          </c:val>
          <c:smooth val="0"/>
          <c:extLst>
            <c:ext xmlns:c16="http://schemas.microsoft.com/office/drawing/2014/chart" uri="{C3380CC4-5D6E-409C-BE32-E72D297353CC}">
              <c16:uniqueId val="{00000004-D40B-49FD-A472-3F1BD2E100C9}"/>
            </c:ext>
          </c:extLst>
        </c:ser>
        <c:ser>
          <c:idx val="4"/>
          <c:order val="5"/>
          <c:tx>
            <c:strRef>
              <c:f>'výkonnost odvětví 2'!$A$36</c:f>
              <c:strCache>
                <c:ptCount val="1"/>
                <c:pt idx="0">
                  <c:v>Bariéra růstu: nedost. poptávka (pr. osa)</c:v>
                </c:pt>
              </c:strCache>
            </c:strRef>
          </c:tx>
          <c:spPr>
            <a:ln w="15875">
              <a:solidFill>
                <a:srgbClr val="D2CD00"/>
              </a:solidFill>
              <a:prstDash val="solid"/>
            </a:ln>
          </c:spPr>
          <c:marker>
            <c:symbol val="none"/>
          </c:marker>
          <c:cat>
            <c:multiLvlStrRef>
              <c:f>'výkonnost odvětví 2'!$R$29:$AQ$30</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'výkonnost odvětví 2'!$R$36:$AQ$36</c:f>
              <c:numCache>
                <c:formatCode>#\ ##0.0</c:formatCode>
                <c:ptCount val="26"/>
                <c:pt idx="0">
                  <c:v>43.6</c:v>
                </c:pt>
                <c:pt idx="1">
                  <c:v>49.6</c:v>
                </c:pt>
                <c:pt idx="2">
                  <c:v>47.8</c:v>
                </c:pt>
                <c:pt idx="3">
                  <c:v>47.8</c:v>
                </c:pt>
                <c:pt idx="4">
                  <c:v>45.7</c:v>
                </c:pt>
                <c:pt idx="5">
                  <c:v>45.5</c:v>
                </c:pt>
                <c:pt idx="6">
                  <c:v>43</c:v>
                </c:pt>
                <c:pt idx="7">
                  <c:v>43.8</c:v>
                </c:pt>
                <c:pt idx="8">
                  <c:v>42.7</c:v>
                </c:pt>
                <c:pt idx="9">
                  <c:v>41.6</c:v>
                </c:pt>
                <c:pt idx="10">
                  <c:v>40.299999999999997</c:v>
                </c:pt>
                <c:pt idx="11">
                  <c:v>37.299999999999997</c:v>
                </c:pt>
                <c:pt idx="12">
                  <c:v>35.4</c:v>
                </c:pt>
                <c:pt idx="13">
                  <c:v>36</c:v>
                </c:pt>
                <c:pt idx="14">
                  <c:v>31.6</c:v>
                </c:pt>
                <c:pt idx="15">
                  <c:v>33.4</c:v>
                </c:pt>
                <c:pt idx="16">
                  <c:v>33.700000000000003</c:v>
                </c:pt>
                <c:pt idx="17">
                  <c:v>35.299999999999997</c:v>
                </c:pt>
                <c:pt idx="18">
                  <c:v>40.1</c:v>
                </c:pt>
                <c:pt idx="19">
                  <c:v>47.3</c:v>
                </c:pt>
                <c:pt idx="20">
                  <c:v>50.4</c:v>
                </c:pt>
                <c:pt idx="21">
                  <c:v>58.4</c:v>
                </c:pt>
                <c:pt idx="22">
                  <c:v>63.2</c:v>
                </c:pt>
                <c:pt idx="23">
                  <c:v>47.9</c:v>
                </c:pt>
                <c:pt idx="24">
                  <c:v>48.7</c:v>
                </c:pt>
                <c:pt idx="25">
                  <c:v>38.5</c:v>
                </c:pt>
              </c:numCache>
            </c:numRef>
          </c:val>
          <c:smooth val="0"/>
          <c:extLst>
            <c:ext xmlns:c16="http://schemas.microsoft.com/office/drawing/2014/chart" uri="{C3380CC4-5D6E-409C-BE32-E72D297353CC}">
              <c16:uniqueId val="{00000005-D40B-49FD-A472-3F1BD2E100C9}"/>
            </c:ext>
          </c:extLst>
        </c:ser>
        <c:ser>
          <c:idx val="6"/>
          <c:order val="6"/>
          <c:tx>
            <c:strRef>
              <c:f>'výkonnost odvětví 2'!$A$37</c:f>
              <c:strCache>
                <c:ptCount val="1"/>
                <c:pt idx="0">
                  <c:v>Bariéra růstu: nedost. pracovníků (pr. osa)</c:v>
                </c:pt>
              </c:strCache>
            </c:strRef>
          </c:tx>
          <c:spPr>
            <a:ln w="19050">
              <a:solidFill>
                <a:srgbClr val="D2CD00"/>
              </a:solidFill>
              <a:prstDash val="sysDash"/>
            </a:ln>
          </c:spPr>
          <c:marker>
            <c:symbol val="none"/>
          </c:marker>
          <c:cat>
            <c:multiLvlStrRef>
              <c:f>'výkonnost odvětví 2'!$R$29:$AQ$30</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'výkonnost odvětví 2'!$R$37:$AQ$37</c:f>
              <c:numCache>
                <c:formatCode>#\ ##0.0</c:formatCode>
                <c:ptCount val="26"/>
                <c:pt idx="0">
                  <c:v>6.7</c:v>
                </c:pt>
                <c:pt idx="1">
                  <c:v>6.9</c:v>
                </c:pt>
                <c:pt idx="2">
                  <c:v>8.1</c:v>
                </c:pt>
                <c:pt idx="3">
                  <c:v>13.9</c:v>
                </c:pt>
                <c:pt idx="4">
                  <c:v>15.4</c:v>
                </c:pt>
                <c:pt idx="5">
                  <c:v>16.899999999999999</c:v>
                </c:pt>
                <c:pt idx="6">
                  <c:v>18.8</c:v>
                </c:pt>
                <c:pt idx="7">
                  <c:v>28.8</c:v>
                </c:pt>
                <c:pt idx="8">
                  <c:v>32.799999999999997</c:v>
                </c:pt>
                <c:pt idx="9">
                  <c:v>34.700000000000003</c:v>
                </c:pt>
                <c:pt idx="10">
                  <c:v>41.3</c:v>
                </c:pt>
                <c:pt idx="11">
                  <c:v>38.299999999999997</c:v>
                </c:pt>
                <c:pt idx="12">
                  <c:v>43.4</c:v>
                </c:pt>
                <c:pt idx="13">
                  <c:v>43.7</c:v>
                </c:pt>
                <c:pt idx="14">
                  <c:v>43.7</c:v>
                </c:pt>
                <c:pt idx="15">
                  <c:v>44.8</c:v>
                </c:pt>
                <c:pt idx="16">
                  <c:v>38.799999999999997</c:v>
                </c:pt>
                <c:pt idx="17">
                  <c:v>36.4</c:v>
                </c:pt>
                <c:pt idx="18">
                  <c:v>39.5</c:v>
                </c:pt>
                <c:pt idx="19">
                  <c:v>37.200000000000003</c:v>
                </c:pt>
                <c:pt idx="20">
                  <c:v>28.2</c:v>
                </c:pt>
                <c:pt idx="21">
                  <c:v>16.600000000000001</c:v>
                </c:pt>
                <c:pt idx="22">
                  <c:v>15.1</c:v>
                </c:pt>
                <c:pt idx="23">
                  <c:v>13.7</c:v>
                </c:pt>
                <c:pt idx="24">
                  <c:v>20.3</c:v>
                </c:pt>
                <c:pt idx="25">
                  <c:v>21.5</c:v>
                </c:pt>
              </c:numCache>
            </c:numRef>
          </c:val>
          <c:smooth val="0"/>
          <c:extLst>
            <c:ext xmlns:c16="http://schemas.microsoft.com/office/drawing/2014/chart" uri="{C3380CC4-5D6E-409C-BE32-E72D297353CC}">
              <c16:uniqueId val="{00000006-D40B-49FD-A472-3F1BD2E100C9}"/>
            </c:ext>
          </c:extLst>
        </c:ser>
        <c:dLbls>
          <c:showLegendKey val="0"/>
          <c:showVal val="0"/>
          <c:showCatName val="0"/>
          <c:showSerName val="0"/>
          <c:showPercent val="0"/>
          <c:showBubbleSize val="0"/>
        </c:dLbls>
        <c:marker val="1"/>
        <c:smooth val="0"/>
        <c:axId val="146478208"/>
        <c:axId val="139177344"/>
      </c:lineChart>
      <c:catAx>
        <c:axId val="139174272"/>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39175808"/>
        <c:crossesAt val="0"/>
        <c:auto val="0"/>
        <c:lblAlgn val="ctr"/>
        <c:lblOffset val="0"/>
        <c:tickLblSkip val="1"/>
        <c:tickMarkSkip val="4"/>
        <c:noMultiLvlLbl val="0"/>
      </c:catAx>
      <c:valAx>
        <c:axId val="139175808"/>
        <c:scaling>
          <c:orientation val="minMax"/>
          <c:max val="50"/>
          <c:min val="-50"/>
        </c:scaling>
        <c:delete val="0"/>
        <c:axPos val="l"/>
        <c:majorGridlines>
          <c:spPr>
            <a:ln w="6350">
              <a:solidFill>
                <a:schemeClr val="bg1">
                  <a:lumMod val="75000"/>
                </a:schemeClr>
              </a:solidFill>
            </a:ln>
          </c:spPr>
        </c:majorGridlines>
        <c:title>
          <c:tx>
            <c:rich>
              <a:bodyPr/>
              <a:lstStyle/>
              <a:p>
                <a:pPr>
                  <a:defRPr sz="700" i="1"/>
                </a:pPr>
                <a:r>
                  <a:rPr lang="cs-CZ" sz="700" i="1"/>
                  <a:t>Zakázky</a:t>
                </a:r>
              </a:p>
            </c:rich>
          </c:tx>
          <c:layout/>
          <c:overlay val="0"/>
        </c:title>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39174272"/>
        <c:crosses val="autoZero"/>
        <c:crossBetween val="between"/>
        <c:majorUnit val="10"/>
      </c:valAx>
      <c:valAx>
        <c:axId val="139177344"/>
        <c:scaling>
          <c:orientation val="minMax"/>
          <c:max val="100"/>
          <c:min val="0"/>
        </c:scaling>
        <c:delete val="0"/>
        <c:axPos val="r"/>
        <c:title>
          <c:tx>
            <c:rich>
              <a:bodyPr/>
              <a:lstStyle/>
              <a:p>
                <a:pPr>
                  <a:defRPr sz="700" b="0" i="1"/>
                </a:pPr>
                <a:r>
                  <a:rPr lang="cs-CZ" sz="700" b="0" i="1"/>
                  <a:t>Využití výrobních kapacit, bariéry</a:t>
                </a:r>
                <a:r>
                  <a:rPr lang="cs-CZ" sz="700" b="0" i="1" baseline="0"/>
                  <a:t> růstu</a:t>
                </a:r>
                <a:endParaRPr lang="cs-CZ" sz="700" b="0" i="1"/>
              </a:p>
            </c:rich>
          </c:tx>
          <c:layout>
            <c:manualLayout>
              <c:xMode val="edge"/>
              <c:yMode val="edge"/>
              <c:x val="0.97051506350706762"/>
              <c:y val="0.16321710007880222"/>
            </c:manualLayout>
          </c:layout>
          <c:overlay val="0"/>
        </c:title>
        <c:numFmt formatCode="0" sourceLinked="0"/>
        <c:majorTickMark val="out"/>
        <c:minorTickMark val="none"/>
        <c:tickLblPos val="nextTo"/>
        <c:crossAx val="146478208"/>
        <c:crosses val="max"/>
        <c:crossBetween val="between"/>
      </c:valAx>
      <c:catAx>
        <c:axId val="146478208"/>
        <c:scaling>
          <c:orientation val="minMax"/>
        </c:scaling>
        <c:delete val="1"/>
        <c:axPos val="b"/>
        <c:numFmt formatCode="General" sourceLinked="1"/>
        <c:majorTickMark val="out"/>
        <c:minorTickMark val="none"/>
        <c:tickLblPos val="none"/>
        <c:crossAx val="139177344"/>
        <c:crosses val="autoZero"/>
        <c:auto val="1"/>
        <c:lblAlgn val="ctr"/>
        <c:lblOffset val="100"/>
        <c:noMultiLvlLbl val="0"/>
      </c:catAx>
      <c:spPr>
        <a:solidFill>
          <a:srgbClr val="FFFFFF"/>
        </a:solidFill>
        <a:ln w="9525">
          <a:solidFill>
            <a:schemeClr val="tx1"/>
          </a:solidFill>
        </a:ln>
      </c:spPr>
    </c:plotArea>
    <c:legend>
      <c:legendPos val="r"/>
      <c:layout>
        <c:manualLayout>
          <c:xMode val="edge"/>
          <c:yMode val="edge"/>
          <c:x val="5.4286656151664786E-3"/>
          <c:y val="0.86843605763818532"/>
          <c:w val="0.98923469429561495"/>
          <c:h val="0.12452043228638973"/>
        </c:manualLayout>
      </c:layout>
      <c:overlay val="0"/>
      <c:spPr>
        <a:ln>
          <a:solidFill>
            <a:schemeClr val="bg1">
              <a:lumMod val="50000"/>
            </a:schemeClr>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528634797960717E-2"/>
          <c:y val="1.6563187842952781E-2"/>
          <c:w val="0.85309486997222062"/>
          <c:h val="0.75433571654769893"/>
        </c:manualLayout>
      </c:layout>
      <c:barChart>
        <c:barDir val="col"/>
        <c:grouping val="stacked"/>
        <c:varyColors val="0"/>
        <c:ser>
          <c:idx val="1"/>
          <c:order val="1"/>
          <c:tx>
            <c:strRef>
              <c:f>'výkonnost odvětví 3'!$Y$10</c:f>
              <c:strCache>
                <c:ptCount val="1"/>
                <c:pt idx="0">
                  <c:v>Pozemní stavitelství (příspěvek v p. b.)</c:v>
                </c:pt>
              </c:strCache>
            </c:strRef>
          </c:tx>
          <c:spPr>
            <a:solidFill>
              <a:srgbClr val="A6CDE9"/>
            </a:solidFill>
            <a:ln w="19050">
              <a:noFill/>
              <a:prstDash val="solid"/>
            </a:ln>
          </c:spPr>
          <c:invertIfNegative val="0"/>
          <c:cat>
            <c:multiLvlStrRef>
              <c:f>'výkonnost odvětví 3'!$V$31:$W$56</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'výkonnost odvětví 3'!$Y$31:$Y$56</c:f>
              <c:numCache>
                <c:formatCode>0.0</c:formatCode>
                <c:ptCount val="26"/>
                <c:pt idx="0">
                  <c:v>6.0472691415550308</c:v>
                </c:pt>
                <c:pt idx="1">
                  <c:v>5.0361785279850331</c:v>
                </c:pt>
                <c:pt idx="2">
                  <c:v>0.79284647800469443</c:v>
                </c:pt>
                <c:pt idx="3">
                  <c:v>-1.7469503076723902</c:v>
                </c:pt>
                <c:pt idx="4">
                  <c:v>-4.9966395973466113</c:v>
                </c:pt>
                <c:pt idx="5">
                  <c:v>-4.9257017459251742</c:v>
                </c:pt>
                <c:pt idx="6">
                  <c:v>0.77276571096827207</c:v>
                </c:pt>
                <c:pt idx="7">
                  <c:v>3.9335414535585005</c:v>
                </c:pt>
                <c:pt idx="8">
                  <c:v>2.3671560586056022</c:v>
                </c:pt>
                <c:pt idx="9">
                  <c:v>9.8680621909171364</c:v>
                </c:pt>
                <c:pt idx="10">
                  <c:v>3.4017933101817137</c:v>
                </c:pt>
                <c:pt idx="11">
                  <c:v>2.6470410387980881</c:v>
                </c:pt>
                <c:pt idx="12">
                  <c:v>13.566805669626437</c:v>
                </c:pt>
                <c:pt idx="13">
                  <c:v>6.3014309761028438</c:v>
                </c:pt>
                <c:pt idx="14">
                  <c:v>7.6955191405999477</c:v>
                </c:pt>
                <c:pt idx="15">
                  <c:v>2.4925933032829257</c:v>
                </c:pt>
                <c:pt idx="16">
                  <c:v>2.8991265346082757</c:v>
                </c:pt>
                <c:pt idx="17">
                  <c:v>2.4161064271216639</c:v>
                </c:pt>
                <c:pt idx="18">
                  <c:v>-0.67044140108437589</c:v>
                </c:pt>
                <c:pt idx="19">
                  <c:v>2.416093622463102</c:v>
                </c:pt>
                <c:pt idx="20">
                  <c:v>-0.33918173121542228</c:v>
                </c:pt>
                <c:pt idx="21">
                  <c:v>-7.4193975140058424</c:v>
                </c:pt>
                <c:pt idx="22">
                  <c:v>-7.1727603765696051</c:v>
                </c:pt>
                <c:pt idx="23">
                  <c:v>-8.6187108971115816</c:v>
                </c:pt>
                <c:pt idx="24">
                  <c:v>-5.4842868872233632</c:v>
                </c:pt>
              </c:numCache>
            </c:numRef>
          </c:val>
          <c:extLst>
            <c:ext xmlns:c16="http://schemas.microsoft.com/office/drawing/2014/chart" uri="{C3380CC4-5D6E-409C-BE32-E72D297353CC}">
              <c16:uniqueId val="{00000000-0D13-49B6-B03B-DC5F47B816E7}"/>
            </c:ext>
          </c:extLst>
        </c:ser>
        <c:ser>
          <c:idx val="2"/>
          <c:order val="2"/>
          <c:tx>
            <c:strRef>
              <c:f>'výkonnost odvětví 3'!$Z$10</c:f>
              <c:strCache>
                <c:ptCount val="1"/>
                <c:pt idx="0">
                  <c:v>Inženýrské stavitelství  (příspěvek v p. b.)</c:v>
                </c:pt>
              </c:strCache>
            </c:strRef>
          </c:tx>
          <c:spPr>
            <a:solidFill>
              <a:srgbClr val="E8AFB2"/>
            </a:solidFill>
            <a:ln w="19050">
              <a:noFill/>
              <a:prstDash val="solid"/>
            </a:ln>
          </c:spPr>
          <c:invertIfNegative val="0"/>
          <c:cat>
            <c:multiLvlStrRef>
              <c:f>'výkonnost odvětví 3'!$V$31:$W$56</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'výkonnost odvětví 3'!$Z$31:$Z$56</c:f>
              <c:numCache>
                <c:formatCode>0.0</c:formatCode>
                <c:ptCount val="26"/>
                <c:pt idx="0">
                  <c:v>3.2371734793492286</c:v>
                </c:pt>
                <c:pt idx="1">
                  <c:v>7.2133653363142445</c:v>
                </c:pt>
                <c:pt idx="2">
                  <c:v>7.3965728347939308</c:v>
                </c:pt>
                <c:pt idx="3">
                  <c:v>2.855138673774563</c:v>
                </c:pt>
                <c:pt idx="4">
                  <c:v>-1.2748612346910093</c:v>
                </c:pt>
                <c:pt idx="5">
                  <c:v>-5.414778412052824</c:v>
                </c:pt>
                <c:pt idx="6">
                  <c:v>-7.0615948905346464</c:v>
                </c:pt>
                <c:pt idx="7">
                  <c:v>-5.9113799674669414</c:v>
                </c:pt>
                <c:pt idx="8">
                  <c:v>-3.3927259981365467</c:v>
                </c:pt>
                <c:pt idx="9">
                  <c:v>-1.198952761717637</c:v>
                </c:pt>
                <c:pt idx="10">
                  <c:v>-1.5292517461591122</c:v>
                </c:pt>
                <c:pt idx="11">
                  <c:v>0.24904908942130594</c:v>
                </c:pt>
                <c:pt idx="12">
                  <c:v>1.7517060590922457</c:v>
                </c:pt>
                <c:pt idx="13">
                  <c:v>1.2046321635544115</c:v>
                </c:pt>
                <c:pt idx="14">
                  <c:v>4.7152862062363932</c:v>
                </c:pt>
                <c:pt idx="15">
                  <c:v>1.8992954479389978</c:v>
                </c:pt>
                <c:pt idx="16">
                  <c:v>0.73586870212531541</c:v>
                </c:pt>
                <c:pt idx="17">
                  <c:v>1.8713674836205678</c:v>
                </c:pt>
                <c:pt idx="18">
                  <c:v>0.75615189920903703</c:v>
                </c:pt>
                <c:pt idx="19">
                  <c:v>0.84449513778573204</c:v>
                </c:pt>
                <c:pt idx="20">
                  <c:v>3.2042596941285559</c:v>
                </c:pt>
                <c:pt idx="21">
                  <c:v>1.2156790684783816</c:v>
                </c:pt>
                <c:pt idx="22">
                  <c:v>-1.8725018139646268</c:v>
                </c:pt>
                <c:pt idx="23">
                  <c:v>0.34408386896870419</c:v>
                </c:pt>
                <c:pt idx="24">
                  <c:v>-1.6340021483392655E-2</c:v>
                </c:pt>
              </c:numCache>
            </c:numRef>
          </c:val>
          <c:extLst>
            <c:ext xmlns:c16="http://schemas.microsoft.com/office/drawing/2014/chart" uri="{C3380CC4-5D6E-409C-BE32-E72D297353CC}">
              <c16:uniqueId val="{00000001-0D13-49B6-B03B-DC5F47B816E7}"/>
            </c:ext>
          </c:extLst>
        </c:ser>
        <c:dLbls>
          <c:showLegendKey val="0"/>
          <c:showVal val="0"/>
          <c:showCatName val="0"/>
          <c:showSerName val="0"/>
          <c:showPercent val="0"/>
          <c:showBubbleSize val="0"/>
        </c:dLbls>
        <c:gapWidth val="24"/>
        <c:overlap val="100"/>
        <c:axId val="147432960"/>
        <c:axId val="147434496"/>
      </c:barChart>
      <c:lineChart>
        <c:grouping val="standard"/>
        <c:varyColors val="0"/>
        <c:ser>
          <c:idx val="0"/>
          <c:order val="0"/>
          <c:tx>
            <c:strRef>
              <c:f>'výkonnost odvětví 3'!$X$10</c:f>
              <c:strCache>
                <c:ptCount val="1"/>
                <c:pt idx="0">
                  <c:v>Celková stavební produkce</c:v>
                </c:pt>
              </c:strCache>
            </c:strRef>
          </c:tx>
          <c:spPr>
            <a:ln>
              <a:noFill/>
            </a:ln>
          </c:spPr>
          <c:marker>
            <c:symbol val="dash"/>
            <c:size val="9"/>
            <c:spPr>
              <a:solidFill>
                <a:schemeClr val="tx1">
                  <a:lumMod val="95000"/>
                  <a:lumOff val="5000"/>
                </a:schemeClr>
              </a:solidFill>
              <a:ln>
                <a:noFill/>
              </a:ln>
            </c:spPr>
          </c:marker>
          <c:cat>
            <c:multiLvlStrRef>
              <c:f>'výkonnost odvětví 3'!$V$31:$W$56</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'výkonnost odvětví 3'!$X$31:$X$56</c:f>
              <c:numCache>
                <c:formatCode>0.0</c:formatCode>
                <c:ptCount val="26"/>
                <c:pt idx="0">
                  <c:v>9.2017765228224988</c:v>
                </c:pt>
                <c:pt idx="1">
                  <c:v>11.980043538808332</c:v>
                </c:pt>
                <c:pt idx="2">
                  <c:v>7.8286342656312939</c:v>
                </c:pt>
                <c:pt idx="3">
                  <c:v>0.94557774780092529</c:v>
                </c:pt>
                <c:pt idx="4">
                  <c:v>-6.2824122661548785</c:v>
                </c:pt>
                <c:pt idx="5">
                  <c:v>-10.194427090117628</c:v>
                </c:pt>
                <c:pt idx="6">
                  <c:v>-5.917849407755682</c:v>
                </c:pt>
                <c:pt idx="7">
                  <c:v>-1.6490685502181321</c:v>
                </c:pt>
                <c:pt idx="8">
                  <c:v>-0.79880269419055594</c:v>
                </c:pt>
                <c:pt idx="9">
                  <c:v>8.9534675343638526</c:v>
                </c:pt>
                <c:pt idx="10">
                  <c:v>2.0444749820850632</c:v>
                </c:pt>
                <c:pt idx="11">
                  <c:v>2.9396785672127379</c:v>
                </c:pt>
                <c:pt idx="12">
                  <c:v>15.317302207920179</c:v>
                </c:pt>
                <c:pt idx="13">
                  <c:v>7.5063094273893398</c:v>
                </c:pt>
                <c:pt idx="14">
                  <c:v>12.406544540651936</c:v>
                </c:pt>
                <c:pt idx="15">
                  <c:v>4.3180623617480762</c:v>
                </c:pt>
                <c:pt idx="16">
                  <c:v>3.6346322356212539</c:v>
                </c:pt>
                <c:pt idx="17">
                  <c:v>4.2888988271298842</c:v>
                </c:pt>
                <c:pt idx="18">
                  <c:v>8.6862748706039383E-2</c:v>
                </c:pt>
                <c:pt idx="19">
                  <c:v>3.2606251776515762</c:v>
                </c:pt>
                <c:pt idx="20">
                  <c:v>2.8649648216544392</c:v>
                </c:pt>
                <c:pt idx="21">
                  <c:v>-6.2024596600145259</c:v>
                </c:pt>
                <c:pt idx="22">
                  <c:v>-9.0466947127630135</c:v>
                </c:pt>
                <c:pt idx="23">
                  <c:v>-8.2756255759856003</c:v>
                </c:pt>
                <c:pt idx="24">
                  <c:v>-5.5002420655324329</c:v>
                </c:pt>
              </c:numCache>
            </c:numRef>
          </c:val>
          <c:smooth val="0"/>
          <c:extLst>
            <c:ext xmlns:c16="http://schemas.microsoft.com/office/drawing/2014/chart" uri="{C3380CC4-5D6E-409C-BE32-E72D297353CC}">
              <c16:uniqueId val="{00000002-0D13-49B6-B03B-DC5F47B816E7}"/>
            </c:ext>
          </c:extLst>
        </c:ser>
        <c:dLbls>
          <c:showLegendKey val="0"/>
          <c:showVal val="0"/>
          <c:showCatName val="0"/>
          <c:showSerName val="0"/>
          <c:showPercent val="0"/>
          <c:showBubbleSize val="0"/>
        </c:dLbls>
        <c:marker val="1"/>
        <c:smooth val="0"/>
        <c:axId val="147432960"/>
        <c:axId val="147434496"/>
      </c:lineChart>
      <c:lineChart>
        <c:grouping val="standard"/>
        <c:varyColors val="0"/>
        <c:ser>
          <c:idx val="3"/>
          <c:order val="3"/>
          <c:tx>
            <c:strRef>
              <c:f>'výkonnost odvětví 3'!$AA$10</c:f>
              <c:strCache>
                <c:ptCount val="1"/>
                <c:pt idx="0">
                  <c:v>Nové staveb. zakázky v tuzemsku (pr.osa)</c:v>
                </c:pt>
              </c:strCache>
            </c:strRef>
          </c:tx>
          <c:spPr>
            <a:ln w="15875">
              <a:solidFill>
                <a:srgbClr val="984807"/>
              </a:solidFill>
              <a:prstDash val="solid"/>
            </a:ln>
          </c:spPr>
          <c:marker>
            <c:symbol val="none"/>
          </c:marker>
          <c:cat>
            <c:multiLvlStrRef>
              <c:f>'výkonnost odvětví 3'!$V$31:$W$56</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'výkonnost odvětví 3'!$AA$31:$AA$56</c:f>
              <c:numCache>
                <c:formatCode>0.0</c:formatCode>
                <c:ptCount val="26"/>
                <c:pt idx="0">
                  <c:v>-3.1547956675580053</c:v>
                </c:pt>
                <c:pt idx="1">
                  <c:v>9.7504961091663205</c:v>
                </c:pt>
                <c:pt idx="2">
                  <c:v>-1.097606022761255</c:v>
                </c:pt>
                <c:pt idx="3">
                  <c:v>-2.3987783410040464</c:v>
                </c:pt>
                <c:pt idx="4">
                  <c:v>-6.6406358945753823</c:v>
                </c:pt>
                <c:pt idx="5">
                  <c:v>-0.49977652269311079</c:v>
                </c:pt>
                <c:pt idx="6">
                  <c:v>-7.0322087253454839</c:v>
                </c:pt>
                <c:pt idx="7">
                  <c:v>10.122126124559955</c:v>
                </c:pt>
                <c:pt idx="8">
                  <c:v>16.177217458847437</c:v>
                </c:pt>
                <c:pt idx="9">
                  <c:v>9.5350878984013008</c:v>
                </c:pt>
                <c:pt idx="10">
                  <c:v>-1.2817324431350698</c:v>
                </c:pt>
                <c:pt idx="11">
                  <c:v>15.620806693503823</c:v>
                </c:pt>
                <c:pt idx="12">
                  <c:v>30.10697387368856</c:v>
                </c:pt>
                <c:pt idx="13">
                  <c:v>32.836878110611963</c:v>
                </c:pt>
                <c:pt idx="14">
                  <c:v>5.2768249907951201</c:v>
                </c:pt>
                <c:pt idx="15">
                  <c:v>1.8944565811032277</c:v>
                </c:pt>
                <c:pt idx="16">
                  <c:v>14.157245632065781</c:v>
                </c:pt>
                <c:pt idx="17">
                  <c:v>-9.3849543241233135</c:v>
                </c:pt>
                <c:pt idx="18">
                  <c:v>17.407871000993993</c:v>
                </c:pt>
                <c:pt idx="19">
                  <c:v>5.8323004254463768</c:v>
                </c:pt>
                <c:pt idx="20">
                  <c:v>-12.441635069859245</c:v>
                </c:pt>
                <c:pt idx="21">
                  <c:v>7.497345722028669</c:v>
                </c:pt>
                <c:pt idx="22">
                  <c:v>2.0599736606932879</c:v>
                </c:pt>
                <c:pt idx="23">
                  <c:v>7.5507850088630164</c:v>
                </c:pt>
                <c:pt idx="24">
                  <c:v>28.188227371706034</c:v>
                </c:pt>
              </c:numCache>
            </c:numRef>
          </c:val>
          <c:smooth val="0"/>
          <c:extLst>
            <c:ext xmlns:c16="http://schemas.microsoft.com/office/drawing/2014/chart" uri="{C3380CC4-5D6E-409C-BE32-E72D297353CC}">
              <c16:uniqueId val="{00000003-0D13-49B6-B03B-DC5F47B816E7}"/>
            </c:ext>
          </c:extLst>
        </c:ser>
        <c:ser>
          <c:idx val="4"/>
          <c:order val="4"/>
          <c:tx>
            <c:strRef>
              <c:f>'výkonnost odvětví 3'!$AB$10</c:f>
              <c:strCache>
                <c:ptCount val="1"/>
                <c:pt idx="0">
                  <c:v>Bariéra růstu: nedost. poptávka (pr.osa)</c:v>
                </c:pt>
              </c:strCache>
            </c:strRef>
          </c:tx>
          <c:spPr>
            <a:ln w="15875">
              <a:solidFill>
                <a:srgbClr val="00B050"/>
              </a:solidFill>
            </a:ln>
          </c:spPr>
          <c:marker>
            <c:symbol val="none"/>
          </c:marker>
          <c:cat>
            <c:multiLvlStrRef>
              <c:f>'výkonnost odvětví 3'!$V$31:$W$56</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'výkonnost odvětví 3'!$AB$31:$AB$56</c:f>
              <c:numCache>
                <c:formatCode>#\ ##0.0</c:formatCode>
                <c:ptCount val="26"/>
                <c:pt idx="0">
                  <c:v>65.8</c:v>
                </c:pt>
                <c:pt idx="1">
                  <c:v>60.4</c:v>
                </c:pt>
                <c:pt idx="2">
                  <c:v>58.9</c:v>
                </c:pt>
                <c:pt idx="3">
                  <c:v>57.6</c:v>
                </c:pt>
                <c:pt idx="4">
                  <c:v>54.5</c:v>
                </c:pt>
                <c:pt idx="5">
                  <c:v>61.1</c:v>
                </c:pt>
                <c:pt idx="6">
                  <c:v>60.4</c:v>
                </c:pt>
                <c:pt idx="7">
                  <c:v>57</c:v>
                </c:pt>
                <c:pt idx="8">
                  <c:v>53.9</c:v>
                </c:pt>
                <c:pt idx="9">
                  <c:v>54.3</c:v>
                </c:pt>
                <c:pt idx="10">
                  <c:v>50</c:v>
                </c:pt>
                <c:pt idx="11">
                  <c:v>48.3</c:v>
                </c:pt>
                <c:pt idx="12">
                  <c:v>40.299999999999997</c:v>
                </c:pt>
                <c:pt idx="13">
                  <c:v>38.200000000000003</c:v>
                </c:pt>
                <c:pt idx="14">
                  <c:v>33.4</c:v>
                </c:pt>
                <c:pt idx="15">
                  <c:v>24.1</c:v>
                </c:pt>
                <c:pt idx="16">
                  <c:v>25.4</c:v>
                </c:pt>
                <c:pt idx="17">
                  <c:v>23.3</c:v>
                </c:pt>
                <c:pt idx="18">
                  <c:v>17.899999999999999</c:v>
                </c:pt>
                <c:pt idx="19">
                  <c:v>20.9</c:v>
                </c:pt>
                <c:pt idx="20">
                  <c:v>30.3</c:v>
                </c:pt>
                <c:pt idx="21">
                  <c:v>29.3</c:v>
                </c:pt>
                <c:pt idx="22">
                  <c:v>38.799999999999997</c:v>
                </c:pt>
                <c:pt idx="23" formatCode="General">
                  <c:v>41.2</c:v>
                </c:pt>
                <c:pt idx="24">
                  <c:v>31.3</c:v>
                </c:pt>
                <c:pt idx="25">
                  <c:v>34.200000000000003</c:v>
                </c:pt>
              </c:numCache>
            </c:numRef>
          </c:val>
          <c:smooth val="0"/>
          <c:extLst>
            <c:ext xmlns:c16="http://schemas.microsoft.com/office/drawing/2014/chart" uri="{C3380CC4-5D6E-409C-BE32-E72D297353CC}">
              <c16:uniqueId val="{00000004-0D13-49B6-B03B-DC5F47B816E7}"/>
            </c:ext>
          </c:extLst>
        </c:ser>
        <c:ser>
          <c:idx val="5"/>
          <c:order val="5"/>
          <c:tx>
            <c:strRef>
              <c:f>'výkonnost odvětví 3'!$AC$10</c:f>
              <c:strCache>
                <c:ptCount val="1"/>
                <c:pt idx="0">
                  <c:v>Bariéra růstu: nedost. pracovníků (pr. osa)</c:v>
                </c:pt>
              </c:strCache>
            </c:strRef>
          </c:tx>
          <c:spPr>
            <a:ln w="15875">
              <a:solidFill>
                <a:srgbClr val="00B050"/>
              </a:solidFill>
              <a:prstDash val="sysDash"/>
            </a:ln>
          </c:spPr>
          <c:marker>
            <c:symbol val="none"/>
          </c:marker>
          <c:cat>
            <c:multiLvlStrRef>
              <c:f>'výkonnost odvětví 3'!$V$31:$W$56</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'výkonnost odvětví 3'!$AC$31:$AC$56</c:f>
              <c:numCache>
                <c:formatCode>#\ ##0.0</c:formatCode>
                <c:ptCount val="26"/>
                <c:pt idx="0">
                  <c:v>6.8</c:v>
                </c:pt>
                <c:pt idx="1">
                  <c:v>7.9</c:v>
                </c:pt>
                <c:pt idx="2">
                  <c:v>7.2</c:v>
                </c:pt>
                <c:pt idx="3">
                  <c:v>7</c:v>
                </c:pt>
                <c:pt idx="4">
                  <c:v>5.8</c:v>
                </c:pt>
                <c:pt idx="5">
                  <c:v>6.7</c:v>
                </c:pt>
                <c:pt idx="6">
                  <c:v>7.8</c:v>
                </c:pt>
                <c:pt idx="7">
                  <c:v>10.7</c:v>
                </c:pt>
                <c:pt idx="8">
                  <c:v>11.5</c:v>
                </c:pt>
                <c:pt idx="9">
                  <c:v>14</c:v>
                </c:pt>
                <c:pt idx="10">
                  <c:v>22.7</c:v>
                </c:pt>
                <c:pt idx="11">
                  <c:v>23.1</c:v>
                </c:pt>
                <c:pt idx="12">
                  <c:v>23.5</c:v>
                </c:pt>
                <c:pt idx="13">
                  <c:v>29.3</c:v>
                </c:pt>
                <c:pt idx="14">
                  <c:v>30.4</c:v>
                </c:pt>
                <c:pt idx="15">
                  <c:v>40.799999999999997</c:v>
                </c:pt>
                <c:pt idx="16">
                  <c:v>34.299999999999997</c:v>
                </c:pt>
                <c:pt idx="17">
                  <c:v>43</c:v>
                </c:pt>
                <c:pt idx="18">
                  <c:v>55</c:v>
                </c:pt>
                <c:pt idx="19">
                  <c:v>49.7</c:v>
                </c:pt>
                <c:pt idx="20">
                  <c:v>50</c:v>
                </c:pt>
                <c:pt idx="21">
                  <c:v>46.3</c:v>
                </c:pt>
                <c:pt idx="22">
                  <c:v>38.200000000000003</c:v>
                </c:pt>
                <c:pt idx="23" formatCode="0.0">
                  <c:v>34</c:v>
                </c:pt>
                <c:pt idx="24">
                  <c:v>43.6</c:v>
                </c:pt>
                <c:pt idx="25">
                  <c:v>32</c:v>
                </c:pt>
              </c:numCache>
            </c:numRef>
          </c:val>
          <c:smooth val="0"/>
          <c:extLst>
            <c:ext xmlns:c16="http://schemas.microsoft.com/office/drawing/2014/chart" uri="{C3380CC4-5D6E-409C-BE32-E72D297353CC}">
              <c16:uniqueId val="{00000005-0D13-49B6-B03B-DC5F47B816E7}"/>
            </c:ext>
          </c:extLst>
        </c:ser>
        <c:ser>
          <c:idx val="6"/>
          <c:order val="6"/>
          <c:tx>
            <c:strRef>
              <c:f>'výkonnost odvětví 3'!$AD$10</c:f>
              <c:strCache>
                <c:ptCount val="1"/>
                <c:pt idx="0">
                  <c:v>Saldo indik.důvěry ve stavebnictví (pr.osa)</c:v>
                </c:pt>
              </c:strCache>
            </c:strRef>
          </c:tx>
          <c:spPr>
            <a:ln w="15875">
              <a:solidFill>
                <a:schemeClr val="tx1">
                  <a:lumMod val="50000"/>
                  <a:lumOff val="50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3'!$V$31:$W$56</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'výkonnost odvětví 3'!$AD$31:$AD$56</c:f>
              <c:numCache>
                <c:formatCode>0.0</c:formatCode>
                <c:ptCount val="26"/>
                <c:pt idx="0">
                  <c:v>-21</c:v>
                </c:pt>
                <c:pt idx="1">
                  <c:v>-16</c:v>
                </c:pt>
                <c:pt idx="2">
                  <c:v>-20</c:v>
                </c:pt>
                <c:pt idx="3">
                  <c:v>-14.5</c:v>
                </c:pt>
                <c:pt idx="4">
                  <c:v>-14.5</c:v>
                </c:pt>
                <c:pt idx="5">
                  <c:v>-25.5</c:v>
                </c:pt>
                <c:pt idx="6">
                  <c:v>-24.5</c:v>
                </c:pt>
                <c:pt idx="7">
                  <c:v>-23</c:v>
                </c:pt>
                <c:pt idx="8">
                  <c:v>-22.5</c:v>
                </c:pt>
                <c:pt idx="9">
                  <c:v>-24.5</c:v>
                </c:pt>
                <c:pt idx="10">
                  <c:v>-18.5</c:v>
                </c:pt>
                <c:pt idx="11">
                  <c:v>-15</c:v>
                </c:pt>
                <c:pt idx="12">
                  <c:v>-9</c:v>
                </c:pt>
                <c:pt idx="13">
                  <c:v>-6</c:v>
                </c:pt>
                <c:pt idx="14">
                  <c:v>-2</c:v>
                </c:pt>
                <c:pt idx="15">
                  <c:v>1</c:v>
                </c:pt>
                <c:pt idx="16">
                  <c:v>3.5</c:v>
                </c:pt>
                <c:pt idx="17">
                  <c:v>4</c:v>
                </c:pt>
                <c:pt idx="18">
                  <c:v>-1</c:v>
                </c:pt>
                <c:pt idx="19">
                  <c:v>1</c:v>
                </c:pt>
                <c:pt idx="20">
                  <c:v>-3</c:v>
                </c:pt>
                <c:pt idx="21">
                  <c:v>-15</c:v>
                </c:pt>
                <c:pt idx="22">
                  <c:v>-13</c:v>
                </c:pt>
                <c:pt idx="23">
                  <c:v>-11.5</c:v>
                </c:pt>
                <c:pt idx="24">
                  <c:v>-6</c:v>
                </c:pt>
                <c:pt idx="25">
                  <c:v>-5.5</c:v>
                </c:pt>
              </c:numCache>
            </c:numRef>
          </c:val>
          <c:smooth val="0"/>
          <c:extLst>
            <c:ext xmlns:c16="http://schemas.microsoft.com/office/drawing/2014/chart" uri="{C3380CC4-5D6E-409C-BE32-E72D297353CC}">
              <c16:uniqueId val="{00000006-0D13-49B6-B03B-DC5F47B816E7}"/>
            </c:ext>
          </c:extLst>
        </c:ser>
        <c:dLbls>
          <c:showLegendKey val="0"/>
          <c:showVal val="0"/>
          <c:showCatName val="0"/>
          <c:showSerName val="0"/>
          <c:showPercent val="0"/>
          <c:showBubbleSize val="0"/>
        </c:dLbls>
        <c:marker val="1"/>
        <c:smooth val="0"/>
        <c:axId val="147650816"/>
        <c:axId val="147649280"/>
      </c:lineChart>
      <c:catAx>
        <c:axId val="147432960"/>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47434496"/>
        <c:crossesAt val="0"/>
        <c:auto val="0"/>
        <c:lblAlgn val="ctr"/>
        <c:lblOffset val="0"/>
        <c:tickLblSkip val="1"/>
        <c:tickMarkSkip val="4"/>
        <c:noMultiLvlLbl val="0"/>
      </c:catAx>
      <c:valAx>
        <c:axId val="147434496"/>
        <c:scaling>
          <c:orientation val="minMax"/>
          <c:max val="30"/>
          <c:min val="-20"/>
        </c:scaling>
        <c:delete val="0"/>
        <c:axPos val="l"/>
        <c:majorGridlines>
          <c:spPr>
            <a:ln w="6350">
              <a:solidFill>
                <a:schemeClr val="bg1">
                  <a:lumMod val="75000"/>
                </a:schemeClr>
              </a:solidFill>
            </a:ln>
          </c:spPr>
        </c:majorGridlines>
        <c:title>
          <c:tx>
            <c:rich>
              <a:bodyPr/>
              <a:lstStyle/>
              <a:p>
                <a:pPr>
                  <a:defRPr sz="700" i="1"/>
                </a:pPr>
                <a:r>
                  <a:rPr lang="cs-CZ"/>
                  <a:t>Příspěvky</a:t>
                </a:r>
                <a:r>
                  <a:rPr lang="cs-CZ" baseline="0"/>
                  <a:t> ke změně stavební produkce</a:t>
                </a:r>
                <a:endParaRPr lang="cs-CZ"/>
              </a:p>
            </c:rich>
          </c:tx>
          <c:layout>
            <c:manualLayout>
              <c:xMode val="edge"/>
              <c:yMode val="edge"/>
              <c:x val="2.6741790744013471E-3"/>
              <c:y val="0.18222167882907486"/>
            </c:manualLayout>
          </c:layout>
          <c:overlay val="0"/>
        </c:title>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47432960"/>
        <c:crosses val="autoZero"/>
        <c:crossBetween val="between"/>
        <c:majorUnit val="5"/>
      </c:valAx>
      <c:valAx>
        <c:axId val="147649280"/>
        <c:scaling>
          <c:orientation val="minMax"/>
          <c:max val="90"/>
          <c:min val="-60"/>
        </c:scaling>
        <c:delete val="0"/>
        <c:axPos val="r"/>
        <c:title>
          <c:tx>
            <c:rich>
              <a:bodyPr/>
              <a:lstStyle/>
              <a:p>
                <a:pPr>
                  <a:defRPr sz="700" i="1"/>
                </a:pPr>
                <a:r>
                  <a:rPr lang="cs-CZ" sz="700" b="0" i="1" u="none" strike="noStrike" baseline="0">
                    <a:effectLst/>
                  </a:rPr>
                  <a:t>Zakázky, s</a:t>
                </a:r>
                <a:r>
                  <a:rPr lang="cs-CZ"/>
                  <a:t>aldo indikátoru důvěry, bariéry růstu</a:t>
                </a:r>
              </a:p>
            </c:rich>
          </c:tx>
          <c:layout/>
          <c:overlay val="0"/>
        </c:title>
        <c:numFmt formatCode="0" sourceLinked="0"/>
        <c:majorTickMark val="out"/>
        <c:minorTickMark val="none"/>
        <c:tickLblPos val="nextTo"/>
        <c:crossAx val="147650816"/>
        <c:crosses val="max"/>
        <c:crossBetween val="between"/>
        <c:majorUnit val="15"/>
      </c:valAx>
      <c:catAx>
        <c:axId val="147650816"/>
        <c:scaling>
          <c:orientation val="minMax"/>
        </c:scaling>
        <c:delete val="1"/>
        <c:axPos val="b"/>
        <c:numFmt formatCode="General" sourceLinked="1"/>
        <c:majorTickMark val="out"/>
        <c:minorTickMark val="none"/>
        <c:tickLblPos val="none"/>
        <c:crossAx val="147649280"/>
        <c:crosses val="autoZero"/>
        <c:auto val="0"/>
        <c:lblAlgn val="ctr"/>
        <c:lblOffset val="100"/>
        <c:noMultiLvlLbl val="0"/>
      </c:catAx>
      <c:spPr>
        <a:solidFill>
          <a:srgbClr val="FFFFFF"/>
        </a:solidFill>
        <a:ln w="9525">
          <a:solidFill>
            <a:schemeClr val="tx1"/>
          </a:solidFill>
        </a:ln>
      </c:spPr>
    </c:plotArea>
    <c:legend>
      <c:legendPos val="b"/>
      <c:layout>
        <c:manualLayout>
          <c:xMode val="edge"/>
          <c:yMode val="edge"/>
          <c:x val="1.0707509324541281E-2"/>
          <c:y val="0.85664470868256781"/>
          <c:w val="0.97857802116403014"/>
          <c:h val="0.13635475415022985"/>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758689318202996E-2"/>
          <c:y val="1.5803328678987455E-2"/>
          <c:w val="0.85583630925272758"/>
          <c:h val="0.7103501120970378"/>
        </c:manualLayout>
      </c:layout>
      <c:barChart>
        <c:barDir val="col"/>
        <c:grouping val="stacked"/>
        <c:varyColors val="0"/>
        <c:ser>
          <c:idx val="0"/>
          <c:order val="1"/>
          <c:tx>
            <c:strRef>
              <c:f>'Služby-příspěvkyk růstu'!$D$25</c:f>
              <c:strCache>
                <c:ptCount val="1"/>
                <c:pt idx="0">
                  <c:v>Doprava a skladování</c:v>
                </c:pt>
              </c:strCache>
            </c:strRef>
          </c:tx>
          <c:spPr>
            <a:solidFill>
              <a:srgbClr val="92D050"/>
            </a:solidFill>
            <a:ln>
              <a:noFill/>
            </a:ln>
          </c:spPr>
          <c:invertIfNegative val="0"/>
          <c:cat>
            <c:multiLvlStrRef>
              <c:f>'Služby-příspěvkyk růstu'!$A$38:$B$63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'Služby-příspěvkyk růstu'!$D$38:$D$63</c:f>
              <c:numCache>
                <c:formatCode>0.0</c:formatCode>
                <c:ptCount val="26"/>
                <c:pt idx="0">
                  <c:v>0.17784702557599033</c:v>
                </c:pt>
                <c:pt idx="1">
                  <c:v>-4.1153954550536498E-2</c:v>
                </c:pt>
                <c:pt idx="2">
                  <c:v>0.19675507185404387</c:v>
                </c:pt>
                <c:pt idx="3">
                  <c:v>4.4524490268410655E-2</c:v>
                </c:pt>
                <c:pt idx="4">
                  <c:v>0.13946448096623712</c:v>
                </c:pt>
                <c:pt idx="5">
                  <c:v>0.20828573579317947</c:v>
                </c:pt>
                <c:pt idx="6">
                  <c:v>0.13789200530936441</c:v>
                </c:pt>
                <c:pt idx="7">
                  <c:v>0.86068515110873312</c:v>
                </c:pt>
                <c:pt idx="8">
                  <c:v>1.7974934723664766</c:v>
                </c:pt>
                <c:pt idx="9">
                  <c:v>1.0846625349009715</c:v>
                </c:pt>
                <c:pt idx="10">
                  <c:v>1.1351852375742451</c:v>
                </c:pt>
                <c:pt idx="11">
                  <c:v>0.60468210639017606</c:v>
                </c:pt>
                <c:pt idx="12">
                  <c:v>1.7465012928992198</c:v>
                </c:pt>
                <c:pt idx="13">
                  <c:v>1.9213841091805361</c:v>
                </c:pt>
                <c:pt idx="14">
                  <c:v>1.4689302905524204</c:v>
                </c:pt>
                <c:pt idx="15">
                  <c:v>0.50117729578518855</c:v>
                </c:pt>
                <c:pt idx="16">
                  <c:v>0.75263240054785618</c:v>
                </c:pt>
                <c:pt idx="17">
                  <c:v>-8.121137806355179E-2</c:v>
                </c:pt>
                <c:pt idx="18">
                  <c:v>-0.66994926294940094</c:v>
                </c:pt>
                <c:pt idx="19">
                  <c:v>-0.54040905308684861</c:v>
                </c:pt>
                <c:pt idx="20">
                  <c:v>-1.8646946552605359</c:v>
                </c:pt>
                <c:pt idx="21">
                  <c:v>-6.8769875395707061</c:v>
                </c:pt>
                <c:pt idx="22">
                  <c:v>-4.2186862803005329</c:v>
                </c:pt>
                <c:pt idx="23">
                  <c:v>-1.7603068852892723</c:v>
                </c:pt>
                <c:pt idx="24">
                  <c:v>-0.17149666859199073</c:v>
                </c:pt>
              </c:numCache>
            </c:numRef>
          </c:val>
          <c:extLst>
            <c:ext xmlns:c16="http://schemas.microsoft.com/office/drawing/2014/chart" uri="{C3380CC4-5D6E-409C-BE32-E72D297353CC}">
              <c16:uniqueId val="{00000000-C727-46E6-AD55-8DA1C5FB0121}"/>
            </c:ext>
          </c:extLst>
        </c:ser>
        <c:ser>
          <c:idx val="1"/>
          <c:order val="2"/>
          <c:tx>
            <c:strRef>
              <c:f>'Služby-příspěvkyk růstu'!$E$25</c:f>
              <c:strCache>
                <c:ptCount val="1"/>
                <c:pt idx="0">
                  <c:v>Ubytování, stravování a pohostinství</c:v>
                </c:pt>
              </c:strCache>
            </c:strRef>
          </c:tx>
          <c:spPr>
            <a:solidFill>
              <a:srgbClr val="00B0F0"/>
            </a:solidFill>
            <a:ln>
              <a:noFill/>
            </a:ln>
          </c:spPr>
          <c:invertIfNegative val="0"/>
          <c:cat>
            <c:multiLvlStrRef>
              <c:f>'Služby-příspěvkyk růstu'!$A$38:$B$63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'Služby-příspěvkyk růstu'!$E$38:$E$63</c:f>
              <c:numCache>
                <c:formatCode>0.0</c:formatCode>
                <c:ptCount val="26"/>
                <c:pt idx="0">
                  <c:v>0.23068727874505793</c:v>
                </c:pt>
                <c:pt idx="1">
                  <c:v>0.65500430584103086</c:v>
                </c:pt>
                <c:pt idx="2">
                  <c:v>0.65445127748121035</c:v>
                </c:pt>
                <c:pt idx="3">
                  <c:v>0.40295089080303936</c:v>
                </c:pt>
                <c:pt idx="4">
                  <c:v>0.46667218520329662</c:v>
                </c:pt>
                <c:pt idx="5">
                  <c:v>0.17104444695300572</c:v>
                </c:pt>
                <c:pt idx="6">
                  <c:v>0.56704693143903195</c:v>
                </c:pt>
                <c:pt idx="7">
                  <c:v>0.60083208257587717</c:v>
                </c:pt>
                <c:pt idx="8">
                  <c:v>0.91455838493249142</c:v>
                </c:pt>
                <c:pt idx="9">
                  <c:v>1.231607253071263</c:v>
                </c:pt>
                <c:pt idx="10">
                  <c:v>0.5534510922648459</c:v>
                </c:pt>
                <c:pt idx="11">
                  <c:v>0.45394811178918809</c:v>
                </c:pt>
                <c:pt idx="12">
                  <c:v>0.20369258900958792</c:v>
                </c:pt>
                <c:pt idx="13">
                  <c:v>4.7235698176859818E-2</c:v>
                </c:pt>
                <c:pt idx="14">
                  <c:v>5.8750890591798624E-2</c:v>
                </c:pt>
                <c:pt idx="15">
                  <c:v>-3.8366347387654286E-2</c:v>
                </c:pt>
                <c:pt idx="16">
                  <c:v>0.19921781020350779</c:v>
                </c:pt>
                <c:pt idx="17">
                  <c:v>0.19028430952840486</c:v>
                </c:pt>
                <c:pt idx="18">
                  <c:v>-1.916690216819248E-2</c:v>
                </c:pt>
                <c:pt idx="19">
                  <c:v>-1.9416332102348634E-2</c:v>
                </c:pt>
                <c:pt idx="20">
                  <c:v>-1.1592357036246839</c:v>
                </c:pt>
                <c:pt idx="21">
                  <c:v>-4.9682177104098058</c:v>
                </c:pt>
                <c:pt idx="22">
                  <c:v>-1.9519574731345033</c:v>
                </c:pt>
                <c:pt idx="23">
                  <c:v>-4.5016526436732862</c:v>
                </c:pt>
                <c:pt idx="24">
                  <c:v>-3.7517164628330475</c:v>
                </c:pt>
              </c:numCache>
            </c:numRef>
          </c:val>
          <c:extLst>
            <c:ext xmlns:c16="http://schemas.microsoft.com/office/drawing/2014/chart" uri="{C3380CC4-5D6E-409C-BE32-E72D297353CC}">
              <c16:uniqueId val="{00000001-C727-46E6-AD55-8DA1C5FB0121}"/>
            </c:ext>
          </c:extLst>
        </c:ser>
        <c:ser>
          <c:idx val="2"/>
          <c:order val="3"/>
          <c:tx>
            <c:strRef>
              <c:f>'Služby-příspěvkyk růstu'!$F$25</c:f>
              <c:strCache>
                <c:ptCount val="1"/>
                <c:pt idx="0">
                  <c:v>Informační a komunikační činnosti</c:v>
                </c:pt>
              </c:strCache>
            </c:strRef>
          </c:tx>
          <c:spPr>
            <a:solidFill>
              <a:srgbClr val="E6E100"/>
            </a:solidFill>
            <a:ln>
              <a:noFill/>
            </a:ln>
          </c:spPr>
          <c:invertIfNegative val="0"/>
          <c:cat>
            <c:multiLvlStrRef>
              <c:f>'Služby-příspěvkyk růstu'!$A$38:$B$63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'Služby-příspěvkyk růstu'!$F$38:$F$63</c:f>
              <c:numCache>
                <c:formatCode>0.0</c:formatCode>
                <c:ptCount val="26"/>
                <c:pt idx="0">
                  <c:v>1.4078898109159903</c:v>
                </c:pt>
                <c:pt idx="1">
                  <c:v>0.82525906257812898</c:v>
                </c:pt>
                <c:pt idx="2">
                  <c:v>0.80495762868220244</c:v>
                </c:pt>
                <c:pt idx="3">
                  <c:v>1.3162338204655517</c:v>
                </c:pt>
                <c:pt idx="4">
                  <c:v>0.36033487670421366</c:v>
                </c:pt>
                <c:pt idx="5">
                  <c:v>0.15638027838317614</c:v>
                </c:pt>
                <c:pt idx="6">
                  <c:v>0.32610885513838739</c:v>
                </c:pt>
                <c:pt idx="7">
                  <c:v>0.17762627373781287</c:v>
                </c:pt>
                <c:pt idx="8">
                  <c:v>0.76282425945040022</c:v>
                </c:pt>
                <c:pt idx="9">
                  <c:v>0.98306885205975347</c:v>
                </c:pt>
                <c:pt idx="10">
                  <c:v>0.77131824944810223</c:v>
                </c:pt>
                <c:pt idx="11">
                  <c:v>0.58432043551404034</c:v>
                </c:pt>
                <c:pt idx="12">
                  <c:v>1.4410506386239601</c:v>
                </c:pt>
                <c:pt idx="13">
                  <c:v>0.76544504374458233</c:v>
                </c:pt>
                <c:pt idx="14">
                  <c:v>1.4164775798085461</c:v>
                </c:pt>
                <c:pt idx="15">
                  <c:v>0.98719747480527764</c:v>
                </c:pt>
                <c:pt idx="16">
                  <c:v>1.2347847857804872</c:v>
                </c:pt>
                <c:pt idx="17">
                  <c:v>1.1610055784403761</c:v>
                </c:pt>
                <c:pt idx="18">
                  <c:v>0.91432300980238912</c:v>
                </c:pt>
                <c:pt idx="19">
                  <c:v>1.1615543875830505</c:v>
                </c:pt>
                <c:pt idx="20">
                  <c:v>0.81894474477217827</c:v>
                </c:pt>
                <c:pt idx="21">
                  <c:v>1.2294640949034262E-2</c:v>
                </c:pt>
                <c:pt idx="22">
                  <c:v>-0.20775191175017058</c:v>
                </c:pt>
                <c:pt idx="23">
                  <c:v>-0.54240589854371102</c:v>
                </c:pt>
                <c:pt idx="24">
                  <c:v>0.48908677145642843</c:v>
                </c:pt>
              </c:numCache>
            </c:numRef>
          </c:val>
          <c:extLst>
            <c:ext xmlns:c16="http://schemas.microsoft.com/office/drawing/2014/chart" uri="{C3380CC4-5D6E-409C-BE32-E72D297353CC}">
              <c16:uniqueId val="{00000002-C727-46E6-AD55-8DA1C5FB0121}"/>
            </c:ext>
          </c:extLst>
        </c:ser>
        <c:ser>
          <c:idx val="4"/>
          <c:order val="4"/>
          <c:tx>
            <c:strRef>
              <c:f>'Služby-příspěvkyk růstu'!$G$25</c:f>
              <c:strCache>
                <c:ptCount val="1"/>
                <c:pt idx="0">
                  <c:v>Činnosti v oblasti nemovitostí</c:v>
                </c:pt>
              </c:strCache>
            </c:strRef>
          </c:tx>
          <c:spPr>
            <a:solidFill>
              <a:schemeClr val="accent5">
                <a:lumMod val="60000"/>
                <a:lumOff val="40000"/>
              </a:schemeClr>
            </a:solidFill>
            <a:ln>
              <a:noFill/>
              <a:prstDash val="sysDash"/>
            </a:ln>
          </c:spPr>
          <c:invertIfNegative val="0"/>
          <c:cat>
            <c:multiLvlStrRef>
              <c:f>'Služby-příspěvkyk růstu'!$A$38:$B$63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'Služby-příspěvkyk růstu'!$G$38:$G$63</c:f>
              <c:numCache>
                <c:formatCode>0.0</c:formatCode>
                <c:ptCount val="26"/>
                <c:pt idx="0">
                  <c:v>4.5114687215489196E-2</c:v>
                </c:pt>
                <c:pt idx="1">
                  <c:v>-4.633203545382855E-3</c:v>
                </c:pt>
                <c:pt idx="2">
                  <c:v>8.5015739753390329E-2</c:v>
                </c:pt>
                <c:pt idx="3">
                  <c:v>4.220830931986512E-2</c:v>
                </c:pt>
                <c:pt idx="4">
                  <c:v>0.22367935692513705</c:v>
                </c:pt>
                <c:pt idx="5">
                  <c:v>6.8179123861302385E-2</c:v>
                </c:pt>
                <c:pt idx="6">
                  <c:v>0.11569139719415283</c:v>
                </c:pt>
                <c:pt idx="7">
                  <c:v>-7.0466113098899399E-2</c:v>
                </c:pt>
                <c:pt idx="8">
                  <c:v>0.28170347372407545</c:v>
                </c:pt>
                <c:pt idx="9">
                  <c:v>0.36183937198533883</c:v>
                </c:pt>
                <c:pt idx="10">
                  <c:v>-3.8722623438578699E-2</c:v>
                </c:pt>
                <c:pt idx="11">
                  <c:v>0.13751786545078354</c:v>
                </c:pt>
                <c:pt idx="12">
                  <c:v>-1.6524917654980809E-2</c:v>
                </c:pt>
                <c:pt idx="13">
                  <c:v>-0.22648210744306341</c:v>
                </c:pt>
                <c:pt idx="14">
                  <c:v>-0.12424593391733178</c:v>
                </c:pt>
                <c:pt idx="15">
                  <c:v>-0.2069362641489616</c:v>
                </c:pt>
                <c:pt idx="16">
                  <c:v>0.14696794947238928</c:v>
                </c:pt>
                <c:pt idx="17">
                  <c:v>-2.7570980462265055E-2</c:v>
                </c:pt>
                <c:pt idx="18">
                  <c:v>-0.16565733818130893</c:v>
                </c:pt>
                <c:pt idx="19">
                  <c:v>-0.11837811648212067</c:v>
                </c:pt>
                <c:pt idx="20">
                  <c:v>0.43339495192195154</c:v>
                </c:pt>
                <c:pt idx="21">
                  <c:v>-0.29664667919137244</c:v>
                </c:pt>
                <c:pt idx="22">
                  <c:v>-0.27589755073842731</c:v>
                </c:pt>
                <c:pt idx="23">
                  <c:v>-0.22603611712587934</c:v>
                </c:pt>
                <c:pt idx="24">
                  <c:v>-0.20670851684630456</c:v>
                </c:pt>
              </c:numCache>
            </c:numRef>
          </c:val>
          <c:extLst>
            <c:ext xmlns:c16="http://schemas.microsoft.com/office/drawing/2014/chart" uri="{C3380CC4-5D6E-409C-BE32-E72D297353CC}">
              <c16:uniqueId val="{00000003-C727-46E6-AD55-8DA1C5FB0121}"/>
            </c:ext>
          </c:extLst>
        </c:ser>
        <c:ser>
          <c:idx val="5"/>
          <c:order val="5"/>
          <c:tx>
            <c:strRef>
              <c:f>'Služby-příspěvkyk růstu'!$H$25</c:f>
              <c:strCache>
                <c:ptCount val="1"/>
                <c:pt idx="0">
                  <c:v>Profesní, vědecké a technické činnosti</c:v>
                </c:pt>
              </c:strCache>
            </c:strRef>
          </c:tx>
          <c:spPr>
            <a:solidFill>
              <a:schemeClr val="accent6">
                <a:lumMod val="60000"/>
                <a:lumOff val="40000"/>
              </a:schemeClr>
            </a:solidFill>
            <a:ln>
              <a:noFill/>
            </a:ln>
          </c:spPr>
          <c:invertIfNegative val="0"/>
          <c:cat>
            <c:multiLvlStrRef>
              <c:f>'Služby-příspěvkyk růstu'!$A$38:$B$63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'Služby-příspěvkyk růstu'!$H$38:$H$63</c:f>
              <c:numCache>
                <c:formatCode>0.0</c:formatCode>
                <c:ptCount val="26"/>
                <c:pt idx="0">
                  <c:v>1.0484383463709321</c:v>
                </c:pt>
                <c:pt idx="1">
                  <c:v>0.72052999502781179</c:v>
                </c:pt>
                <c:pt idx="2">
                  <c:v>1.0868604197952834</c:v>
                </c:pt>
                <c:pt idx="3">
                  <c:v>-4.0322082082337972E-2</c:v>
                </c:pt>
                <c:pt idx="4">
                  <c:v>-0.43449187704976927</c:v>
                </c:pt>
                <c:pt idx="5">
                  <c:v>-1.3323039000266932</c:v>
                </c:pt>
                <c:pt idx="6">
                  <c:v>-3.9552220086378894E-3</c:v>
                </c:pt>
                <c:pt idx="7">
                  <c:v>-0.31462694364037369</c:v>
                </c:pt>
                <c:pt idx="8">
                  <c:v>0.96902063476099443</c:v>
                </c:pt>
                <c:pt idx="9">
                  <c:v>0.58685347143608046</c:v>
                </c:pt>
                <c:pt idx="10">
                  <c:v>0.3036767260079471</c:v>
                </c:pt>
                <c:pt idx="11">
                  <c:v>0.42723783324562753</c:v>
                </c:pt>
                <c:pt idx="12">
                  <c:v>1.0465166620234574</c:v>
                </c:pt>
                <c:pt idx="13">
                  <c:v>0.55031893076940297</c:v>
                </c:pt>
                <c:pt idx="14">
                  <c:v>0.36062690239541018</c:v>
                </c:pt>
                <c:pt idx="15">
                  <c:v>-0.26282042548043488</c:v>
                </c:pt>
                <c:pt idx="16">
                  <c:v>0.70683419275912829</c:v>
                </c:pt>
                <c:pt idx="17">
                  <c:v>0.58909336860858441</c:v>
                </c:pt>
                <c:pt idx="18">
                  <c:v>-0.76655146702786459</c:v>
                </c:pt>
                <c:pt idx="19">
                  <c:v>-0.57242584774453176</c:v>
                </c:pt>
                <c:pt idx="20">
                  <c:v>-0.86095792954266626</c:v>
                </c:pt>
                <c:pt idx="21">
                  <c:v>-3.1835055642505159</c:v>
                </c:pt>
                <c:pt idx="22">
                  <c:v>-1.4957874257817754</c:v>
                </c:pt>
                <c:pt idx="23">
                  <c:v>-1.5473623495881494</c:v>
                </c:pt>
                <c:pt idx="24">
                  <c:v>-1.5629242229188085</c:v>
                </c:pt>
              </c:numCache>
            </c:numRef>
          </c:val>
          <c:extLst>
            <c:ext xmlns:c16="http://schemas.microsoft.com/office/drawing/2014/chart" uri="{C3380CC4-5D6E-409C-BE32-E72D297353CC}">
              <c16:uniqueId val="{00000004-C727-46E6-AD55-8DA1C5FB0121}"/>
            </c:ext>
          </c:extLst>
        </c:ser>
        <c:ser>
          <c:idx val="6"/>
          <c:order val="6"/>
          <c:tx>
            <c:strRef>
              <c:f>'Služby-příspěvkyk růstu'!$I$25</c:f>
              <c:strCache>
                <c:ptCount val="1"/>
                <c:pt idx="0">
                  <c:v>Administrativní a podpůrné činnosti</c:v>
                </c:pt>
              </c:strCache>
            </c:strRef>
          </c:tx>
          <c:spPr>
            <a:solidFill>
              <a:schemeClr val="accent1">
                <a:lumMod val="20000"/>
                <a:lumOff val="80000"/>
              </a:schemeClr>
            </a:solidFill>
            <a:ln>
              <a:noFill/>
            </a:ln>
          </c:spPr>
          <c:invertIfNegative val="0"/>
          <c:cat>
            <c:multiLvlStrRef>
              <c:f>'Služby-příspěvkyk růstu'!$A$38:$B$63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'Služby-příspěvkyk růstu'!$I$38:$I$63</c:f>
              <c:numCache>
                <c:formatCode>0.0</c:formatCode>
                <c:ptCount val="26"/>
                <c:pt idx="0">
                  <c:v>0.51529021776837436</c:v>
                </c:pt>
                <c:pt idx="1">
                  <c:v>0.62103855147350373</c:v>
                </c:pt>
                <c:pt idx="2">
                  <c:v>0.43595933582649415</c:v>
                </c:pt>
                <c:pt idx="3">
                  <c:v>0.5014624395084516</c:v>
                </c:pt>
                <c:pt idx="4">
                  <c:v>0.46409597389160773</c:v>
                </c:pt>
                <c:pt idx="5">
                  <c:v>0.16302807991689272</c:v>
                </c:pt>
                <c:pt idx="6">
                  <c:v>0.26998446590022002</c:v>
                </c:pt>
                <c:pt idx="7">
                  <c:v>0.51404132645830092</c:v>
                </c:pt>
                <c:pt idx="8">
                  <c:v>1.3081284665881006</c:v>
                </c:pt>
                <c:pt idx="9">
                  <c:v>1.0890272586366447</c:v>
                </c:pt>
                <c:pt idx="10">
                  <c:v>0.64167805687312862</c:v>
                </c:pt>
                <c:pt idx="11">
                  <c:v>0.3049450708114973</c:v>
                </c:pt>
                <c:pt idx="12">
                  <c:v>0.5336964228095209</c:v>
                </c:pt>
                <c:pt idx="13">
                  <c:v>0.37812124631965366</c:v>
                </c:pt>
                <c:pt idx="14">
                  <c:v>0.43585539133912715</c:v>
                </c:pt>
                <c:pt idx="15">
                  <c:v>-1.3565736472039135E-2</c:v>
                </c:pt>
                <c:pt idx="16">
                  <c:v>0.47293200908229094</c:v>
                </c:pt>
                <c:pt idx="17">
                  <c:v>0.12985986360314838</c:v>
                </c:pt>
                <c:pt idx="18">
                  <c:v>-0.12378098867957033</c:v>
                </c:pt>
                <c:pt idx="19">
                  <c:v>-0.21503501352804164</c:v>
                </c:pt>
                <c:pt idx="20">
                  <c:v>-1.0975647540029245</c:v>
                </c:pt>
                <c:pt idx="21">
                  <c:v>-4.3127603654212834</c:v>
                </c:pt>
                <c:pt idx="22">
                  <c:v>-4.4461404317321751</c:v>
                </c:pt>
                <c:pt idx="23">
                  <c:v>-2.3715294384068484</c:v>
                </c:pt>
                <c:pt idx="24">
                  <c:v>-1.6183302001217923</c:v>
                </c:pt>
              </c:numCache>
            </c:numRef>
          </c:val>
          <c:extLst>
            <c:ext xmlns:c16="http://schemas.microsoft.com/office/drawing/2014/chart" uri="{C3380CC4-5D6E-409C-BE32-E72D297353CC}">
              <c16:uniqueId val="{00000005-C727-46E6-AD55-8DA1C5FB0121}"/>
            </c:ext>
          </c:extLst>
        </c:ser>
        <c:dLbls>
          <c:showLegendKey val="0"/>
          <c:showVal val="0"/>
          <c:showCatName val="0"/>
          <c:showSerName val="0"/>
          <c:showPercent val="0"/>
          <c:showBubbleSize val="0"/>
        </c:dLbls>
        <c:gapWidth val="20"/>
        <c:overlap val="100"/>
        <c:axId val="156100864"/>
        <c:axId val="156573696"/>
      </c:barChart>
      <c:lineChart>
        <c:grouping val="standard"/>
        <c:varyColors val="0"/>
        <c:ser>
          <c:idx val="3"/>
          <c:order val="0"/>
          <c:tx>
            <c:strRef>
              <c:f>'Služby-příspěvkyk růstu'!$C$25</c:f>
              <c:strCache>
                <c:ptCount val="1"/>
                <c:pt idx="0">
                  <c:v>Služby celkem</c:v>
                </c:pt>
              </c:strCache>
            </c:strRef>
          </c:tx>
          <c:spPr>
            <a:ln>
              <a:noFill/>
            </a:ln>
          </c:spPr>
          <c:marker>
            <c:symbol val="dash"/>
            <c:size val="9"/>
            <c:spPr>
              <a:solidFill>
                <a:schemeClr val="tx1">
                  <a:lumMod val="95000"/>
                  <a:lumOff val="5000"/>
                </a:schemeClr>
              </a:solidFill>
              <a:ln>
                <a:noFill/>
              </a:ln>
            </c:spPr>
          </c:marker>
          <c:cat>
            <c:multiLvlStrRef>
              <c:f>'Služby-příspěvkyk růstu'!$A$38:$B$63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'Služby-příspěvkyk růstu'!$C$38:$C$63</c:f>
              <c:numCache>
                <c:formatCode>0.0</c:formatCode>
                <c:ptCount val="26"/>
                <c:pt idx="0">
                  <c:v>3.4252673665918341</c:v>
                </c:pt>
                <c:pt idx="1">
                  <c:v>2.7760447568245561</c:v>
                </c:pt>
                <c:pt idx="2">
                  <c:v>3.2639994733926248</c:v>
                </c:pt>
                <c:pt idx="3">
                  <c:v>2.2670578682829805</c:v>
                </c:pt>
                <c:pt idx="4">
                  <c:v>1.2197549966407228</c:v>
                </c:pt>
                <c:pt idx="5">
                  <c:v>-0.56538623511913677</c:v>
                </c:pt>
                <c:pt idx="6">
                  <c:v>1.4127684329725188</c:v>
                </c:pt>
                <c:pt idx="7">
                  <c:v>1.7680917771414508</c:v>
                </c:pt>
                <c:pt idx="8">
                  <c:v>6.0337286918225388</c:v>
                </c:pt>
                <c:pt idx="9">
                  <c:v>5.3370587420900524</c:v>
                </c:pt>
                <c:pt idx="10">
                  <c:v>3.3665867387296897</c:v>
                </c:pt>
                <c:pt idx="11">
                  <c:v>2.5126514232013126</c:v>
                </c:pt>
                <c:pt idx="12">
                  <c:v>4.9549326877107651</c:v>
                </c:pt>
                <c:pt idx="13">
                  <c:v>3.4360229207479716</c:v>
                </c:pt>
                <c:pt idx="14">
                  <c:v>3.6163951207699707</c:v>
                </c:pt>
                <c:pt idx="15">
                  <c:v>0.96668599710137615</c:v>
                </c:pt>
                <c:pt idx="16">
                  <c:v>3.5133691478456601</c:v>
                </c:pt>
                <c:pt idx="17">
                  <c:v>1.9614607616546968</c:v>
                </c:pt>
                <c:pt idx="18">
                  <c:v>-0.83078294920394813</c:v>
                </c:pt>
                <c:pt idx="19">
                  <c:v>-0.30410997536084072</c:v>
                </c:pt>
                <c:pt idx="20">
                  <c:v>-3.7301133457366804</c:v>
                </c:pt>
                <c:pt idx="21">
                  <c:v>-19.625823217894649</c:v>
                </c:pt>
                <c:pt idx="22">
                  <c:v>-12.596221073437585</c:v>
                </c:pt>
                <c:pt idx="23">
                  <c:v>-10.949293332627146</c:v>
                </c:pt>
                <c:pt idx="24">
                  <c:v>-6.8220892998555156</c:v>
                </c:pt>
              </c:numCache>
            </c:numRef>
          </c:val>
          <c:smooth val="0"/>
          <c:extLst>
            <c:ext xmlns:c16="http://schemas.microsoft.com/office/drawing/2014/chart" uri="{C3380CC4-5D6E-409C-BE32-E72D297353CC}">
              <c16:uniqueId val="{00000006-C727-46E6-AD55-8DA1C5FB0121}"/>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7"/>
          <c:order val="7"/>
          <c:tx>
            <c:strRef>
              <c:f>'Služby-příspěvkyk růstu'!$J$25</c:f>
              <c:strCache>
                <c:ptCount val="1"/>
                <c:pt idx="0">
                  <c:v>Saldo indik.důvěry ve službách (pr. osa)</c:v>
                </c:pt>
              </c:strCache>
            </c:strRef>
          </c:tx>
          <c:spPr>
            <a:ln w="3175">
              <a:solidFill>
                <a:schemeClr val="bg1">
                  <a:lumMod val="50000"/>
                </a:schemeClr>
              </a:solidFill>
              <a:prstDash val="sysDash"/>
            </a:ln>
          </c:spPr>
          <c:marker>
            <c:symbol val="diamond"/>
            <c:size val="5"/>
            <c:spPr>
              <a:solidFill>
                <a:srgbClr val="FFFF00"/>
              </a:solidFill>
              <a:ln w="6350">
                <a:solidFill>
                  <a:schemeClr val="tx1">
                    <a:lumMod val="95000"/>
                    <a:lumOff val="5000"/>
                  </a:schemeClr>
                </a:solidFill>
              </a:ln>
            </c:spPr>
          </c:marker>
          <c:cat>
            <c:multiLvlStrRef>
              <c:f>'Služby-příspěvkyk růstu'!$A$38:$B$63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'Služby-příspěvkyk růstu'!$J$38:$J$63</c:f>
              <c:numCache>
                <c:formatCode>0.0</c:formatCode>
                <c:ptCount val="26"/>
                <c:pt idx="0">
                  <c:v>29.7</c:v>
                </c:pt>
                <c:pt idx="1">
                  <c:v>28.7</c:v>
                </c:pt>
                <c:pt idx="2">
                  <c:v>31.3</c:v>
                </c:pt>
                <c:pt idx="3">
                  <c:v>32.700000000000003</c:v>
                </c:pt>
                <c:pt idx="4">
                  <c:v>32.299999999999997</c:v>
                </c:pt>
                <c:pt idx="5">
                  <c:v>33</c:v>
                </c:pt>
                <c:pt idx="6">
                  <c:v>33</c:v>
                </c:pt>
                <c:pt idx="7">
                  <c:v>37.700000000000003</c:v>
                </c:pt>
                <c:pt idx="8">
                  <c:v>35.299999999999997</c:v>
                </c:pt>
                <c:pt idx="9">
                  <c:v>37.700000000000003</c:v>
                </c:pt>
                <c:pt idx="10">
                  <c:v>37.299999999999997</c:v>
                </c:pt>
                <c:pt idx="11">
                  <c:v>35.700000000000003</c:v>
                </c:pt>
                <c:pt idx="12">
                  <c:v>38.299999999999997</c:v>
                </c:pt>
                <c:pt idx="13">
                  <c:v>37</c:v>
                </c:pt>
                <c:pt idx="14">
                  <c:v>38.299999999999997</c:v>
                </c:pt>
                <c:pt idx="15">
                  <c:v>40.700000000000003</c:v>
                </c:pt>
                <c:pt idx="16">
                  <c:v>39.299999999999997</c:v>
                </c:pt>
                <c:pt idx="17">
                  <c:v>33.700000000000003</c:v>
                </c:pt>
                <c:pt idx="18">
                  <c:v>35</c:v>
                </c:pt>
                <c:pt idx="19">
                  <c:v>32.700000000000003</c:v>
                </c:pt>
                <c:pt idx="20">
                  <c:v>29</c:v>
                </c:pt>
                <c:pt idx="21">
                  <c:v>-13.3</c:v>
                </c:pt>
                <c:pt idx="22">
                  <c:v>1</c:v>
                </c:pt>
                <c:pt idx="23">
                  <c:v>-5</c:v>
                </c:pt>
                <c:pt idx="24">
                  <c:v>8</c:v>
                </c:pt>
                <c:pt idx="25">
                  <c:v>22.3</c:v>
                </c:pt>
              </c:numCache>
            </c:numRef>
          </c:val>
          <c:smooth val="0"/>
          <c:extLst>
            <c:ext xmlns:c16="http://schemas.microsoft.com/office/drawing/2014/chart" uri="{C3380CC4-5D6E-409C-BE32-E72D297353CC}">
              <c16:uniqueId val="{00000007-C727-46E6-AD55-8DA1C5FB0121}"/>
            </c:ext>
          </c:extLst>
        </c:ser>
        <c:ser>
          <c:idx val="8"/>
          <c:order val="8"/>
          <c:tx>
            <c:strRef>
              <c:f>'Služby-příspěvkyk růstu'!$K$25</c:f>
              <c:strCache>
                <c:ptCount val="1"/>
                <c:pt idx="0">
                  <c:v>Bariéra růstu: nedost. poptávka (pr. osa)</c:v>
                </c:pt>
              </c:strCache>
            </c:strRef>
          </c:tx>
          <c:spPr>
            <a:ln w="19050">
              <a:solidFill>
                <a:srgbClr val="00B050"/>
              </a:solidFill>
            </a:ln>
          </c:spPr>
          <c:marker>
            <c:symbol val="none"/>
          </c:marker>
          <c:cat>
            <c:multiLvlStrRef>
              <c:f>'Služby-příspěvkyk růstu'!$A$38:$B$63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'Služby-příspěvkyk růstu'!$K$38:$K$63</c:f>
              <c:numCache>
                <c:formatCode>#\ ##0.0</c:formatCode>
                <c:ptCount val="26"/>
                <c:pt idx="0">
                  <c:v>26.2</c:v>
                </c:pt>
                <c:pt idx="1">
                  <c:v>29</c:v>
                </c:pt>
                <c:pt idx="2">
                  <c:v>26.9</c:v>
                </c:pt>
                <c:pt idx="3">
                  <c:v>23.3</c:v>
                </c:pt>
                <c:pt idx="4">
                  <c:v>24</c:v>
                </c:pt>
                <c:pt idx="5">
                  <c:v>24.5</c:v>
                </c:pt>
                <c:pt idx="6">
                  <c:v>21</c:v>
                </c:pt>
                <c:pt idx="7">
                  <c:v>23.3</c:v>
                </c:pt>
                <c:pt idx="8">
                  <c:v>26.2</c:v>
                </c:pt>
                <c:pt idx="9">
                  <c:v>20.5</c:v>
                </c:pt>
                <c:pt idx="10">
                  <c:v>19.899999999999999</c:v>
                </c:pt>
                <c:pt idx="11">
                  <c:v>20.9</c:v>
                </c:pt>
                <c:pt idx="12">
                  <c:v>17.3</c:v>
                </c:pt>
                <c:pt idx="13">
                  <c:v>18.600000000000001</c:v>
                </c:pt>
                <c:pt idx="14">
                  <c:v>18.899999999999999</c:v>
                </c:pt>
                <c:pt idx="15">
                  <c:v>19.8</c:v>
                </c:pt>
                <c:pt idx="16">
                  <c:v>20.7</c:v>
                </c:pt>
                <c:pt idx="17">
                  <c:v>17.100000000000001</c:v>
                </c:pt>
                <c:pt idx="18">
                  <c:v>21.7</c:v>
                </c:pt>
                <c:pt idx="19">
                  <c:v>14.1</c:v>
                </c:pt>
                <c:pt idx="20">
                  <c:v>20.399999999999999</c:v>
                </c:pt>
                <c:pt idx="21">
                  <c:v>29.1</c:v>
                </c:pt>
                <c:pt idx="22">
                  <c:v>30.9</c:v>
                </c:pt>
                <c:pt idx="23">
                  <c:v>39</c:v>
                </c:pt>
                <c:pt idx="24">
                  <c:v>35.799999999999997</c:v>
                </c:pt>
                <c:pt idx="25">
                  <c:v>37.1</c:v>
                </c:pt>
              </c:numCache>
            </c:numRef>
          </c:val>
          <c:smooth val="0"/>
          <c:extLst>
            <c:ext xmlns:c16="http://schemas.microsoft.com/office/drawing/2014/chart" uri="{C3380CC4-5D6E-409C-BE32-E72D297353CC}">
              <c16:uniqueId val="{00000008-C727-46E6-AD55-8DA1C5FB0121}"/>
            </c:ext>
          </c:extLst>
        </c:ser>
        <c:ser>
          <c:idx val="9"/>
          <c:order val="9"/>
          <c:tx>
            <c:strRef>
              <c:f>'Služby-příspěvkyk růstu'!$L$25</c:f>
              <c:strCache>
                <c:ptCount val="1"/>
                <c:pt idx="0">
                  <c:v>Bariéra růstu: nedost. pracovníků (pr. osa)</c:v>
                </c:pt>
              </c:strCache>
            </c:strRef>
          </c:tx>
          <c:spPr>
            <a:ln w="19050">
              <a:solidFill>
                <a:srgbClr val="00B050"/>
              </a:solidFill>
              <a:prstDash val="sysDash"/>
            </a:ln>
          </c:spPr>
          <c:marker>
            <c:symbol val="none"/>
          </c:marker>
          <c:cat>
            <c:multiLvlStrRef>
              <c:f>'Služby-příspěvkyk růstu'!$A$38:$B$63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'Služby-příspěvkyk růstu'!$L$38:$L$63</c:f>
              <c:numCache>
                <c:formatCode>#\ ##0.0</c:formatCode>
                <c:ptCount val="26"/>
                <c:pt idx="0">
                  <c:v>2.8</c:v>
                </c:pt>
                <c:pt idx="1">
                  <c:v>5.7</c:v>
                </c:pt>
                <c:pt idx="2">
                  <c:v>5.9</c:v>
                </c:pt>
                <c:pt idx="3">
                  <c:v>5.8</c:v>
                </c:pt>
                <c:pt idx="4">
                  <c:v>8.6999999999999993</c:v>
                </c:pt>
                <c:pt idx="5">
                  <c:v>4.5999999999999996</c:v>
                </c:pt>
                <c:pt idx="6">
                  <c:v>7.1</c:v>
                </c:pt>
                <c:pt idx="7">
                  <c:v>9.1</c:v>
                </c:pt>
                <c:pt idx="8">
                  <c:v>10.1</c:v>
                </c:pt>
                <c:pt idx="9">
                  <c:v>10</c:v>
                </c:pt>
                <c:pt idx="10">
                  <c:v>9.3000000000000007</c:v>
                </c:pt>
                <c:pt idx="11">
                  <c:v>12.2</c:v>
                </c:pt>
                <c:pt idx="12">
                  <c:v>14.2</c:v>
                </c:pt>
                <c:pt idx="13">
                  <c:v>16.600000000000001</c:v>
                </c:pt>
                <c:pt idx="14">
                  <c:v>17.3</c:v>
                </c:pt>
                <c:pt idx="15">
                  <c:v>18.600000000000001</c:v>
                </c:pt>
                <c:pt idx="16">
                  <c:v>19.600000000000001</c:v>
                </c:pt>
                <c:pt idx="17">
                  <c:v>16.600000000000001</c:v>
                </c:pt>
                <c:pt idx="18">
                  <c:v>21.2</c:v>
                </c:pt>
                <c:pt idx="19">
                  <c:v>19.100000000000001</c:v>
                </c:pt>
                <c:pt idx="20">
                  <c:v>19.7</c:v>
                </c:pt>
                <c:pt idx="21">
                  <c:v>12.1</c:v>
                </c:pt>
                <c:pt idx="22">
                  <c:v>9.8000000000000007</c:v>
                </c:pt>
                <c:pt idx="23">
                  <c:v>11.1</c:v>
                </c:pt>
                <c:pt idx="24">
                  <c:v>11.2</c:v>
                </c:pt>
                <c:pt idx="25">
                  <c:v>10.8</c:v>
                </c:pt>
              </c:numCache>
            </c:numRef>
          </c:val>
          <c:smooth val="0"/>
          <c:extLst>
            <c:ext xmlns:c16="http://schemas.microsoft.com/office/drawing/2014/chart" uri="{C3380CC4-5D6E-409C-BE32-E72D297353CC}">
              <c16:uniqueId val="{00000009-C727-46E6-AD55-8DA1C5FB0121}"/>
            </c:ext>
          </c:extLst>
        </c:ser>
        <c:ser>
          <c:idx val="10"/>
          <c:order val="10"/>
          <c:tx>
            <c:strRef>
              <c:f>'Služby-příspěvkyk růstu'!$M$25</c:f>
              <c:strCache>
                <c:ptCount val="1"/>
                <c:pt idx="0">
                  <c:v>Bariéry růstu podniků: žádné (pravá osa)</c:v>
                </c:pt>
              </c:strCache>
            </c:strRef>
          </c:tx>
          <c:spPr>
            <a:ln w="19050">
              <a:solidFill>
                <a:srgbClr val="00B050"/>
              </a:solidFill>
              <a:prstDash val="sysDot"/>
            </a:ln>
          </c:spPr>
          <c:marker>
            <c:symbol val="none"/>
          </c:marker>
          <c:cat>
            <c:multiLvlStrRef>
              <c:f>'Služby-příspěvkyk růstu'!$A$38:$B$63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'Služby-příspěvkyk růstu'!$M$38:$M$63</c:f>
              <c:numCache>
                <c:formatCode>#\ ##0.0</c:formatCode>
                <c:ptCount val="26"/>
                <c:pt idx="0">
                  <c:v>43.8</c:v>
                </c:pt>
                <c:pt idx="1">
                  <c:v>42.8</c:v>
                </c:pt>
                <c:pt idx="2">
                  <c:v>46.2</c:v>
                </c:pt>
                <c:pt idx="3">
                  <c:v>50.3</c:v>
                </c:pt>
                <c:pt idx="4">
                  <c:v>47</c:v>
                </c:pt>
                <c:pt idx="5">
                  <c:v>46.5</c:v>
                </c:pt>
                <c:pt idx="6">
                  <c:v>51.8</c:v>
                </c:pt>
                <c:pt idx="7">
                  <c:v>48.6</c:v>
                </c:pt>
                <c:pt idx="8">
                  <c:v>45.5</c:v>
                </c:pt>
                <c:pt idx="9">
                  <c:v>47.7</c:v>
                </c:pt>
                <c:pt idx="10">
                  <c:v>48.2</c:v>
                </c:pt>
                <c:pt idx="11">
                  <c:v>46.6</c:v>
                </c:pt>
                <c:pt idx="12">
                  <c:v>49.6</c:v>
                </c:pt>
                <c:pt idx="13">
                  <c:v>45.4</c:v>
                </c:pt>
                <c:pt idx="14">
                  <c:v>43.4</c:v>
                </c:pt>
                <c:pt idx="15">
                  <c:v>46.4</c:v>
                </c:pt>
                <c:pt idx="16">
                  <c:v>45</c:v>
                </c:pt>
                <c:pt idx="17">
                  <c:v>46.4</c:v>
                </c:pt>
                <c:pt idx="18">
                  <c:v>45.9</c:v>
                </c:pt>
                <c:pt idx="19">
                  <c:v>47.5</c:v>
                </c:pt>
                <c:pt idx="20">
                  <c:v>44.4</c:v>
                </c:pt>
                <c:pt idx="21">
                  <c:v>32.9</c:v>
                </c:pt>
                <c:pt idx="22">
                  <c:v>27.1</c:v>
                </c:pt>
                <c:pt idx="23">
                  <c:v>26.4</c:v>
                </c:pt>
                <c:pt idx="24">
                  <c:v>26.4</c:v>
                </c:pt>
                <c:pt idx="25">
                  <c:v>20.399999999999999</c:v>
                </c:pt>
              </c:numCache>
            </c:numRef>
          </c:val>
          <c:smooth val="0"/>
          <c:extLst>
            <c:ext xmlns:c16="http://schemas.microsoft.com/office/drawing/2014/chart" uri="{C3380CC4-5D6E-409C-BE32-E72D297353CC}">
              <c16:uniqueId val="{0000000A-C727-46E6-AD55-8DA1C5FB0121}"/>
            </c:ext>
          </c:extLst>
        </c:ser>
        <c:dLbls>
          <c:showLegendKey val="0"/>
          <c:showVal val="0"/>
          <c:showCatName val="0"/>
          <c:showSerName val="0"/>
          <c:showPercent val="0"/>
          <c:showBubbleSize val="0"/>
        </c:dLbls>
        <c:marker val="1"/>
        <c:smooth val="0"/>
        <c:axId val="156576768"/>
        <c:axId val="156575232"/>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6"/>
          <c:min val="-24"/>
        </c:scaling>
        <c:delete val="0"/>
        <c:axPos val="l"/>
        <c:majorGridlines>
          <c:spPr>
            <a:ln w="6350">
              <a:solidFill>
                <a:schemeClr val="bg1">
                  <a:lumMod val="75000"/>
                </a:schemeClr>
              </a:solidFill>
            </a:ln>
          </c:spPr>
        </c:majorGridlines>
        <c:title>
          <c:tx>
            <c:rich>
              <a:bodyPr/>
              <a:lstStyle/>
              <a:p>
                <a:pPr>
                  <a:defRPr sz="700" b="0" i="1"/>
                </a:pPr>
                <a:r>
                  <a:rPr lang="cs-CZ" sz="700" b="0" i="1"/>
                  <a:t>Příspěvky</a:t>
                </a:r>
                <a:r>
                  <a:rPr lang="cs-CZ" sz="700" b="0" i="1" baseline="0"/>
                  <a:t> ke změně tržeb ve službách</a:t>
                </a:r>
                <a:endParaRPr lang="cs-CZ" sz="700" b="0" i="1"/>
              </a:p>
            </c:rich>
          </c:tx>
          <c:layout>
            <c:manualLayout>
              <c:xMode val="edge"/>
              <c:yMode val="edge"/>
              <c:x val="0"/>
              <c:y val="0.1280417382250503"/>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3"/>
      </c:valAx>
      <c:valAx>
        <c:axId val="156575232"/>
        <c:scaling>
          <c:orientation val="minMax"/>
          <c:max val="80"/>
          <c:min val="-15"/>
        </c:scaling>
        <c:delete val="0"/>
        <c:axPos val="r"/>
        <c:title>
          <c:tx>
            <c:rich>
              <a:bodyPr/>
              <a:lstStyle/>
              <a:p>
                <a:pPr>
                  <a:defRPr sz="700" b="0" i="1"/>
                </a:pPr>
                <a:r>
                  <a:rPr lang="cs-CZ" sz="700" b="0" i="1"/>
                  <a:t>Saldo indikátoru důvěry, bariéry růstu</a:t>
                </a:r>
              </a:p>
            </c:rich>
          </c:tx>
          <c:layout/>
          <c:overlay val="0"/>
        </c:title>
        <c:numFmt formatCode="0" sourceLinked="0"/>
        <c:majorTickMark val="out"/>
        <c:minorTickMark val="none"/>
        <c:tickLblPos val="nextTo"/>
        <c:txPr>
          <a:bodyPr/>
          <a:lstStyle/>
          <a:p>
            <a:pPr>
              <a:defRPr sz="800"/>
            </a:pPr>
            <a:endParaRPr lang="cs-CZ"/>
          </a:p>
        </c:txPr>
        <c:crossAx val="156576768"/>
        <c:crosses val="max"/>
        <c:crossBetween val="between"/>
        <c:majorUnit val="10"/>
      </c:valAx>
      <c:catAx>
        <c:axId val="156576768"/>
        <c:scaling>
          <c:orientation val="minMax"/>
        </c:scaling>
        <c:delete val="1"/>
        <c:axPos val="b"/>
        <c:numFmt formatCode="General" sourceLinked="1"/>
        <c:majorTickMark val="out"/>
        <c:minorTickMark val="none"/>
        <c:tickLblPos val="none"/>
        <c:crossAx val="156575232"/>
        <c:crosses val="autoZero"/>
        <c:auto val="1"/>
        <c:lblAlgn val="ctr"/>
        <c:lblOffset val="100"/>
        <c:noMultiLvlLbl val="0"/>
      </c:catAx>
      <c:spPr>
        <a:ln>
          <a:solidFill>
            <a:schemeClr val="tx1"/>
          </a:solidFill>
        </a:ln>
      </c:spPr>
    </c:plotArea>
    <c:legend>
      <c:legendPos val="r"/>
      <c:layout>
        <c:manualLayout>
          <c:xMode val="edge"/>
          <c:yMode val="edge"/>
          <c:x val="6.413166356277798E-5"/>
          <c:y val="0.81821506531821531"/>
          <c:w val="0.9924286912487944"/>
          <c:h val="0.17824752039792846"/>
        </c:manualLayout>
      </c:layout>
      <c:overlay val="0"/>
      <c:spPr>
        <a:ln w="6350">
          <a:solidFill>
            <a:schemeClr val="tx1"/>
          </a:solidFill>
        </a:ln>
      </c:spPr>
      <c:txPr>
        <a:bodyPr/>
        <a:lstStyle/>
        <a:p>
          <a:pPr>
            <a:defRPr sz="80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481551840594413E-2"/>
          <c:y val="2.3304908251716772E-2"/>
          <c:w val="0.90781408308004052"/>
          <c:h val="0.612553754362265"/>
        </c:manualLayout>
      </c:layout>
      <c:barChart>
        <c:barDir val="col"/>
        <c:grouping val="clustered"/>
        <c:varyColors val="0"/>
        <c:ser>
          <c:idx val="0"/>
          <c:order val="0"/>
          <c:tx>
            <c:strRef>
              <c:f>'Vnější vztahy 2'!$A$6</c:f>
              <c:strCache>
                <c:ptCount val="1"/>
                <c:pt idx="0">
                  <c:v>2020</c:v>
                </c:pt>
              </c:strCache>
            </c:strRef>
          </c:tx>
          <c:spPr>
            <a:solidFill>
              <a:schemeClr val="tx1">
                <a:lumMod val="50000"/>
                <a:lumOff val="50000"/>
              </a:schemeClr>
            </a:solidFill>
            <a:ln>
              <a:noFill/>
            </a:ln>
          </c:spPr>
          <c:invertIfNegative val="0"/>
          <c:cat>
            <c:strRef>
              <c:f>'Vnější vztahy 2'!$B$5:$N$5</c:f>
              <c:strCache>
                <c:ptCount val="13"/>
                <c:pt idx="0">
                  <c:v>Ropa a zemní plyn</c:v>
                </c:pt>
                <c:pt idx="1">
                  <c:v>Potrav. výrobky</c:v>
                </c:pt>
                <c:pt idx="2">
                  <c:v>Oděvy</c:v>
                </c:pt>
                <c:pt idx="3">
                  <c:v>Koks, raf. ropné prod.</c:v>
                </c:pt>
                <c:pt idx="4">
                  <c:v>Chem. látky a přípr.</c:v>
                </c:pt>
                <c:pt idx="5">
                  <c:v>Farmac. výrobky</c:v>
                </c:pt>
                <c:pt idx="6">
                  <c:v>Ostat. nekov. minerály</c:v>
                </c:pt>
                <c:pt idx="7">
                  <c:v>Základní kovy</c:v>
                </c:pt>
                <c:pt idx="8">
                  <c:v>Kovodělné výrobky</c:v>
                </c:pt>
                <c:pt idx="9">
                  <c:v>Počítače, opt.                                          a elektron. přístr.</c:v>
                </c:pt>
                <c:pt idx="10">
                  <c:v>Elektrická zařízení</c:v>
                </c:pt>
                <c:pt idx="11">
                  <c:v>Stroje a zařízení j. n.</c:v>
                </c:pt>
                <c:pt idx="12">
                  <c:v>Motorová vozidla</c:v>
                </c:pt>
              </c:strCache>
            </c:strRef>
          </c:cat>
          <c:val>
            <c:numRef>
              <c:f>'Vnější vztahy 2'!$B$6:$N$6</c:f>
              <c:numCache>
                <c:formatCode>General</c:formatCode>
                <c:ptCount val="13"/>
                <c:pt idx="0">
                  <c:v>-21.948</c:v>
                </c:pt>
                <c:pt idx="1">
                  <c:v>-10.843</c:v>
                </c:pt>
                <c:pt idx="2">
                  <c:v>-7.6669999999999998</c:v>
                </c:pt>
                <c:pt idx="3">
                  <c:v>-6.0220000000000002</c:v>
                </c:pt>
                <c:pt idx="4">
                  <c:v>-28.56</c:v>
                </c:pt>
                <c:pt idx="5">
                  <c:v>-17.385000000000002</c:v>
                </c:pt>
                <c:pt idx="6">
                  <c:v>6.4050000000000002</c:v>
                </c:pt>
                <c:pt idx="7">
                  <c:v>-26.978999999999999</c:v>
                </c:pt>
                <c:pt idx="8">
                  <c:v>13.092000000000001</c:v>
                </c:pt>
                <c:pt idx="9">
                  <c:v>-10.352</c:v>
                </c:pt>
                <c:pt idx="10">
                  <c:v>8.1229999999999993</c:v>
                </c:pt>
                <c:pt idx="11">
                  <c:v>16.384</c:v>
                </c:pt>
                <c:pt idx="12">
                  <c:v>110.967</c:v>
                </c:pt>
              </c:numCache>
            </c:numRef>
          </c:val>
          <c:extLst>
            <c:ext xmlns:c16="http://schemas.microsoft.com/office/drawing/2014/chart" uri="{C3380CC4-5D6E-409C-BE32-E72D297353CC}">
              <c16:uniqueId val="{00000000-8C2D-4E9C-8B77-FC3305BEEE77}"/>
            </c:ext>
          </c:extLst>
        </c:ser>
        <c:ser>
          <c:idx val="1"/>
          <c:order val="1"/>
          <c:tx>
            <c:strRef>
              <c:f>'Vnější vztahy 2'!$A$7</c:f>
              <c:strCache>
                <c:ptCount val="1"/>
                <c:pt idx="0">
                  <c:v>2021</c:v>
                </c:pt>
              </c:strCache>
            </c:strRef>
          </c:tx>
          <c:spPr>
            <a:solidFill>
              <a:schemeClr val="bg1">
                <a:lumMod val="65000"/>
              </a:schemeClr>
            </a:solidFill>
          </c:spPr>
          <c:invertIfNegative val="0"/>
          <c:val>
            <c:numRef>
              <c:f>'Vnější vztahy 2'!$B$7:$N$7</c:f>
              <c:numCache>
                <c:formatCode>General</c:formatCode>
                <c:ptCount val="13"/>
                <c:pt idx="0">
                  <c:v>-21.61</c:v>
                </c:pt>
                <c:pt idx="1">
                  <c:v>-8.2349999999999994</c:v>
                </c:pt>
                <c:pt idx="2">
                  <c:v>-5.516</c:v>
                </c:pt>
                <c:pt idx="3">
                  <c:v>-3.8759999999999999</c:v>
                </c:pt>
                <c:pt idx="4">
                  <c:v>-30.536000000000001</c:v>
                </c:pt>
                <c:pt idx="5">
                  <c:v>-21.053999999999998</c:v>
                </c:pt>
                <c:pt idx="6">
                  <c:v>6.3140000000000001</c:v>
                </c:pt>
                <c:pt idx="7">
                  <c:v>-30.349</c:v>
                </c:pt>
                <c:pt idx="8">
                  <c:v>16.678000000000001</c:v>
                </c:pt>
                <c:pt idx="9">
                  <c:v>-6.6059999999999999</c:v>
                </c:pt>
                <c:pt idx="10">
                  <c:v>5.8</c:v>
                </c:pt>
                <c:pt idx="11">
                  <c:v>19.024999999999999</c:v>
                </c:pt>
                <c:pt idx="12">
                  <c:v>126.437</c:v>
                </c:pt>
              </c:numCache>
            </c:numRef>
          </c:val>
          <c:extLst>
            <c:ext xmlns:c16="http://schemas.microsoft.com/office/drawing/2014/chart" uri="{C3380CC4-5D6E-409C-BE32-E72D297353CC}">
              <c16:uniqueId val="{00000001-8C2D-4E9C-8B77-FC3305BEEE77}"/>
            </c:ext>
          </c:extLst>
        </c:ser>
        <c:dLbls>
          <c:showLegendKey val="0"/>
          <c:showVal val="0"/>
          <c:showCatName val="0"/>
          <c:showSerName val="0"/>
          <c:showPercent val="0"/>
          <c:showBubbleSize val="0"/>
        </c:dLbls>
        <c:gapWidth val="97"/>
        <c:axId val="269967744"/>
        <c:axId val="269969280"/>
      </c:barChart>
      <c:catAx>
        <c:axId val="269967744"/>
        <c:scaling>
          <c:orientation val="minMax"/>
        </c:scaling>
        <c:delete val="0"/>
        <c:axPos val="b"/>
        <c:numFmt formatCode="General" sourceLinked="0"/>
        <c:majorTickMark val="out"/>
        <c:minorTickMark val="none"/>
        <c:tickLblPos val="low"/>
        <c:spPr>
          <a:ln>
            <a:solidFill>
              <a:schemeClr val="tx1"/>
            </a:solidFill>
          </a:ln>
        </c:spPr>
        <c:txPr>
          <a:bodyPr rot="-5400000" vert="horz"/>
          <a:lstStyle/>
          <a:p>
            <a:pPr>
              <a:defRPr/>
            </a:pPr>
            <a:endParaRPr lang="cs-CZ"/>
          </a:p>
        </c:txPr>
        <c:crossAx val="269969280"/>
        <c:crosses val="autoZero"/>
        <c:auto val="1"/>
        <c:lblAlgn val="ctr"/>
        <c:lblOffset val="100"/>
        <c:noMultiLvlLbl val="0"/>
      </c:catAx>
      <c:valAx>
        <c:axId val="269969280"/>
        <c:scaling>
          <c:orientation val="minMax"/>
        </c:scaling>
        <c:delete val="0"/>
        <c:axPos val="l"/>
        <c:majorGridlines>
          <c:spPr>
            <a:ln w="6350">
              <a:solidFill>
                <a:schemeClr val="bg1">
                  <a:lumMod val="75000"/>
                </a:schemeClr>
              </a:solidFill>
            </a:ln>
          </c:spPr>
        </c:majorGridlines>
        <c:numFmt formatCode="General" sourceLinked="1"/>
        <c:majorTickMark val="out"/>
        <c:minorTickMark val="none"/>
        <c:tickLblPos val="nextTo"/>
        <c:crossAx val="269967744"/>
        <c:crosses val="autoZero"/>
        <c:crossBetween val="between"/>
      </c:valAx>
      <c:spPr>
        <a:ln>
          <a:solidFill>
            <a:schemeClr val="tx1"/>
          </a:solidFill>
        </a:ln>
      </c:spPr>
    </c:plotArea>
    <c:legend>
      <c:legendPos val="b"/>
      <c:layout>
        <c:manualLayout>
          <c:xMode val="edge"/>
          <c:yMode val="edge"/>
          <c:x val="7.9999155690645057E-2"/>
          <c:y val="0.93271781816746591"/>
          <c:w val="0.90181273218507263"/>
          <c:h val="5.4750853511732103E-2"/>
        </c:manualLayout>
      </c:layout>
      <c:overlay val="1"/>
      <c:spPr>
        <a:ln w="6350">
          <a:solidFill>
            <a:sysClr val="windowText" lastClr="000000"/>
          </a:solidFill>
        </a:ln>
      </c:spPr>
    </c:legend>
    <c:plotVisOnly val="1"/>
    <c:dispBlanksAs val="gap"/>
    <c:showDLblsOverMax val="0"/>
  </c:chart>
  <c:spPr>
    <a:ln>
      <a:noFill/>
    </a:ln>
  </c:spPr>
  <c:txPr>
    <a:bodyPr/>
    <a:lstStyle/>
    <a:p>
      <a:pPr>
        <a:defRPr sz="800" baseline="0">
          <a:latin typeface="Arial" panose="020B0604020202020204" pitchFamily="34" charset="0"/>
          <a:cs typeface="Arial" panose="020B0604020202020204" pitchFamily="34" charset="0"/>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568840579710145E-2"/>
          <c:y val="2.1811315924220299E-2"/>
          <c:w val="0.92237743255066085"/>
          <c:h val="0.71471575213004157"/>
        </c:manualLayout>
      </c:layout>
      <c:barChart>
        <c:barDir val="col"/>
        <c:grouping val="clustered"/>
        <c:varyColors val="0"/>
        <c:ser>
          <c:idx val="0"/>
          <c:order val="0"/>
          <c:tx>
            <c:strRef>
              <c:f>'Ceny 2'!$C$5</c:f>
              <c:strCache>
                <c:ptCount val="1"/>
                <c:pt idx="0">
                  <c:v>Celkem</c:v>
                </c:pt>
              </c:strCache>
            </c:strRef>
          </c:tx>
          <c:spPr>
            <a:solidFill>
              <a:schemeClr val="bg1">
                <a:lumMod val="65000"/>
              </a:schemeClr>
            </a:solidFill>
            <a:ln w="19050">
              <a:noFill/>
            </a:ln>
          </c:spPr>
          <c:invertIfNegative val="0"/>
          <c:cat>
            <c:multiLvlStrRef>
              <c:f>'Ceny 2'!$A$22:$B$42</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2016</c:v>
                  </c:pt>
                  <c:pt idx="4">
                    <c:v>2017</c:v>
                  </c:pt>
                  <c:pt idx="8">
                    <c:v>2018</c:v>
                  </c:pt>
                  <c:pt idx="12">
                    <c:v>2019</c:v>
                  </c:pt>
                  <c:pt idx="16">
                    <c:v>2020</c:v>
                  </c:pt>
                  <c:pt idx="20">
                    <c:v>2021</c:v>
                  </c:pt>
                </c:lvl>
              </c:multiLvlStrCache>
            </c:multiLvlStrRef>
          </c:cat>
          <c:val>
            <c:numRef>
              <c:f>'Ceny 2'!$C$22:$C$42</c:f>
              <c:numCache>
                <c:formatCode>0.0</c:formatCode>
                <c:ptCount val="21"/>
                <c:pt idx="0">
                  <c:v>0.5</c:v>
                </c:pt>
                <c:pt idx="1">
                  <c:v>0.20000000000000284</c:v>
                </c:pt>
                <c:pt idx="2">
                  <c:v>0.5</c:v>
                </c:pt>
                <c:pt idx="3">
                  <c:v>1.4000000000000057</c:v>
                </c:pt>
                <c:pt idx="4" formatCode="General">
                  <c:v>2.4000000000000057</c:v>
                </c:pt>
                <c:pt idx="5" formatCode="General">
                  <c:v>2.2000000000000028</c:v>
                </c:pt>
                <c:pt idx="6">
                  <c:v>2.5</c:v>
                </c:pt>
                <c:pt idx="7">
                  <c:v>2.6</c:v>
                </c:pt>
                <c:pt idx="8">
                  <c:v>1.9</c:v>
                </c:pt>
                <c:pt idx="9">
                  <c:v>2.2999999999999998</c:v>
                </c:pt>
                <c:pt idx="10">
                  <c:v>2.4</c:v>
                </c:pt>
                <c:pt idx="11">
                  <c:v>2.1</c:v>
                </c:pt>
                <c:pt idx="12">
                  <c:v>2.7</c:v>
                </c:pt>
                <c:pt idx="13">
                  <c:v>2.8</c:v>
                </c:pt>
                <c:pt idx="14">
                  <c:v>2.8</c:v>
                </c:pt>
                <c:pt idx="15">
                  <c:v>3</c:v>
                </c:pt>
                <c:pt idx="16">
                  <c:v>3.6</c:v>
                </c:pt>
                <c:pt idx="17">
                  <c:v>3.1</c:v>
                </c:pt>
                <c:pt idx="18">
                  <c:v>3.3</c:v>
                </c:pt>
                <c:pt idx="19">
                  <c:v>2.6</c:v>
                </c:pt>
                <c:pt idx="20">
                  <c:v>2.2000000000000002</c:v>
                </c:pt>
              </c:numCache>
            </c:numRef>
          </c:val>
          <c:extLst>
            <c:ext xmlns:c16="http://schemas.microsoft.com/office/drawing/2014/chart" uri="{C3380CC4-5D6E-409C-BE32-E72D297353CC}">
              <c16:uniqueId val="{00000000-FBB1-4055-BB94-75344FEB99DD}"/>
            </c:ext>
          </c:extLst>
        </c:ser>
        <c:dLbls>
          <c:showLegendKey val="0"/>
          <c:showVal val="0"/>
          <c:showCatName val="0"/>
          <c:showSerName val="0"/>
          <c:showPercent val="0"/>
          <c:showBubbleSize val="0"/>
        </c:dLbls>
        <c:gapWidth val="95"/>
        <c:axId val="270120064"/>
        <c:axId val="270121600"/>
      </c:barChart>
      <c:lineChart>
        <c:grouping val="standard"/>
        <c:varyColors val="0"/>
        <c:ser>
          <c:idx val="1"/>
          <c:order val="1"/>
          <c:tx>
            <c:strRef>
              <c:f>'Ceny 2'!$D$5</c:f>
              <c:strCache>
                <c:ptCount val="1"/>
                <c:pt idx="0">
                  <c:v>Potraviny a nealkoholické nápoje</c:v>
                </c:pt>
              </c:strCache>
            </c:strRef>
          </c:tx>
          <c:spPr>
            <a:ln w="19050">
              <a:solidFill>
                <a:srgbClr val="0071BC"/>
              </a:solidFill>
            </a:ln>
          </c:spPr>
          <c:marker>
            <c:symbol val="none"/>
          </c:marker>
          <c:cat>
            <c:multiLvlStrRef>
              <c:f>'Ceny 2'!$A$22:$B$42</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2016</c:v>
                  </c:pt>
                  <c:pt idx="4">
                    <c:v>2017</c:v>
                  </c:pt>
                  <c:pt idx="8">
                    <c:v>2018</c:v>
                  </c:pt>
                  <c:pt idx="12">
                    <c:v>2019</c:v>
                  </c:pt>
                  <c:pt idx="16">
                    <c:v>2020</c:v>
                  </c:pt>
                  <c:pt idx="20">
                    <c:v>2021</c:v>
                  </c:pt>
                </c:lvl>
              </c:multiLvlStrCache>
            </c:multiLvlStrRef>
          </c:cat>
          <c:val>
            <c:numRef>
              <c:f>'Ceny 2'!$D$22:$D$42</c:f>
              <c:numCache>
                <c:formatCode>0.0</c:formatCode>
                <c:ptCount val="21"/>
                <c:pt idx="0">
                  <c:v>-1.7000000000000028</c:v>
                </c:pt>
                <c:pt idx="1">
                  <c:v>-2.4000000000000057</c:v>
                </c:pt>
                <c:pt idx="2">
                  <c:v>-0.79999999999999716</c:v>
                </c:pt>
                <c:pt idx="3">
                  <c:v>1.2000000000000028</c:v>
                </c:pt>
                <c:pt idx="4" formatCode="General">
                  <c:v>4.2000000000000028</c:v>
                </c:pt>
                <c:pt idx="5" formatCode="General">
                  <c:v>4.5</c:v>
                </c:pt>
                <c:pt idx="6">
                  <c:v>5.7</c:v>
                </c:pt>
                <c:pt idx="7">
                  <c:v>6.3</c:v>
                </c:pt>
                <c:pt idx="8">
                  <c:v>2.9</c:v>
                </c:pt>
                <c:pt idx="9" formatCode="#\ ##0.0_ ;\-#\ ##0.0\ ">
                  <c:v>2.2999999999999998</c:v>
                </c:pt>
                <c:pt idx="10">
                  <c:v>0.6</c:v>
                </c:pt>
                <c:pt idx="11">
                  <c:v>-0.5</c:v>
                </c:pt>
                <c:pt idx="12">
                  <c:v>1</c:v>
                </c:pt>
                <c:pt idx="13">
                  <c:v>2.5</c:v>
                </c:pt>
                <c:pt idx="14">
                  <c:v>3.5</c:v>
                </c:pt>
                <c:pt idx="15">
                  <c:v>4.3</c:v>
                </c:pt>
                <c:pt idx="16">
                  <c:v>6.1</c:v>
                </c:pt>
                <c:pt idx="17">
                  <c:v>6.5</c:v>
                </c:pt>
                <c:pt idx="18">
                  <c:v>4</c:v>
                </c:pt>
                <c:pt idx="19">
                  <c:v>1.7</c:v>
                </c:pt>
                <c:pt idx="20">
                  <c:v>0.3</c:v>
                </c:pt>
              </c:numCache>
            </c:numRef>
          </c:val>
          <c:smooth val="0"/>
          <c:extLst>
            <c:ext xmlns:c16="http://schemas.microsoft.com/office/drawing/2014/chart" uri="{C3380CC4-5D6E-409C-BE32-E72D297353CC}">
              <c16:uniqueId val="{00000001-FBB1-4055-BB94-75344FEB99DD}"/>
            </c:ext>
          </c:extLst>
        </c:ser>
        <c:ser>
          <c:idx val="3"/>
          <c:order val="2"/>
          <c:tx>
            <c:strRef>
              <c:f>'Ceny 2'!$F$5</c:f>
              <c:strCache>
                <c:ptCount val="1"/>
                <c:pt idx="0">
                  <c:v>Bydlení a energie</c:v>
                </c:pt>
              </c:strCache>
            </c:strRef>
          </c:tx>
          <c:spPr>
            <a:ln w="19050">
              <a:solidFill>
                <a:srgbClr val="7DBB2D"/>
              </a:solidFill>
            </a:ln>
          </c:spPr>
          <c:marker>
            <c:symbol val="none"/>
          </c:marker>
          <c:cat>
            <c:multiLvlStrRef>
              <c:f>'Ceny 2'!$A$22:$B$42</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2016</c:v>
                  </c:pt>
                  <c:pt idx="4">
                    <c:v>2017</c:v>
                  </c:pt>
                  <c:pt idx="8">
                    <c:v>2018</c:v>
                  </c:pt>
                  <c:pt idx="12">
                    <c:v>2019</c:v>
                  </c:pt>
                  <c:pt idx="16">
                    <c:v>2020</c:v>
                  </c:pt>
                  <c:pt idx="20">
                    <c:v>2021</c:v>
                  </c:pt>
                </c:lvl>
              </c:multiLvlStrCache>
            </c:multiLvlStrRef>
          </c:cat>
          <c:val>
            <c:numRef>
              <c:f>'Ceny 2'!$F$22:$F$42</c:f>
              <c:numCache>
                <c:formatCode>0.0</c:formatCode>
                <c:ptCount val="21"/>
                <c:pt idx="0">
                  <c:v>0.90000000000000568</c:v>
                </c:pt>
                <c:pt idx="1">
                  <c:v>0.5</c:v>
                </c:pt>
                <c:pt idx="2">
                  <c:v>0.40000000000000568</c:v>
                </c:pt>
                <c:pt idx="3">
                  <c:v>0.59999999999999432</c:v>
                </c:pt>
                <c:pt idx="4" formatCode="General">
                  <c:v>0.79999999999999716</c:v>
                </c:pt>
                <c:pt idx="5" formatCode="General">
                  <c:v>1.5</c:v>
                </c:pt>
                <c:pt idx="6">
                  <c:v>2.1</c:v>
                </c:pt>
                <c:pt idx="7">
                  <c:v>2.2000000000000002</c:v>
                </c:pt>
                <c:pt idx="8">
                  <c:v>2.2999999999999998</c:v>
                </c:pt>
                <c:pt idx="9">
                  <c:v>2.6</c:v>
                </c:pt>
                <c:pt idx="10">
                  <c:v>3.2</c:v>
                </c:pt>
                <c:pt idx="11">
                  <c:v>3.8</c:v>
                </c:pt>
                <c:pt idx="12">
                  <c:v>5.4</c:v>
                </c:pt>
                <c:pt idx="13">
                  <c:v>5.7</c:v>
                </c:pt>
                <c:pt idx="14">
                  <c:v>5.2</c:v>
                </c:pt>
                <c:pt idx="15">
                  <c:v>5</c:v>
                </c:pt>
                <c:pt idx="16">
                  <c:v>4.2</c:v>
                </c:pt>
                <c:pt idx="17">
                  <c:v>3.2</c:v>
                </c:pt>
                <c:pt idx="18">
                  <c:v>2.7</c:v>
                </c:pt>
                <c:pt idx="19">
                  <c:v>1.4</c:v>
                </c:pt>
                <c:pt idx="20">
                  <c:v>0.6</c:v>
                </c:pt>
              </c:numCache>
            </c:numRef>
          </c:val>
          <c:smooth val="0"/>
          <c:extLst>
            <c:ext xmlns:c16="http://schemas.microsoft.com/office/drawing/2014/chart" uri="{C3380CC4-5D6E-409C-BE32-E72D297353CC}">
              <c16:uniqueId val="{00000002-FBB1-4055-BB94-75344FEB99DD}"/>
            </c:ext>
          </c:extLst>
        </c:ser>
        <c:ser>
          <c:idx val="4"/>
          <c:order val="3"/>
          <c:tx>
            <c:strRef>
              <c:f>'Ceny 2'!$G$5</c:f>
              <c:strCache>
                <c:ptCount val="1"/>
                <c:pt idx="0">
                  <c:v>Doprava</c:v>
                </c:pt>
              </c:strCache>
            </c:strRef>
          </c:tx>
          <c:spPr>
            <a:ln w="19050">
              <a:solidFill>
                <a:srgbClr val="FFC000"/>
              </a:solidFill>
            </a:ln>
          </c:spPr>
          <c:marker>
            <c:symbol val="none"/>
          </c:marker>
          <c:cat>
            <c:multiLvlStrRef>
              <c:f>'Ceny 2'!$A$22:$B$42</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2016</c:v>
                  </c:pt>
                  <c:pt idx="4">
                    <c:v>2017</c:v>
                  </c:pt>
                  <c:pt idx="8">
                    <c:v>2018</c:v>
                  </c:pt>
                  <c:pt idx="12">
                    <c:v>2019</c:v>
                  </c:pt>
                  <c:pt idx="16">
                    <c:v>2020</c:v>
                  </c:pt>
                  <c:pt idx="20">
                    <c:v>2021</c:v>
                  </c:pt>
                </c:lvl>
              </c:multiLvlStrCache>
            </c:multiLvlStrRef>
          </c:cat>
          <c:val>
            <c:numRef>
              <c:f>'Ceny 2'!$G$22:$G$42</c:f>
              <c:numCache>
                <c:formatCode>General</c:formatCode>
                <c:ptCount val="21"/>
                <c:pt idx="0">
                  <c:v>-2.7000000000000028</c:v>
                </c:pt>
                <c:pt idx="1">
                  <c:v>-2.9000000000000057</c:v>
                </c:pt>
                <c:pt idx="2">
                  <c:v>-2.2999999999999972</c:v>
                </c:pt>
                <c:pt idx="3">
                  <c:v>1.0999999999999943</c:v>
                </c:pt>
                <c:pt idx="4">
                  <c:v>6</c:v>
                </c:pt>
                <c:pt idx="5">
                  <c:v>3.9000000000000057</c:v>
                </c:pt>
                <c:pt idx="6" formatCode="0.0">
                  <c:v>2.5</c:v>
                </c:pt>
                <c:pt idx="7" formatCode="0.0">
                  <c:v>2.5</c:v>
                </c:pt>
                <c:pt idx="8" formatCode="0.0">
                  <c:v>1</c:v>
                </c:pt>
                <c:pt idx="9" formatCode="0.0">
                  <c:v>3</c:v>
                </c:pt>
                <c:pt idx="10" formatCode="0.0">
                  <c:v>4.5</c:v>
                </c:pt>
                <c:pt idx="11" formatCode="0.0">
                  <c:v>2.6</c:v>
                </c:pt>
                <c:pt idx="12" formatCode="0.0">
                  <c:v>0.6</c:v>
                </c:pt>
                <c:pt idx="13" formatCode="0.0">
                  <c:v>0.8</c:v>
                </c:pt>
                <c:pt idx="14" formatCode="0.0">
                  <c:v>-0.2</c:v>
                </c:pt>
                <c:pt idx="15" formatCode="0.0">
                  <c:v>0.5</c:v>
                </c:pt>
                <c:pt idx="16">
                  <c:v>1.7</c:v>
                </c:pt>
                <c:pt idx="17" formatCode="0.0">
                  <c:v>-3.4</c:v>
                </c:pt>
                <c:pt idx="18" formatCode="0.0">
                  <c:v>-0.2</c:v>
                </c:pt>
                <c:pt idx="19" formatCode="0.0">
                  <c:v>0.6</c:v>
                </c:pt>
                <c:pt idx="20" formatCode="0.0">
                  <c:v>2.4</c:v>
                </c:pt>
              </c:numCache>
            </c:numRef>
          </c:val>
          <c:smooth val="0"/>
          <c:extLst>
            <c:ext xmlns:c16="http://schemas.microsoft.com/office/drawing/2014/chart" uri="{C3380CC4-5D6E-409C-BE32-E72D297353CC}">
              <c16:uniqueId val="{00000003-FBB1-4055-BB94-75344FEB99DD}"/>
            </c:ext>
          </c:extLst>
        </c:ser>
        <c:ser>
          <c:idx val="2"/>
          <c:order val="4"/>
          <c:tx>
            <c:strRef>
              <c:f>'Ceny 2'!$E$5</c:f>
              <c:strCache>
                <c:ptCount val="1"/>
                <c:pt idx="0">
                  <c:v>Alkoholické nápoje a tabák</c:v>
                </c:pt>
              </c:strCache>
            </c:strRef>
          </c:tx>
          <c:spPr>
            <a:ln w="19050">
              <a:solidFill>
                <a:schemeClr val="accent2"/>
              </a:solidFill>
            </a:ln>
          </c:spPr>
          <c:marker>
            <c:symbol val="none"/>
          </c:marker>
          <c:cat>
            <c:multiLvlStrRef>
              <c:f>'Ceny 2'!$A$22:$B$42</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2016</c:v>
                  </c:pt>
                  <c:pt idx="4">
                    <c:v>2017</c:v>
                  </c:pt>
                  <c:pt idx="8">
                    <c:v>2018</c:v>
                  </c:pt>
                  <c:pt idx="12">
                    <c:v>2019</c:v>
                  </c:pt>
                  <c:pt idx="16">
                    <c:v>2020</c:v>
                  </c:pt>
                  <c:pt idx="20">
                    <c:v>2021</c:v>
                  </c:pt>
                </c:lvl>
              </c:multiLvlStrCache>
            </c:multiLvlStrRef>
          </c:cat>
          <c:val>
            <c:numRef>
              <c:f>'Ceny 2'!$E$22:$E$42</c:f>
              <c:numCache>
                <c:formatCode>0.0</c:formatCode>
                <c:ptCount val="21"/>
                <c:pt idx="0">
                  <c:v>3.5</c:v>
                </c:pt>
                <c:pt idx="1">
                  <c:v>4.4000000000000057</c:v>
                </c:pt>
                <c:pt idx="2">
                  <c:v>4.5</c:v>
                </c:pt>
                <c:pt idx="3">
                  <c:v>5.2000000000000028</c:v>
                </c:pt>
                <c:pt idx="4" formatCode="General">
                  <c:v>3.4000000000000057</c:v>
                </c:pt>
                <c:pt idx="5" formatCode="General">
                  <c:v>0.79999999999999716</c:v>
                </c:pt>
                <c:pt idx="6">
                  <c:v>1.3</c:v>
                </c:pt>
                <c:pt idx="7">
                  <c:v>1.5</c:v>
                </c:pt>
                <c:pt idx="8">
                  <c:v>2.5</c:v>
                </c:pt>
                <c:pt idx="9">
                  <c:v>3.6</c:v>
                </c:pt>
                <c:pt idx="10">
                  <c:v>2.8</c:v>
                </c:pt>
                <c:pt idx="11">
                  <c:v>3.1</c:v>
                </c:pt>
                <c:pt idx="12">
                  <c:v>3.3</c:v>
                </c:pt>
                <c:pt idx="13">
                  <c:v>1.7</c:v>
                </c:pt>
                <c:pt idx="14">
                  <c:v>1.9</c:v>
                </c:pt>
                <c:pt idx="15">
                  <c:v>1.8</c:v>
                </c:pt>
                <c:pt idx="16" formatCode="General">
                  <c:v>3.5</c:v>
                </c:pt>
                <c:pt idx="17">
                  <c:v>6.6</c:v>
                </c:pt>
                <c:pt idx="18">
                  <c:v>10.3</c:v>
                </c:pt>
                <c:pt idx="19">
                  <c:v>9.9</c:v>
                </c:pt>
                <c:pt idx="20">
                  <c:v>9.9</c:v>
                </c:pt>
              </c:numCache>
            </c:numRef>
          </c:val>
          <c:smooth val="0"/>
          <c:extLst>
            <c:ext xmlns:c16="http://schemas.microsoft.com/office/drawing/2014/chart" uri="{C3380CC4-5D6E-409C-BE32-E72D297353CC}">
              <c16:uniqueId val="{00000004-FBB1-4055-BB94-75344FEB99DD}"/>
            </c:ext>
          </c:extLst>
        </c:ser>
        <c:ser>
          <c:idx val="5"/>
          <c:order val="5"/>
          <c:tx>
            <c:strRef>
              <c:f>'Ceny 2'!$H$5</c:f>
              <c:strCache>
                <c:ptCount val="1"/>
                <c:pt idx="0">
                  <c:v>Stravování a ubytování</c:v>
                </c:pt>
              </c:strCache>
            </c:strRef>
          </c:tx>
          <c:spPr>
            <a:ln w="19050">
              <a:solidFill>
                <a:srgbClr val="7030A0"/>
              </a:solidFill>
            </a:ln>
          </c:spPr>
          <c:marker>
            <c:symbol val="none"/>
          </c:marker>
          <c:cat>
            <c:multiLvlStrRef>
              <c:f>'Ceny 2'!$A$22:$B$42</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2016</c:v>
                  </c:pt>
                  <c:pt idx="4">
                    <c:v>2017</c:v>
                  </c:pt>
                  <c:pt idx="8">
                    <c:v>2018</c:v>
                  </c:pt>
                  <c:pt idx="12">
                    <c:v>2019</c:v>
                  </c:pt>
                  <c:pt idx="16">
                    <c:v>2020</c:v>
                  </c:pt>
                  <c:pt idx="20">
                    <c:v>2021</c:v>
                  </c:pt>
                </c:lvl>
              </c:multiLvlStrCache>
            </c:multiLvlStrRef>
          </c:cat>
          <c:val>
            <c:numRef>
              <c:f>'Ceny 2'!$H$22:$H$42</c:f>
              <c:numCache>
                <c:formatCode>###\ ###\ ##0.0</c:formatCode>
                <c:ptCount val="21"/>
                <c:pt idx="0">
                  <c:v>1.2000000000000028</c:v>
                </c:pt>
                <c:pt idx="1">
                  <c:v>1.0999999999999943</c:v>
                </c:pt>
                <c:pt idx="2">
                  <c:v>1.2000000000000028</c:v>
                </c:pt>
                <c:pt idx="3">
                  <c:v>2.7000000000000028</c:v>
                </c:pt>
                <c:pt idx="4">
                  <c:v>5.2000000000000028</c:v>
                </c:pt>
                <c:pt idx="5">
                  <c:v>5.7999999999999972</c:v>
                </c:pt>
                <c:pt idx="6">
                  <c:v>6.2999999999999972</c:v>
                </c:pt>
                <c:pt idx="7" formatCode="0.0">
                  <c:v>5.6</c:v>
                </c:pt>
                <c:pt idx="8" formatCode="0.0">
                  <c:v>3.5</c:v>
                </c:pt>
                <c:pt idx="9" formatCode="0.0">
                  <c:v>3.6</c:v>
                </c:pt>
                <c:pt idx="10" formatCode="0.0">
                  <c:v>3.5</c:v>
                </c:pt>
                <c:pt idx="11" formatCode="0.0">
                  <c:v>3.7</c:v>
                </c:pt>
                <c:pt idx="12" formatCode="0.0">
                  <c:v>3.8</c:v>
                </c:pt>
                <c:pt idx="13" formatCode="0.0">
                  <c:v>4</c:v>
                </c:pt>
                <c:pt idx="14" formatCode="0.0">
                  <c:v>4.5</c:v>
                </c:pt>
                <c:pt idx="15" formatCode="0.0">
                  <c:v>4.5999999999999996</c:v>
                </c:pt>
                <c:pt idx="16" formatCode="0.0">
                  <c:v>5.5</c:v>
                </c:pt>
                <c:pt idx="17" formatCode="0.0">
                  <c:v>5.0999999999999996</c:v>
                </c:pt>
                <c:pt idx="18" formatCode="0.0">
                  <c:v>4.9000000000000004</c:v>
                </c:pt>
                <c:pt idx="19" formatCode="0.0">
                  <c:v>4.3</c:v>
                </c:pt>
                <c:pt idx="20" formatCode="0.0">
                  <c:v>3</c:v>
                </c:pt>
              </c:numCache>
            </c:numRef>
          </c:val>
          <c:smooth val="0"/>
          <c:extLst>
            <c:ext xmlns:c16="http://schemas.microsoft.com/office/drawing/2014/chart" uri="{C3380CC4-5D6E-409C-BE32-E72D297353CC}">
              <c16:uniqueId val="{00000005-FBB1-4055-BB94-75344FEB99DD}"/>
            </c:ext>
          </c:extLst>
        </c:ser>
        <c:dLbls>
          <c:showLegendKey val="0"/>
          <c:showVal val="0"/>
          <c:showCatName val="0"/>
          <c:showSerName val="0"/>
          <c:showPercent val="0"/>
          <c:showBubbleSize val="0"/>
        </c:dLbls>
        <c:marker val="1"/>
        <c:smooth val="0"/>
        <c:axId val="270120064"/>
        <c:axId val="270121600"/>
      </c:lineChart>
      <c:catAx>
        <c:axId val="270120064"/>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270121600"/>
        <c:crosses val="autoZero"/>
        <c:auto val="1"/>
        <c:lblAlgn val="ctr"/>
        <c:lblOffset val="100"/>
        <c:noMultiLvlLbl val="0"/>
      </c:catAx>
      <c:valAx>
        <c:axId val="270121600"/>
        <c:scaling>
          <c:orientation val="minMax"/>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0120064"/>
        <c:crosses val="autoZero"/>
        <c:crossBetween val="between"/>
        <c:majorUnit val="1"/>
      </c:valAx>
      <c:spPr>
        <a:ln>
          <a:solidFill>
            <a:schemeClr val="tx1"/>
          </a:solidFill>
        </a:ln>
      </c:spPr>
    </c:plotArea>
    <c:legend>
      <c:legendPos val="b"/>
      <c:layout>
        <c:manualLayout>
          <c:xMode val="edge"/>
          <c:yMode val="edge"/>
          <c:x val="5.3882134414049307E-2"/>
          <c:y val="0.85444938788566116"/>
          <c:w val="0.92202296521445437"/>
          <c:h val="0.1381645293553171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BAF7A-C4D4-447A-B367-859002D6D130}">
  <ds:schemaRefs>
    <ds:schemaRef ds:uri="http://schemas.openxmlformats.org/officeDocument/2006/bibliography"/>
  </ds:schemaRefs>
</ds:datastoreItem>
</file>

<file path=customXml/itemProps2.xml><?xml version="1.0" encoding="utf-8"?>
<ds:datastoreItem xmlns:ds="http://schemas.openxmlformats.org/officeDocument/2006/customXml" ds:itemID="{8D41E21C-E469-4054-BF6C-B631B3CA0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6</TotalTime>
  <Pages>33</Pages>
  <Words>13086</Words>
  <Characters>73676</Characters>
  <Application>Microsoft Office Word</Application>
  <DocSecurity>0</DocSecurity>
  <Lines>1116</Lines>
  <Paragraphs>326</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86436</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Mgr. Karolína Zábojníková</cp:lastModifiedBy>
  <cp:revision>3</cp:revision>
  <cp:lastPrinted>2019-04-08T10:52:00Z</cp:lastPrinted>
  <dcterms:created xsi:type="dcterms:W3CDTF">2021-06-15T07:59:00Z</dcterms:created>
  <dcterms:modified xsi:type="dcterms:W3CDTF">2021-06-15T08:04:00Z</dcterms:modified>
</cp:coreProperties>
</file>