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9C0696" w:rsidRDefault="00935BD4" w:rsidP="000D3058">
      <w:pPr>
        <w:pStyle w:val="Nadpis11"/>
        <w:rPr>
          <w:lang w:val="en-GB"/>
        </w:rPr>
      </w:pPr>
      <w:bookmarkStart w:id="0" w:name="_Toc5708395"/>
      <w:bookmarkStart w:id="1" w:name="_GoBack"/>
      <w:bookmarkEnd w:id="1"/>
      <w:r w:rsidRPr="009C0696">
        <w:rPr>
          <w:lang w:val="en-GB"/>
        </w:rPr>
        <w:t>7. M</w:t>
      </w:r>
      <w:r w:rsidR="00E50E4A" w:rsidRPr="009C0696">
        <w:rPr>
          <w:lang w:val="en-GB"/>
        </w:rPr>
        <w:t>onetary Conditions</w:t>
      </w:r>
      <w:bookmarkEnd w:id="0"/>
    </w:p>
    <w:tbl>
      <w:tblPr>
        <w:tblW w:w="9639" w:type="dxa"/>
        <w:tblInd w:w="-15" w:type="dxa"/>
        <w:tblCellMar>
          <w:left w:w="0" w:type="dxa"/>
          <w:right w:w="0" w:type="dxa"/>
        </w:tblCellMar>
        <w:tblLook w:val="00A0" w:firstRow="1" w:lastRow="0" w:firstColumn="1" w:lastColumn="0" w:noHBand="0" w:noVBand="0"/>
      </w:tblPr>
      <w:tblGrid>
        <w:gridCol w:w="1801"/>
        <w:gridCol w:w="228"/>
        <w:gridCol w:w="7610"/>
      </w:tblGrid>
      <w:tr w:rsidR="001125EF" w:rsidRPr="009C0696" w:rsidTr="001125EF">
        <w:trPr>
          <w:trHeight w:val="145"/>
        </w:trPr>
        <w:tc>
          <w:tcPr>
            <w:tcW w:w="1888" w:type="dxa"/>
            <w:shd w:val="clear" w:color="auto" w:fill="auto"/>
            <w:tcMar>
              <w:left w:w="0" w:type="dxa"/>
            </w:tcMar>
          </w:tcPr>
          <w:p w:rsidR="001125EF" w:rsidRPr="009C0696" w:rsidRDefault="00D75CB7" w:rsidP="00723435">
            <w:pPr>
              <w:pStyle w:val="Marginlie"/>
              <w:rPr>
                <w:lang w:val="en-GB"/>
              </w:rPr>
            </w:pPr>
            <w:r w:rsidRPr="009C0696">
              <w:rPr>
                <w:lang w:val="en-GB"/>
              </w:rPr>
              <w:t>Monetary policy-relevant interest rates were increased five times during the year.</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B42D5F" w:rsidRPr="009C0696" w:rsidRDefault="00D75CB7" w:rsidP="000D2EB3">
            <w:pPr>
              <w:rPr>
                <w:b/>
                <w:bCs/>
                <w:color w:val="71818C"/>
                <w:spacing w:val="-2"/>
                <w:sz w:val="32"/>
                <w:szCs w:val="28"/>
                <w:lang w:val="en-GB"/>
              </w:rPr>
            </w:pPr>
            <w:r w:rsidRPr="009C0696">
              <w:rPr>
                <w:spacing w:val="-2"/>
                <w:lang w:val="en-GB"/>
              </w:rPr>
              <w:t>A gradual return to standard instruments of the monetary policy occurred in the area of the monetary conditions in 2018. The main monetary policy-relevant rate (two-week repo rate) increased five times during the year (in February, June, August, September and November). Interest rate grew from January 0.5% to 1.75%, and consequently it was the highest in the Central Europe by the end of the year 2018. Among the countries outside the euro area, only Romania featured a higher rate. Development of the koruna foreign exchange against euro was not characterised by any larger fluctuations. It balanced between 25 and 26 CZK per euro for the whole year, while it overtook the 26</w:t>
            </w:r>
            <w:r w:rsidR="00BD59F1">
              <w:rPr>
                <w:spacing w:val="-2"/>
                <w:lang w:val="en-GB"/>
              </w:rPr>
              <w:t> </w:t>
            </w:r>
            <w:r w:rsidRPr="009C0696">
              <w:rPr>
                <w:spacing w:val="-2"/>
                <w:lang w:val="en-GB"/>
              </w:rPr>
              <w:t xml:space="preserve">CZK boundary only shortly at the beginning of July and then in November. Koruna foreign exchange against dollar markedly weakened during May (it was on 20.58 CZK per dollar on the 20th April, 22.41 CZK on 29th May). Further </w:t>
            </w:r>
            <w:r w:rsidR="000D2EB3" w:rsidRPr="009C0696">
              <w:rPr>
                <w:spacing w:val="-2"/>
                <w:lang w:val="en-GB"/>
              </w:rPr>
              <w:t>depreciation</w:t>
            </w:r>
            <w:r w:rsidRPr="009C0696">
              <w:rPr>
                <w:spacing w:val="-2"/>
                <w:lang w:val="en-GB"/>
              </w:rPr>
              <w:t xml:space="preserve"> was observed in Q4. It shortly overtook the boundary 23 CZK per dollar in the middle of November, the year 2018 ended on 22.47 CZK. </w:t>
            </w:r>
            <w:r w:rsidR="001125EF" w:rsidRPr="009C0696">
              <w:rPr>
                <w:spacing w:val="-2"/>
                <w:lang w:val="en-GB"/>
              </w:rPr>
              <w:t xml:space="preserve"> </w:t>
            </w:r>
          </w:p>
        </w:tc>
      </w:tr>
      <w:tr w:rsidR="001125EF" w:rsidRPr="009C0696" w:rsidTr="001125EF">
        <w:trPr>
          <w:trHeight w:val="145"/>
        </w:trPr>
        <w:tc>
          <w:tcPr>
            <w:tcW w:w="1888" w:type="dxa"/>
            <w:shd w:val="clear" w:color="auto" w:fill="auto"/>
            <w:tcMar>
              <w:left w:w="0" w:type="dxa"/>
            </w:tcMar>
          </w:tcPr>
          <w:p w:rsidR="001125EF" w:rsidRPr="009C0696" w:rsidRDefault="00D75CB7" w:rsidP="00723435">
            <w:pPr>
              <w:pStyle w:val="Marginlie"/>
              <w:rPr>
                <w:lang w:val="en-GB"/>
              </w:rPr>
            </w:pPr>
            <w:r w:rsidRPr="009C0696">
              <w:rPr>
                <w:lang w:val="en-GB"/>
              </w:rPr>
              <w:t>ČNB continued in application of some instruments of macro-prudential policy.</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9C0696" w:rsidRDefault="008B1581" w:rsidP="00507012">
            <w:pPr>
              <w:rPr>
                <w:spacing w:val="-1"/>
                <w:lang w:val="en-GB"/>
              </w:rPr>
            </w:pPr>
            <w:r w:rsidRPr="009C0696">
              <w:rPr>
                <w:spacing w:val="-2"/>
                <w:lang w:val="en-GB"/>
              </w:rPr>
              <w:t xml:space="preserve">The announced increase of the countercyclical capital buffer </w:t>
            </w:r>
            <w:r w:rsidR="0007450F" w:rsidRPr="009C0696">
              <w:rPr>
                <w:spacing w:val="-2"/>
                <w:lang w:val="en-GB"/>
              </w:rPr>
              <w:t xml:space="preserve">occurred during the year </w:t>
            </w:r>
            <w:r w:rsidR="001125EF" w:rsidRPr="009C0696">
              <w:rPr>
                <w:spacing w:val="-2"/>
                <w:lang w:val="en-GB"/>
              </w:rPr>
              <w:t>(</w:t>
            </w:r>
            <w:r w:rsidR="00902EA5" w:rsidRPr="009C0696">
              <w:rPr>
                <w:spacing w:val="-2"/>
                <w:lang w:val="en-GB"/>
              </w:rPr>
              <w:t xml:space="preserve">starting </w:t>
            </w:r>
            <w:r w:rsidR="001125EF" w:rsidRPr="009C0696">
              <w:rPr>
                <w:spacing w:val="-2"/>
                <w:lang w:val="en-GB"/>
              </w:rPr>
              <w:t>1. 7.</w:t>
            </w:r>
            <w:r w:rsidR="00BE557B" w:rsidRPr="009C0696">
              <w:rPr>
                <w:spacing w:val="-2"/>
                <w:lang w:val="en-GB"/>
              </w:rPr>
              <w:t> </w:t>
            </w:r>
            <w:r w:rsidR="00902EA5" w:rsidRPr="009C0696">
              <w:rPr>
                <w:spacing w:val="-2"/>
                <w:lang w:val="en-GB"/>
              </w:rPr>
              <w:t xml:space="preserve">from </w:t>
            </w:r>
            <w:r w:rsidR="001125EF" w:rsidRPr="009C0696">
              <w:rPr>
                <w:spacing w:val="-2"/>
                <w:lang w:val="en-GB"/>
              </w:rPr>
              <w:t>0</w:t>
            </w:r>
            <w:r w:rsidR="00902EA5" w:rsidRPr="009C0696">
              <w:rPr>
                <w:spacing w:val="-2"/>
                <w:lang w:val="en-GB"/>
              </w:rPr>
              <w:t>.</w:t>
            </w:r>
            <w:r w:rsidR="001125EF" w:rsidRPr="009C0696">
              <w:rPr>
                <w:spacing w:val="-2"/>
                <w:lang w:val="en-GB"/>
              </w:rPr>
              <w:t xml:space="preserve">5% </w:t>
            </w:r>
            <w:r w:rsidR="00902EA5" w:rsidRPr="009C0696">
              <w:rPr>
                <w:spacing w:val="-2"/>
                <w:lang w:val="en-GB"/>
              </w:rPr>
              <w:t xml:space="preserve">to </w:t>
            </w:r>
            <w:r w:rsidR="001125EF" w:rsidRPr="009C0696">
              <w:rPr>
                <w:spacing w:val="-2"/>
                <w:lang w:val="en-GB"/>
              </w:rPr>
              <w:t>1</w:t>
            </w:r>
            <w:r w:rsidR="00902EA5" w:rsidRPr="009C0696">
              <w:rPr>
                <w:spacing w:val="-2"/>
                <w:lang w:val="en-GB"/>
              </w:rPr>
              <w:t>.</w:t>
            </w:r>
            <w:r w:rsidR="001125EF" w:rsidRPr="009C0696">
              <w:rPr>
                <w:spacing w:val="-2"/>
                <w:lang w:val="en-GB"/>
              </w:rPr>
              <w:t xml:space="preserve">0%). </w:t>
            </w:r>
            <w:r w:rsidR="0007450F" w:rsidRPr="009C0696">
              <w:rPr>
                <w:spacing w:val="-2"/>
                <w:lang w:val="en-GB"/>
              </w:rPr>
              <w:t xml:space="preserve">Growth to </w:t>
            </w:r>
            <w:r w:rsidR="001125EF" w:rsidRPr="009C0696">
              <w:rPr>
                <w:spacing w:val="-2"/>
                <w:lang w:val="en-GB"/>
              </w:rPr>
              <w:t>1</w:t>
            </w:r>
            <w:r w:rsidR="0007450F" w:rsidRPr="009C0696">
              <w:rPr>
                <w:spacing w:val="-2"/>
                <w:lang w:val="en-GB"/>
              </w:rPr>
              <w:t>.</w:t>
            </w:r>
            <w:r w:rsidR="001125EF" w:rsidRPr="009C0696">
              <w:rPr>
                <w:spacing w:val="-2"/>
                <w:lang w:val="en-GB"/>
              </w:rPr>
              <w:t xml:space="preserve">5% </w:t>
            </w:r>
            <w:r w:rsidR="0007450F" w:rsidRPr="009C0696">
              <w:rPr>
                <w:spacing w:val="-2"/>
                <w:lang w:val="en-GB"/>
              </w:rPr>
              <w:t xml:space="preserve">was newly introduced from </w:t>
            </w:r>
            <w:r w:rsidR="001125EF" w:rsidRPr="009C0696">
              <w:rPr>
                <w:spacing w:val="-2"/>
                <w:lang w:val="en-GB"/>
              </w:rPr>
              <w:t>1.</w:t>
            </w:r>
            <w:r w:rsidR="00BD59F1">
              <w:rPr>
                <w:spacing w:val="-2"/>
                <w:lang w:val="en-GB"/>
              </w:rPr>
              <w:t> </w:t>
            </w:r>
            <w:r w:rsidR="001125EF" w:rsidRPr="009C0696">
              <w:rPr>
                <w:spacing w:val="-2"/>
                <w:lang w:val="en-GB"/>
              </w:rPr>
              <w:t>7.</w:t>
            </w:r>
            <w:r w:rsidR="00BD59F1">
              <w:rPr>
                <w:spacing w:val="-2"/>
                <w:lang w:val="en-GB"/>
              </w:rPr>
              <w:t> </w:t>
            </w:r>
            <w:r w:rsidR="001125EF" w:rsidRPr="009C0696">
              <w:rPr>
                <w:spacing w:val="-2"/>
                <w:lang w:val="en-GB"/>
              </w:rPr>
              <w:t>2019 (</w:t>
            </w:r>
            <w:r w:rsidR="0007450F" w:rsidRPr="009C0696">
              <w:rPr>
                <w:spacing w:val="-2"/>
                <w:lang w:val="en-GB"/>
              </w:rPr>
              <w:t xml:space="preserve">from </w:t>
            </w:r>
            <w:r w:rsidR="001125EF" w:rsidRPr="009C0696">
              <w:rPr>
                <w:spacing w:val="-2"/>
                <w:lang w:val="en-GB"/>
              </w:rPr>
              <w:t>1</w:t>
            </w:r>
            <w:r w:rsidR="0007450F" w:rsidRPr="009C0696">
              <w:rPr>
                <w:spacing w:val="-2"/>
                <w:lang w:val="en-GB"/>
              </w:rPr>
              <w:t>.</w:t>
            </w:r>
            <w:r w:rsidR="001125EF" w:rsidRPr="009C0696">
              <w:rPr>
                <w:spacing w:val="-2"/>
                <w:lang w:val="en-GB"/>
              </w:rPr>
              <w:t xml:space="preserve">25% </w:t>
            </w:r>
            <w:r w:rsidR="0007450F" w:rsidRPr="009C0696">
              <w:rPr>
                <w:spacing w:val="-2"/>
                <w:lang w:val="en-GB"/>
              </w:rPr>
              <w:t xml:space="preserve">from </w:t>
            </w:r>
            <w:r w:rsidR="001125EF" w:rsidRPr="009C0696">
              <w:rPr>
                <w:spacing w:val="-2"/>
                <w:lang w:val="en-GB"/>
              </w:rPr>
              <w:t xml:space="preserve">1. 1. </w:t>
            </w:r>
            <w:r w:rsidR="0007450F" w:rsidRPr="009C0696">
              <w:rPr>
                <w:spacing w:val="-2"/>
                <w:lang w:val="en-GB"/>
              </w:rPr>
              <w:t>of this year</w:t>
            </w:r>
            <w:r w:rsidR="001125EF" w:rsidRPr="009C0696">
              <w:rPr>
                <w:spacing w:val="-2"/>
                <w:lang w:val="en-GB"/>
              </w:rPr>
              <w:t>) a</w:t>
            </w:r>
            <w:r w:rsidR="007F6E7E" w:rsidRPr="009C0696">
              <w:rPr>
                <w:spacing w:val="-2"/>
                <w:lang w:val="en-GB"/>
              </w:rPr>
              <w:t>nd</w:t>
            </w:r>
            <w:r w:rsidR="001125EF" w:rsidRPr="009C0696">
              <w:rPr>
                <w:spacing w:val="-2"/>
                <w:lang w:val="en-GB"/>
              </w:rPr>
              <w:t xml:space="preserve"> 1</w:t>
            </w:r>
            <w:r w:rsidR="007F6E7E" w:rsidRPr="009C0696">
              <w:rPr>
                <w:spacing w:val="-2"/>
                <w:lang w:val="en-GB"/>
              </w:rPr>
              <w:t>.</w:t>
            </w:r>
            <w:r w:rsidR="001125EF" w:rsidRPr="009C0696">
              <w:rPr>
                <w:spacing w:val="-2"/>
                <w:lang w:val="en-GB"/>
              </w:rPr>
              <w:t xml:space="preserve">75% </w:t>
            </w:r>
            <w:r w:rsidR="007F6E7E" w:rsidRPr="009C0696">
              <w:rPr>
                <w:spacing w:val="-2"/>
                <w:lang w:val="en-GB"/>
              </w:rPr>
              <w:t xml:space="preserve">from </w:t>
            </w:r>
            <w:r w:rsidR="001125EF" w:rsidRPr="009C0696">
              <w:rPr>
                <w:spacing w:val="-2"/>
                <w:lang w:val="en-GB"/>
              </w:rPr>
              <w:t xml:space="preserve">1. 1. 2020. </w:t>
            </w:r>
            <w:r w:rsidR="006F4B69" w:rsidRPr="009C0696">
              <w:rPr>
                <w:spacing w:val="-2"/>
                <w:lang w:val="en-GB"/>
              </w:rPr>
              <w:t xml:space="preserve">CNB executed the macro-prudential policy also using recommendations for the provision of mortgages </w:t>
            </w:r>
            <w:r w:rsidR="001125EF" w:rsidRPr="009C0696">
              <w:rPr>
                <w:spacing w:val="-2"/>
                <w:lang w:val="en-GB"/>
              </w:rPr>
              <w:t>(</w:t>
            </w:r>
            <w:r w:rsidR="006F4B69" w:rsidRPr="009C0696">
              <w:rPr>
                <w:spacing w:val="-2"/>
                <w:lang w:val="en-GB"/>
              </w:rPr>
              <w:t>issued in June</w:t>
            </w:r>
            <w:r w:rsidR="000B75D3" w:rsidRPr="009C0696">
              <w:rPr>
                <w:spacing w:val="-2"/>
                <w:lang w:val="en-GB"/>
              </w:rPr>
              <w:t xml:space="preserve"> 2018</w:t>
            </w:r>
            <w:r w:rsidR="001125EF" w:rsidRPr="009C0696">
              <w:rPr>
                <w:spacing w:val="-2"/>
                <w:lang w:val="en-GB"/>
              </w:rPr>
              <w:t>). N</w:t>
            </w:r>
            <w:r w:rsidR="0007450F" w:rsidRPr="009C0696">
              <w:rPr>
                <w:spacing w:val="-2"/>
                <w:lang w:val="en-GB"/>
              </w:rPr>
              <w:t xml:space="preserve">ewly loans above 90% </w:t>
            </w:r>
            <w:r w:rsidR="00C82778" w:rsidRPr="009C0696">
              <w:rPr>
                <w:spacing w:val="-2"/>
                <w:lang w:val="en-GB"/>
              </w:rPr>
              <w:t xml:space="preserve">of the value of the real estate purchased (LTV) </w:t>
            </w:r>
            <w:r w:rsidR="0007450F" w:rsidRPr="009C0696">
              <w:rPr>
                <w:spacing w:val="-2"/>
                <w:lang w:val="en-GB"/>
              </w:rPr>
              <w:t>should not be provided</w:t>
            </w:r>
            <w:r w:rsidR="00C82778" w:rsidRPr="009C0696">
              <w:rPr>
                <w:spacing w:val="-2"/>
                <w:lang w:val="en-GB"/>
              </w:rPr>
              <w:t>. At the same time, the banks should limit the proportion of loans with</w:t>
            </w:r>
            <w:r w:rsidR="00A22E10" w:rsidRPr="009C0696">
              <w:rPr>
                <w:spacing w:val="-2"/>
                <w:lang w:val="en-GB"/>
              </w:rPr>
              <w:t xml:space="preserve"> LTV between </w:t>
            </w:r>
            <w:r w:rsidR="001125EF" w:rsidRPr="009C0696">
              <w:rPr>
                <w:spacing w:val="-2"/>
                <w:lang w:val="en-GB"/>
              </w:rPr>
              <w:t>80 a</w:t>
            </w:r>
            <w:r w:rsidR="00A22E10" w:rsidRPr="009C0696">
              <w:rPr>
                <w:spacing w:val="-2"/>
                <w:lang w:val="en-GB"/>
              </w:rPr>
              <w:t>nd</w:t>
            </w:r>
            <w:r w:rsidR="001125EF" w:rsidRPr="009C0696">
              <w:rPr>
                <w:spacing w:val="-2"/>
                <w:lang w:val="en-GB"/>
              </w:rPr>
              <w:t xml:space="preserve"> 90% </w:t>
            </w:r>
            <w:r w:rsidR="00A22E10" w:rsidRPr="009C0696">
              <w:rPr>
                <w:spacing w:val="-2"/>
                <w:lang w:val="en-GB"/>
              </w:rPr>
              <w:t xml:space="preserve">to </w:t>
            </w:r>
            <w:r w:rsidR="001125EF" w:rsidRPr="009C0696">
              <w:rPr>
                <w:spacing w:val="-2"/>
                <w:lang w:val="en-GB"/>
              </w:rPr>
              <w:t xml:space="preserve">15% </w:t>
            </w:r>
            <w:r w:rsidR="00A22E10" w:rsidRPr="009C0696">
              <w:rPr>
                <w:spacing w:val="-2"/>
                <w:lang w:val="en-GB"/>
              </w:rPr>
              <w:t xml:space="preserve">of all provided loans. Further, it was accompanied by a recommendation, that the total indebtedness of a client </w:t>
            </w:r>
            <w:r w:rsidR="00507012" w:rsidRPr="009C0696">
              <w:rPr>
                <w:spacing w:val="-2"/>
                <w:lang w:val="en-GB"/>
              </w:rPr>
              <w:t xml:space="preserve">does not exceed the nine fold of their yearly income and the yearly cost of serving the loan were not higher than 40% of their annual income. </w:t>
            </w:r>
            <w:r w:rsidR="001125EF" w:rsidRPr="009C0696">
              <w:rPr>
                <w:spacing w:val="-2"/>
                <w:lang w:val="en-GB"/>
              </w:rPr>
              <w:t xml:space="preserve">  </w:t>
            </w:r>
          </w:p>
        </w:tc>
      </w:tr>
      <w:tr w:rsidR="001125EF" w:rsidRPr="009C0696" w:rsidTr="001125EF">
        <w:trPr>
          <w:trHeight w:val="145"/>
        </w:trPr>
        <w:tc>
          <w:tcPr>
            <w:tcW w:w="1888" w:type="dxa"/>
            <w:shd w:val="clear" w:color="auto" w:fill="auto"/>
            <w:tcMar>
              <w:left w:w="0" w:type="dxa"/>
            </w:tcMar>
          </w:tcPr>
          <w:p w:rsidR="001125EF" w:rsidRPr="009C0696" w:rsidRDefault="000D2EB3" w:rsidP="00637C3D">
            <w:pPr>
              <w:pStyle w:val="Marginlie"/>
              <w:rPr>
                <w:lang w:val="en-GB"/>
              </w:rPr>
            </w:pPr>
            <w:r w:rsidRPr="009C0696">
              <w:rPr>
                <w:lang w:val="en-GB"/>
              </w:rPr>
              <w:t xml:space="preserve">Gradually the </w:t>
            </w:r>
            <w:r w:rsidR="009C0696" w:rsidRPr="009C0696">
              <w:rPr>
                <w:lang w:val="en-GB"/>
              </w:rPr>
              <w:t>interbank</w:t>
            </w:r>
            <w:r w:rsidR="009C0696">
              <w:rPr>
                <w:lang w:val="en-GB"/>
              </w:rPr>
              <w:t xml:space="preserve"> </w:t>
            </w:r>
            <w:r w:rsidR="009C0696" w:rsidRPr="009C0696">
              <w:rPr>
                <w:lang w:val="en-GB"/>
              </w:rPr>
              <w:t>rates</w:t>
            </w:r>
            <w:r w:rsidR="00637C3D" w:rsidRPr="009C0696">
              <w:rPr>
                <w:lang w:val="en-GB"/>
              </w:rPr>
              <w:t xml:space="preserve"> also grew. </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9C0696" w:rsidRDefault="00507012" w:rsidP="009F74E1">
            <w:pPr>
              <w:rPr>
                <w:spacing w:val="-1"/>
                <w:lang w:val="en-GB"/>
              </w:rPr>
            </w:pPr>
            <w:r w:rsidRPr="009C0696">
              <w:rPr>
                <w:spacing w:val="-1"/>
                <w:lang w:val="en-GB"/>
              </w:rPr>
              <w:t xml:space="preserve">Every increase of the monetary policy-relevant interest rate also led to the growth of the interest rates on financial markets. </w:t>
            </w:r>
            <w:r w:rsidR="004A1C10" w:rsidRPr="009C0696">
              <w:rPr>
                <w:spacing w:val="-1"/>
                <w:lang w:val="en-GB"/>
              </w:rPr>
              <w:t xml:space="preserve">The three-month </w:t>
            </w:r>
            <w:r w:rsidR="001125EF" w:rsidRPr="009C0696">
              <w:rPr>
                <w:spacing w:val="-1"/>
                <w:lang w:val="en-GB"/>
              </w:rPr>
              <w:t>PRIBOR</w:t>
            </w:r>
            <w:r w:rsidR="004A1C10" w:rsidRPr="009C0696">
              <w:rPr>
                <w:spacing w:val="-1"/>
                <w:lang w:val="en-GB"/>
              </w:rPr>
              <w:t xml:space="preserve"> rate rose by 1.26 p.p. in the course of the last year </w:t>
            </w:r>
            <w:r w:rsidR="001125EF" w:rsidRPr="009C0696">
              <w:rPr>
                <w:spacing w:val="-1"/>
                <w:lang w:val="en-GB"/>
              </w:rPr>
              <w:t>(</w:t>
            </w:r>
            <w:r w:rsidR="004A1C10" w:rsidRPr="009C0696">
              <w:rPr>
                <w:spacing w:val="-1"/>
                <w:lang w:val="en-GB"/>
              </w:rPr>
              <w:t xml:space="preserve">to </w:t>
            </w:r>
            <w:r w:rsidR="001125EF" w:rsidRPr="009C0696">
              <w:rPr>
                <w:spacing w:val="-1"/>
                <w:lang w:val="en-GB"/>
              </w:rPr>
              <w:t>2</w:t>
            </w:r>
            <w:r w:rsidR="004A1C10" w:rsidRPr="009C0696">
              <w:rPr>
                <w:spacing w:val="-1"/>
                <w:lang w:val="en-GB"/>
              </w:rPr>
              <w:t>.</w:t>
            </w:r>
            <w:r w:rsidR="001125EF" w:rsidRPr="009C0696">
              <w:rPr>
                <w:spacing w:val="-1"/>
                <w:lang w:val="en-GB"/>
              </w:rPr>
              <w:t xml:space="preserve">01% </w:t>
            </w:r>
            <w:r w:rsidR="004A1C10" w:rsidRPr="009C0696">
              <w:rPr>
                <w:spacing w:val="-1"/>
                <w:lang w:val="en-GB"/>
              </w:rPr>
              <w:t xml:space="preserve">as of </w:t>
            </w:r>
            <w:r w:rsidR="001125EF" w:rsidRPr="009C0696">
              <w:rPr>
                <w:spacing w:val="-1"/>
                <w:lang w:val="en-GB"/>
              </w:rPr>
              <w:t xml:space="preserve">31. 12.). </w:t>
            </w:r>
            <w:r w:rsidR="004A1C10" w:rsidRPr="009C0696">
              <w:rPr>
                <w:spacing w:val="-1"/>
                <w:lang w:val="en-GB"/>
              </w:rPr>
              <w:t xml:space="preserve">Yields of the Czech state bonds also recorded a growth, mostly the short-term </w:t>
            </w:r>
            <w:r w:rsidR="001125EF" w:rsidRPr="009C0696">
              <w:rPr>
                <w:spacing w:val="-1"/>
                <w:lang w:val="en-GB"/>
              </w:rPr>
              <w:t>(+1</w:t>
            </w:r>
            <w:r w:rsidR="004A1C10" w:rsidRPr="009C0696">
              <w:rPr>
                <w:spacing w:val="-1"/>
                <w:lang w:val="en-GB"/>
              </w:rPr>
              <w:t>.</w:t>
            </w:r>
            <w:r w:rsidR="001125EF" w:rsidRPr="009C0696">
              <w:rPr>
                <w:spacing w:val="-1"/>
                <w:lang w:val="en-GB"/>
              </w:rPr>
              <w:t>33 p.</w:t>
            </w:r>
            <w:r w:rsidR="004A1C10" w:rsidRPr="009C0696">
              <w:rPr>
                <w:spacing w:val="-1"/>
                <w:lang w:val="en-GB"/>
              </w:rPr>
              <w:t>p.</w:t>
            </w:r>
            <w:r w:rsidR="001125EF" w:rsidRPr="009C0696">
              <w:rPr>
                <w:spacing w:val="-1"/>
                <w:lang w:val="en-GB"/>
              </w:rPr>
              <w:t xml:space="preserve">). </w:t>
            </w:r>
            <w:r w:rsidR="009F74E1" w:rsidRPr="009C0696">
              <w:rPr>
                <w:spacing w:val="-1"/>
                <w:lang w:val="en-GB"/>
              </w:rPr>
              <w:t xml:space="preserve">Bonds with ten-year maturity featured yields by 0.51 p.p. higher at the end of year 2018 than in December </w:t>
            </w:r>
            <w:r w:rsidR="001125EF" w:rsidRPr="009C0696">
              <w:rPr>
                <w:spacing w:val="-1"/>
                <w:lang w:val="en-GB"/>
              </w:rPr>
              <w:t xml:space="preserve">2017. </w:t>
            </w:r>
            <w:r w:rsidR="009F74E1" w:rsidRPr="009C0696">
              <w:rPr>
                <w:spacing w:val="-1"/>
                <w:lang w:val="en-GB"/>
              </w:rPr>
              <w:t xml:space="preserve">Rates however peaked in Q3 and gradually plummeted in Q4. Described development was valid for all bonds in the euro area. Even here however the December level of yields was higher than in the previous year. </w:t>
            </w:r>
            <w:r w:rsidR="001125EF" w:rsidRPr="009C0696">
              <w:rPr>
                <w:spacing w:val="-1"/>
                <w:lang w:val="en-GB"/>
              </w:rPr>
              <w:t xml:space="preserve">  </w:t>
            </w:r>
          </w:p>
        </w:tc>
      </w:tr>
      <w:tr w:rsidR="001125EF" w:rsidRPr="009C0696" w:rsidTr="001125EF">
        <w:trPr>
          <w:trHeight w:val="145"/>
        </w:trPr>
        <w:tc>
          <w:tcPr>
            <w:tcW w:w="1888" w:type="dxa"/>
            <w:shd w:val="clear" w:color="auto" w:fill="auto"/>
            <w:tcMar>
              <w:left w:w="0" w:type="dxa"/>
            </w:tcMar>
          </w:tcPr>
          <w:p w:rsidR="001125EF" w:rsidRPr="009C0696" w:rsidRDefault="003944BD" w:rsidP="0002047B">
            <w:pPr>
              <w:pStyle w:val="Marginlie"/>
              <w:rPr>
                <w:lang w:val="en-GB"/>
              </w:rPr>
            </w:pPr>
            <w:r w:rsidRPr="009C0696">
              <w:rPr>
                <w:lang w:val="en-GB"/>
              </w:rPr>
              <w:t xml:space="preserve">Interest rates on current accounts </w:t>
            </w:r>
            <w:r w:rsidR="0002047B" w:rsidRPr="009C0696">
              <w:rPr>
                <w:lang w:val="en-GB"/>
              </w:rPr>
              <w:t xml:space="preserve">bounced back </w:t>
            </w:r>
            <w:r w:rsidRPr="009C0696">
              <w:rPr>
                <w:lang w:val="en-GB"/>
              </w:rPr>
              <w:t xml:space="preserve">especially towards the end of the year. </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9C0696" w:rsidRDefault="003944BD" w:rsidP="00382CDE">
            <w:pPr>
              <w:spacing w:after="360"/>
              <w:rPr>
                <w:spacing w:val="-3"/>
                <w:lang w:val="en-GB"/>
              </w:rPr>
            </w:pPr>
            <w:r w:rsidRPr="009C0696">
              <w:rPr>
                <w:spacing w:val="-3"/>
                <w:lang w:val="en-GB"/>
              </w:rPr>
              <w:t xml:space="preserve">Relatively </w:t>
            </w:r>
            <w:r w:rsidR="003F2481" w:rsidRPr="009C0696">
              <w:rPr>
                <w:spacing w:val="-3"/>
                <w:lang w:val="en-GB"/>
              </w:rPr>
              <w:t xml:space="preserve">fast growth of the monetary policy-relevant interest rates </w:t>
            </w:r>
            <w:r w:rsidRPr="009C0696">
              <w:rPr>
                <w:spacing w:val="-3"/>
                <w:lang w:val="en-GB"/>
              </w:rPr>
              <w:t xml:space="preserve">was with various intensity mirrored </w:t>
            </w:r>
            <w:r w:rsidR="003F2481" w:rsidRPr="009C0696">
              <w:rPr>
                <w:spacing w:val="-3"/>
                <w:lang w:val="en-GB"/>
              </w:rPr>
              <w:t xml:space="preserve">also in the client interest rates last year. </w:t>
            </w:r>
            <w:r w:rsidR="001B7AA5" w:rsidRPr="009C0696">
              <w:rPr>
                <w:spacing w:val="-3"/>
                <w:lang w:val="en-GB"/>
              </w:rPr>
              <w:t>For current accounts, the rates remained at a very low level, even though</w:t>
            </w:r>
            <w:r w:rsidR="00136BFB" w:rsidRPr="009C0696">
              <w:rPr>
                <w:spacing w:val="-3"/>
                <w:lang w:val="en-GB"/>
              </w:rPr>
              <w:t xml:space="preserve"> a negligible growth of the average level </w:t>
            </w:r>
            <w:r w:rsidR="000E5632" w:rsidRPr="009C0696">
              <w:rPr>
                <w:spacing w:val="-3"/>
                <w:lang w:val="en-GB"/>
              </w:rPr>
              <w:t xml:space="preserve">in the order of hundredths did manifest </w:t>
            </w:r>
            <w:r w:rsidR="001125EF" w:rsidRPr="009C0696">
              <w:rPr>
                <w:spacing w:val="-3"/>
                <w:lang w:val="en-GB"/>
              </w:rPr>
              <w:t>(</w:t>
            </w:r>
            <w:r w:rsidR="00941CD3" w:rsidRPr="009C0696">
              <w:rPr>
                <w:spacing w:val="-3"/>
                <w:lang w:val="en-GB"/>
              </w:rPr>
              <w:t>the most between Q3 and 4</w:t>
            </w:r>
            <w:r w:rsidR="001125EF" w:rsidRPr="009C0696">
              <w:rPr>
                <w:spacing w:val="-3"/>
                <w:lang w:val="en-GB"/>
              </w:rPr>
              <w:t xml:space="preserve">). </w:t>
            </w:r>
            <w:r w:rsidR="006D3CD4" w:rsidRPr="009C0696">
              <w:rPr>
                <w:spacing w:val="-3"/>
                <w:lang w:val="en-GB"/>
              </w:rPr>
              <w:t xml:space="preserve">For households it posed the first rise since year </w:t>
            </w:r>
            <w:r w:rsidR="001125EF" w:rsidRPr="009C0696">
              <w:rPr>
                <w:spacing w:val="-3"/>
                <w:lang w:val="en-GB"/>
              </w:rPr>
              <w:t xml:space="preserve">2012, </w:t>
            </w:r>
            <w:r w:rsidR="006D3CD4" w:rsidRPr="009C0696">
              <w:rPr>
                <w:spacing w:val="-3"/>
                <w:lang w:val="en-GB"/>
              </w:rPr>
              <w:t xml:space="preserve">in case of non-financial businesses it was similar </w:t>
            </w:r>
            <w:r w:rsidR="001125EF" w:rsidRPr="009C0696">
              <w:rPr>
                <w:spacing w:val="-3"/>
                <w:lang w:val="en-GB"/>
              </w:rPr>
              <w:t>(</w:t>
            </w:r>
            <w:r w:rsidR="006D3CD4" w:rsidRPr="009C0696">
              <w:rPr>
                <w:spacing w:val="-3"/>
                <w:lang w:val="en-GB"/>
              </w:rPr>
              <w:t>a series of falls was interrupted in Q</w:t>
            </w:r>
            <w:r w:rsidR="001125EF" w:rsidRPr="009C0696">
              <w:rPr>
                <w:spacing w:val="-3"/>
                <w:lang w:val="en-GB"/>
              </w:rPr>
              <w:t>1</w:t>
            </w:r>
            <w:r w:rsidR="006D3CD4" w:rsidRPr="009C0696">
              <w:rPr>
                <w:spacing w:val="-3"/>
                <w:lang w:val="en-GB"/>
              </w:rPr>
              <w:t xml:space="preserve"> </w:t>
            </w:r>
            <w:r w:rsidR="001125EF" w:rsidRPr="009C0696">
              <w:rPr>
                <w:spacing w:val="-3"/>
                <w:lang w:val="en-GB"/>
              </w:rPr>
              <w:t xml:space="preserve">2014). </w:t>
            </w:r>
            <w:r w:rsidR="007C7BE4" w:rsidRPr="009C0696">
              <w:rPr>
                <w:spacing w:val="-3"/>
                <w:lang w:val="en-GB"/>
              </w:rPr>
              <w:t xml:space="preserve">Interest rates on deposits with agreed maturity grew more noticeably. For households they increased by </w:t>
            </w:r>
            <w:r w:rsidR="001125EF" w:rsidRPr="009C0696">
              <w:rPr>
                <w:spacing w:val="-3"/>
                <w:lang w:val="en-GB"/>
              </w:rPr>
              <w:t>0</w:t>
            </w:r>
            <w:r w:rsidR="007C7BE4" w:rsidRPr="009C0696">
              <w:rPr>
                <w:spacing w:val="-3"/>
                <w:lang w:val="en-GB"/>
              </w:rPr>
              <w:t>.</w:t>
            </w:r>
            <w:r w:rsidR="001125EF" w:rsidRPr="009C0696">
              <w:rPr>
                <w:spacing w:val="-3"/>
                <w:lang w:val="en-GB"/>
              </w:rPr>
              <w:t>69 p.</w:t>
            </w:r>
            <w:r w:rsidR="007C7BE4" w:rsidRPr="009C0696">
              <w:rPr>
                <w:spacing w:val="-3"/>
                <w:lang w:val="en-GB"/>
              </w:rPr>
              <w:t xml:space="preserve">p. during the year to </w:t>
            </w:r>
            <w:r w:rsidR="001125EF" w:rsidRPr="009C0696">
              <w:rPr>
                <w:spacing w:val="-3"/>
                <w:lang w:val="en-GB"/>
              </w:rPr>
              <w:t>1</w:t>
            </w:r>
            <w:r w:rsidR="007C7BE4" w:rsidRPr="009C0696">
              <w:rPr>
                <w:spacing w:val="-3"/>
                <w:lang w:val="en-GB"/>
              </w:rPr>
              <w:t>.</w:t>
            </w:r>
            <w:r w:rsidR="001125EF" w:rsidRPr="009C0696">
              <w:rPr>
                <w:spacing w:val="-3"/>
                <w:lang w:val="en-GB"/>
              </w:rPr>
              <w:t>35%</w:t>
            </w:r>
            <w:r w:rsidR="007C7BE4" w:rsidRPr="009C0696">
              <w:rPr>
                <w:spacing w:val="-3"/>
                <w:lang w:val="en-GB"/>
              </w:rPr>
              <w:t xml:space="preserve"> as of </w:t>
            </w:r>
            <w:r w:rsidR="001125EF" w:rsidRPr="009C0696">
              <w:rPr>
                <w:spacing w:val="-3"/>
                <w:lang w:val="en-GB"/>
              </w:rPr>
              <w:t xml:space="preserve">31. 12., </w:t>
            </w:r>
            <w:r w:rsidR="007C7BE4" w:rsidRPr="009C0696">
              <w:rPr>
                <w:spacing w:val="-3"/>
                <w:lang w:val="en-GB"/>
              </w:rPr>
              <w:t xml:space="preserve">for non-financial businesses they increased to </w:t>
            </w:r>
            <w:r w:rsidR="001125EF" w:rsidRPr="009C0696">
              <w:rPr>
                <w:spacing w:val="-3"/>
                <w:lang w:val="en-GB"/>
              </w:rPr>
              <w:t>1</w:t>
            </w:r>
            <w:r w:rsidR="007C7BE4" w:rsidRPr="009C0696">
              <w:rPr>
                <w:spacing w:val="-3"/>
                <w:lang w:val="en-GB"/>
              </w:rPr>
              <w:t>.</w:t>
            </w:r>
            <w:r w:rsidR="001125EF" w:rsidRPr="009C0696">
              <w:rPr>
                <w:spacing w:val="-3"/>
                <w:lang w:val="en-GB"/>
              </w:rPr>
              <w:t xml:space="preserve">23% </w:t>
            </w:r>
            <w:r w:rsidR="007C7BE4" w:rsidRPr="009C0696">
              <w:rPr>
                <w:spacing w:val="-3"/>
                <w:lang w:val="en-GB"/>
              </w:rPr>
              <w:t>towards the end of the year</w:t>
            </w:r>
            <w:r w:rsidR="001125EF" w:rsidRPr="009C0696">
              <w:rPr>
                <w:spacing w:val="-3"/>
                <w:lang w:val="en-GB"/>
              </w:rPr>
              <w:t xml:space="preserve">. </w:t>
            </w:r>
            <w:r w:rsidR="00031BDF" w:rsidRPr="009C0696">
              <w:rPr>
                <w:spacing w:val="-3"/>
                <w:lang w:val="en-GB"/>
              </w:rPr>
              <w:t xml:space="preserve">Both sectors recorded a larger addition only in the second half of the year. Growth of rates on the term deposits also altered the dynamics of the money stock. </w:t>
            </w:r>
            <w:r w:rsidR="005A1F58" w:rsidRPr="009C0696">
              <w:rPr>
                <w:spacing w:val="-3"/>
                <w:lang w:val="en-GB"/>
              </w:rPr>
              <w:t xml:space="preserve">The year-on-year growth of the volume of currency and current deposits markedly slowed down last year. On the other hand, the volume of deposits with agreed maturity rose sharply </w:t>
            </w:r>
            <w:r w:rsidR="001125EF" w:rsidRPr="009C0696">
              <w:rPr>
                <w:spacing w:val="-3"/>
                <w:lang w:val="en-GB"/>
              </w:rPr>
              <w:t>(</w:t>
            </w:r>
            <w:r w:rsidR="005A1F58" w:rsidRPr="009C0696">
              <w:rPr>
                <w:spacing w:val="-3"/>
                <w:lang w:val="en-GB"/>
              </w:rPr>
              <w:t xml:space="preserve">by </w:t>
            </w:r>
            <w:r w:rsidR="001125EF" w:rsidRPr="009C0696">
              <w:rPr>
                <w:spacing w:val="-3"/>
                <w:lang w:val="en-GB"/>
              </w:rPr>
              <w:t>51</w:t>
            </w:r>
            <w:r w:rsidR="005A1F58" w:rsidRPr="009C0696">
              <w:rPr>
                <w:spacing w:val="-3"/>
                <w:lang w:val="en-GB"/>
              </w:rPr>
              <w:t>.</w:t>
            </w:r>
            <w:r w:rsidR="001125EF" w:rsidRPr="009C0696">
              <w:rPr>
                <w:spacing w:val="-3"/>
                <w:lang w:val="en-GB"/>
              </w:rPr>
              <w:t>3</w:t>
            </w:r>
            <w:r w:rsidR="005A1F58" w:rsidRPr="009C0696">
              <w:rPr>
                <w:spacing w:val="-3"/>
                <w:lang w:val="en-GB"/>
              </w:rPr>
              <w:t xml:space="preserve"> bn between Q1 2018 and Q4 2017</w:t>
            </w:r>
            <w:r w:rsidR="001125EF" w:rsidRPr="009C0696">
              <w:rPr>
                <w:spacing w:val="-3"/>
                <w:lang w:val="en-GB"/>
              </w:rPr>
              <w:t>, 32</w:t>
            </w:r>
            <w:r w:rsidR="005A1F58" w:rsidRPr="009C0696">
              <w:rPr>
                <w:spacing w:val="-3"/>
                <w:lang w:val="en-GB"/>
              </w:rPr>
              <w:t>.</w:t>
            </w:r>
            <w:r w:rsidR="001125EF" w:rsidRPr="009C0696">
              <w:rPr>
                <w:spacing w:val="-3"/>
                <w:lang w:val="en-GB"/>
              </w:rPr>
              <w:t xml:space="preserve">2%). </w:t>
            </w:r>
            <w:r w:rsidR="00B5649D" w:rsidRPr="009C0696">
              <w:rPr>
                <w:spacing w:val="-3"/>
                <w:lang w:val="en-GB"/>
              </w:rPr>
              <w:t xml:space="preserve">The new level was more or less maintained during the year. </w:t>
            </w:r>
            <w:r w:rsidR="005A1F58" w:rsidRPr="009C0696">
              <w:rPr>
                <w:spacing w:val="-3"/>
                <w:lang w:val="en-GB"/>
              </w:rPr>
              <w:t xml:space="preserve">Considerable growth of the volume of tradeable instruments continued </w:t>
            </w:r>
            <w:r w:rsidR="001125EF" w:rsidRPr="009C0696">
              <w:rPr>
                <w:spacing w:val="-3"/>
                <w:lang w:val="en-GB"/>
              </w:rPr>
              <w:t>(</w:t>
            </w:r>
            <w:r w:rsidR="005A1F58" w:rsidRPr="009C0696">
              <w:rPr>
                <w:spacing w:val="-3"/>
                <w:lang w:val="en-GB"/>
              </w:rPr>
              <w:t xml:space="preserve">while this item reached volume of 17.3 CZK bn at the end of year </w:t>
            </w:r>
            <w:r w:rsidR="001125EF" w:rsidRPr="009C0696">
              <w:rPr>
                <w:spacing w:val="-3"/>
                <w:lang w:val="en-GB"/>
              </w:rPr>
              <w:t>2016</w:t>
            </w:r>
            <w:r w:rsidR="005A1F58" w:rsidRPr="009C0696">
              <w:rPr>
                <w:spacing w:val="-3"/>
                <w:lang w:val="en-GB"/>
              </w:rPr>
              <w:t xml:space="preserve">, it was 120.1 bn in December </w:t>
            </w:r>
            <w:r w:rsidR="001125EF" w:rsidRPr="009C0696">
              <w:rPr>
                <w:spacing w:val="-3"/>
                <w:lang w:val="en-GB"/>
              </w:rPr>
              <w:t>2018).</w:t>
            </w:r>
          </w:p>
        </w:tc>
      </w:tr>
      <w:tr w:rsidR="001125EF" w:rsidRPr="009C0696" w:rsidTr="001125EF">
        <w:trPr>
          <w:trHeight w:val="145"/>
        </w:trPr>
        <w:tc>
          <w:tcPr>
            <w:tcW w:w="1888" w:type="dxa"/>
            <w:shd w:val="clear" w:color="auto" w:fill="auto"/>
            <w:tcMar>
              <w:left w:w="0" w:type="dxa"/>
            </w:tcMar>
          </w:tcPr>
          <w:p w:rsidR="001125EF" w:rsidRPr="009C0696" w:rsidRDefault="00EC1A2B" w:rsidP="00EC1A2B">
            <w:pPr>
              <w:pStyle w:val="Marginlie"/>
              <w:rPr>
                <w:lang w:val="en-GB"/>
              </w:rPr>
            </w:pPr>
            <w:r w:rsidRPr="009C0696">
              <w:rPr>
                <w:lang w:val="en-GB"/>
              </w:rPr>
              <w:lastRenderedPageBreak/>
              <w:t xml:space="preserve">Interest rates on credit for households and non-financial businesses did not avoid growth. </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9C0696" w:rsidRDefault="009A3E7C" w:rsidP="001204EB">
            <w:pPr>
              <w:rPr>
                <w:lang w:val="en-GB"/>
              </w:rPr>
            </w:pPr>
            <w:r w:rsidRPr="009C0696">
              <w:rPr>
                <w:lang w:val="en-GB"/>
              </w:rPr>
              <w:t xml:space="preserve">Average interest rate </w:t>
            </w:r>
            <w:r w:rsidR="00DE3B58" w:rsidRPr="009C0696">
              <w:rPr>
                <w:lang w:val="en-GB"/>
              </w:rPr>
              <w:t xml:space="preserve">of credit for households settled at 4.27% at the end of the last year. Consumer credit had on average assigned interest of 8.63% as of </w:t>
            </w:r>
            <w:r w:rsidR="001125EF" w:rsidRPr="009C0696">
              <w:rPr>
                <w:lang w:val="en-GB"/>
              </w:rPr>
              <w:t>31. 12</w:t>
            </w:r>
            <w:r w:rsidR="00DE3B58" w:rsidRPr="009C0696">
              <w:rPr>
                <w:lang w:val="en-GB"/>
              </w:rPr>
              <w:t xml:space="preserve">., their rate grew for the first time since </w:t>
            </w:r>
            <w:r w:rsidR="001125EF" w:rsidRPr="009C0696">
              <w:rPr>
                <w:lang w:val="en-GB"/>
              </w:rPr>
              <w:t>2014 (</w:t>
            </w:r>
            <w:r w:rsidR="00574552" w:rsidRPr="009C0696">
              <w:rPr>
                <w:lang w:val="en-GB"/>
              </w:rPr>
              <w:t xml:space="preserve">decrease continued only for loans with rates fixed up to one year). </w:t>
            </w:r>
            <w:r w:rsidR="00DE3B58" w:rsidRPr="009C0696">
              <w:rPr>
                <w:lang w:val="en-GB"/>
              </w:rPr>
              <w:t xml:space="preserve">Average interest on </w:t>
            </w:r>
            <w:r w:rsidR="00574552" w:rsidRPr="009C0696">
              <w:rPr>
                <w:lang w:val="en-GB"/>
              </w:rPr>
              <w:t xml:space="preserve">loans for purchasing a new housing real estate climbed to </w:t>
            </w:r>
            <w:r w:rsidR="001125EF" w:rsidRPr="009C0696">
              <w:rPr>
                <w:lang w:val="en-GB"/>
              </w:rPr>
              <w:t>2</w:t>
            </w:r>
            <w:r w:rsidR="00574552" w:rsidRPr="009C0696">
              <w:rPr>
                <w:lang w:val="en-GB"/>
              </w:rPr>
              <w:t>.</w:t>
            </w:r>
            <w:r w:rsidR="001125EF" w:rsidRPr="009C0696">
              <w:rPr>
                <w:lang w:val="en-GB"/>
              </w:rPr>
              <w:t>92%</w:t>
            </w:r>
            <w:r w:rsidR="00574552" w:rsidRPr="009C0696">
              <w:rPr>
                <w:lang w:val="en-GB"/>
              </w:rPr>
              <w:t xml:space="preserve"> at the end of the year</w:t>
            </w:r>
            <w:r w:rsidR="001125EF" w:rsidRPr="009C0696">
              <w:rPr>
                <w:lang w:val="en-GB"/>
              </w:rPr>
              <w:t xml:space="preserve">. </w:t>
            </w:r>
            <w:r w:rsidR="00657C02" w:rsidRPr="009C0696">
              <w:rPr>
                <w:lang w:val="en-GB"/>
              </w:rPr>
              <w:t xml:space="preserve">During the year, the rate was expanding relatively slowly, larger increase manifested only in Q4, specifically for all terms of fixed rate. The loans for non-financial businesses went up in price quite vigorously. </w:t>
            </w:r>
            <w:r w:rsidR="001204EB" w:rsidRPr="009C0696">
              <w:rPr>
                <w:lang w:val="en-GB"/>
              </w:rPr>
              <w:t xml:space="preserve">Interest on loans up to 7.5 mil was 4.13% towards the end of year </w:t>
            </w:r>
            <w:r w:rsidR="001125EF" w:rsidRPr="009C0696">
              <w:rPr>
                <w:lang w:val="en-GB"/>
              </w:rPr>
              <w:t>2018</w:t>
            </w:r>
            <w:r w:rsidR="001204EB" w:rsidRPr="009C0696">
              <w:rPr>
                <w:lang w:val="en-GB"/>
              </w:rPr>
              <w:t xml:space="preserve"> </w:t>
            </w:r>
            <w:r w:rsidR="001125EF" w:rsidRPr="009C0696">
              <w:rPr>
                <w:lang w:val="en-GB"/>
              </w:rPr>
              <w:t>(</w:t>
            </w:r>
            <w:r w:rsidR="001204EB" w:rsidRPr="009C0696">
              <w:rPr>
                <w:lang w:val="en-GB"/>
              </w:rPr>
              <w:t xml:space="preserve">year-on-year growth by </w:t>
            </w:r>
            <w:r w:rsidR="001125EF" w:rsidRPr="009C0696">
              <w:rPr>
                <w:lang w:val="en-GB"/>
              </w:rPr>
              <w:t>0</w:t>
            </w:r>
            <w:r w:rsidR="001204EB" w:rsidRPr="009C0696">
              <w:rPr>
                <w:lang w:val="en-GB"/>
              </w:rPr>
              <w:t>.</w:t>
            </w:r>
            <w:r w:rsidR="001125EF" w:rsidRPr="009C0696">
              <w:rPr>
                <w:lang w:val="en-GB"/>
              </w:rPr>
              <w:t>81 p.</w:t>
            </w:r>
            <w:r w:rsidR="001204EB" w:rsidRPr="009C0696">
              <w:rPr>
                <w:lang w:val="en-GB"/>
              </w:rPr>
              <w:t>p.</w:t>
            </w:r>
            <w:r w:rsidR="001125EF" w:rsidRPr="009C0696">
              <w:rPr>
                <w:lang w:val="en-GB"/>
              </w:rPr>
              <w:t xml:space="preserve">), </w:t>
            </w:r>
            <w:r w:rsidR="001204EB" w:rsidRPr="009C0696">
              <w:rPr>
                <w:lang w:val="en-GB"/>
              </w:rPr>
              <w:t xml:space="preserve">loans between </w:t>
            </w:r>
            <w:r w:rsidR="001125EF" w:rsidRPr="009C0696">
              <w:rPr>
                <w:lang w:val="en-GB"/>
              </w:rPr>
              <w:t>7</w:t>
            </w:r>
            <w:r w:rsidR="001204EB" w:rsidRPr="009C0696">
              <w:rPr>
                <w:lang w:val="en-GB"/>
              </w:rPr>
              <w:t>.</w:t>
            </w:r>
            <w:r w:rsidR="001125EF" w:rsidRPr="009C0696">
              <w:rPr>
                <w:lang w:val="en-GB"/>
              </w:rPr>
              <w:t>5 a</w:t>
            </w:r>
            <w:r w:rsidR="001204EB" w:rsidRPr="009C0696">
              <w:rPr>
                <w:lang w:val="en-GB"/>
              </w:rPr>
              <w:t>nd</w:t>
            </w:r>
            <w:r w:rsidR="001125EF" w:rsidRPr="009C0696">
              <w:rPr>
                <w:lang w:val="en-GB"/>
              </w:rPr>
              <w:t xml:space="preserve"> 30 m</w:t>
            </w:r>
            <w:r w:rsidR="001204EB" w:rsidRPr="009C0696">
              <w:rPr>
                <w:lang w:val="en-GB"/>
              </w:rPr>
              <w:t xml:space="preserve">il had </w:t>
            </w:r>
            <w:r w:rsidR="001125EF" w:rsidRPr="009C0696">
              <w:rPr>
                <w:lang w:val="en-GB"/>
              </w:rPr>
              <w:t>3</w:t>
            </w:r>
            <w:r w:rsidR="001204EB" w:rsidRPr="009C0696">
              <w:rPr>
                <w:lang w:val="en-GB"/>
              </w:rPr>
              <w:t>.</w:t>
            </w:r>
            <w:r w:rsidR="001125EF" w:rsidRPr="009C0696">
              <w:rPr>
                <w:lang w:val="en-GB"/>
              </w:rPr>
              <w:t>55% (+1</w:t>
            </w:r>
            <w:r w:rsidR="001204EB" w:rsidRPr="009C0696">
              <w:rPr>
                <w:lang w:val="en-GB"/>
              </w:rPr>
              <w:t>.</w:t>
            </w:r>
            <w:r w:rsidR="001125EF" w:rsidRPr="009C0696">
              <w:rPr>
                <w:lang w:val="en-GB"/>
              </w:rPr>
              <w:t>14</w:t>
            </w:r>
            <w:r w:rsidR="00BD59F1">
              <w:rPr>
                <w:lang w:val="en-GB"/>
              </w:rPr>
              <w:t> </w:t>
            </w:r>
            <w:r w:rsidR="001125EF" w:rsidRPr="009C0696">
              <w:rPr>
                <w:lang w:val="en-GB"/>
              </w:rPr>
              <w:t>p.</w:t>
            </w:r>
            <w:r w:rsidR="001204EB" w:rsidRPr="009C0696">
              <w:rPr>
                <w:lang w:val="en-GB"/>
              </w:rPr>
              <w:t>p.</w:t>
            </w:r>
            <w:r w:rsidR="001125EF" w:rsidRPr="009C0696">
              <w:rPr>
                <w:lang w:val="en-GB"/>
              </w:rPr>
              <w:t xml:space="preserve">, </w:t>
            </w:r>
            <w:r w:rsidR="001204EB" w:rsidRPr="009C0696">
              <w:rPr>
                <w:lang w:val="en-GB"/>
              </w:rPr>
              <w:t xml:space="preserve">difference between Q3 and 4 was </w:t>
            </w:r>
            <w:r w:rsidR="001125EF" w:rsidRPr="009C0696">
              <w:rPr>
                <w:lang w:val="en-GB"/>
              </w:rPr>
              <w:t>+0</w:t>
            </w:r>
            <w:r w:rsidR="001204EB" w:rsidRPr="009C0696">
              <w:rPr>
                <w:lang w:val="en-GB"/>
              </w:rPr>
              <w:t>.</w:t>
            </w:r>
            <w:r w:rsidR="001125EF" w:rsidRPr="009C0696">
              <w:rPr>
                <w:lang w:val="en-GB"/>
              </w:rPr>
              <w:t>71 p.</w:t>
            </w:r>
            <w:r w:rsidR="001204EB" w:rsidRPr="009C0696">
              <w:rPr>
                <w:lang w:val="en-GB"/>
              </w:rPr>
              <w:t>p.</w:t>
            </w:r>
            <w:r w:rsidR="001125EF" w:rsidRPr="009C0696">
              <w:rPr>
                <w:lang w:val="en-GB"/>
              </w:rPr>
              <w:t xml:space="preserve">). </w:t>
            </w:r>
            <w:r w:rsidR="001204EB" w:rsidRPr="009C0696">
              <w:rPr>
                <w:lang w:val="en-GB"/>
              </w:rPr>
              <w:t xml:space="preserve">Loans above </w:t>
            </w:r>
            <w:r w:rsidR="001125EF" w:rsidRPr="009C0696">
              <w:rPr>
                <w:lang w:val="en-GB"/>
              </w:rPr>
              <w:t>30 m</w:t>
            </w:r>
            <w:r w:rsidR="001204EB" w:rsidRPr="009C0696">
              <w:rPr>
                <w:lang w:val="en-GB"/>
              </w:rPr>
              <w:t xml:space="preserve">il were charged interest 3.22% as of </w:t>
            </w:r>
            <w:r w:rsidR="001125EF" w:rsidRPr="009C0696">
              <w:rPr>
                <w:lang w:val="en-GB"/>
              </w:rPr>
              <w:t>31. 12.</w:t>
            </w:r>
            <w:r w:rsidR="001204EB" w:rsidRPr="009C0696">
              <w:rPr>
                <w:lang w:val="en-GB"/>
              </w:rPr>
              <w:t xml:space="preserve"> </w:t>
            </w:r>
            <w:r w:rsidR="001125EF" w:rsidRPr="009C0696">
              <w:rPr>
                <w:lang w:val="en-GB"/>
              </w:rPr>
              <w:t>(+1</w:t>
            </w:r>
            <w:r w:rsidR="00DE3B58" w:rsidRPr="009C0696">
              <w:rPr>
                <w:lang w:val="en-GB"/>
              </w:rPr>
              <w:t>.</w:t>
            </w:r>
            <w:r w:rsidR="001125EF" w:rsidRPr="009C0696">
              <w:rPr>
                <w:lang w:val="en-GB"/>
              </w:rPr>
              <w:t>0 p.</w:t>
            </w:r>
            <w:r w:rsidR="00DE3B58" w:rsidRPr="009C0696">
              <w:rPr>
                <w:lang w:val="en-GB"/>
              </w:rPr>
              <w:t>p.</w:t>
            </w:r>
            <w:r w:rsidR="001125EF" w:rsidRPr="009C0696">
              <w:rPr>
                <w:lang w:val="en-GB"/>
              </w:rPr>
              <w:t xml:space="preserve">).   </w:t>
            </w:r>
          </w:p>
        </w:tc>
      </w:tr>
      <w:tr w:rsidR="001125EF" w:rsidRPr="009C0696" w:rsidTr="001125EF">
        <w:trPr>
          <w:trHeight w:val="145"/>
        </w:trPr>
        <w:tc>
          <w:tcPr>
            <w:tcW w:w="1888" w:type="dxa"/>
            <w:shd w:val="clear" w:color="auto" w:fill="auto"/>
            <w:tcMar>
              <w:left w:w="0" w:type="dxa"/>
            </w:tcMar>
          </w:tcPr>
          <w:p w:rsidR="001125EF" w:rsidRPr="009C0696" w:rsidRDefault="0049094C" w:rsidP="000D2EB3">
            <w:pPr>
              <w:pStyle w:val="Marginlie"/>
              <w:rPr>
                <w:lang w:val="en-GB"/>
              </w:rPr>
            </w:pPr>
            <w:r w:rsidRPr="009C0696">
              <w:rPr>
                <w:lang w:val="en-GB"/>
              </w:rPr>
              <w:t xml:space="preserve">Volume of credit provided to households kept further growing.  </w:t>
            </w:r>
            <w:r w:rsidR="001125EF" w:rsidRPr="009C0696">
              <w:rPr>
                <w:lang w:val="en-GB"/>
              </w:rPr>
              <w:t xml:space="preserve"> </w:t>
            </w:r>
            <w:r w:rsidRPr="009C0696">
              <w:rPr>
                <w:lang w:val="en-GB"/>
              </w:rPr>
              <w:t xml:space="preserve">Mainly in branches </w:t>
            </w:r>
            <w:r w:rsidR="0010490F" w:rsidRPr="009C0696">
              <w:rPr>
                <w:lang w:val="en-GB"/>
              </w:rPr>
              <w:t>which</w:t>
            </w:r>
            <w:r w:rsidRPr="009C0696">
              <w:rPr>
                <w:lang w:val="en-GB"/>
              </w:rPr>
              <w:t xml:space="preserve"> economically prospered last year, the interest in credit financing picked up</w:t>
            </w:r>
            <w:r w:rsidR="001125EF" w:rsidRPr="009C0696">
              <w:rPr>
                <w:lang w:val="en-GB"/>
              </w:rPr>
              <w:t>.</w:t>
            </w:r>
          </w:p>
        </w:tc>
        <w:tc>
          <w:tcPr>
            <w:tcW w:w="250" w:type="dxa"/>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A76109" w:rsidRDefault="0010490F" w:rsidP="00B20C52">
            <w:pPr>
              <w:rPr>
                <w:spacing w:val="-4"/>
                <w:lang w:val="en-GB"/>
              </w:rPr>
            </w:pPr>
            <w:r w:rsidRPr="00A76109">
              <w:rPr>
                <w:spacing w:val="-4"/>
                <w:lang w:val="en-GB"/>
              </w:rPr>
              <w:t xml:space="preserve">Volume of credit provided to households totalled </w:t>
            </w:r>
            <w:r w:rsidR="001125EF" w:rsidRPr="00A76109">
              <w:rPr>
                <w:spacing w:val="-4"/>
                <w:lang w:val="en-GB"/>
              </w:rPr>
              <w:t>1</w:t>
            </w:r>
            <w:r w:rsidRPr="00A76109">
              <w:rPr>
                <w:spacing w:val="-4"/>
                <w:lang w:val="en-GB"/>
              </w:rPr>
              <w:t> </w:t>
            </w:r>
            <w:r w:rsidR="001125EF" w:rsidRPr="00A76109">
              <w:rPr>
                <w:spacing w:val="-4"/>
                <w:lang w:val="en-GB"/>
              </w:rPr>
              <w:t>645</w:t>
            </w:r>
            <w:r w:rsidRPr="00A76109">
              <w:rPr>
                <w:spacing w:val="-4"/>
                <w:lang w:val="en-GB"/>
              </w:rPr>
              <w:t>.</w:t>
            </w:r>
            <w:r w:rsidR="001125EF" w:rsidRPr="00A76109">
              <w:rPr>
                <w:spacing w:val="-4"/>
                <w:lang w:val="en-GB"/>
              </w:rPr>
              <w:t xml:space="preserve">8 </w:t>
            </w:r>
            <w:r w:rsidRPr="00A76109">
              <w:rPr>
                <w:spacing w:val="-4"/>
                <w:lang w:val="en-GB"/>
              </w:rPr>
              <w:t xml:space="preserve">CZK bn towards the end of the last year, which is a year-on-year increase of </w:t>
            </w:r>
            <w:r w:rsidR="001125EF" w:rsidRPr="00A76109">
              <w:rPr>
                <w:spacing w:val="-4"/>
                <w:lang w:val="en-GB"/>
              </w:rPr>
              <w:t>116</w:t>
            </w:r>
            <w:r w:rsidRPr="00A76109">
              <w:rPr>
                <w:spacing w:val="-4"/>
                <w:lang w:val="en-GB"/>
              </w:rPr>
              <w:t>.</w:t>
            </w:r>
            <w:r w:rsidR="001125EF" w:rsidRPr="00A76109">
              <w:rPr>
                <w:spacing w:val="-4"/>
                <w:lang w:val="en-GB"/>
              </w:rPr>
              <w:t xml:space="preserve">0 </w:t>
            </w:r>
            <w:r w:rsidRPr="00A76109">
              <w:rPr>
                <w:spacing w:val="-4"/>
                <w:lang w:val="en-GB"/>
              </w:rPr>
              <w:t xml:space="preserve">bn </w:t>
            </w:r>
            <w:r w:rsidR="001125EF" w:rsidRPr="00A76109">
              <w:rPr>
                <w:spacing w:val="-4"/>
                <w:lang w:val="en-GB"/>
              </w:rPr>
              <w:t>(7</w:t>
            </w:r>
            <w:r w:rsidRPr="00A76109">
              <w:rPr>
                <w:spacing w:val="-4"/>
                <w:lang w:val="en-GB"/>
              </w:rPr>
              <w:t>.</w:t>
            </w:r>
            <w:r w:rsidR="001125EF" w:rsidRPr="00A76109">
              <w:rPr>
                <w:spacing w:val="-4"/>
                <w:lang w:val="en-GB"/>
              </w:rPr>
              <w:t xml:space="preserve">6%). </w:t>
            </w:r>
            <w:r w:rsidRPr="00A76109">
              <w:rPr>
                <w:spacing w:val="-4"/>
                <w:lang w:val="en-GB"/>
              </w:rPr>
              <w:t>The dynamics of the consumer credit remained below this level. Mortgages were expanding by a slower pace</w:t>
            </w:r>
            <w:r w:rsidR="005E7074" w:rsidRPr="00A76109">
              <w:rPr>
                <w:spacing w:val="-4"/>
                <w:lang w:val="en-GB"/>
              </w:rPr>
              <w:t xml:space="preserve"> </w:t>
            </w:r>
            <w:r w:rsidRPr="00A76109">
              <w:rPr>
                <w:spacing w:val="-4"/>
                <w:lang w:val="en-GB"/>
              </w:rPr>
              <w:t xml:space="preserve">compared to year </w:t>
            </w:r>
            <w:r w:rsidR="001125EF" w:rsidRPr="00A76109">
              <w:rPr>
                <w:spacing w:val="-4"/>
                <w:lang w:val="en-GB"/>
              </w:rPr>
              <w:t xml:space="preserve">2017, </w:t>
            </w:r>
            <w:r w:rsidR="003151BD" w:rsidRPr="00A76109">
              <w:rPr>
                <w:spacing w:val="-4"/>
                <w:lang w:val="en-GB"/>
              </w:rPr>
              <w:t xml:space="preserve">year-on-year growth nevertheless exceeded </w:t>
            </w:r>
            <w:r w:rsidR="001125EF" w:rsidRPr="00A76109">
              <w:rPr>
                <w:spacing w:val="-4"/>
                <w:lang w:val="en-GB"/>
              </w:rPr>
              <w:t>8</w:t>
            </w:r>
            <w:r w:rsidR="003151BD" w:rsidRPr="00A76109">
              <w:rPr>
                <w:spacing w:val="-4"/>
                <w:lang w:val="en-GB"/>
              </w:rPr>
              <w:t>.</w:t>
            </w:r>
            <w:r w:rsidR="001125EF" w:rsidRPr="00A76109">
              <w:rPr>
                <w:spacing w:val="-4"/>
                <w:lang w:val="en-GB"/>
              </w:rPr>
              <w:t xml:space="preserve">0%. </w:t>
            </w:r>
            <w:r w:rsidR="00FC16F6" w:rsidRPr="00A76109">
              <w:rPr>
                <w:spacing w:val="-4"/>
                <w:lang w:val="en-GB"/>
              </w:rPr>
              <w:t xml:space="preserve">In that, the year-on-year dynamics of mortgages was crossing the 9% boundary except for Q3 </w:t>
            </w:r>
            <w:r w:rsidR="001125EF" w:rsidRPr="00A76109">
              <w:rPr>
                <w:spacing w:val="-4"/>
                <w:lang w:val="en-GB"/>
              </w:rPr>
              <w:t>(8</w:t>
            </w:r>
            <w:r w:rsidR="00FC16F6" w:rsidRPr="00A76109">
              <w:rPr>
                <w:spacing w:val="-4"/>
                <w:lang w:val="en-GB"/>
              </w:rPr>
              <w:t>.</w:t>
            </w:r>
            <w:r w:rsidR="001125EF" w:rsidRPr="00A76109">
              <w:rPr>
                <w:spacing w:val="-4"/>
                <w:lang w:val="en-GB"/>
              </w:rPr>
              <w:t>9%)</w:t>
            </w:r>
            <w:r w:rsidR="00FC16F6" w:rsidRPr="00A76109">
              <w:rPr>
                <w:spacing w:val="-4"/>
                <w:lang w:val="en-GB"/>
              </w:rPr>
              <w:t xml:space="preserve">. On the other hand, the number of new mortgage contracts shrank year-on-year by </w:t>
            </w:r>
            <w:r w:rsidR="002E28D8" w:rsidRPr="00A76109">
              <w:rPr>
                <w:spacing w:val="-4"/>
                <w:lang w:val="en-GB"/>
              </w:rPr>
              <w:t>13</w:t>
            </w:r>
            <w:r w:rsidR="00FC16F6" w:rsidRPr="00A76109">
              <w:rPr>
                <w:spacing w:val="-4"/>
                <w:lang w:val="en-GB"/>
              </w:rPr>
              <w:t>.</w:t>
            </w:r>
            <w:r w:rsidR="002E28D8" w:rsidRPr="00A76109">
              <w:rPr>
                <w:spacing w:val="-4"/>
                <w:lang w:val="en-GB"/>
              </w:rPr>
              <w:t>2 t</w:t>
            </w:r>
            <w:r w:rsidR="00FC16F6" w:rsidRPr="00A76109">
              <w:rPr>
                <w:spacing w:val="-4"/>
                <w:lang w:val="en-GB"/>
              </w:rPr>
              <w:t xml:space="preserve">housand. </w:t>
            </w:r>
            <w:r w:rsidR="0025190D" w:rsidRPr="00A76109">
              <w:rPr>
                <w:spacing w:val="-4"/>
                <w:lang w:val="en-GB"/>
              </w:rPr>
              <w:t xml:space="preserve">Year-on-year growth of credit and amounts receivables of non-financial businesses was accelerating during the last year, specifically thanks to credit denominated in foreign currency, where the dynamics reached double digit values in H2. </w:t>
            </w:r>
            <w:r w:rsidR="005773E1" w:rsidRPr="00A76109">
              <w:rPr>
                <w:spacing w:val="-4"/>
                <w:lang w:val="en-GB"/>
              </w:rPr>
              <w:t xml:space="preserve">Credit in foreign currency constituted </w:t>
            </w:r>
            <w:r w:rsidR="001125EF" w:rsidRPr="00A76109">
              <w:rPr>
                <w:spacing w:val="-4"/>
                <w:lang w:val="en-GB"/>
              </w:rPr>
              <w:t>31</w:t>
            </w:r>
            <w:r w:rsidR="005773E1" w:rsidRPr="00A76109">
              <w:rPr>
                <w:spacing w:val="-4"/>
                <w:lang w:val="en-GB"/>
              </w:rPr>
              <w:t>.</w:t>
            </w:r>
            <w:r w:rsidR="001125EF" w:rsidRPr="00A76109">
              <w:rPr>
                <w:spacing w:val="-4"/>
                <w:lang w:val="en-GB"/>
              </w:rPr>
              <w:t xml:space="preserve">1% </w:t>
            </w:r>
            <w:r w:rsidR="005773E1" w:rsidRPr="00A76109">
              <w:rPr>
                <w:spacing w:val="-4"/>
                <w:lang w:val="en-GB"/>
              </w:rPr>
              <w:t>of the volume of credit and amount receivables of the non-financial businesses at the end of the year</w:t>
            </w:r>
            <w:r w:rsidR="001125EF" w:rsidRPr="00A76109">
              <w:rPr>
                <w:spacing w:val="-4"/>
                <w:lang w:val="en-GB"/>
              </w:rPr>
              <w:t xml:space="preserve">. </w:t>
            </w:r>
            <w:r w:rsidR="00A132EF" w:rsidRPr="00A76109">
              <w:rPr>
                <w:spacing w:val="-4"/>
                <w:lang w:val="en-GB"/>
              </w:rPr>
              <w:t xml:space="preserve">Increases were mostly related to credit and amounts receivables with medium and long- term </w:t>
            </w:r>
            <w:r w:rsidR="00640715" w:rsidRPr="00A76109">
              <w:rPr>
                <w:spacing w:val="-4"/>
                <w:lang w:val="en-GB"/>
              </w:rPr>
              <w:t>maturity</w:t>
            </w:r>
            <w:r w:rsidR="001125EF" w:rsidRPr="00A76109">
              <w:rPr>
                <w:spacing w:val="-4"/>
                <w:lang w:val="en-GB"/>
              </w:rPr>
              <w:t xml:space="preserve">. </w:t>
            </w:r>
            <w:r w:rsidR="00640715" w:rsidRPr="00A76109">
              <w:rPr>
                <w:spacing w:val="-4"/>
                <w:lang w:val="en-GB"/>
              </w:rPr>
              <w:t xml:space="preserve">The dynamics rather precisely followed the economic development. Credit provided in construction grew by </w:t>
            </w:r>
            <w:r w:rsidR="001125EF" w:rsidRPr="00A76109">
              <w:rPr>
                <w:spacing w:val="-4"/>
                <w:lang w:val="en-GB"/>
              </w:rPr>
              <w:t>5</w:t>
            </w:r>
            <w:r w:rsidR="00640715" w:rsidRPr="00A76109">
              <w:rPr>
                <w:spacing w:val="-4"/>
                <w:lang w:val="en-GB"/>
              </w:rPr>
              <w:t>.</w:t>
            </w:r>
            <w:r w:rsidR="001125EF" w:rsidRPr="00A76109">
              <w:rPr>
                <w:spacing w:val="-4"/>
                <w:lang w:val="en-GB"/>
              </w:rPr>
              <w:t xml:space="preserve">5 </w:t>
            </w:r>
            <w:r w:rsidR="00640715" w:rsidRPr="00A76109">
              <w:rPr>
                <w:spacing w:val="-4"/>
                <w:lang w:val="en-GB"/>
              </w:rPr>
              <w:t xml:space="preserve">CZK bn during the year </w:t>
            </w:r>
            <w:r w:rsidR="001125EF" w:rsidRPr="00A76109">
              <w:rPr>
                <w:spacing w:val="-4"/>
                <w:lang w:val="en-GB"/>
              </w:rPr>
              <w:t>(12</w:t>
            </w:r>
            <w:r w:rsidR="00640715" w:rsidRPr="00A76109">
              <w:rPr>
                <w:spacing w:val="-4"/>
                <w:lang w:val="en-GB"/>
              </w:rPr>
              <w:t>.</w:t>
            </w:r>
            <w:r w:rsidR="001125EF" w:rsidRPr="00A76109">
              <w:rPr>
                <w:spacing w:val="-4"/>
                <w:lang w:val="en-GB"/>
              </w:rPr>
              <w:t xml:space="preserve">7%), </w:t>
            </w:r>
            <w:r w:rsidR="00640715" w:rsidRPr="00A76109">
              <w:rPr>
                <w:spacing w:val="-4"/>
                <w:lang w:val="en-GB"/>
              </w:rPr>
              <w:t xml:space="preserve">by </w:t>
            </w:r>
            <w:r w:rsidR="001125EF" w:rsidRPr="00A76109">
              <w:rPr>
                <w:spacing w:val="-4"/>
                <w:lang w:val="en-GB"/>
              </w:rPr>
              <w:t>6</w:t>
            </w:r>
            <w:r w:rsidR="00640715" w:rsidRPr="00A76109">
              <w:rPr>
                <w:spacing w:val="-4"/>
                <w:lang w:val="en-GB"/>
              </w:rPr>
              <w:t>.</w:t>
            </w:r>
            <w:r w:rsidR="001125EF" w:rsidRPr="00A76109">
              <w:rPr>
                <w:spacing w:val="-4"/>
                <w:lang w:val="en-GB"/>
              </w:rPr>
              <w:t xml:space="preserve">7 </w:t>
            </w:r>
            <w:r w:rsidR="00640715" w:rsidRPr="00A76109">
              <w:rPr>
                <w:spacing w:val="-4"/>
                <w:lang w:val="en-GB"/>
              </w:rPr>
              <w:t xml:space="preserve">bn in transportation and warehousing </w:t>
            </w:r>
            <w:r w:rsidR="001125EF" w:rsidRPr="00A76109">
              <w:rPr>
                <w:spacing w:val="-4"/>
                <w:lang w:val="en-GB"/>
              </w:rPr>
              <w:t>(14</w:t>
            </w:r>
            <w:r w:rsidR="00640715" w:rsidRPr="00A76109">
              <w:rPr>
                <w:spacing w:val="-4"/>
                <w:lang w:val="en-GB"/>
              </w:rPr>
              <w:t>.</w:t>
            </w:r>
            <w:r w:rsidR="001125EF" w:rsidRPr="00A76109">
              <w:rPr>
                <w:spacing w:val="-4"/>
                <w:lang w:val="en-GB"/>
              </w:rPr>
              <w:t>0%),</w:t>
            </w:r>
            <w:r w:rsidR="00640715" w:rsidRPr="00A76109">
              <w:rPr>
                <w:spacing w:val="-4"/>
                <w:lang w:val="en-GB"/>
              </w:rPr>
              <w:t xml:space="preserve"> by 8.4 bn in information and communication </w:t>
            </w:r>
            <w:r w:rsidR="001125EF" w:rsidRPr="00A76109">
              <w:rPr>
                <w:spacing w:val="-4"/>
                <w:lang w:val="en-GB"/>
              </w:rPr>
              <w:t>(23</w:t>
            </w:r>
            <w:r w:rsidR="00640715" w:rsidRPr="00A76109">
              <w:rPr>
                <w:spacing w:val="-4"/>
                <w:lang w:val="en-GB"/>
              </w:rPr>
              <w:t>.</w:t>
            </w:r>
            <w:r w:rsidR="001125EF" w:rsidRPr="00A76109">
              <w:rPr>
                <w:spacing w:val="-4"/>
                <w:lang w:val="en-GB"/>
              </w:rPr>
              <w:t xml:space="preserve">4%). </w:t>
            </w:r>
            <w:r w:rsidR="00B20C52" w:rsidRPr="00A76109">
              <w:rPr>
                <w:spacing w:val="-4"/>
                <w:lang w:val="en-GB"/>
              </w:rPr>
              <w:t xml:space="preserve">By 38.8 bn in financial and insurance activities </w:t>
            </w:r>
            <w:r w:rsidR="001125EF" w:rsidRPr="00A76109">
              <w:rPr>
                <w:spacing w:val="-4"/>
                <w:lang w:val="en-GB"/>
              </w:rPr>
              <w:t>(14</w:t>
            </w:r>
            <w:r w:rsidR="00B20C52" w:rsidRPr="00A76109">
              <w:rPr>
                <w:spacing w:val="-4"/>
                <w:lang w:val="en-GB"/>
              </w:rPr>
              <w:t>.</w:t>
            </w:r>
            <w:r w:rsidR="001125EF" w:rsidRPr="00A76109">
              <w:rPr>
                <w:spacing w:val="-4"/>
                <w:lang w:val="en-GB"/>
              </w:rPr>
              <w:t xml:space="preserve">9%). </w:t>
            </w:r>
            <w:r w:rsidR="00B20C52" w:rsidRPr="00A76109">
              <w:rPr>
                <w:spacing w:val="-4"/>
                <w:lang w:val="en-GB"/>
              </w:rPr>
              <w:t xml:space="preserve">Dive continued in section mining and quarrying </w:t>
            </w:r>
            <w:r w:rsidR="001125EF" w:rsidRPr="00A76109">
              <w:rPr>
                <w:spacing w:val="-4"/>
                <w:lang w:val="en-GB"/>
              </w:rPr>
              <w:t>(-2</w:t>
            </w:r>
            <w:r w:rsidR="00B20C52" w:rsidRPr="00A76109">
              <w:rPr>
                <w:spacing w:val="-4"/>
                <w:lang w:val="en-GB"/>
              </w:rPr>
              <w:t>.</w:t>
            </w:r>
            <w:r w:rsidR="001125EF" w:rsidRPr="00A76109">
              <w:rPr>
                <w:spacing w:val="-4"/>
                <w:lang w:val="en-GB"/>
              </w:rPr>
              <w:t>8</w:t>
            </w:r>
            <w:r w:rsidR="00B20C52" w:rsidRPr="00A76109">
              <w:rPr>
                <w:spacing w:val="-4"/>
                <w:lang w:val="en-GB"/>
              </w:rPr>
              <w:t xml:space="preserve"> bn</w:t>
            </w:r>
            <w:r w:rsidR="001125EF" w:rsidRPr="00A76109">
              <w:rPr>
                <w:spacing w:val="-4"/>
                <w:lang w:val="en-GB"/>
              </w:rPr>
              <w:t>, -25</w:t>
            </w:r>
            <w:r w:rsidR="00B20C52" w:rsidRPr="00A76109">
              <w:rPr>
                <w:spacing w:val="-4"/>
                <w:lang w:val="en-GB"/>
              </w:rPr>
              <w:t>.</w:t>
            </w:r>
            <w:r w:rsidR="001125EF" w:rsidRPr="00A76109">
              <w:rPr>
                <w:spacing w:val="-4"/>
                <w:lang w:val="en-GB"/>
              </w:rPr>
              <w:t>0%)</w:t>
            </w:r>
            <w:r w:rsidR="00B20C52" w:rsidRPr="00A76109">
              <w:rPr>
                <w:spacing w:val="-4"/>
                <w:lang w:val="en-GB"/>
              </w:rPr>
              <w:t xml:space="preserve"> and also in the manufacture and distribution of electricity, gas, heat, air and water </w:t>
            </w:r>
            <w:r w:rsidR="001125EF" w:rsidRPr="00A76109">
              <w:rPr>
                <w:spacing w:val="-4"/>
                <w:lang w:val="en-GB"/>
              </w:rPr>
              <w:t>(</w:t>
            </w:r>
            <w:r w:rsidR="00BD59F1" w:rsidRPr="00A76109">
              <w:rPr>
                <w:spacing w:val="-4"/>
                <w:lang w:val="en-GB"/>
              </w:rPr>
              <w:noBreakHyphen/>
            </w:r>
            <w:r w:rsidR="001125EF" w:rsidRPr="00A76109">
              <w:rPr>
                <w:spacing w:val="-4"/>
                <w:lang w:val="en-GB"/>
              </w:rPr>
              <w:t>12</w:t>
            </w:r>
            <w:r w:rsidR="00B20C52" w:rsidRPr="00A76109">
              <w:rPr>
                <w:spacing w:val="-4"/>
                <w:lang w:val="en-GB"/>
              </w:rPr>
              <w:t>.</w:t>
            </w:r>
            <w:r w:rsidR="001125EF" w:rsidRPr="00A76109">
              <w:rPr>
                <w:spacing w:val="-4"/>
                <w:lang w:val="en-GB"/>
              </w:rPr>
              <w:t xml:space="preserve">4 </w:t>
            </w:r>
            <w:r w:rsidR="00B20C52" w:rsidRPr="00A76109">
              <w:rPr>
                <w:spacing w:val="-4"/>
                <w:lang w:val="en-GB"/>
              </w:rPr>
              <w:t>bn</w:t>
            </w:r>
            <w:r w:rsidR="001125EF" w:rsidRPr="00A76109">
              <w:rPr>
                <w:spacing w:val="-4"/>
                <w:lang w:val="en-GB"/>
              </w:rPr>
              <w:t>, -8</w:t>
            </w:r>
            <w:r w:rsidR="00B20C52" w:rsidRPr="00A76109">
              <w:rPr>
                <w:spacing w:val="-4"/>
                <w:lang w:val="en-GB"/>
              </w:rPr>
              <w:t>.</w:t>
            </w:r>
            <w:r w:rsidR="001125EF" w:rsidRPr="00A76109">
              <w:rPr>
                <w:spacing w:val="-4"/>
                <w:lang w:val="en-GB"/>
              </w:rPr>
              <w:t>9%).</w:t>
            </w:r>
          </w:p>
        </w:tc>
      </w:tr>
      <w:tr w:rsidR="001125EF" w:rsidRPr="009C0696" w:rsidTr="001125EF">
        <w:trPr>
          <w:trHeight w:val="304"/>
        </w:trPr>
        <w:tc>
          <w:tcPr>
            <w:tcW w:w="1888" w:type="dxa"/>
            <w:vMerge w:val="restart"/>
            <w:shd w:val="clear" w:color="auto" w:fill="auto"/>
            <w:tcMar>
              <w:left w:w="0" w:type="dxa"/>
            </w:tcMar>
          </w:tcPr>
          <w:p w:rsidR="001125EF" w:rsidRPr="009C0696" w:rsidRDefault="001125EF" w:rsidP="00723435">
            <w:pPr>
              <w:pStyle w:val="Marginlie"/>
              <w:rPr>
                <w:lang w:val="en-GB"/>
              </w:rPr>
            </w:pPr>
          </w:p>
        </w:tc>
        <w:tc>
          <w:tcPr>
            <w:tcW w:w="250" w:type="dxa"/>
            <w:vMerge w:val="restart"/>
            <w:shd w:val="clear" w:color="auto" w:fill="auto"/>
            <w:tcMar>
              <w:left w:w="0" w:type="dxa"/>
            </w:tcMar>
          </w:tcPr>
          <w:p w:rsidR="001125EF" w:rsidRPr="009C0696" w:rsidRDefault="001125EF" w:rsidP="00723435">
            <w:pPr>
              <w:pStyle w:val="Textpoznpodarou"/>
              <w:jc w:val="both"/>
              <w:rPr>
                <w:spacing w:val="-4"/>
                <w:lang w:val="en-GB"/>
              </w:rPr>
            </w:pPr>
          </w:p>
        </w:tc>
        <w:tc>
          <w:tcPr>
            <w:tcW w:w="7501" w:type="dxa"/>
            <w:shd w:val="clear" w:color="auto" w:fill="auto"/>
            <w:tcMar>
              <w:left w:w="0" w:type="dxa"/>
            </w:tcMar>
          </w:tcPr>
          <w:p w:rsidR="001125EF" w:rsidRPr="009F7FC7" w:rsidRDefault="00DA368A" w:rsidP="00DA368A">
            <w:pPr>
              <w:spacing w:after="0"/>
              <w:rPr>
                <w:szCs w:val="20"/>
                <w:lang w:val="en-GB"/>
              </w:rPr>
            </w:pPr>
            <w:r w:rsidRPr="009F7FC7">
              <w:rPr>
                <w:rFonts w:cs="Arial"/>
                <w:b/>
                <w:bCs/>
                <w:color w:val="000000"/>
                <w:szCs w:val="20"/>
                <w:lang w:val="en-GB"/>
              </w:rPr>
              <w:t xml:space="preserve">Chart </w:t>
            </w:r>
            <w:r w:rsidR="00E378B1" w:rsidRPr="009F7FC7">
              <w:rPr>
                <w:rFonts w:cs="Arial"/>
                <w:b/>
                <w:bCs/>
                <w:color w:val="000000"/>
                <w:szCs w:val="20"/>
                <w:lang w:val="en-GB"/>
              </w:rPr>
              <w:t>17</w:t>
            </w:r>
            <w:r w:rsidR="001125EF" w:rsidRPr="009F7FC7">
              <w:rPr>
                <w:rFonts w:cs="Arial"/>
                <w:b/>
                <w:bCs/>
                <w:color w:val="000000"/>
                <w:szCs w:val="20"/>
                <w:lang w:val="en-GB"/>
              </w:rPr>
              <w:t xml:space="preserve">  </w:t>
            </w:r>
            <w:r w:rsidRPr="009F7FC7">
              <w:rPr>
                <w:rFonts w:cs="Arial"/>
                <w:b/>
                <w:bCs/>
                <w:color w:val="000000"/>
                <w:szCs w:val="20"/>
                <w:lang w:val="en-GB"/>
              </w:rPr>
              <w:t xml:space="preserve">Market interest rates </w:t>
            </w:r>
            <w:r w:rsidR="001125EF" w:rsidRPr="00382CDE">
              <w:rPr>
                <w:spacing w:val="-4"/>
                <w:szCs w:val="20"/>
                <w:lang w:val="en-GB"/>
              </w:rPr>
              <w:t>(</w:t>
            </w:r>
            <w:r w:rsidRPr="00382CDE">
              <w:rPr>
                <w:spacing w:val="-4"/>
                <w:szCs w:val="20"/>
                <w:lang w:val="en-GB"/>
              </w:rPr>
              <w:t>in</w:t>
            </w:r>
            <w:r w:rsidR="001125EF" w:rsidRPr="00382CDE">
              <w:rPr>
                <w:spacing w:val="-4"/>
                <w:szCs w:val="20"/>
                <w:lang w:val="en-GB"/>
              </w:rPr>
              <w:t> %)</w:t>
            </w:r>
          </w:p>
        </w:tc>
      </w:tr>
      <w:tr w:rsidR="001125EF" w:rsidRPr="009C0696" w:rsidTr="00A1412D">
        <w:tblPrEx>
          <w:tblCellMar>
            <w:left w:w="70" w:type="dxa"/>
            <w:right w:w="70" w:type="dxa"/>
          </w:tblCellMar>
        </w:tblPrEx>
        <w:trPr>
          <w:trHeight w:val="170"/>
        </w:trPr>
        <w:tc>
          <w:tcPr>
            <w:tcW w:w="1888" w:type="dxa"/>
            <w:vMerge/>
            <w:shd w:val="clear" w:color="auto" w:fill="auto"/>
          </w:tcPr>
          <w:p w:rsidR="001125EF" w:rsidRPr="009C0696" w:rsidRDefault="001125EF" w:rsidP="00965797">
            <w:pPr>
              <w:pStyle w:val="Marginlie"/>
              <w:rPr>
                <w:lang w:val="en-GB"/>
              </w:rPr>
            </w:pPr>
          </w:p>
        </w:tc>
        <w:tc>
          <w:tcPr>
            <w:tcW w:w="250" w:type="dxa"/>
            <w:vMerge/>
            <w:shd w:val="clear" w:color="auto" w:fill="auto"/>
          </w:tcPr>
          <w:p w:rsidR="001125EF" w:rsidRPr="009C0696" w:rsidRDefault="001125EF" w:rsidP="00965797">
            <w:pPr>
              <w:pStyle w:val="Textpoznpodarou"/>
              <w:jc w:val="both"/>
              <w:rPr>
                <w:spacing w:val="-4"/>
                <w:lang w:val="en-GB"/>
              </w:rPr>
            </w:pPr>
          </w:p>
        </w:tc>
        <w:tc>
          <w:tcPr>
            <w:tcW w:w="7501" w:type="dxa"/>
            <w:shd w:val="clear" w:color="auto" w:fill="auto"/>
          </w:tcPr>
          <w:p w:rsidR="001125EF" w:rsidRPr="009C0696" w:rsidRDefault="00A1412D" w:rsidP="008458BD">
            <w:pPr>
              <w:spacing w:after="0"/>
              <w:rPr>
                <w:sz w:val="14"/>
                <w:szCs w:val="14"/>
                <w:lang w:val="en-GB"/>
              </w:rPr>
            </w:pPr>
            <w:r>
              <w:rPr>
                <w:noProof/>
              </w:rPr>
              <w:drawing>
                <wp:inline distT="0" distB="0" distL="0" distR="0" wp14:anchorId="3559332C" wp14:editId="2707C439">
                  <wp:extent cx="4737600" cy="3553200"/>
                  <wp:effectExtent l="0" t="0" r="635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125EF" w:rsidRPr="009C0696" w:rsidTr="001125EF">
        <w:trPr>
          <w:trHeight w:val="170"/>
        </w:trPr>
        <w:tc>
          <w:tcPr>
            <w:tcW w:w="1888" w:type="dxa"/>
            <w:vMerge/>
            <w:shd w:val="clear" w:color="auto" w:fill="auto"/>
            <w:tcMar>
              <w:left w:w="0" w:type="dxa"/>
            </w:tcMar>
          </w:tcPr>
          <w:p w:rsidR="001125EF" w:rsidRPr="009C0696" w:rsidRDefault="001125EF" w:rsidP="00965797">
            <w:pPr>
              <w:pStyle w:val="Marginlie"/>
              <w:rPr>
                <w:lang w:val="en-GB"/>
              </w:rPr>
            </w:pPr>
          </w:p>
        </w:tc>
        <w:tc>
          <w:tcPr>
            <w:tcW w:w="250" w:type="dxa"/>
            <w:vMerge/>
            <w:shd w:val="clear" w:color="auto" w:fill="auto"/>
            <w:tcMar>
              <w:left w:w="0" w:type="dxa"/>
            </w:tcMar>
          </w:tcPr>
          <w:p w:rsidR="001125EF" w:rsidRPr="009C0696" w:rsidRDefault="001125EF" w:rsidP="00965797">
            <w:pPr>
              <w:pStyle w:val="Textpoznpodarou"/>
              <w:jc w:val="both"/>
              <w:rPr>
                <w:spacing w:val="-4"/>
                <w:lang w:val="en-GB"/>
              </w:rPr>
            </w:pPr>
          </w:p>
        </w:tc>
        <w:tc>
          <w:tcPr>
            <w:tcW w:w="7501" w:type="dxa"/>
            <w:shd w:val="clear" w:color="auto" w:fill="auto"/>
            <w:tcMar>
              <w:left w:w="0" w:type="dxa"/>
            </w:tcMar>
          </w:tcPr>
          <w:p w:rsidR="0082121F" w:rsidRPr="009C0696" w:rsidRDefault="007341C8" w:rsidP="00A1412D">
            <w:pPr>
              <w:spacing w:after="0"/>
              <w:rPr>
                <w:sz w:val="14"/>
                <w:szCs w:val="14"/>
                <w:lang w:val="en-GB"/>
              </w:rPr>
            </w:pPr>
            <w:r w:rsidRPr="009C0696">
              <w:rPr>
                <w:sz w:val="14"/>
                <w:szCs w:val="14"/>
                <w:lang w:val="en-GB"/>
              </w:rPr>
              <w:t>Source</w:t>
            </w:r>
            <w:r w:rsidR="001125EF" w:rsidRPr="009C0696">
              <w:rPr>
                <w:sz w:val="14"/>
                <w:szCs w:val="14"/>
                <w:lang w:val="en-GB"/>
              </w:rPr>
              <w:t xml:space="preserve">: </w:t>
            </w:r>
            <w:r w:rsidRPr="009C0696">
              <w:rPr>
                <w:sz w:val="14"/>
                <w:szCs w:val="14"/>
                <w:lang w:val="en-GB"/>
              </w:rPr>
              <w:t>CNB</w:t>
            </w:r>
          </w:p>
        </w:tc>
      </w:tr>
    </w:tbl>
    <w:p w:rsidR="00A50D73" w:rsidRPr="009110F7" w:rsidRDefault="00A50D73" w:rsidP="00A76109">
      <w:pPr>
        <w:pStyle w:val="Nadpis11"/>
        <w:rPr>
          <w:sz w:val="2"/>
          <w:szCs w:val="2"/>
        </w:rPr>
      </w:pPr>
    </w:p>
    <w:sectPr w:rsidR="00A50D73" w:rsidRPr="009110F7" w:rsidSect="00A03B10">
      <w:headerReference w:type="even" r:id="rId10"/>
      <w:headerReference w:type="default" r:id="rId11"/>
      <w:footerReference w:type="even" r:id="rId12"/>
      <w:footerReference w:type="default" r:id="rId13"/>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F0" w:rsidRDefault="003A1CF0" w:rsidP="00E71A58">
      <w:r>
        <w:separator/>
      </w:r>
    </w:p>
  </w:endnote>
  <w:endnote w:type="continuationSeparator" w:id="0">
    <w:p w:rsidR="003A1CF0" w:rsidRDefault="003A1CF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A91AF6" w:rsidP="00A418BC">
    <w:pPr>
      <w:pStyle w:val="Zpat"/>
      <w:rPr>
        <w:szCs w:val="16"/>
      </w:rPr>
    </w:pPr>
    <w:r>
      <w:rPr>
        <w:szCs w:val="16"/>
        <w:lang w:eastAsia="cs-CZ"/>
      </w:rPr>
      <w:drawing>
        <wp:anchor distT="0" distB="0" distL="114300" distR="114300" simplePos="0" relativeHeight="251658240" behindDoc="0" locked="0" layoutInCell="1" allowOverlap="1" wp14:anchorId="54640964" wp14:editId="1CC92A28">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A76109">
      <w:rPr>
        <w:szCs w:val="16"/>
      </w:rPr>
      <w:t>2</w:t>
    </w:r>
    <w:r w:rsidRPr="00932443">
      <w:rPr>
        <w:szCs w:val="16"/>
      </w:rPr>
      <w:fldChar w:fldCharType="end"/>
    </w:r>
    <w:r w:rsidRPr="00932443">
      <w:rPr>
        <w:szCs w:val="16"/>
      </w:rPr>
      <w:tab/>
    </w:r>
    <w:r>
      <w:rPr>
        <w:szCs w:val="16"/>
      </w:rPr>
      <w:t xml:space="preserve">Year </w:t>
    </w: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7B3622" w:rsidP="00A418BC">
    <w:pPr>
      <w:pStyle w:val="Zpat"/>
      <w:rPr>
        <w:szCs w:val="16"/>
      </w:rPr>
    </w:pPr>
    <w:r>
      <w:rPr>
        <w:lang w:eastAsia="cs-CZ"/>
      </w:rPr>
      <w:drawing>
        <wp:anchor distT="0" distB="0" distL="114300" distR="114300" simplePos="0" relativeHeight="251660288" behindDoc="0" locked="0" layoutInCell="1" allowOverlap="1" wp14:anchorId="14528444" wp14:editId="3CA8CF0A">
          <wp:simplePos x="0" y="0"/>
          <wp:positionH relativeFrom="column">
            <wp:posOffset>0</wp:posOffset>
          </wp:positionH>
          <wp:positionV relativeFrom="paragraph">
            <wp:posOffset>0</wp:posOffset>
          </wp:positionV>
          <wp:extent cx="676910" cy="201930"/>
          <wp:effectExtent l="0" t="0" r="8890" b="1270"/>
          <wp:wrapNone/>
          <wp:docPr id="65"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F6" w:rsidRPr="00932443">
      <w:rPr>
        <w:szCs w:val="16"/>
      </w:rPr>
      <w:tab/>
    </w:r>
    <w:r w:rsidR="00A91AF6">
      <w:t>Year 2018</w:t>
    </w:r>
    <w:r w:rsidR="00A91AF6" w:rsidRPr="00932443">
      <w:rPr>
        <w:szCs w:val="16"/>
      </w:rPr>
      <w:tab/>
    </w:r>
    <w:r w:rsidR="00A91AF6" w:rsidRPr="00932443">
      <w:rPr>
        <w:rStyle w:val="ZpatChar"/>
        <w:szCs w:val="16"/>
      </w:rPr>
      <w:fldChar w:fldCharType="begin"/>
    </w:r>
    <w:r w:rsidR="00A91AF6" w:rsidRPr="00932443">
      <w:rPr>
        <w:rStyle w:val="ZpatChar"/>
        <w:szCs w:val="16"/>
      </w:rPr>
      <w:instrText>PAGE   \* MERGEFORMAT</w:instrText>
    </w:r>
    <w:r w:rsidR="00A91AF6" w:rsidRPr="00932443">
      <w:rPr>
        <w:rStyle w:val="ZpatChar"/>
        <w:szCs w:val="16"/>
      </w:rPr>
      <w:fldChar w:fldCharType="separate"/>
    </w:r>
    <w:r w:rsidR="00A76109">
      <w:rPr>
        <w:rStyle w:val="ZpatChar"/>
        <w:szCs w:val="16"/>
      </w:rPr>
      <w:t>1</w:t>
    </w:r>
    <w:r w:rsidR="00A91AF6"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F0" w:rsidRDefault="003A1CF0" w:rsidP="00E71A58">
      <w:r>
        <w:separator/>
      </w:r>
    </w:p>
  </w:footnote>
  <w:footnote w:type="continuationSeparator" w:id="0">
    <w:p w:rsidR="003A1CF0" w:rsidRDefault="003A1CF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6F5416" w:rsidRDefault="00A91AF6" w:rsidP="00937AE2">
    <w:pPr>
      <w:pStyle w:val="Zhlav"/>
    </w:pPr>
    <w: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Default="00A91AF6" w:rsidP="00937AE2">
    <w:pPr>
      <w:pStyle w:val="Zhlav"/>
    </w:pPr>
    <w:r>
      <w:t>The Czech Economy Development</w:t>
    </w:r>
  </w:p>
  <w:p w:rsidR="00A91AF6" w:rsidRPr="006F5416" w:rsidRDefault="00A91AF6"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820"/>
    <w:rsid w:val="0000209D"/>
    <w:rsid w:val="0000377C"/>
    <w:rsid w:val="00003F5C"/>
    <w:rsid w:val="00004D28"/>
    <w:rsid w:val="00004D5A"/>
    <w:rsid w:val="000056D5"/>
    <w:rsid w:val="000063D5"/>
    <w:rsid w:val="00006ABD"/>
    <w:rsid w:val="00006B67"/>
    <w:rsid w:val="000073A0"/>
    <w:rsid w:val="0000767A"/>
    <w:rsid w:val="00010256"/>
    <w:rsid w:val="00010600"/>
    <w:rsid w:val="00010702"/>
    <w:rsid w:val="0001128E"/>
    <w:rsid w:val="00011912"/>
    <w:rsid w:val="00015BA8"/>
    <w:rsid w:val="00016420"/>
    <w:rsid w:val="00017296"/>
    <w:rsid w:val="00017B01"/>
    <w:rsid w:val="00017C20"/>
    <w:rsid w:val="0002047B"/>
    <w:rsid w:val="00020C84"/>
    <w:rsid w:val="00020F22"/>
    <w:rsid w:val="0002195D"/>
    <w:rsid w:val="000228AE"/>
    <w:rsid w:val="000233D1"/>
    <w:rsid w:val="000234D6"/>
    <w:rsid w:val="00023D29"/>
    <w:rsid w:val="00024348"/>
    <w:rsid w:val="0002620C"/>
    <w:rsid w:val="00026389"/>
    <w:rsid w:val="0002744A"/>
    <w:rsid w:val="00027A21"/>
    <w:rsid w:val="00031AE0"/>
    <w:rsid w:val="00031BB2"/>
    <w:rsid w:val="00031BDF"/>
    <w:rsid w:val="000322EF"/>
    <w:rsid w:val="00033CD3"/>
    <w:rsid w:val="00033FCD"/>
    <w:rsid w:val="00034BBA"/>
    <w:rsid w:val="00034DF7"/>
    <w:rsid w:val="00034E68"/>
    <w:rsid w:val="000350C8"/>
    <w:rsid w:val="00036195"/>
    <w:rsid w:val="000374B2"/>
    <w:rsid w:val="000376C0"/>
    <w:rsid w:val="000403A7"/>
    <w:rsid w:val="00040632"/>
    <w:rsid w:val="00041CEC"/>
    <w:rsid w:val="00044183"/>
    <w:rsid w:val="00044670"/>
    <w:rsid w:val="0004694F"/>
    <w:rsid w:val="00046EB3"/>
    <w:rsid w:val="00047B9C"/>
    <w:rsid w:val="00047D54"/>
    <w:rsid w:val="00047D5E"/>
    <w:rsid w:val="00050E97"/>
    <w:rsid w:val="000522E4"/>
    <w:rsid w:val="00053713"/>
    <w:rsid w:val="0005434E"/>
    <w:rsid w:val="00055CB6"/>
    <w:rsid w:val="00056DF4"/>
    <w:rsid w:val="000572DD"/>
    <w:rsid w:val="00057B1E"/>
    <w:rsid w:val="000610E1"/>
    <w:rsid w:val="000616AD"/>
    <w:rsid w:val="000622A6"/>
    <w:rsid w:val="00062C5C"/>
    <w:rsid w:val="00062EC5"/>
    <w:rsid w:val="00062F22"/>
    <w:rsid w:val="00063975"/>
    <w:rsid w:val="00063E6C"/>
    <w:rsid w:val="000645FC"/>
    <w:rsid w:val="00065190"/>
    <w:rsid w:val="0006533F"/>
    <w:rsid w:val="00065348"/>
    <w:rsid w:val="00065A75"/>
    <w:rsid w:val="00070A87"/>
    <w:rsid w:val="00071167"/>
    <w:rsid w:val="000712B3"/>
    <w:rsid w:val="000713AB"/>
    <w:rsid w:val="000730A8"/>
    <w:rsid w:val="0007450F"/>
    <w:rsid w:val="0007474E"/>
    <w:rsid w:val="00074B31"/>
    <w:rsid w:val="0007512B"/>
    <w:rsid w:val="00075551"/>
    <w:rsid w:val="000758E6"/>
    <w:rsid w:val="00076C79"/>
    <w:rsid w:val="00076D90"/>
    <w:rsid w:val="00077BA2"/>
    <w:rsid w:val="00077FF0"/>
    <w:rsid w:val="00081A55"/>
    <w:rsid w:val="0008263E"/>
    <w:rsid w:val="00082C19"/>
    <w:rsid w:val="000831A5"/>
    <w:rsid w:val="000837CD"/>
    <w:rsid w:val="00084BFF"/>
    <w:rsid w:val="00085395"/>
    <w:rsid w:val="00085F0D"/>
    <w:rsid w:val="0008616B"/>
    <w:rsid w:val="000864D5"/>
    <w:rsid w:val="00086896"/>
    <w:rsid w:val="00086AC1"/>
    <w:rsid w:val="00086D19"/>
    <w:rsid w:val="00087356"/>
    <w:rsid w:val="00087634"/>
    <w:rsid w:val="00087F2B"/>
    <w:rsid w:val="000901B9"/>
    <w:rsid w:val="00090694"/>
    <w:rsid w:val="000913B1"/>
    <w:rsid w:val="00091C64"/>
    <w:rsid w:val="00093241"/>
    <w:rsid w:val="00094A84"/>
    <w:rsid w:val="00095025"/>
    <w:rsid w:val="00095135"/>
    <w:rsid w:val="00095B5C"/>
    <w:rsid w:val="0009626E"/>
    <w:rsid w:val="0009636E"/>
    <w:rsid w:val="00097191"/>
    <w:rsid w:val="000974D1"/>
    <w:rsid w:val="0009799E"/>
    <w:rsid w:val="000A0BC0"/>
    <w:rsid w:val="000A1183"/>
    <w:rsid w:val="000A256D"/>
    <w:rsid w:val="000A3182"/>
    <w:rsid w:val="000A3A2C"/>
    <w:rsid w:val="000A4A54"/>
    <w:rsid w:val="000A4ED9"/>
    <w:rsid w:val="000A7377"/>
    <w:rsid w:val="000A7E75"/>
    <w:rsid w:val="000B03CC"/>
    <w:rsid w:val="000B253C"/>
    <w:rsid w:val="000B286D"/>
    <w:rsid w:val="000B4212"/>
    <w:rsid w:val="000B4B8F"/>
    <w:rsid w:val="000B61AE"/>
    <w:rsid w:val="000B6C5C"/>
    <w:rsid w:val="000B7344"/>
    <w:rsid w:val="000B75D3"/>
    <w:rsid w:val="000C0EA8"/>
    <w:rsid w:val="000C13A2"/>
    <w:rsid w:val="000C30C3"/>
    <w:rsid w:val="000C3408"/>
    <w:rsid w:val="000C35AB"/>
    <w:rsid w:val="000C41FA"/>
    <w:rsid w:val="000C4D56"/>
    <w:rsid w:val="000C6AFD"/>
    <w:rsid w:val="000C6C90"/>
    <w:rsid w:val="000D08EF"/>
    <w:rsid w:val="000D0A26"/>
    <w:rsid w:val="000D1221"/>
    <w:rsid w:val="000D1F28"/>
    <w:rsid w:val="000D2EB3"/>
    <w:rsid w:val="000D3058"/>
    <w:rsid w:val="000D310A"/>
    <w:rsid w:val="000D3EF4"/>
    <w:rsid w:val="000D5637"/>
    <w:rsid w:val="000D6F4E"/>
    <w:rsid w:val="000E0E96"/>
    <w:rsid w:val="000E20E6"/>
    <w:rsid w:val="000E2C7D"/>
    <w:rsid w:val="000E4237"/>
    <w:rsid w:val="000E440D"/>
    <w:rsid w:val="000E4AC5"/>
    <w:rsid w:val="000E5632"/>
    <w:rsid w:val="000E6253"/>
    <w:rsid w:val="000E6E4D"/>
    <w:rsid w:val="000E6FBD"/>
    <w:rsid w:val="000E6FCB"/>
    <w:rsid w:val="000F3F3B"/>
    <w:rsid w:val="000F4F77"/>
    <w:rsid w:val="000F70E4"/>
    <w:rsid w:val="00100E10"/>
    <w:rsid w:val="00100F5C"/>
    <w:rsid w:val="00101CDA"/>
    <w:rsid w:val="00102037"/>
    <w:rsid w:val="001026C4"/>
    <w:rsid w:val="00103DCB"/>
    <w:rsid w:val="001048F6"/>
    <w:rsid w:val="0010490F"/>
    <w:rsid w:val="00104C4C"/>
    <w:rsid w:val="001057C2"/>
    <w:rsid w:val="001125EF"/>
    <w:rsid w:val="00112CAB"/>
    <w:rsid w:val="00115525"/>
    <w:rsid w:val="00116D3F"/>
    <w:rsid w:val="0011755B"/>
    <w:rsid w:val="00117623"/>
    <w:rsid w:val="00117FEA"/>
    <w:rsid w:val="001200CF"/>
    <w:rsid w:val="001204EB"/>
    <w:rsid w:val="0012192F"/>
    <w:rsid w:val="00121F4B"/>
    <w:rsid w:val="00121F8C"/>
    <w:rsid w:val="00122994"/>
    <w:rsid w:val="00124B46"/>
    <w:rsid w:val="001257E0"/>
    <w:rsid w:val="00125D69"/>
    <w:rsid w:val="00127241"/>
    <w:rsid w:val="0012799C"/>
    <w:rsid w:val="00130ADC"/>
    <w:rsid w:val="00130D9F"/>
    <w:rsid w:val="00132C4D"/>
    <w:rsid w:val="00133FC1"/>
    <w:rsid w:val="00134659"/>
    <w:rsid w:val="00136561"/>
    <w:rsid w:val="00136BFB"/>
    <w:rsid w:val="001405FA"/>
    <w:rsid w:val="001408D0"/>
    <w:rsid w:val="00140D1A"/>
    <w:rsid w:val="00140DEB"/>
    <w:rsid w:val="00141315"/>
    <w:rsid w:val="00141568"/>
    <w:rsid w:val="00141AA0"/>
    <w:rsid w:val="00141B44"/>
    <w:rsid w:val="001425C3"/>
    <w:rsid w:val="0014262D"/>
    <w:rsid w:val="0014334D"/>
    <w:rsid w:val="0014459E"/>
    <w:rsid w:val="001447DD"/>
    <w:rsid w:val="0014593C"/>
    <w:rsid w:val="001459BC"/>
    <w:rsid w:val="0015044D"/>
    <w:rsid w:val="00150DF0"/>
    <w:rsid w:val="00152F4F"/>
    <w:rsid w:val="001544A1"/>
    <w:rsid w:val="001553B8"/>
    <w:rsid w:val="00155427"/>
    <w:rsid w:val="001554C2"/>
    <w:rsid w:val="00155750"/>
    <w:rsid w:val="00155C0B"/>
    <w:rsid w:val="001571C0"/>
    <w:rsid w:val="0015753D"/>
    <w:rsid w:val="001578B3"/>
    <w:rsid w:val="00157CC9"/>
    <w:rsid w:val="001603C7"/>
    <w:rsid w:val="001612F4"/>
    <w:rsid w:val="00161553"/>
    <w:rsid w:val="0016256B"/>
    <w:rsid w:val="00163793"/>
    <w:rsid w:val="00165262"/>
    <w:rsid w:val="001659F7"/>
    <w:rsid w:val="00167485"/>
    <w:rsid w:val="00167CA0"/>
    <w:rsid w:val="00167CB9"/>
    <w:rsid w:val="00167DD8"/>
    <w:rsid w:val="00170326"/>
    <w:rsid w:val="001705AD"/>
    <w:rsid w:val="001706D6"/>
    <w:rsid w:val="001714F2"/>
    <w:rsid w:val="00171DA4"/>
    <w:rsid w:val="00171FEA"/>
    <w:rsid w:val="00173823"/>
    <w:rsid w:val="00175388"/>
    <w:rsid w:val="00175B9F"/>
    <w:rsid w:val="001762F4"/>
    <w:rsid w:val="00176B1A"/>
    <w:rsid w:val="00177F6E"/>
    <w:rsid w:val="00180750"/>
    <w:rsid w:val="00181BBC"/>
    <w:rsid w:val="001832A9"/>
    <w:rsid w:val="0018385F"/>
    <w:rsid w:val="00184017"/>
    <w:rsid w:val="00184B08"/>
    <w:rsid w:val="00185010"/>
    <w:rsid w:val="001853B1"/>
    <w:rsid w:val="00185C22"/>
    <w:rsid w:val="001862E4"/>
    <w:rsid w:val="00186B61"/>
    <w:rsid w:val="00191E60"/>
    <w:rsid w:val="00192F05"/>
    <w:rsid w:val="00194729"/>
    <w:rsid w:val="00195234"/>
    <w:rsid w:val="00196016"/>
    <w:rsid w:val="001972B0"/>
    <w:rsid w:val="00197A70"/>
    <w:rsid w:val="00197C0F"/>
    <w:rsid w:val="001A0487"/>
    <w:rsid w:val="001A1D45"/>
    <w:rsid w:val="001A1F68"/>
    <w:rsid w:val="001A38DB"/>
    <w:rsid w:val="001A4EF0"/>
    <w:rsid w:val="001A552F"/>
    <w:rsid w:val="001A6F94"/>
    <w:rsid w:val="001A75B3"/>
    <w:rsid w:val="001A7D4E"/>
    <w:rsid w:val="001B2B99"/>
    <w:rsid w:val="001B2CA9"/>
    <w:rsid w:val="001B3110"/>
    <w:rsid w:val="001B3E38"/>
    <w:rsid w:val="001B3EC5"/>
    <w:rsid w:val="001B40F5"/>
    <w:rsid w:val="001B4729"/>
    <w:rsid w:val="001B4A29"/>
    <w:rsid w:val="001B4F0E"/>
    <w:rsid w:val="001B55D7"/>
    <w:rsid w:val="001B6310"/>
    <w:rsid w:val="001B679B"/>
    <w:rsid w:val="001B686C"/>
    <w:rsid w:val="001B6C09"/>
    <w:rsid w:val="001B7AA5"/>
    <w:rsid w:val="001C05CD"/>
    <w:rsid w:val="001C0A2B"/>
    <w:rsid w:val="001C0F17"/>
    <w:rsid w:val="001C1B66"/>
    <w:rsid w:val="001C31A2"/>
    <w:rsid w:val="001C3A69"/>
    <w:rsid w:val="001C4BB8"/>
    <w:rsid w:val="001C5E46"/>
    <w:rsid w:val="001C614E"/>
    <w:rsid w:val="001D0EF1"/>
    <w:rsid w:val="001D22C2"/>
    <w:rsid w:val="001D2C99"/>
    <w:rsid w:val="001D50CE"/>
    <w:rsid w:val="001D54C1"/>
    <w:rsid w:val="001D556E"/>
    <w:rsid w:val="001D5DF2"/>
    <w:rsid w:val="001D68B2"/>
    <w:rsid w:val="001D7EFD"/>
    <w:rsid w:val="001D7F60"/>
    <w:rsid w:val="001E0784"/>
    <w:rsid w:val="001E105C"/>
    <w:rsid w:val="001E13CF"/>
    <w:rsid w:val="001E504C"/>
    <w:rsid w:val="001E5A17"/>
    <w:rsid w:val="001E61F9"/>
    <w:rsid w:val="001E6862"/>
    <w:rsid w:val="001E74C5"/>
    <w:rsid w:val="001F1236"/>
    <w:rsid w:val="001F2549"/>
    <w:rsid w:val="001F2947"/>
    <w:rsid w:val="001F2F90"/>
    <w:rsid w:val="001F4597"/>
    <w:rsid w:val="001F4826"/>
    <w:rsid w:val="001F7CE0"/>
    <w:rsid w:val="00200085"/>
    <w:rsid w:val="00200941"/>
    <w:rsid w:val="00201033"/>
    <w:rsid w:val="00201DD6"/>
    <w:rsid w:val="00202FC2"/>
    <w:rsid w:val="00203332"/>
    <w:rsid w:val="00203CD5"/>
    <w:rsid w:val="00203D8F"/>
    <w:rsid w:val="00203DA4"/>
    <w:rsid w:val="00205186"/>
    <w:rsid w:val="002071D5"/>
    <w:rsid w:val="0020789F"/>
    <w:rsid w:val="00207D4D"/>
    <w:rsid w:val="00210E56"/>
    <w:rsid w:val="002111E5"/>
    <w:rsid w:val="002118B9"/>
    <w:rsid w:val="002142C0"/>
    <w:rsid w:val="00217C5B"/>
    <w:rsid w:val="00220A43"/>
    <w:rsid w:val="0022139E"/>
    <w:rsid w:val="00221DEA"/>
    <w:rsid w:val="00222729"/>
    <w:rsid w:val="002233D6"/>
    <w:rsid w:val="0022441D"/>
    <w:rsid w:val="00224574"/>
    <w:rsid w:val="002245B7"/>
    <w:rsid w:val="002252E0"/>
    <w:rsid w:val="002255F6"/>
    <w:rsid w:val="0022665E"/>
    <w:rsid w:val="00227605"/>
    <w:rsid w:val="00227704"/>
    <w:rsid w:val="00227850"/>
    <w:rsid w:val="00227A53"/>
    <w:rsid w:val="00227E2E"/>
    <w:rsid w:val="00227F53"/>
    <w:rsid w:val="00230469"/>
    <w:rsid w:val="00230C6E"/>
    <w:rsid w:val="002316A8"/>
    <w:rsid w:val="002326C1"/>
    <w:rsid w:val="00233603"/>
    <w:rsid w:val="002340EF"/>
    <w:rsid w:val="00234482"/>
    <w:rsid w:val="00236443"/>
    <w:rsid w:val="00236552"/>
    <w:rsid w:val="00240AF3"/>
    <w:rsid w:val="002418D5"/>
    <w:rsid w:val="00241B06"/>
    <w:rsid w:val="002436BA"/>
    <w:rsid w:val="00244807"/>
    <w:rsid w:val="00244A15"/>
    <w:rsid w:val="002452D9"/>
    <w:rsid w:val="00245F55"/>
    <w:rsid w:val="00247319"/>
    <w:rsid w:val="0024799E"/>
    <w:rsid w:val="00247E60"/>
    <w:rsid w:val="002505E3"/>
    <w:rsid w:val="00251253"/>
    <w:rsid w:val="0025190D"/>
    <w:rsid w:val="00251C53"/>
    <w:rsid w:val="00252AB9"/>
    <w:rsid w:val="0025329C"/>
    <w:rsid w:val="00253C0F"/>
    <w:rsid w:val="002558C1"/>
    <w:rsid w:val="00256165"/>
    <w:rsid w:val="00256207"/>
    <w:rsid w:val="002602D8"/>
    <w:rsid w:val="002603E1"/>
    <w:rsid w:val="00260D10"/>
    <w:rsid w:val="0026120E"/>
    <w:rsid w:val="0026291D"/>
    <w:rsid w:val="00264309"/>
    <w:rsid w:val="00267B49"/>
    <w:rsid w:val="00267E79"/>
    <w:rsid w:val="0027025F"/>
    <w:rsid w:val="002709CC"/>
    <w:rsid w:val="00271022"/>
    <w:rsid w:val="00271465"/>
    <w:rsid w:val="002715E1"/>
    <w:rsid w:val="00272A4B"/>
    <w:rsid w:val="00272DF4"/>
    <w:rsid w:val="0027583D"/>
    <w:rsid w:val="00275DEF"/>
    <w:rsid w:val="00276B33"/>
    <w:rsid w:val="00276CE2"/>
    <w:rsid w:val="002809BC"/>
    <w:rsid w:val="002812E3"/>
    <w:rsid w:val="00283018"/>
    <w:rsid w:val="002837AE"/>
    <w:rsid w:val="00283C13"/>
    <w:rsid w:val="00283D3B"/>
    <w:rsid w:val="002853FA"/>
    <w:rsid w:val="00285412"/>
    <w:rsid w:val="00291640"/>
    <w:rsid w:val="0029237E"/>
    <w:rsid w:val="00292997"/>
    <w:rsid w:val="00293D24"/>
    <w:rsid w:val="00294828"/>
    <w:rsid w:val="00294EC7"/>
    <w:rsid w:val="0029588F"/>
    <w:rsid w:val="00295B9F"/>
    <w:rsid w:val="00296FB1"/>
    <w:rsid w:val="00297256"/>
    <w:rsid w:val="00297A5C"/>
    <w:rsid w:val="00297D51"/>
    <w:rsid w:val="002A0122"/>
    <w:rsid w:val="002A016B"/>
    <w:rsid w:val="002A0BC4"/>
    <w:rsid w:val="002A16D4"/>
    <w:rsid w:val="002A1E4F"/>
    <w:rsid w:val="002A230C"/>
    <w:rsid w:val="002A2AF7"/>
    <w:rsid w:val="002A33A7"/>
    <w:rsid w:val="002A3EA2"/>
    <w:rsid w:val="002A466F"/>
    <w:rsid w:val="002A532A"/>
    <w:rsid w:val="002A5846"/>
    <w:rsid w:val="002A5D97"/>
    <w:rsid w:val="002A603E"/>
    <w:rsid w:val="002A63B9"/>
    <w:rsid w:val="002B4845"/>
    <w:rsid w:val="002B58E4"/>
    <w:rsid w:val="002B72AA"/>
    <w:rsid w:val="002C01FD"/>
    <w:rsid w:val="002C0E8E"/>
    <w:rsid w:val="002C159B"/>
    <w:rsid w:val="002C22A4"/>
    <w:rsid w:val="002C27A6"/>
    <w:rsid w:val="002C368F"/>
    <w:rsid w:val="002C40D2"/>
    <w:rsid w:val="002C43BD"/>
    <w:rsid w:val="002C5245"/>
    <w:rsid w:val="002C621D"/>
    <w:rsid w:val="002D0E59"/>
    <w:rsid w:val="002D1D5F"/>
    <w:rsid w:val="002D40BE"/>
    <w:rsid w:val="002D41E1"/>
    <w:rsid w:val="002E02A1"/>
    <w:rsid w:val="002E196A"/>
    <w:rsid w:val="002E20C7"/>
    <w:rsid w:val="002E20CD"/>
    <w:rsid w:val="002E222E"/>
    <w:rsid w:val="002E28D8"/>
    <w:rsid w:val="002E37D1"/>
    <w:rsid w:val="002E3BEE"/>
    <w:rsid w:val="002E4E4C"/>
    <w:rsid w:val="002E4EA7"/>
    <w:rsid w:val="002E5846"/>
    <w:rsid w:val="002E792B"/>
    <w:rsid w:val="002F1307"/>
    <w:rsid w:val="002F1DCB"/>
    <w:rsid w:val="002F1F1E"/>
    <w:rsid w:val="002F20DC"/>
    <w:rsid w:val="002F333D"/>
    <w:rsid w:val="002F351A"/>
    <w:rsid w:val="002F498A"/>
    <w:rsid w:val="002F4AD8"/>
    <w:rsid w:val="002F5820"/>
    <w:rsid w:val="002F6361"/>
    <w:rsid w:val="002F6A9F"/>
    <w:rsid w:val="00300C31"/>
    <w:rsid w:val="003034E0"/>
    <w:rsid w:val="00303BB4"/>
    <w:rsid w:val="00304771"/>
    <w:rsid w:val="00304F1F"/>
    <w:rsid w:val="003052D4"/>
    <w:rsid w:val="00306C5B"/>
    <w:rsid w:val="00307DB3"/>
    <w:rsid w:val="00307ED2"/>
    <w:rsid w:val="0031076D"/>
    <w:rsid w:val="00311AA6"/>
    <w:rsid w:val="00311C4D"/>
    <w:rsid w:val="003121AB"/>
    <w:rsid w:val="0031239E"/>
    <w:rsid w:val="00314A42"/>
    <w:rsid w:val="003151BD"/>
    <w:rsid w:val="003153C8"/>
    <w:rsid w:val="00315524"/>
    <w:rsid w:val="0032058C"/>
    <w:rsid w:val="003208D0"/>
    <w:rsid w:val="003209D6"/>
    <w:rsid w:val="00320A0F"/>
    <w:rsid w:val="003217B9"/>
    <w:rsid w:val="00321924"/>
    <w:rsid w:val="00321EB6"/>
    <w:rsid w:val="003220A5"/>
    <w:rsid w:val="00322302"/>
    <w:rsid w:val="00323A1C"/>
    <w:rsid w:val="00324B59"/>
    <w:rsid w:val="00325F21"/>
    <w:rsid w:val="0032656E"/>
    <w:rsid w:val="00332190"/>
    <w:rsid w:val="00333CD0"/>
    <w:rsid w:val="00333D26"/>
    <w:rsid w:val="0033448D"/>
    <w:rsid w:val="00334AD2"/>
    <w:rsid w:val="00336DDB"/>
    <w:rsid w:val="0033709C"/>
    <w:rsid w:val="003370C5"/>
    <w:rsid w:val="00337568"/>
    <w:rsid w:val="0033778D"/>
    <w:rsid w:val="00341D26"/>
    <w:rsid w:val="00341F05"/>
    <w:rsid w:val="0034335E"/>
    <w:rsid w:val="00343A89"/>
    <w:rsid w:val="00344668"/>
    <w:rsid w:val="003462D9"/>
    <w:rsid w:val="00347247"/>
    <w:rsid w:val="00347DD4"/>
    <w:rsid w:val="00347E18"/>
    <w:rsid w:val="00352B43"/>
    <w:rsid w:val="00352C28"/>
    <w:rsid w:val="00355C86"/>
    <w:rsid w:val="0036077F"/>
    <w:rsid w:val="00360C86"/>
    <w:rsid w:val="00360F7A"/>
    <w:rsid w:val="00360FBC"/>
    <w:rsid w:val="00361537"/>
    <w:rsid w:val="003622EE"/>
    <w:rsid w:val="0036242A"/>
    <w:rsid w:val="00362C23"/>
    <w:rsid w:val="00362E90"/>
    <w:rsid w:val="00363817"/>
    <w:rsid w:val="00364884"/>
    <w:rsid w:val="00364FA0"/>
    <w:rsid w:val="003657F3"/>
    <w:rsid w:val="003661B2"/>
    <w:rsid w:val="00367F84"/>
    <w:rsid w:val="00370739"/>
    <w:rsid w:val="003712BC"/>
    <w:rsid w:val="00372164"/>
    <w:rsid w:val="00372CA1"/>
    <w:rsid w:val="00372F99"/>
    <w:rsid w:val="003738BD"/>
    <w:rsid w:val="00373AA6"/>
    <w:rsid w:val="003746F0"/>
    <w:rsid w:val="00374A20"/>
    <w:rsid w:val="00374E21"/>
    <w:rsid w:val="0037599A"/>
    <w:rsid w:val="00376D08"/>
    <w:rsid w:val="00377F40"/>
    <w:rsid w:val="00380C34"/>
    <w:rsid w:val="003818DC"/>
    <w:rsid w:val="00382513"/>
    <w:rsid w:val="00382CDE"/>
    <w:rsid w:val="00382FC6"/>
    <w:rsid w:val="00383388"/>
    <w:rsid w:val="003834F8"/>
    <w:rsid w:val="003838D0"/>
    <w:rsid w:val="003840C2"/>
    <w:rsid w:val="00384327"/>
    <w:rsid w:val="00384A89"/>
    <w:rsid w:val="00385086"/>
    <w:rsid w:val="00385D98"/>
    <w:rsid w:val="003861EF"/>
    <w:rsid w:val="00390306"/>
    <w:rsid w:val="003908A6"/>
    <w:rsid w:val="003927F6"/>
    <w:rsid w:val="003934E5"/>
    <w:rsid w:val="00393E85"/>
    <w:rsid w:val="003944BD"/>
    <w:rsid w:val="00394B51"/>
    <w:rsid w:val="003966F8"/>
    <w:rsid w:val="00396739"/>
    <w:rsid w:val="00397E51"/>
    <w:rsid w:val="003A04F6"/>
    <w:rsid w:val="003A1CF0"/>
    <w:rsid w:val="003A2B4D"/>
    <w:rsid w:val="003A2D12"/>
    <w:rsid w:val="003A45E3"/>
    <w:rsid w:val="003A478C"/>
    <w:rsid w:val="003A5525"/>
    <w:rsid w:val="003A5889"/>
    <w:rsid w:val="003A6085"/>
    <w:rsid w:val="003A6B38"/>
    <w:rsid w:val="003A6B83"/>
    <w:rsid w:val="003A722F"/>
    <w:rsid w:val="003B039F"/>
    <w:rsid w:val="003B0DF4"/>
    <w:rsid w:val="003B1F9D"/>
    <w:rsid w:val="003B2AD1"/>
    <w:rsid w:val="003B2D2E"/>
    <w:rsid w:val="003B359C"/>
    <w:rsid w:val="003B461F"/>
    <w:rsid w:val="003B483F"/>
    <w:rsid w:val="003B4998"/>
    <w:rsid w:val="003B5A32"/>
    <w:rsid w:val="003C2CFE"/>
    <w:rsid w:val="003C3490"/>
    <w:rsid w:val="003C3756"/>
    <w:rsid w:val="003C3D2C"/>
    <w:rsid w:val="003C6221"/>
    <w:rsid w:val="003C68CC"/>
    <w:rsid w:val="003C6C63"/>
    <w:rsid w:val="003C7E62"/>
    <w:rsid w:val="003D017F"/>
    <w:rsid w:val="003D12B9"/>
    <w:rsid w:val="003D1CDF"/>
    <w:rsid w:val="003D242B"/>
    <w:rsid w:val="003D2492"/>
    <w:rsid w:val="003D29AA"/>
    <w:rsid w:val="003D2A99"/>
    <w:rsid w:val="003D444C"/>
    <w:rsid w:val="003D6920"/>
    <w:rsid w:val="003E09B5"/>
    <w:rsid w:val="003E1EF8"/>
    <w:rsid w:val="003E4C91"/>
    <w:rsid w:val="003E52D8"/>
    <w:rsid w:val="003F0B9F"/>
    <w:rsid w:val="003F0D62"/>
    <w:rsid w:val="003F2481"/>
    <w:rsid w:val="003F2F7D"/>
    <w:rsid w:val="003F313C"/>
    <w:rsid w:val="003F37FC"/>
    <w:rsid w:val="003F447B"/>
    <w:rsid w:val="003F4B2C"/>
    <w:rsid w:val="003F551C"/>
    <w:rsid w:val="003F626D"/>
    <w:rsid w:val="003F72ED"/>
    <w:rsid w:val="003F7D23"/>
    <w:rsid w:val="00400050"/>
    <w:rsid w:val="004002C8"/>
    <w:rsid w:val="00400468"/>
    <w:rsid w:val="0040099D"/>
    <w:rsid w:val="00401B23"/>
    <w:rsid w:val="00402ADB"/>
    <w:rsid w:val="0040368D"/>
    <w:rsid w:val="00404D76"/>
    <w:rsid w:val="004059D2"/>
    <w:rsid w:val="00405B98"/>
    <w:rsid w:val="00406C2E"/>
    <w:rsid w:val="00406EB0"/>
    <w:rsid w:val="00407711"/>
    <w:rsid w:val="00407C13"/>
    <w:rsid w:val="00410638"/>
    <w:rsid w:val="00412511"/>
    <w:rsid w:val="004125C2"/>
    <w:rsid w:val="00412DFA"/>
    <w:rsid w:val="00413026"/>
    <w:rsid w:val="00413465"/>
    <w:rsid w:val="00414F2C"/>
    <w:rsid w:val="0041501E"/>
    <w:rsid w:val="0041586B"/>
    <w:rsid w:val="004159C3"/>
    <w:rsid w:val="00415A57"/>
    <w:rsid w:val="00416DAC"/>
    <w:rsid w:val="004178C3"/>
    <w:rsid w:val="00420880"/>
    <w:rsid w:val="00421179"/>
    <w:rsid w:val="0042330F"/>
    <w:rsid w:val="0042359D"/>
    <w:rsid w:val="0042568B"/>
    <w:rsid w:val="004257C3"/>
    <w:rsid w:val="00427B59"/>
    <w:rsid w:val="00431BFF"/>
    <w:rsid w:val="00432637"/>
    <w:rsid w:val="00432A58"/>
    <w:rsid w:val="004331C3"/>
    <w:rsid w:val="00433841"/>
    <w:rsid w:val="00433C00"/>
    <w:rsid w:val="00434617"/>
    <w:rsid w:val="00435051"/>
    <w:rsid w:val="004357AF"/>
    <w:rsid w:val="00435C69"/>
    <w:rsid w:val="00436082"/>
    <w:rsid w:val="004360FB"/>
    <w:rsid w:val="004364C1"/>
    <w:rsid w:val="00437CED"/>
    <w:rsid w:val="0044075B"/>
    <w:rsid w:val="0044076A"/>
    <w:rsid w:val="00440900"/>
    <w:rsid w:val="0044121D"/>
    <w:rsid w:val="0044139A"/>
    <w:rsid w:val="00441682"/>
    <w:rsid w:val="00441A7C"/>
    <w:rsid w:val="00441BF6"/>
    <w:rsid w:val="0044274F"/>
    <w:rsid w:val="004441A0"/>
    <w:rsid w:val="00445861"/>
    <w:rsid w:val="00445A8E"/>
    <w:rsid w:val="00446D44"/>
    <w:rsid w:val="004473B6"/>
    <w:rsid w:val="0044761F"/>
    <w:rsid w:val="0045078A"/>
    <w:rsid w:val="0045086D"/>
    <w:rsid w:val="00451EF1"/>
    <w:rsid w:val="00452906"/>
    <w:rsid w:val="00452E60"/>
    <w:rsid w:val="00455FC1"/>
    <w:rsid w:val="00456FE5"/>
    <w:rsid w:val="00457490"/>
    <w:rsid w:val="00457953"/>
    <w:rsid w:val="00460FB3"/>
    <w:rsid w:val="00464851"/>
    <w:rsid w:val="004656CD"/>
    <w:rsid w:val="00467B14"/>
    <w:rsid w:val="004707FE"/>
    <w:rsid w:val="0047276D"/>
    <w:rsid w:val="00472AF6"/>
    <w:rsid w:val="00474016"/>
    <w:rsid w:val="00474A04"/>
    <w:rsid w:val="00475407"/>
    <w:rsid w:val="0047553A"/>
    <w:rsid w:val="00476240"/>
    <w:rsid w:val="00476439"/>
    <w:rsid w:val="004769E0"/>
    <w:rsid w:val="00476D7D"/>
    <w:rsid w:val="0047735C"/>
    <w:rsid w:val="004776BC"/>
    <w:rsid w:val="00477820"/>
    <w:rsid w:val="00477B96"/>
    <w:rsid w:val="00480840"/>
    <w:rsid w:val="00480D99"/>
    <w:rsid w:val="0048139F"/>
    <w:rsid w:val="00481B18"/>
    <w:rsid w:val="00481E40"/>
    <w:rsid w:val="00482405"/>
    <w:rsid w:val="004826A7"/>
    <w:rsid w:val="0048368C"/>
    <w:rsid w:val="00484ECE"/>
    <w:rsid w:val="0048586B"/>
    <w:rsid w:val="00486251"/>
    <w:rsid w:val="00486A4D"/>
    <w:rsid w:val="004900AB"/>
    <w:rsid w:val="0049094C"/>
    <w:rsid w:val="004915CB"/>
    <w:rsid w:val="004924DC"/>
    <w:rsid w:val="00492879"/>
    <w:rsid w:val="00493A4C"/>
    <w:rsid w:val="00494C04"/>
    <w:rsid w:val="0049789B"/>
    <w:rsid w:val="004979A5"/>
    <w:rsid w:val="00497F35"/>
    <w:rsid w:val="004A05E6"/>
    <w:rsid w:val="004A0FD3"/>
    <w:rsid w:val="004A14E4"/>
    <w:rsid w:val="004A1C10"/>
    <w:rsid w:val="004A204E"/>
    <w:rsid w:val="004A26A5"/>
    <w:rsid w:val="004A27F0"/>
    <w:rsid w:val="004A3212"/>
    <w:rsid w:val="004A37CD"/>
    <w:rsid w:val="004A40D9"/>
    <w:rsid w:val="004A4F8A"/>
    <w:rsid w:val="004A5494"/>
    <w:rsid w:val="004A5AF4"/>
    <w:rsid w:val="004A61C5"/>
    <w:rsid w:val="004A62A0"/>
    <w:rsid w:val="004A77DF"/>
    <w:rsid w:val="004B1417"/>
    <w:rsid w:val="004B305C"/>
    <w:rsid w:val="004B320E"/>
    <w:rsid w:val="004B339A"/>
    <w:rsid w:val="004B5201"/>
    <w:rsid w:val="004B55B7"/>
    <w:rsid w:val="004B6468"/>
    <w:rsid w:val="004B6EF8"/>
    <w:rsid w:val="004B7125"/>
    <w:rsid w:val="004B756A"/>
    <w:rsid w:val="004B7FB1"/>
    <w:rsid w:val="004C2734"/>
    <w:rsid w:val="004C384C"/>
    <w:rsid w:val="004C3867"/>
    <w:rsid w:val="004C393C"/>
    <w:rsid w:val="004C3DB0"/>
    <w:rsid w:val="004C4720"/>
    <w:rsid w:val="004C4951"/>
    <w:rsid w:val="004C4CD0"/>
    <w:rsid w:val="004C5060"/>
    <w:rsid w:val="004C5165"/>
    <w:rsid w:val="004C6322"/>
    <w:rsid w:val="004C6E0E"/>
    <w:rsid w:val="004C70DC"/>
    <w:rsid w:val="004D0211"/>
    <w:rsid w:val="004D0794"/>
    <w:rsid w:val="004D199B"/>
    <w:rsid w:val="004D3296"/>
    <w:rsid w:val="004D499A"/>
    <w:rsid w:val="004D530C"/>
    <w:rsid w:val="004D5B0F"/>
    <w:rsid w:val="004D5E77"/>
    <w:rsid w:val="004D6ED7"/>
    <w:rsid w:val="004D7626"/>
    <w:rsid w:val="004E1A40"/>
    <w:rsid w:val="004E200A"/>
    <w:rsid w:val="004E23FC"/>
    <w:rsid w:val="004E2409"/>
    <w:rsid w:val="004E261D"/>
    <w:rsid w:val="004E4273"/>
    <w:rsid w:val="004E4C0C"/>
    <w:rsid w:val="004E6D1D"/>
    <w:rsid w:val="004E6DCE"/>
    <w:rsid w:val="004E6DE6"/>
    <w:rsid w:val="004E765E"/>
    <w:rsid w:val="004E7815"/>
    <w:rsid w:val="004F06F5"/>
    <w:rsid w:val="004F12A4"/>
    <w:rsid w:val="004F1C56"/>
    <w:rsid w:val="004F1C89"/>
    <w:rsid w:val="004F253F"/>
    <w:rsid w:val="004F2DDD"/>
    <w:rsid w:val="004F33A0"/>
    <w:rsid w:val="004F3BD2"/>
    <w:rsid w:val="004F4665"/>
    <w:rsid w:val="004F730C"/>
    <w:rsid w:val="00500592"/>
    <w:rsid w:val="00501171"/>
    <w:rsid w:val="00502129"/>
    <w:rsid w:val="0050387A"/>
    <w:rsid w:val="00504812"/>
    <w:rsid w:val="005048E2"/>
    <w:rsid w:val="00504CA4"/>
    <w:rsid w:val="0050648F"/>
    <w:rsid w:val="00506603"/>
    <w:rsid w:val="0050689D"/>
    <w:rsid w:val="00506EEE"/>
    <w:rsid w:val="00507012"/>
    <w:rsid w:val="00507394"/>
    <w:rsid w:val="005077F5"/>
    <w:rsid w:val="005108C0"/>
    <w:rsid w:val="0051094F"/>
    <w:rsid w:val="00511873"/>
    <w:rsid w:val="00512461"/>
    <w:rsid w:val="00512A2F"/>
    <w:rsid w:val="00513B7E"/>
    <w:rsid w:val="0051475D"/>
    <w:rsid w:val="00514B11"/>
    <w:rsid w:val="00515BE9"/>
    <w:rsid w:val="00515C74"/>
    <w:rsid w:val="00516F6A"/>
    <w:rsid w:val="00517113"/>
    <w:rsid w:val="00517588"/>
    <w:rsid w:val="0052007E"/>
    <w:rsid w:val="00522C8D"/>
    <w:rsid w:val="00522E01"/>
    <w:rsid w:val="0052337A"/>
    <w:rsid w:val="00524385"/>
    <w:rsid w:val="005246BE"/>
    <w:rsid w:val="00525137"/>
    <w:rsid w:val="005251DD"/>
    <w:rsid w:val="0053009D"/>
    <w:rsid w:val="005301A6"/>
    <w:rsid w:val="005309A2"/>
    <w:rsid w:val="00530A68"/>
    <w:rsid w:val="00530AD4"/>
    <w:rsid w:val="00531409"/>
    <w:rsid w:val="0053183A"/>
    <w:rsid w:val="00532CE7"/>
    <w:rsid w:val="00532D8B"/>
    <w:rsid w:val="005331EF"/>
    <w:rsid w:val="0053324C"/>
    <w:rsid w:val="00534A28"/>
    <w:rsid w:val="00535018"/>
    <w:rsid w:val="0053595E"/>
    <w:rsid w:val="00537571"/>
    <w:rsid w:val="0053761B"/>
    <w:rsid w:val="00540168"/>
    <w:rsid w:val="005410E2"/>
    <w:rsid w:val="00541508"/>
    <w:rsid w:val="00541AE3"/>
    <w:rsid w:val="00543498"/>
    <w:rsid w:val="00544BE5"/>
    <w:rsid w:val="00547F7A"/>
    <w:rsid w:val="00550160"/>
    <w:rsid w:val="005523A8"/>
    <w:rsid w:val="00552F2C"/>
    <w:rsid w:val="005534F4"/>
    <w:rsid w:val="00553A25"/>
    <w:rsid w:val="0055451B"/>
    <w:rsid w:val="005547EB"/>
    <w:rsid w:val="005555E0"/>
    <w:rsid w:val="0055599F"/>
    <w:rsid w:val="00556D68"/>
    <w:rsid w:val="005570D6"/>
    <w:rsid w:val="00557E45"/>
    <w:rsid w:val="005600FF"/>
    <w:rsid w:val="005612FC"/>
    <w:rsid w:val="00561F44"/>
    <w:rsid w:val="00563AC8"/>
    <w:rsid w:val="00563EB8"/>
    <w:rsid w:val="005647BF"/>
    <w:rsid w:val="00564AF1"/>
    <w:rsid w:val="005651B0"/>
    <w:rsid w:val="005655DB"/>
    <w:rsid w:val="005678DC"/>
    <w:rsid w:val="00570270"/>
    <w:rsid w:val="00570BC3"/>
    <w:rsid w:val="0057182A"/>
    <w:rsid w:val="00571E59"/>
    <w:rsid w:val="00572079"/>
    <w:rsid w:val="00572350"/>
    <w:rsid w:val="00573602"/>
    <w:rsid w:val="0057364B"/>
    <w:rsid w:val="00574552"/>
    <w:rsid w:val="00574682"/>
    <w:rsid w:val="00574773"/>
    <w:rsid w:val="0057496F"/>
    <w:rsid w:val="00575F37"/>
    <w:rsid w:val="005761EC"/>
    <w:rsid w:val="005765CD"/>
    <w:rsid w:val="005773E1"/>
    <w:rsid w:val="00577C07"/>
    <w:rsid w:val="00577DB1"/>
    <w:rsid w:val="00580D5C"/>
    <w:rsid w:val="00580DE7"/>
    <w:rsid w:val="00583E52"/>
    <w:rsid w:val="00583FFD"/>
    <w:rsid w:val="0058519A"/>
    <w:rsid w:val="005856BD"/>
    <w:rsid w:val="00586BCA"/>
    <w:rsid w:val="00587632"/>
    <w:rsid w:val="00590B28"/>
    <w:rsid w:val="005911BE"/>
    <w:rsid w:val="00591273"/>
    <w:rsid w:val="005927A4"/>
    <w:rsid w:val="00593152"/>
    <w:rsid w:val="00594157"/>
    <w:rsid w:val="005956A3"/>
    <w:rsid w:val="00595958"/>
    <w:rsid w:val="00595CAB"/>
    <w:rsid w:val="00597BBF"/>
    <w:rsid w:val="005A10F2"/>
    <w:rsid w:val="005A1F58"/>
    <w:rsid w:val="005A21E0"/>
    <w:rsid w:val="005A28FF"/>
    <w:rsid w:val="005A2C09"/>
    <w:rsid w:val="005A3778"/>
    <w:rsid w:val="005A3AD8"/>
    <w:rsid w:val="005A3DF8"/>
    <w:rsid w:val="005A5549"/>
    <w:rsid w:val="005A7CF8"/>
    <w:rsid w:val="005B121D"/>
    <w:rsid w:val="005B3309"/>
    <w:rsid w:val="005B41C9"/>
    <w:rsid w:val="005B4853"/>
    <w:rsid w:val="005B66CC"/>
    <w:rsid w:val="005B6CA1"/>
    <w:rsid w:val="005B770C"/>
    <w:rsid w:val="005B7814"/>
    <w:rsid w:val="005C02E4"/>
    <w:rsid w:val="005C06ED"/>
    <w:rsid w:val="005C09B2"/>
    <w:rsid w:val="005C11B8"/>
    <w:rsid w:val="005C2609"/>
    <w:rsid w:val="005C43EC"/>
    <w:rsid w:val="005C45DD"/>
    <w:rsid w:val="005D21F1"/>
    <w:rsid w:val="005D2FDA"/>
    <w:rsid w:val="005D3F06"/>
    <w:rsid w:val="005D4B73"/>
    <w:rsid w:val="005D5575"/>
    <w:rsid w:val="005D5802"/>
    <w:rsid w:val="005D5AA9"/>
    <w:rsid w:val="005D66E6"/>
    <w:rsid w:val="005D690B"/>
    <w:rsid w:val="005D7119"/>
    <w:rsid w:val="005D76C8"/>
    <w:rsid w:val="005D7890"/>
    <w:rsid w:val="005E1026"/>
    <w:rsid w:val="005E19C1"/>
    <w:rsid w:val="005E2194"/>
    <w:rsid w:val="005E24F0"/>
    <w:rsid w:val="005E36FE"/>
    <w:rsid w:val="005E490F"/>
    <w:rsid w:val="005E4BC9"/>
    <w:rsid w:val="005E5314"/>
    <w:rsid w:val="005E7074"/>
    <w:rsid w:val="005E7C78"/>
    <w:rsid w:val="005F04A7"/>
    <w:rsid w:val="005F114F"/>
    <w:rsid w:val="005F18C5"/>
    <w:rsid w:val="005F2097"/>
    <w:rsid w:val="005F2A08"/>
    <w:rsid w:val="005F36CC"/>
    <w:rsid w:val="005F3EB1"/>
    <w:rsid w:val="005F466B"/>
    <w:rsid w:val="005F46D8"/>
    <w:rsid w:val="005F5469"/>
    <w:rsid w:val="005F57FA"/>
    <w:rsid w:val="005F63F3"/>
    <w:rsid w:val="005F68DB"/>
    <w:rsid w:val="005F6D7F"/>
    <w:rsid w:val="00600C2F"/>
    <w:rsid w:val="00601EEF"/>
    <w:rsid w:val="00602A4D"/>
    <w:rsid w:val="00604307"/>
    <w:rsid w:val="0060487F"/>
    <w:rsid w:val="006048BE"/>
    <w:rsid w:val="00604EAD"/>
    <w:rsid w:val="0060513F"/>
    <w:rsid w:val="006072CF"/>
    <w:rsid w:val="006104FB"/>
    <w:rsid w:val="006115B5"/>
    <w:rsid w:val="00612A2F"/>
    <w:rsid w:val="00612AAE"/>
    <w:rsid w:val="00612FD9"/>
    <w:rsid w:val="00612FE6"/>
    <w:rsid w:val="006139E0"/>
    <w:rsid w:val="006156B4"/>
    <w:rsid w:val="00615DAF"/>
    <w:rsid w:val="00616E05"/>
    <w:rsid w:val="00617985"/>
    <w:rsid w:val="0062131B"/>
    <w:rsid w:val="006227DF"/>
    <w:rsid w:val="00623321"/>
    <w:rsid w:val="006236C8"/>
    <w:rsid w:val="00624093"/>
    <w:rsid w:val="00624E09"/>
    <w:rsid w:val="00626025"/>
    <w:rsid w:val="00626E7E"/>
    <w:rsid w:val="00630EE9"/>
    <w:rsid w:val="00631643"/>
    <w:rsid w:val="00631698"/>
    <w:rsid w:val="00631E44"/>
    <w:rsid w:val="00633329"/>
    <w:rsid w:val="006335AF"/>
    <w:rsid w:val="00634C57"/>
    <w:rsid w:val="00634CE7"/>
    <w:rsid w:val="006350D5"/>
    <w:rsid w:val="0063642C"/>
    <w:rsid w:val="00637858"/>
    <w:rsid w:val="00637C3D"/>
    <w:rsid w:val="00637EFD"/>
    <w:rsid w:val="006404A7"/>
    <w:rsid w:val="00640715"/>
    <w:rsid w:val="00640A38"/>
    <w:rsid w:val="00641787"/>
    <w:rsid w:val="00642489"/>
    <w:rsid w:val="00642910"/>
    <w:rsid w:val="00644137"/>
    <w:rsid w:val="0064478C"/>
    <w:rsid w:val="006451E4"/>
    <w:rsid w:val="00645B33"/>
    <w:rsid w:val="00647D47"/>
    <w:rsid w:val="006510C7"/>
    <w:rsid w:val="006516CB"/>
    <w:rsid w:val="0065224C"/>
    <w:rsid w:val="0065267E"/>
    <w:rsid w:val="006538D9"/>
    <w:rsid w:val="00653BD0"/>
    <w:rsid w:val="00654110"/>
    <w:rsid w:val="0065517D"/>
    <w:rsid w:val="00656C5D"/>
    <w:rsid w:val="00656CFB"/>
    <w:rsid w:val="00656DA5"/>
    <w:rsid w:val="00657C02"/>
    <w:rsid w:val="00657E87"/>
    <w:rsid w:val="00660D2D"/>
    <w:rsid w:val="00661EDB"/>
    <w:rsid w:val="00662469"/>
    <w:rsid w:val="00664647"/>
    <w:rsid w:val="00664803"/>
    <w:rsid w:val="00665982"/>
    <w:rsid w:val="00665BA4"/>
    <w:rsid w:val="006674BE"/>
    <w:rsid w:val="00667AF2"/>
    <w:rsid w:val="0067017A"/>
    <w:rsid w:val="00670489"/>
    <w:rsid w:val="006710C9"/>
    <w:rsid w:val="00671D05"/>
    <w:rsid w:val="00672866"/>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354"/>
    <w:rsid w:val="00686718"/>
    <w:rsid w:val="00686BFA"/>
    <w:rsid w:val="00686DED"/>
    <w:rsid w:val="006875A0"/>
    <w:rsid w:val="00687D27"/>
    <w:rsid w:val="00690E9E"/>
    <w:rsid w:val="00695065"/>
    <w:rsid w:val="00695BEF"/>
    <w:rsid w:val="00695EFF"/>
    <w:rsid w:val="006966C7"/>
    <w:rsid w:val="006968C1"/>
    <w:rsid w:val="006977F6"/>
    <w:rsid w:val="00697A13"/>
    <w:rsid w:val="006A072C"/>
    <w:rsid w:val="006A109C"/>
    <w:rsid w:val="006A5898"/>
    <w:rsid w:val="006A6354"/>
    <w:rsid w:val="006A6565"/>
    <w:rsid w:val="006A7691"/>
    <w:rsid w:val="006A7808"/>
    <w:rsid w:val="006A7E9D"/>
    <w:rsid w:val="006A7EE2"/>
    <w:rsid w:val="006B0514"/>
    <w:rsid w:val="006B0F92"/>
    <w:rsid w:val="006B1975"/>
    <w:rsid w:val="006B2785"/>
    <w:rsid w:val="006B344A"/>
    <w:rsid w:val="006B39B8"/>
    <w:rsid w:val="006B39F9"/>
    <w:rsid w:val="006B4006"/>
    <w:rsid w:val="006B58C9"/>
    <w:rsid w:val="006B60ED"/>
    <w:rsid w:val="006B6CC5"/>
    <w:rsid w:val="006B74AC"/>
    <w:rsid w:val="006B78D8"/>
    <w:rsid w:val="006B79EA"/>
    <w:rsid w:val="006C0512"/>
    <w:rsid w:val="006C0C5D"/>
    <w:rsid w:val="006C113F"/>
    <w:rsid w:val="006C123E"/>
    <w:rsid w:val="006C15A1"/>
    <w:rsid w:val="006C1752"/>
    <w:rsid w:val="006C28CA"/>
    <w:rsid w:val="006C2BBF"/>
    <w:rsid w:val="006C2FBD"/>
    <w:rsid w:val="006C4355"/>
    <w:rsid w:val="006C469D"/>
    <w:rsid w:val="006C46B5"/>
    <w:rsid w:val="006C474D"/>
    <w:rsid w:val="006C484F"/>
    <w:rsid w:val="006C52EC"/>
    <w:rsid w:val="006C56D4"/>
    <w:rsid w:val="006C6681"/>
    <w:rsid w:val="006C683C"/>
    <w:rsid w:val="006C6924"/>
    <w:rsid w:val="006C6C1E"/>
    <w:rsid w:val="006C7076"/>
    <w:rsid w:val="006C7746"/>
    <w:rsid w:val="006C7CA6"/>
    <w:rsid w:val="006D0AC4"/>
    <w:rsid w:val="006D18B3"/>
    <w:rsid w:val="006D1E89"/>
    <w:rsid w:val="006D3CD4"/>
    <w:rsid w:val="006D3E8A"/>
    <w:rsid w:val="006D61F6"/>
    <w:rsid w:val="006E1332"/>
    <w:rsid w:val="006E279A"/>
    <w:rsid w:val="006E2A88"/>
    <w:rsid w:val="006E313B"/>
    <w:rsid w:val="006E3A45"/>
    <w:rsid w:val="006E4789"/>
    <w:rsid w:val="006E47E7"/>
    <w:rsid w:val="006E53AD"/>
    <w:rsid w:val="006E58CB"/>
    <w:rsid w:val="006E7227"/>
    <w:rsid w:val="006F0741"/>
    <w:rsid w:val="006F0BA8"/>
    <w:rsid w:val="006F1C27"/>
    <w:rsid w:val="006F40DF"/>
    <w:rsid w:val="006F42BB"/>
    <w:rsid w:val="006F438E"/>
    <w:rsid w:val="006F440B"/>
    <w:rsid w:val="006F4B69"/>
    <w:rsid w:val="006F5323"/>
    <w:rsid w:val="006F5416"/>
    <w:rsid w:val="006F624B"/>
    <w:rsid w:val="006F6D87"/>
    <w:rsid w:val="007006CB"/>
    <w:rsid w:val="0070398A"/>
    <w:rsid w:val="00705242"/>
    <w:rsid w:val="007055E0"/>
    <w:rsid w:val="00705C4B"/>
    <w:rsid w:val="007065C5"/>
    <w:rsid w:val="00706AA0"/>
    <w:rsid w:val="00706AD4"/>
    <w:rsid w:val="00707150"/>
    <w:rsid w:val="00707EFA"/>
    <w:rsid w:val="00713549"/>
    <w:rsid w:val="007136DB"/>
    <w:rsid w:val="007140BE"/>
    <w:rsid w:val="00715502"/>
    <w:rsid w:val="00715E4D"/>
    <w:rsid w:val="00716514"/>
    <w:rsid w:val="00716F48"/>
    <w:rsid w:val="00717114"/>
    <w:rsid w:val="0071779F"/>
    <w:rsid w:val="007211F5"/>
    <w:rsid w:val="00723435"/>
    <w:rsid w:val="00723436"/>
    <w:rsid w:val="007240E2"/>
    <w:rsid w:val="0072583E"/>
    <w:rsid w:val="00725BB5"/>
    <w:rsid w:val="00727735"/>
    <w:rsid w:val="00727C02"/>
    <w:rsid w:val="00730AE8"/>
    <w:rsid w:val="00730F1B"/>
    <w:rsid w:val="007313D5"/>
    <w:rsid w:val="0073186D"/>
    <w:rsid w:val="00732136"/>
    <w:rsid w:val="0073333D"/>
    <w:rsid w:val="007341C8"/>
    <w:rsid w:val="007343D9"/>
    <w:rsid w:val="00735448"/>
    <w:rsid w:val="00736BF2"/>
    <w:rsid w:val="00737DEC"/>
    <w:rsid w:val="00737FBD"/>
    <w:rsid w:val="00741493"/>
    <w:rsid w:val="007434E5"/>
    <w:rsid w:val="0074499B"/>
    <w:rsid w:val="007465A7"/>
    <w:rsid w:val="007477BD"/>
    <w:rsid w:val="00750B47"/>
    <w:rsid w:val="00752157"/>
    <w:rsid w:val="00752180"/>
    <w:rsid w:val="00752323"/>
    <w:rsid w:val="00753122"/>
    <w:rsid w:val="007532B7"/>
    <w:rsid w:val="00753CAB"/>
    <w:rsid w:val="00754A70"/>
    <w:rsid w:val="00754BC9"/>
    <w:rsid w:val="00755202"/>
    <w:rsid w:val="00755D3A"/>
    <w:rsid w:val="00756554"/>
    <w:rsid w:val="007566A0"/>
    <w:rsid w:val="0075751D"/>
    <w:rsid w:val="007578D3"/>
    <w:rsid w:val="007602CF"/>
    <w:rsid w:val="00760391"/>
    <w:rsid w:val="007609C6"/>
    <w:rsid w:val="007615F3"/>
    <w:rsid w:val="0076175D"/>
    <w:rsid w:val="007629D5"/>
    <w:rsid w:val="007634FE"/>
    <w:rsid w:val="00763B85"/>
    <w:rsid w:val="00764974"/>
    <w:rsid w:val="00764D18"/>
    <w:rsid w:val="0076521E"/>
    <w:rsid w:val="00765795"/>
    <w:rsid w:val="007661E9"/>
    <w:rsid w:val="00767062"/>
    <w:rsid w:val="00767777"/>
    <w:rsid w:val="0077108A"/>
    <w:rsid w:val="00771972"/>
    <w:rsid w:val="00772DAB"/>
    <w:rsid w:val="007740FE"/>
    <w:rsid w:val="00774D2C"/>
    <w:rsid w:val="00776169"/>
    <w:rsid w:val="00776527"/>
    <w:rsid w:val="00776533"/>
    <w:rsid w:val="00777040"/>
    <w:rsid w:val="00777CE6"/>
    <w:rsid w:val="00777F8B"/>
    <w:rsid w:val="007803F7"/>
    <w:rsid w:val="00780EF1"/>
    <w:rsid w:val="00781A91"/>
    <w:rsid w:val="00785778"/>
    <w:rsid w:val="00786C87"/>
    <w:rsid w:val="0078721E"/>
    <w:rsid w:val="0078755E"/>
    <w:rsid w:val="007877C9"/>
    <w:rsid w:val="00790764"/>
    <w:rsid w:val="0079085F"/>
    <w:rsid w:val="00791005"/>
    <w:rsid w:val="00793D78"/>
    <w:rsid w:val="0079453C"/>
    <w:rsid w:val="00794677"/>
    <w:rsid w:val="007A1616"/>
    <w:rsid w:val="007A170B"/>
    <w:rsid w:val="007A1CD6"/>
    <w:rsid w:val="007A33E2"/>
    <w:rsid w:val="007A342C"/>
    <w:rsid w:val="007A3CAF"/>
    <w:rsid w:val="007A516D"/>
    <w:rsid w:val="007A55BA"/>
    <w:rsid w:val="007A5E65"/>
    <w:rsid w:val="007A65E1"/>
    <w:rsid w:val="007A775D"/>
    <w:rsid w:val="007B02AC"/>
    <w:rsid w:val="007B0834"/>
    <w:rsid w:val="007B0E83"/>
    <w:rsid w:val="007B11FA"/>
    <w:rsid w:val="007B1396"/>
    <w:rsid w:val="007B16D6"/>
    <w:rsid w:val="007B2011"/>
    <w:rsid w:val="007B2CB3"/>
    <w:rsid w:val="007B2CFE"/>
    <w:rsid w:val="007B309B"/>
    <w:rsid w:val="007B35A5"/>
    <w:rsid w:val="007B3622"/>
    <w:rsid w:val="007B3D5E"/>
    <w:rsid w:val="007B3DCB"/>
    <w:rsid w:val="007B5725"/>
    <w:rsid w:val="007B6689"/>
    <w:rsid w:val="007B6747"/>
    <w:rsid w:val="007B6F72"/>
    <w:rsid w:val="007B780E"/>
    <w:rsid w:val="007C1F0C"/>
    <w:rsid w:val="007C1FFB"/>
    <w:rsid w:val="007C2812"/>
    <w:rsid w:val="007C2D94"/>
    <w:rsid w:val="007C5F92"/>
    <w:rsid w:val="007C6227"/>
    <w:rsid w:val="007C6BBD"/>
    <w:rsid w:val="007C6D89"/>
    <w:rsid w:val="007C7BE4"/>
    <w:rsid w:val="007D0382"/>
    <w:rsid w:val="007D1A1F"/>
    <w:rsid w:val="007D2E18"/>
    <w:rsid w:val="007D3A5A"/>
    <w:rsid w:val="007D40DF"/>
    <w:rsid w:val="007D42E5"/>
    <w:rsid w:val="007D4458"/>
    <w:rsid w:val="007E0D4A"/>
    <w:rsid w:val="007E1788"/>
    <w:rsid w:val="007E2618"/>
    <w:rsid w:val="007E29B4"/>
    <w:rsid w:val="007E2A0F"/>
    <w:rsid w:val="007E2F12"/>
    <w:rsid w:val="007E435A"/>
    <w:rsid w:val="007E49F7"/>
    <w:rsid w:val="007E4C70"/>
    <w:rsid w:val="007E4EFE"/>
    <w:rsid w:val="007E61A2"/>
    <w:rsid w:val="007E78B6"/>
    <w:rsid w:val="007E79B4"/>
    <w:rsid w:val="007E7E61"/>
    <w:rsid w:val="007F0845"/>
    <w:rsid w:val="007F08A4"/>
    <w:rsid w:val="007F20F3"/>
    <w:rsid w:val="007F2390"/>
    <w:rsid w:val="007F2CAC"/>
    <w:rsid w:val="007F4740"/>
    <w:rsid w:val="007F524A"/>
    <w:rsid w:val="007F595A"/>
    <w:rsid w:val="007F6E7E"/>
    <w:rsid w:val="007F708D"/>
    <w:rsid w:val="008006B3"/>
    <w:rsid w:val="00801E13"/>
    <w:rsid w:val="00803008"/>
    <w:rsid w:val="00803069"/>
    <w:rsid w:val="008067D4"/>
    <w:rsid w:val="00807145"/>
    <w:rsid w:val="0080734C"/>
    <w:rsid w:val="0080798E"/>
    <w:rsid w:val="00807C82"/>
    <w:rsid w:val="00811791"/>
    <w:rsid w:val="008117CC"/>
    <w:rsid w:val="008125A4"/>
    <w:rsid w:val="00813DCA"/>
    <w:rsid w:val="00814A0E"/>
    <w:rsid w:val="008161A6"/>
    <w:rsid w:val="00816905"/>
    <w:rsid w:val="00817A17"/>
    <w:rsid w:val="00817EC1"/>
    <w:rsid w:val="0082112D"/>
    <w:rsid w:val="0082121F"/>
    <w:rsid w:val="00821FF6"/>
    <w:rsid w:val="0082248B"/>
    <w:rsid w:val="00822574"/>
    <w:rsid w:val="00822CDC"/>
    <w:rsid w:val="00822F08"/>
    <w:rsid w:val="00823DBB"/>
    <w:rsid w:val="00825C4D"/>
    <w:rsid w:val="00826A08"/>
    <w:rsid w:val="00827186"/>
    <w:rsid w:val="00827776"/>
    <w:rsid w:val="00827C8E"/>
    <w:rsid w:val="00827D1E"/>
    <w:rsid w:val="00830AEA"/>
    <w:rsid w:val="00830E86"/>
    <w:rsid w:val="0083143E"/>
    <w:rsid w:val="008315D5"/>
    <w:rsid w:val="00831CDE"/>
    <w:rsid w:val="00834304"/>
    <w:rsid w:val="00834FAA"/>
    <w:rsid w:val="008354FB"/>
    <w:rsid w:val="00836086"/>
    <w:rsid w:val="0083630F"/>
    <w:rsid w:val="00836A06"/>
    <w:rsid w:val="008373F2"/>
    <w:rsid w:val="008374BC"/>
    <w:rsid w:val="00840293"/>
    <w:rsid w:val="008408D4"/>
    <w:rsid w:val="008417B5"/>
    <w:rsid w:val="00841901"/>
    <w:rsid w:val="00841C18"/>
    <w:rsid w:val="008458BD"/>
    <w:rsid w:val="00846121"/>
    <w:rsid w:val="008466C6"/>
    <w:rsid w:val="0084708F"/>
    <w:rsid w:val="008477C8"/>
    <w:rsid w:val="008478A6"/>
    <w:rsid w:val="0085114D"/>
    <w:rsid w:val="008520A8"/>
    <w:rsid w:val="00852217"/>
    <w:rsid w:val="008532BF"/>
    <w:rsid w:val="008537E8"/>
    <w:rsid w:val="00853F59"/>
    <w:rsid w:val="00855408"/>
    <w:rsid w:val="00855BD0"/>
    <w:rsid w:val="00855EFE"/>
    <w:rsid w:val="008562D8"/>
    <w:rsid w:val="00856D65"/>
    <w:rsid w:val="00861B41"/>
    <w:rsid w:val="00861B9F"/>
    <w:rsid w:val="00861BE3"/>
    <w:rsid w:val="008625D3"/>
    <w:rsid w:val="008630BD"/>
    <w:rsid w:val="00863434"/>
    <w:rsid w:val="0086344F"/>
    <w:rsid w:val="008637E8"/>
    <w:rsid w:val="008641AC"/>
    <w:rsid w:val="00865E4C"/>
    <w:rsid w:val="0086796D"/>
    <w:rsid w:val="00867DAB"/>
    <w:rsid w:val="0087000B"/>
    <w:rsid w:val="008701E4"/>
    <w:rsid w:val="008704E9"/>
    <w:rsid w:val="0087116C"/>
    <w:rsid w:val="008727DE"/>
    <w:rsid w:val="008734E7"/>
    <w:rsid w:val="0087368D"/>
    <w:rsid w:val="00874FE8"/>
    <w:rsid w:val="00875944"/>
    <w:rsid w:val="00875A32"/>
    <w:rsid w:val="00876086"/>
    <w:rsid w:val="00876E83"/>
    <w:rsid w:val="008772BC"/>
    <w:rsid w:val="008778F6"/>
    <w:rsid w:val="0088056A"/>
    <w:rsid w:val="00882911"/>
    <w:rsid w:val="0088419D"/>
    <w:rsid w:val="0088522F"/>
    <w:rsid w:val="00885D40"/>
    <w:rsid w:val="00886D96"/>
    <w:rsid w:val="008873D4"/>
    <w:rsid w:val="0088793C"/>
    <w:rsid w:val="00891EDF"/>
    <w:rsid w:val="00892872"/>
    <w:rsid w:val="0089296D"/>
    <w:rsid w:val="00893E85"/>
    <w:rsid w:val="00894031"/>
    <w:rsid w:val="00894C5D"/>
    <w:rsid w:val="00895508"/>
    <w:rsid w:val="008967E9"/>
    <w:rsid w:val="00896A5C"/>
    <w:rsid w:val="0089708C"/>
    <w:rsid w:val="008972D2"/>
    <w:rsid w:val="008974F1"/>
    <w:rsid w:val="0089754C"/>
    <w:rsid w:val="008A0ADD"/>
    <w:rsid w:val="008A0D27"/>
    <w:rsid w:val="008A2414"/>
    <w:rsid w:val="008A37E2"/>
    <w:rsid w:val="008A388E"/>
    <w:rsid w:val="008A3CBA"/>
    <w:rsid w:val="008A3DD6"/>
    <w:rsid w:val="008A4B59"/>
    <w:rsid w:val="008A63E1"/>
    <w:rsid w:val="008B1581"/>
    <w:rsid w:val="008B165B"/>
    <w:rsid w:val="008B27DF"/>
    <w:rsid w:val="008B3A80"/>
    <w:rsid w:val="008B3C07"/>
    <w:rsid w:val="008B3F7B"/>
    <w:rsid w:val="008B42C9"/>
    <w:rsid w:val="008B6106"/>
    <w:rsid w:val="008B692D"/>
    <w:rsid w:val="008B74AE"/>
    <w:rsid w:val="008B7C02"/>
    <w:rsid w:val="008B7D2B"/>
    <w:rsid w:val="008B7EF9"/>
    <w:rsid w:val="008C0049"/>
    <w:rsid w:val="008C0E88"/>
    <w:rsid w:val="008C198E"/>
    <w:rsid w:val="008C4B50"/>
    <w:rsid w:val="008C66EF"/>
    <w:rsid w:val="008C7569"/>
    <w:rsid w:val="008C7DDC"/>
    <w:rsid w:val="008D0DBD"/>
    <w:rsid w:val="008D127E"/>
    <w:rsid w:val="008D1CA8"/>
    <w:rsid w:val="008D1E6A"/>
    <w:rsid w:val="008D2A16"/>
    <w:rsid w:val="008D33F5"/>
    <w:rsid w:val="008D35E4"/>
    <w:rsid w:val="008D6C3A"/>
    <w:rsid w:val="008E292B"/>
    <w:rsid w:val="008E2C57"/>
    <w:rsid w:val="008E31FF"/>
    <w:rsid w:val="008E3287"/>
    <w:rsid w:val="008E5B5B"/>
    <w:rsid w:val="008E6DCB"/>
    <w:rsid w:val="008E6F06"/>
    <w:rsid w:val="008E79BB"/>
    <w:rsid w:val="008E7B8E"/>
    <w:rsid w:val="008E7FC9"/>
    <w:rsid w:val="008F029B"/>
    <w:rsid w:val="008F0E4E"/>
    <w:rsid w:val="008F2A5D"/>
    <w:rsid w:val="008F3636"/>
    <w:rsid w:val="008F3CF6"/>
    <w:rsid w:val="008F3FC9"/>
    <w:rsid w:val="008F4632"/>
    <w:rsid w:val="008F49E6"/>
    <w:rsid w:val="008F585B"/>
    <w:rsid w:val="008F6075"/>
    <w:rsid w:val="008F6351"/>
    <w:rsid w:val="009003A8"/>
    <w:rsid w:val="00900496"/>
    <w:rsid w:val="009021DA"/>
    <w:rsid w:val="00902500"/>
    <w:rsid w:val="00902EA5"/>
    <w:rsid w:val="00902EFF"/>
    <w:rsid w:val="00903A8E"/>
    <w:rsid w:val="0090406B"/>
    <w:rsid w:val="0090432C"/>
    <w:rsid w:val="00904F96"/>
    <w:rsid w:val="009052A3"/>
    <w:rsid w:val="009056D7"/>
    <w:rsid w:val="009057B8"/>
    <w:rsid w:val="00905B8D"/>
    <w:rsid w:val="00906401"/>
    <w:rsid w:val="009065CB"/>
    <w:rsid w:val="00906B79"/>
    <w:rsid w:val="00906FE2"/>
    <w:rsid w:val="0090786F"/>
    <w:rsid w:val="009110F7"/>
    <w:rsid w:val="0091155E"/>
    <w:rsid w:val="00912437"/>
    <w:rsid w:val="00912A92"/>
    <w:rsid w:val="009134A0"/>
    <w:rsid w:val="00915D07"/>
    <w:rsid w:val="009162AE"/>
    <w:rsid w:val="00916856"/>
    <w:rsid w:val="00917251"/>
    <w:rsid w:val="0091728D"/>
    <w:rsid w:val="00917DD4"/>
    <w:rsid w:val="009203CC"/>
    <w:rsid w:val="00920EC4"/>
    <w:rsid w:val="0092180B"/>
    <w:rsid w:val="00921F14"/>
    <w:rsid w:val="009225C2"/>
    <w:rsid w:val="00923CB0"/>
    <w:rsid w:val="00924871"/>
    <w:rsid w:val="00924AC8"/>
    <w:rsid w:val="00925429"/>
    <w:rsid w:val="0092597A"/>
    <w:rsid w:val="0092626B"/>
    <w:rsid w:val="00926520"/>
    <w:rsid w:val="00926CF0"/>
    <w:rsid w:val="009273A9"/>
    <w:rsid w:val="0093033E"/>
    <w:rsid w:val="009305FC"/>
    <w:rsid w:val="00930FB1"/>
    <w:rsid w:val="0093139F"/>
    <w:rsid w:val="00932443"/>
    <w:rsid w:val="00932B32"/>
    <w:rsid w:val="00932B66"/>
    <w:rsid w:val="00933562"/>
    <w:rsid w:val="00933F4A"/>
    <w:rsid w:val="00934F44"/>
    <w:rsid w:val="00934FF2"/>
    <w:rsid w:val="00935238"/>
    <w:rsid w:val="00935BD4"/>
    <w:rsid w:val="009373B2"/>
    <w:rsid w:val="00937AE2"/>
    <w:rsid w:val="00940449"/>
    <w:rsid w:val="009407A7"/>
    <w:rsid w:val="00941CD3"/>
    <w:rsid w:val="0094416B"/>
    <w:rsid w:val="0094427A"/>
    <w:rsid w:val="00944C7C"/>
    <w:rsid w:val="00945245"/>
    <w:rsid w:val="00945523"/>
    <w:rsid w:val="00950921"/>
    <w:rsid w:val="00952D37"/>
    <w:rsid w:val="009568DC"/>
    <w:rsid w:val="00957445"/>
    <w:rsid w:val="0095759C"/>
    <w:rsid w:val="00957C1B"/>
    <w:rsid w:val="009618EE"/>
    <w:rsid w:val="009624D2"/>
    <w:rsid w:val="009628D9"/>
    <w:rsid w:val="00962DA7"/>
    <w:rsid w:val="009637AE"/>
    <w:rsid w:val="00964776"/>
    <w:rsid w:val="009647FD"/>
    <w:rsid w:val="00964A4E"/>
    <w:rsid w:val="00964B35"/>
    <w:rsid w:val="009651C7"/>
    <w:rsid w:val="00965797"/>
    <w:rsid w:val="00965A10"/>
    <w:rsid w:val="009670A3"/>
    <w:rsid w:val="009674BE"/>
    <w:rsid w:val="00971A70"/>
    <w:rsid w:val="00971C77"/>
    <w:rsid w:val="00972FCD"/>
    <w:rsid w:val="009741FC"/>
    <w:rsid w:val="00974923"/>
    <w:rsid w:val="00975909"/>
    <w:rsid w:val="00976378"/>
    <w:rsid w:val="00977C3D"/>
    <w:rsid w:val="00980D3D"/>
    <w:rsid w:val="0098103E"/>
    <w:rsid w:val="00983101"/>
    <w:rsid w:val="00983E41"/>
    <w:rsid w:val="00986EC6"/>
    <w:rsid w:val="00987A30"/>
    <w:rsid w:val="00990312"/>
    <w:rsid w:val="009908B9"/>
    <w:rsid w:val="0099182E"/>
    <w:rsid w:val="00992AAE"/>
    <w:rsid w:val="00992CF3"/>
    <w:rsid w:val="0099321E"/>
    <w:rsid w:val="00993AEB"/>
    <w:rsid w:val="00994868"/>
    <w:rsid w:val="00994D28"/>
    <w:rsid w:val="00994F2C"/>
    <w:rsid w:val="009957CC"/>
    <w:rsid w:val="0099584E"/>
    <w:rsid w:val="009968D6"/>
    <w:rsid w:val="00996E2F"/>
    <w:rsid w:val="009971E0"/>
    <w:rsid w:val="00997953"/>
    <w:rsid w:val="009A04FD"/>
    <w:rsid w:val="009A10A0"/>
    <w:rsid w:val="009A1CAB"/>
    <w:rsid w:val="009A2359"/>
    <w:rsid w:val="009A24F1"/>
    <w:rsid w:val="009A2F94"/>
    <w:rsid w:val="009A35A6"/>
    <w:rsid w:val="009A3E7C"/>
    <w:rsid w:val="009A4D57"/>
    <w:rsid w:val="009A60D1"/>
    <w:rsid w:val="009A64F5"/>
    <w:rsid w:val="009B00D2"/>
    <w:rsid w:val="009B05B3"/>
    <w:rsid w:val="009B284F"/>
    <w:rsid w:val="009B3764"/>
    <w:rsid w:val="009B4430"/>
    <w:rsid w:val="009B5F4B"/>
    <w:rsid w:val="009B66CE"/>
    <w:rsid w:val="009B6FD3"/>
    <w:rsid w:val="009B756A"/>
    <w:rsid w:val="009B7DB2"/>
    <w:rsid w:val="009C0696"/>
    <w:rsid w:val="009C1750"/>
    <w:rsid w:val="009C2A74"/>
    <w:rsid w:val="009C2E29"/>
    <w:rsid w:val="009C3E8F"/>
    <w:rsid w:val="009C554B"/>
    <w:rsid w:val="009C5EB3"/>
    <w:rsid w:val="009C656C"/>
    <w:rsid w:val="009C7126"/>
    <w:rsid w:val="009C719E"/>
    <w:rsid w:val="009C7799"/>
    <w:rsid w:val="009D07A9"/>
    <w:rsid w:val="009D0AE2"/>
    <w:rsid w:val="009D0EBB"/>
    <w:rsid w:val="009D3ACD"/>
    <w:rsid w:val="009D587D"/>
    <w:rsid w:val="009D75BE"/>
    <w:rsid w:val="009D7731"/>
    <w:rsid w:val="009E1120"/>
    <w:rsid w:val="009E178F"/>
    <w:rsid w:val="009E1922"/>
    <w:rsid w:val="009E1A3D"/>
    <w:rsid w:val="009E3B41"/>
    <w:rsid w:val="009E4715"/>
    <w:rsid w:val="009E5273"/>
    <w:rsid w:val="009E57A8"/>
    <w:rsid w:val="009E5B85"/>
    <w:rsid w:val="009E5DDB"/>
    <w:rsid w:val="009F4059"/>
    <w:rsid w:val="009F4982"/>
    <w:rsid w:val="009F4CA7"/>
    <w:rsid w:val="009F703C"/>
    <w:rsid w:val="009F74E1"/>
    <w:rsid w:val="009F7D36"/>
    <w:rsid w:val="009F7FC7"/>
    <w:rsid w:val="00A00E71"/>
    <w:rsid w:val="00A01CB0"/>
    <w:rsid w:val="00A02D00"/>
    <w:rsid w:val="00A0306F"/>
    <w:rsid w:val="00A03B10"/>
    <w:rsid w:val="00A03E2E"/>
    <w:rsid w:val="00A04616"/>
    <w:rsid w:val="00A04717"/>
    <w:rsid w:val="00A05EE4"/>
    <w:rsid w:val="00A076C8"/>
    <w:rsid w:val="00A10857"/>
    <w:rsid w:val="00A10D66"/>
    <w:rsid w:val="00A127B4"/>
    <w:rsid w:val="00A132EF"/>
    <w:rsid w:val="00A14114"/>
    <w:rsid w:val="00A1412D"/>
    <w:rsid w:val="00A1575D"/>
    <w:rsid w:val="00A16413"/>
    <w:rsid w:val="00A16545"/>
    <w:rsid w:val="00A16AED"/>
    <w:rsid w:val="00A16E1D"/>
    <w:rsid w:val="00A17A15"/>
    <w:rsid w:val="00A17D5B"/>
    <w:rsid w:val="00A201E1"/>
    <w:rsid w:val="00A20FE1"/>
    <w:rsid w:val="00A22900"/>
    <w:rsid w:val="00A22E10"/>
    <w:rsid w:val="00A23E43"/>
    <w:rsid w:val="00A24ED9"/>
    <w:rsid w:val="00A25216"/>
    <w:rsid w:val="00A2628E"/>
    <w:rsid w:val="00A2731E"/>
    <w:rsid w:val="00A309AC"/>
    <w:rsid w:val="00A30F65"/>
    <w:rsid w:val="00A319BC"/>
    <w:rsid w:val="00A3279E"/>
    <w:rsid w:val="00A34B0B"/>
    <w:rsid w:val="00A34B5F"/>
    <w:rsid w:val="00A35900"/>
    <w:rsid w:val="00A35ACA"/>
    <w:rsid w:val="00A37DAD"/>
    <w:rsid w:val="00A40EAC"/>
    <w:rsid w:val="00A418BC"/>
    <w:rsid w:val="00A41FCF"/>
    <w:rsid w:val="00A43CF8"/>
    <w:rsid w:val="00A43DF2"/>
    <w:rsid w:val="00A445A8"/>
    <w:rsid w:val="00A44B0D"/>
    <w:rsid w:val="00A44D21"/>
    <w:rsid w:val="00A45087"/>
    <w:rsid w:val="00A45489"/>
    <w:rsid w:val="00A45C56"/>
    <w:rsid w:val="00A465E9"/>
    <w:rsid w:val="00A468E7"/>
    <w:rsid w:val="00A46DE0"/>
    <w:rsid w:val="00A47CE8"/>
    <w:rsid w:val="00A50D73"/>
    <w:rsid w:val="00A52A88"/>
    <w:rsid w:val="00A52CAD"/>
    <w:rsid w:val="00A53FC7"/>
    <w:rsid w:val="00A54056"/>
    <w:rsid w:val="00A54698"/>
    <w:rsid w:val="00A54E18"/>
    <w:rsid w:val="00A55569"/>
    <w:rsid w:val="00A567D3"/>
    <w:rsid w:val="00A60276"/>
    <w:rsid w:val="00A61C55"/>
    <w:rsid w:val="00A626FF"/>
    <w:rsid w:val="00A62CE1"/>
    <w:rsid w:val="00A655D3"/>
    <w:rsid w:val="00A65FEF"/>
    <w:rsid w:val="00A662D9"/>
    <w:rsid w:val="00A66828"/>
    <w:rsid w:val="00A66B08"/>
    <w:rsid w:val="00A66B98"/>
    <w:rsid w:val="00A6741E"/>
    <w:rsid w:val="00A7016A"/>
    <w:rsid w:val="00A7018D"/>
    <w:rsid w:val="00A70337"/>
    <w:rsid w:val="00A7191D"/>
    <w:rsid w:val="00A722F9"/>
    <w:rsid w:val="00A72742"/>
    <w:rsid w:val="00A72D42"/>
    <w:rsid w:val="00A745F9"/>
    <w:rsid w:val="00A74D81"/>
    <w:rsid w:val="00A75E40"/>
    <w:rsid w:val="00A76109"/>
    <w:rsid w:val="00A76DD3"/>
    <w:rsid w:val="00A76F33"/>
    <w:rsid w:val="00A77697"/>
    <w:rsid w:val="00A77D1D"/>
    <w:rsid w:val="00A81652"/>
    <w:rsid w:val="00A81AF2"/>
    <w:rsid w:val="00A82BFF"/>
    <w:rsid w:val="00A83150"/>
    <w:rsid w:val="00A83398"/>
    <w:rsid w:val="00A83D6E"/>
    <w:rsid w:val="00A8521A"/>
    <w:rsid w:val="00A857C0"/>
    <w:rsid w:val="00A90F2C"/>
    <w:rsid w:val="00A90FED"/>
    <w:rsid w:val="00A915CB"/>
    <w:rsid w:val="00A9189D"/>
    <w:rsid w:val="00A91AF6"/>
    <w:rsid w:val="00A91E71"/>
    <w:rsid w:val="00A925B1"/>
    <w:rsid w:val="00A92D10"/>
    <w:rsid w:val="00A934F9"/>
    <w:rsid w:val="00A95F1A"/>
    <w:rsid w:val="00A96116"/>
    <w:rsid w:val="00A9614E"/>
    <w:rsid w:val="00A96C0F"/>
    <w:rsid w:val="00A97162"/>
    <w:rsid w:val="00AA0D8A"/>
    <w:rsid w:val="00AA212F"/>
    <w:rsid w:val="00AA2199"/>
    <w:rsid w:val="00AA2996"/>
    <w:rsid w:val="00AA2AF4"/>
    <w:rsid w:val="00AA4282"/>
    <w:rsid w:val="00AA441B"/>
    <w:rsid w:val="00AA52BF"/>
    <w:rsid w:val="00AA559A"/>
    <w:rsid w:val="00AA619D"/>
    <w:rsid w:val="00AA6C31"/>
    <w:rsid w:val="00AA7CE8"/>
    <w:rsid w:val="00AB1457"/>
    <w:rsid w:val="00AB2AF1"/>
    <w:rsid w:val="00AB325B"/>
    <w:rsid w:val="00AB503F"/>
    <w:rsid w:val="00AB5A64"/>
    <w:rsid w:val="00AB5CA1"/>
    <w:rsid w:val="00AB6456"/>
    <w:rsid w:val="00AC044E"/>
    <w:rsid w:val="00AC2395"/>
    <w:rsid w:val="00AC24FA"/>
    <w:rsid w:val="00AC2960"/>
    <w:rsid w:val="00AC2AC4"/>
    <w:rsid w:val="00AC4284"/>
    <w:rsid w:val="00AC45BD"/>
    <w:rsid w:val="00AC50BB"/>
    <w:rsid w:val="00AC6149"/>
    <w:rsid w:val="00AC6259"/>
    <w:rsid w:val="00AD0EE7"/>
    <w:rsid w:val="00AD168E"/>
    <w:rsid w:val="00AD1F05"/>
    <w:rsid w:val="00AD306C"/>
    <w:rsid w:val="00AD44CD"/>
    <w:rsid w:val="00AD5AD2"/>
    <w:rsid w:val="00AD6462"/>
    <w:rsid w:val="00AD66C5"/>
    <w:rsid w:val="00AD68C4"/>
    <w:rsid w:val="00AD71F9"/>
    <w:rsid w:val="00AE019D"/>
    <w:rsid w:val="00AE09B3"/>
    <w:rsid w:val="00AE1A83"/>
    <w:rsid w:val="00AE30BE"/>
    <w:rsid w:val="00AE354B"/>
    <w:rsid w:val="00AE3707"/>
    <w:rsid w:val="00AE3E6A"/>
    <w:rsid w:val="00AE43E0"/>
    <w:rsid w:val="00AE797C"/>
    <w:rsid w:val="00AE7CE7"/>
    <w:rsid w:val="00AE7FAB"/>
    <w:rsid w:val="00AF0DE4"/>
    <w:rsid w:val="00AF10C1"/>
    <w:rsid w:val="00AF1E87"/>
    <w:rsid w:val="00AF28D4"/>
    <w:rsid w:val="00AF36D6"/>
    <w:rsid w:val="00AF436B"/>
    <w:rsid w:val="00AF5179"/>
    <w:rsid w:val="00AF5CC2"/>
    <w:rsid w:val="00AF6776"/>
    <w:rsid w:val="00AF6F98"/>
    <w:rsid w:val="00B00913"/>
    <w:rsid w:val="00B01593"/>
    <w:rsid w:val="00B01FF9"/>
    <w:rsid w:val="00B023F2"/>
    <w:rsid w:val="00B02D10"/>
    <w:rsid w:val="00B02D4D"/>
    <w:rsid w:val="00B038CA"/>
    <w:rsid w:val="00B05945"/>
    <w:rsid w:val="00B06DB4"/>
    <w:rsid w:val="00B10A4D"/>
    <w:rsid w:val="00B10C90"/>
    <w:rsid w:val="00B11002"/>
    <w:rsid w:val="00B111F5"/>
    <w:rsid w:val="00B121B2"/>
    <w:rsid w:val="00B141B6"/>
    <w:rsid w:val="00B14BC1"/>
    <w:rsid w:val="00B166B2"/>
    <w:rsid w:val="00B16EB8"/>
    <w:rsid w:val="00B17E71"/>
    <w:rsid w:val="00B17FDE"/>
    <w:rsid w:val="00B20632"/>
    <w:rsid w:val="00B20C52"/>
    <w:rsid w:val="00B212C6"/>
    <w:rsid w:val="00B2379C"/>
    <w:rsid w:val="00B23D5D"/>
    <w:rsid w:val="00B2687D"/>
    <w:rsid w:val="00B26A61"/>
    <w:rsid w:val="00B26ED6"/>
    <w:rsid w:val="00B3108D"/>
    <w:rsid w:val="00B314FA"/>
    <w:rsid w:val="00B315BE"/>
    <w:rsid w:val="00B32DDB"/>
    <w:rsid w:val="00B32F57"/>
    <w:rsid w:val="00B3345C"/>
    <w:rsid w:val="00B34528"/>
    <w:rsid w:val="00B34931"/>
    <w:rsid w:val="00B34CC9"/>
    <w:rsid w:val="00B35177"/>
    <w:rsid w:val="00B35496"/>
    <w:rsid w:val="00B3563B"/>
    <w:rsid w:val="00B35AAF"/>
    <w:rsid w:val="00B35EDB"/>
    <w:rsid w:val="00B37027"/>
    <w:rsid w:val="00B37D3A"/>
    <w:rsid w:val="00B402FC"/>
    <w:rsid w:val="00B405D1"/>
    <w:rsid w:val="00B422E2"/>
    <w:rsid w:val="00B42D5F"/>
    <w:rsid w:val="00B42F6E"/>
    <w:rsid w:val="00B436C1"/>
    <w:rsid w:val="00B439DA"/>
    <w:rsid w:val="00B4411A"/>
    <w:rsid w:val="00B46604"/>
    <w:rsid w:val="00B46CB8"/>
    <w:rsid w:val="00B47089"/>
    <w:rsid w:val="00B47587"/>
    <w:rsid w:val="00B52151"/>
    <w:rsid w:val="00B52818"/>
    <w:rsid w:val="00B530CD"/>
    <w:rsid w:val="00B53C7D"/>
    <w:rsid w:val="00B53E56"/>
    <w:rsid w:val="00B552ED"/>
    <w:rsid w:val="00B55A97"/>
    <w:rsid w:val="00B55F5E"/>
    <w:rsid w:val="00B560AD"/>
    <w:rsid w:val="00B5649D"/>
    <w:rsid w:val="00B56B6F"/>
    <w:rsid w:val="00B5752E"/>
    <w:rsid w:val="00B60234"/>
    <w:rsid w:val="00B60AC1"/>
    <w:rsid w:val="00B62316"/>
    <w:rsid w:val="00B63A11"/>
    <w:rsid w:val="00B63B09"/>
    <w:rsid w:val="00B64425"/>
    <w:rsid w:val="00B64C24"/>
    <w:rsid w:val="00B65336"/>
    <w:rsid w:val="00B65CEF"/>
    <w:rsid w:val="00B6608F"/>
    <w:rsid w:val="00B679FB"/>
    <w:rsid w:val="00B732FE"/>
    <w:rsid w:val="00B73A14"/>
    <w:rsid w:val="00B73B11"/>
    <w:rsid w:val="00B7592B"/>
    <w:rsid w:val="00B7680F"/>
    <w:rsid w:val="00B76D1E"/>
    <w:rsid w:val="00B77543"/>
    <w:rsid w:val="00B77584"/>
    <w:rsid w:val="00B77CE4"/>
    <w:rsid w:val="00B80EC6"/>
    <w:rsid w:val="00B81288"/>
    <w:rsid w:val="00B81AA0"/>
    <w:rsid w:val="00B81D70"/>
    <w:rsid w:val="00B8203E"/>
    <w:rsid w:val="00B831FB"/>
    <w:rsid w:val="00B833B9"/>
    <w:rsid w:val="00B83E07"/>
    <w:rsid w:val="00B84CF6"/>
    <w:rsid w:val="00B85016"/>
    <w:rsid w:val="00B8561A"/>
    <w:rsid w:val="00B86643"/>
    <w:rsid w:val="00B86E56"/>
    <w:rsid w:val="00B90131"/>
    <w:rsid w:val="00B92951"/>
    <w:rsid w:val="00B92D1D"/>
    <w:rsid w:val="00B92E9A"/>
    <w:rsid w:val="00B930CE"/>
    <w:rsid w:val="00B938C5"/>
    <w:rsid w:val="00B94BA6"/>
    <w:rsid w:val="00B9554A"/>
    <w:rsid w:val="00B95940"/>
    <w:rsid w:val="00B95ACA"/>
    <w:rsid w:val="00B95B92"/>
    <w:rsid w:val="00B9632F"/>
    <w:rsid w:val="00B97ACC"/>
    <w:rsid w:val="00BA0495"/>
    <w:rsid w:val="00BA098F"/>
    <w:rsid w:val="00BA1866"/>
    <w:rsid w:val="00BA3787"/>
    <w:rsid w:val="00BA46E8"/>
    <w:rsid w:val="00BA554E"/>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F"/>
    <w:rsid w:val="00BB6EA2"/>
    <w:rsid w:val="00BB7B5B"/>
    <w:rsid w:val="00BC003F"/>
    <w:rsid w:val="00BC327F"/>
    <w:rsid w:val="00BC3816"/>
    <w:rsid w:val="00BC4291"/>
    <w:rsid w:val="00BC5332"/>
    <w:rsid w:val="00BC5C12"/>
    <w:rsid w:val="00BC7154"/>
    <w:rsid w:val="00BC731E"/>
    <w:rsid w:val="00BC7614"/>
    <w:rsid w:val="00BD25BB"/>
    <w:rsid w:val="00BD2AF8"/>
    <w:rsid w:val="00BD305F"/>
    <w:rsid w:val="00BD366B"/>
    <w:rsid w:val="00BD4A73"/>
    <w:rsid w:val="00BD4F09"/>
    <w:rsid w:val="00BD59F1"/>
    <w:rsid w:val="00BD6C75"/>
    <w:rsid w:val="00BD6D50"/>
    <w:rsid w:val="00BE0AD1"/>
    <w:rsid w:val="00BE0EF9"/>
    <w:rsid w:val="00BE1093"/>
    <w:rsid w:val="00BE117B"/>
    <w:rsid w:val="00BE18B9"/>
    <w:rsid w:val="00BE190A"/>
    <w:rsid w:val="00BE2495"/>
    <w:rsid w:val="00BE24DD"/>
    <w:rsid w:val="00BE3745"/>
    <w:rsid w:val="00BE386D"/>
    <w:rsid w:val="00BE4314"/>
    <w:rsid w:val="00BE557B"/>
    <w:rsid w:val="00BE5B92"/>
    <w:rsid w:val="00BE6F74"/>
    <w:rsid w:val="00BF02C8"/>
    <w:rsid w:val="00BF1578"/>
    <w:rsid w:val="00BF1D12"/>
    <w:rsid w:val="00BF1D3A"/>
    <w:rsid w:val="00BF2B5B"/>
    <w:rsid w:val="00BF32DC"/>
    <w:rsid w:val="00BF430C"/>
    <w:rsid w:val="00BF4E43"/>
    <w:rsid w:val="00BF5C4C"/>
    <w:rsid w:val="00BF5D23"/>
    <w:rsid w:val="00BF6F62"/>
    <w:rsid w:val="00BF717A"/>
    <w:rsid w:val="00C009D1"/>
    <w:rsid w:val="00C00BD7"/>
    <w:rsid w:val="00C01410"/>
    <w:rsid w:val="00C02F64"/>
    <w:rsid w:val="00C04B78"/>
    <w:rsid w:val="00C052AA"/>
    <w:rsid w:val="00C06EE3"/>
    <w:rsid w:val="00C07749"/>
    <w:rsid w:val="00C07ADB"/>
    <w:rsid w:val="00C07F12"/>
    <w:rsid w:val="00C11A15"/>
    <w:rsid w:val="00C11D48"/>
    <w:rsid w:val="00C125A0"/>
    <w:rsid w:val="00C1493E"/>
    <w:rsid w:val="00C15AE9"/>
    <w:rsid w:val="00C15DBD"/>
    <w:rsid w:val="00C17E2F"/>
    <w:rsid w:val="00C2010D"/>
    <w:rsid w:val="00C20CB5"/>
    <w:rsid w:val="00C20F4B"/>
    <w:rsid w:val="00C21430"/>
    <w:rsid w:val="00C21E61"/>
    <w:rsid w:val="00C21F94"/>
    <w:rsid w:val="00C223C3"/>
    <w:rsid w:val="00C23334"/>
    <w:rsid w:val="00C233A6"/>
    <w:rsid w:val="00C234DB"/>
    <w:rsid w:val="00C2479A"/>
    <w:rsid w:val="00C24903"/>
    <w:rsid w:val="00C24CEC"/>
    <w:rsid w:val="00C255C4"/>
    <w:rsid w:val="00C2590D"/>
    <w:rsid w:val="00C25D9C"/>
    <w:rsid w:val="00C27913"/>
    <w:rsid w:val="00C303A4"/>
    <w:rsid w:val="00C31F21"/>
    <w:rsid w:val="00C32631"/>
    <w:rsid w:val="00C33301"/>
    <w:rsid w:val="00C33311"/>
    <w:rsid w:val="00C33B68"/>
    <w:rsid w:val="00C35570"/>
    <w:rsid w:val="00C36A79"/>
    <w:rsid w:val="00C401D2"/>
    <w:rsid w:val="00C4031A"/>
    <w:rsid w:val="00C405D4"/>
    <w:rsid w:val="00C419D5"/>
    <w:rsid w:val="00C43D63"/>
    <w:rsid w:val="00C44A31"/>
    <w:rsid w:val="00C4513B"/>
    <w:rsid w:val="00C50E79"/>
    <w:rsid w:val="00C525FB"/>
    <w:rsid w:val="00C5385B"/>
    <w:rsid w:val="00C5390B"/>
    <w:rsid w:val="00C53DBC"/>
    <w:rsid w:val="00C54257"/>
    <w:rsid w:val="00C54697"/>
    <w:rsid w:val="00C550CE"/>
    <w:rsid w:val="00C553A5"/>
    <w:rsid w:val="00C55402"/>
    <w:rsid w:val="00C5603B"/>
    <w:rsid w:val="00C568D3"/>
    <w:rsid w:val="00C6014A"/>
    <w:rsid w:val="00C608AF"/>
    <w:rsid w:val="00C61F47"/>
    <w:rsid w:val="00C62828"/>
    <w:rsid w:val="00C638ED"/>
    <w:rsid w:val="00C719A3"/>
    <w:rsid w:val="00C71AC9"/>
    <w:rsid w:val="00C71D2F"/>
    <w:rsid w:val="00C72161"/>
    <w:rsid w:val="00C72984"/>
    <w:rsid w:val="00C73101"/>
    <w:rsid w:val="00C73885"/>
    <w:rsid w:val="00C73C93"/>
    <w:rsid w:val="00C7435A"/>
    <w:rsid w:val="00C747B1"/>
    <w:rsid w:val="00C75A58"/>
    <w:rsid w:val="00C77454"/>
    <w:rsid w:val="00C82191"/>
    <w:rsid w:val="00C82778"/>
    <w:rsid w:val="00C83134"/>
    <w:rsid w:val="00C832F3"/>
    <w:rsid w:val="00C85545"/>
    <w:rsid w:val="00C855B5"/>
    <w:rsid w:val="00C85F0E"/>
    <w:rsid w:val="00C90CF4"/>
    <w:rsid w:val="00C922DE"/>
    <w:rsid w:val="00C92843"/>
    <w:rsid w:val="00C92EB6"/>
    <w:rsid w:val="00C93389"/>
    <w:rsid w:val="00CA0346"/>
    <w:rsid w:val="00CA1BD6"/>
    <w:rsid w:val="00CA1E35"/>
    <w:rsid w:val="00CA37FF"/>
    <w:rsid w:val="00CA423A"/>
    <w:rsid w:val="00CA44A3"/>
    <w:rsid w:val="00CA5554"/>
    <w:rsid w:val="00CA6AB4"/>
    <w:rsid w:val="00CB04F1"/>
    <w:rsid w:val="00CB172B"/>
    <w:rsid w:val="00CB2351"/>
    <w:rsid w:val="00CB4930"/>
    <w:rsid w:val="00CB4C63"/>
    <w:rsid w:val="00CB5A48"/>
    <w:rsid w:val="00CB5CA9"/>
    <w:rsid w:val="00CB5E10"/>
    <w:rsid w:val="00CB613B"/>
    <w:rsid w:val="00CB6152"/>
    <w:rsid w:val="00CC04E9"/>
    <w:rsid w:val="00CC0834"/>
    <w:rsid w:val="00CC20FE"/>
    <w:rsid w:val="00CC2E7D"/>
    <w:rsid w:val="00CC655F"/>
    <w:rsid w:val="00CC6F86"/>
    <w:rsid w:val="00CC6FE5"/>
    <w:rsid w:val="00CC76BD"/>
    <w:rsid w:val="00CD10A5"/>
    <w:rsid w:val="00CD1129"/>
    <w:rsid w:val="00CD1262"/>
    <w:rsid w:val="00CD15D7"/>
    <w:rsid w:val="00CD1A80"/>
    <w:rsid w:val="00CD1CB5"/>
    <w:rsid w:val="00CD1CFD"/>
    <w:rsid w:val="00CD2076"/>
    <w:rsid w:val="00CD24CE"/>
    <w:rsid w:val="00CD29B5"/>
    <w:rsid w:val="00CD2B78"/>
    <w:rsid w:val="00CD37B1"/>
    <w:rsid w:val="00CD3FAB"/>
    <w:rsid w:val="00CD5456"/>
    <w:rsid w:val="00CD5798"/>
    <w:rsid w:val="00CD5C3E"/>
    <w:rsid w:val="00CD6331"/>
    <w:rsid w:val="00CE0BC4"/>
    <w:rsid w:val="00CE0D1A"/>
    <w:rsid w:val="00CE14BE"/>
    <w:rsid w:val="00CE17A4"/>
    <w:rsid w:val="00CE1BA9"/>
    <w:rsid w:val="00CE2A6D"/>
    <w:rsid w:val="00CE2BC4"/>
    <w:rsid w:val="00CE2D8F"/>
    <w:rsid w:val="00CE38E2"/>
    <w:rsid w:val="00CE47B8"/>
    <w:rsid w:val="00CE62FA"/>
    <w:rsid w:val="00CE670B"/>
    <w:rsid w:val="00CE6833"/>
    <w:rsid w:val="00CE69DA"/>
    <w:rsid w:val="00CE7483"/>
    <w:rsid w:val="00CF4908"/>
    <w:rsid w:val="00CF51EC"/>
    <w:rsid w:val="00CF545D"/>
    <w:rsid w:val="00CF5873"/>
    <w:rsid w:val="00CF6B3C"/>
    <w:rsid w:val="00CF73AE"/>
    <w:rsid w:val="00D01462"/>
    <w:rsid w:val="00D0242D"/>
    <w:rsid w:val="00D03A72"/>
    <w:rsid w:val="00D040DD"/>
    <w:rsid w:val="00D05C65"/>
    <w:rsid w:val="00D06ACE"/>
    <w:rsid w:val="00D06D68"/>
    <w:rsid w:val="00D06E66"/>
    <w:rsid w:val="00D075BE"/>
    <w:rsid w:val="00D07D13"/>
    <w:rsid w:val="00D10C15"/>
    <w:rsid w:val="00D11476"/>
    <w:rsid w:val="00D11C6C"/>
    <w:rsid w:val="00D12C25"/>
    <w:rsid w:val="00D1316D"/>
    <w:rsid w:val="00D133B4"/>
    <w:rsid w:val="00D13986"/>
    <w:rsid w:val="00D14C5B"/>
    <w:rsid w:val="00D15FED"/>
    <w:rsid w:val="00D214EF"/>
    <w:rsid w:val="00D21D6D"/>
    <w:rsid w:val="00D21D83"/>
    <w:rsid w:val="00D22F7B"/>
    <w:rsid w:val="00D235B7"/>
    <w:rsid w:val="00D23FAE"/>
    <w:rsid w:val="00D25F28"/>
    <w:rsid w:val="00D26071"/>
    <w:rsid w:val="00D269B9"/>
    <w:rsid w:val="00D27973"/>
    <w:rsid w:val="00D31537"/>
    <w:rsid w:val="00D31E1E"/>
    <w:rsid w:val="00D32663"/>
    <w:rsid w:val="00D32824"/>
    <w:rsid w:val="00D334E2"/>
    <w:rsid w:val="00D35AD6"/>
    <w:rsid w:val="00D35BBB"/>
    <w:rsid w:val="00D35E1A"/>
    <w:rsid w:val="00D35E5F"/>
    <w:rsid w:val="00D36DFB"/>
    <w:rsid w:val="00D36E1C"/>
    <w:rsid w:val="00D373AF"/>
    <w:rsid w:val="00D37A6A"/>
    <w:rsid w:val="00D4026D"/>
    <w:rsid w:val="00D40556"/>
    <w:rsid w:val="00D41ED8"/>
    <w:rsid w:val="00D41F74"/>
    <w:rsid w:val="00D4399E"/>
    <w:rsid w:val="00D43ED2"/>
    <w:rsid w:val="00D50F46"/>
    <w:rsid w:val="00D53057"/>
    <w:rsid w:val="00D5384E"/>
    <w:rsid w:val="00D53DF6"/>
    <w:rsid w:val="00D544E7"/>
    <w:rsid w:val="00D56409"/>
    <w:rsid w:val="00D56FBF"/>
    <w:rsid w:val="00D57677"/>
    <w:rsid w:val="00D57BAD"/>
    <w:rsid w:val="00D60415"/>
    <w:rsid w:val="00D61291"/>
    <w:rsid w:val="00D61B52"/>
    <w:rsid w:val="00D6215F"/>
    <w:rsid w:val="00D635D3"/>
    <w:rsid w:val="00D63BE5"/>
    <w:rsid w:val="00D63F6B"/>
    <w:rsid w:val="00D6475F"/>
    <w:rsid w:val="00D66223"/>
    <w:rsid w:val="00D6670E"/>
    <w:rsid w:val="00D66756"/>
    <w:rsid w:val="00D667B8"/>
    <w:rsid w:val="00D66B08"/>
    <w:rsid w:val="00D671CD"/>
    <w:rsid w:val="00D6758B"/>
    <w:rsid w:val="00D70289"/>
    <w:rsid w:val="00D70822"/>
    <w:rsid w:val="00D72076"/>
    <w:rsid w:val="00D726A9"/>
    <w:rsid w:val="00D743E0"/>
    <w:rsid w:val="00D75CB7"/>
    <w:rsid w:val="00D76025"/>
    <w:rsid w:val="00D77252"/>
    <w:rsid w:val="00D8084C"/>
    <w:rsid w:val="00D81809"/>
    <w:rsid w:val="00D82EF1"/>
    <w:rsid w:val="00D84246"/>
    <w:rsid w:val="00D84F43"/>
    <w:rsid w:val="00D85821"/>
    <w:rsid w:val="00D8598C"/>
    <w:rsid w:val="00D85B26"/>
    <w:rsid w:val="00D864D0"/>
    <w:rsid w:val="00D87C06"/>
    <w:rsid w:val="00D915EA"/>
    <w:rsid w:val="00D922A1"/>
    <w:rsid w:val="00D924E9"/>
    <w:rsid w:val="00D928BE"/>
    <w:rsid w:val="00D95C5D"/>
    <w:rsid w:val="00D97D00"/>
    <w:rsid w:val="00DA06E8"/>
    <w:rsid w:val="00DA096C"/>
    <w:rsid w:val="00DA1AB6"/>
    <w:rsid w:val="00DA26C4"/>
    <w:rsid w:val="00DA35CD"/>
    <w:rsid w:val="00DA368A"/>
    <w:rsid w:val="00DA3BCB"/>
    <w:rsid w:val="00DA3BE9"/>
    <w:rsid w:val="00DA544C"/>
    <w:rsid w:val="00DA5F8E"/>
    <w:rsid w:val="00DA6364"/>
    <w:rsid w:val="00DA6520"/>
    <w:rsid w:val="00DA653C"/>
    <w:rsid w:val="00DA6792"/>
    <w:rsid w:val="00DA69EF"/>
    <w:rsid w:val="00DA7114"/>
    <w:rsid w:val="00DA7C0C"/>
    <w:rsid w:val="00DA7C4E"/>
    <w:rsid w:val="00DB08A9"/>
    <w:rsid w:val="00DB08D8"/>
    <w:rsid w:val="00DB0C5D"/>
    <w:rsid w:val="00DB212F"/>
    <w:rsid w:val="00DB2DFA"/>
    <w:rsid w:val="00DB2EC8"/>
    <w:rsid w:val="00DB33D2"/>
    <w:rsid w:val="00DB38E0"/>
    <w:rsid w:val="00DB459B"/>
    <w:rsid w:val="00DB5D35"/>
    <w:rsid w:val="00DB5E9A"/>
    <w:rsid w:val="00DB657E"/>
    <w:rsid w:val="00DB7342"/>
    <w:rsid w:val="00DB7DA2"/>
    <w:rsid w:val="00DC002D"/>
    <w:rsid w:val="00DC169F"/>
    <w:rsid w:val="00DC17D0"/>
    <w:rsid w:val="00DC2B41"/>
    <w:rsid w:val="00DC3683"/>
    <w:rsid w:val="00DC435B"/>
    <w:rsid w:val="00DC53D8"/>
    <w:rsid w:val="00DC56FE"/>
    <w:rsid w:val="00DC5B3B"/>
    <w:rsid w:val="00DC6C2D"/>
    <w:rsid w:val="00DC7B1A"/>
    <w:rsid w:val="00DD129F"/>
    <w:rsid w:val="00DD32DD"/>
    <w:rsid w:val="00DD3F86"/>
    <w:rsid w:val="00DD5287"/>
    <w:rsid w:val="00DD59A0"/>
    <w:rsid w:val="00DD6C73"/>
    <w:rsid w:val="00DD7150"/>
    <w:rsid w:val="00DE0D8B"/>
    <w:rsid w:val="00DE1237"/>
    <w:rsid w:val="00DE140F"/>
    <w:rsid w:val="00DE2491"/>
    <w:rsid w:val="00DE3B58"/>
    <w:rsid w:val="00DE7AC8"/>
    <w:rsid w:val="00DF1857"/>
    <w:rsid w:val="00DF358E"/>
    <w:rsid w:val="00DF3613"/>
    <w:rsid w:val="00DF3643"/>
    <w:rsid w:val="00DF42FF"/>
    <w:rsid w:val="00DF4369"/>
    <w:rsid w:val="00DF4423"/>
    <w:rsid w:val="00DF4ADF"/>
    <w:rsid w:val="00DF5D1E"/>
    <w:rsid w:val="00E01C0E"/>
    <w:rsid w:val="00E0368F"/>
    <w:rsid w:val="00E03D73"/>
    <w:rsid w:val="00E03F9A"/>
    <w:rsid w:val="00E04694"/>
    <w:rsid w:val="00E06050"/>
    <w:rsid w:val="00E129E7"/>
    <w:rsid w:val="00E12ABE"/>
    <w:rsid w:val="00E12B1E"/>
    <w:rsid w:val="00E13BA4"/>
    <w:rsid w:val="00E1444C"/>
    <w:rsid w:val="00E161D9"/>
    <w:rsid w:val="00E16A95"/>
    <w:rsid w:val="00E17262"/>
    <w:rsid w:val="00E20016"/>
    <w:rsid w:val="00E2009B"/>
    <w:rsid w:val="00E20154"/>
    <w:rsid w:val="00E20BB9"/>
    <w:rsid w:val="00E21661"/>
    <w:rsid w:val="00E2251C"/>
    <w:rsid w:val="00E22716"/>
    <w:rsid w:val="00E2363D"/>
    <w:rsid w:val="00E2385F"/>
    <w:rsid w:val="00E238E5"/>
    <w:rsid w:val="00E23C6A"/>
    <w:rsid w:val="00E253A2"/>
    <w:rsid w:val="00E256D7"/>
    <w:rsid w:val="00E260F6"/>
    <w:rsid w:val="00E27127"/>
    <w:rsid w:val="00E27233"/>
    <w:rsid w:val="00E31771"/>
    <w:rsid w:val="00E31A3E"/>
    <w:rsid w:val="00E32080"/>
    <w:rsid w:val="00E3309D"/>
    <w:rsid w:val="00E33FE9"/>
    <w:rsid w:val="00E364EF"/>
    <w:rsid w:val="00E378B1"/>
    <w:rsid w:val="00E417BE"/>
    <w:rsid w:val="00E41CD5"/>
    <w:rsid w:val="00E43673"/>
    <w:rsid w:val="00E43A9E"/>
    <w:rsid w:val="00E44766"/>
    <w:rsid w:val="00E453F9"/>
    <w:rsid w:val="00E45D7D"/>
    <w:rsid w:val="00E4665D"/>
    <w:rsid w:val="00E46661"/>
    <w:rsid w:val="00E47854"/>
    <w:rsid w:val="00E47DFE"/>
    <w:rsid w:val="00E47EBA"/>
    <w:rsid w:val="00E50156"/>
    <w:rsid w:val="00E5076C"/>
    <w:rsid w:val="00E50D2E"/>
    <w:rsid w:val="00E50E4A"/>
    <w:rsid w:val="00E53470"/>
    <w:rsid w:val="00E539F6"/>
    <w:rsid w:val="00E54698"/>
    <w:rsid w:val="00E55791"/>
    <w:rsid w:val="00E578A2"/>
    <w:rsid w:val="00E61740"/>
    <w:rsid w:val="00E61EB5"/>
    <w:rsid w:val="00E6326B"/>
    <w:rsid w:val="00E6519D"/>
    <w:rsid w:val="00E66062"/>
    <w:rsid w:val="00E67305"/>
    <w:rsid w:val="00E67696"/>
    <w:rsid w:val="00E702E4"/>
    <w:rsid w:val="00E70DC9"/>
    <w:rsid w:val="00E71A58"/>
    <w:rsid w:val="00E72A26"/>
    <w:rsid w:val="00E72A7A"/>
    <w:rsid w:val="00E747DC"/>
    <w:rsid w:val="00E75C94"/>
    <w:rsid w:val="00E76110"/>
    <w:rsid w:val="00E76B9B"/>
    <w:rsid w:val="00E76E61"/>
    <w:rsid w:val="00E771F0"/>
    <w:rsid w:val="00E77929"/>
    <w:rsid w:val="00E80CA3"/>
    <w:rsid w:val="00E82618"/>
    <w:rsid w:val="00E8277F"/>
    <w:rsid w:val="00E8593F"/>
    <w:rsid w:val="00E90CA8"/>
    <w:rsid w:val="00E90E6E"/>
    <w:rsid w:val="00E919CC"/>
    <w:rsid w:val="00E92118"/>
    <w:rsid w:val="00E930A1"/>
    <w:rsid w:val="00E93820"/>
    <w:rsid w:val="00E94A86"/>
    <w:rsid w:val="00E96143"/>
    <w:rsid w:val="00E96833"/>
    <w:rsid w:val="00E96BA3"/>
    <w:rsid w:val="00EA01E3"/>
    <w:rsid w:val="00EA0C68"/>
    <w:rsid w:val="00EA1504"/>
    <w:rsid w:val="00EA1D0E"/>
    <w:rsid w:val="00EA2841"/>
    <w:rsid w:val="00EA32BC"/>
    <w:rsid w:val="00EA35A7"/>
    <w:rsid w:val="00EA3B32"/>
    <w:rsid w:val="00EA3D05"/>
    <w:rsid w:val="00EA4402"/>
    <w:rsid w:val="00EA513E"/>
    <w:rsid w:val="00EA596C"/>
    <w:rsid w:val="00EA7419"/>
    <w:rsid w:val="00EB0E32"/>
    <w:rsid w:val="00EB4511"/>
    <w:rsid w:val="00EB4A8E"/>
    <w:rsid w:val="00EB4BC5"/>
    <w:rsid w:val="00EB5BF7"/>
    <w:rsid w:val="00EB5E79"/>
    <w:rsid w:val="00EB6081"/>
    <w:rsid w:val="00EB6FAC"/>
    <w:rsid w:val="00EC03D7"/>
    <w:rsid w:val="00EC13A7"/>
    <w:rsid w:val="00EC1829"/>
    <w:rsid w:val="00EC1A2B"/>
    <w:rsid w:val="00EC2EB6"/>
    <w:rsid w:val="00EC7BC7"/>
    <w:rsid w:val="00ED0495"/>
    <w:rsid w:val="00ED0EF0"/>
    <w:rsid w:val="00ED12B9"/>
    <w:rsid w:val="00ED16B8"/>
    <w:rsid w:val="00ED2EA1"/>
    <w:rsid w:val="00ED3F10"/>
    <w:rsid w:val="00ED4D04"/>
    <w:rsid w:val="00ED5990"/>
    <w:rsid w:val="00ED5F5B"/>
    <w:rsid w:val="00ED62C6"/>
    <w:rsid w:val="00ED64C1"/>
    <w:rsid w:val="00ED6516"/>
    <w:rsid w:val="00EE0A6C"/>
    <w:rsid w:val="00EE3446"/>
    <w:rsid w:val="00EE3E78"/>
    <w:rsid w:val="00EE4B1B"/>
    <w:rsid w:val="00EE5FBA"/>
    <w:rsid w:val="00EE6E06"/>
    <w:rsid w:val="00EF0C83"/>
    <w:rsid w:val="00EF150D"/>
    <w:rsid w:val="00EF1F5A"/>
    <w:rsid w:val="00EF47BF"/>
    <w:rsid w:val="00EF5A13"/>
    <w:rsid w:val="00EF5FF9"/>
    <w:rsid w:val="00EF6BDC"/>
    <w:rsid w:val="00EF7CC7"/>
    <w:rsid w:val="00F01084"/>
    <w:rsid w:val="00F0160B"/>
    <w:rsid w:val="00F017E4"/>
    <w:rsid w:val="00F03F8D"/>
    <w:rsid w:val="00F040BC"/>
    <w:rsid w:val="00F04811"/>
    <w:rsid w:val="00F0488C"/>
    <w:rsid w:val="00F073ED"/>
    <w:rsid w:val="00F07C4C"/>
    <w:rsid w:val="00F10941"/>
    <w:rsid w:val="00F10F11"/>
    <w:rsid w:val="00F12CFB"/>
    <w:rsid w:val="00F12CFF"/>
    <w:rsid w:val="00F15AAA"/>
    <w:rsid w:val="00F15BEF"/>
    <w:rsid w:val="00F17898"/>
    <w:rsid w:val="00F20242"/>
    <w:rsid w:val="00F207C2"/>
    <w:rsid w:val="00F20BA9"/>
    <w:rsid w:val="00F219A1"/>
    <w:rsid w:val="00F23E20"/>
    <w:rsid w:val="00F23E40"/>
    <w:rsid w:val="00F24407"/>
    <w:rsid w:val="00F24FAA"/>
    <w:rsid w:val="00F25040"/>
    <w:rsid w:val="00F2665F"/>
    <w:rsid w:val="00F27071"/>
    <w:rsid w:val="00F27331"/>
    <w:rsid w:val="00F27EE5"/>
    <w:rsid w:val="00F30C65"/>
    <w:rsid w:val="00F32053"/>
    <w:rsid w:val="00F325F9"/>
    <w:rsid w:val="00F33523"/>
    <w:rsid w:val="00F3364D"/>
    <w:rsid w:val="00F3404D"/>
    <w:rsid w:val="00F349BF"/>
    <w:rsid w:val="00F34DDC"/>
    <w:rsid w:val="00F379A9"/>
    <w:rsid w:val="00F37EDC"/>
    <w:rsid w:val="00F432EE"/>
    <w:rsid w:val="00F437CC"/>
    <w:rsid w:val="00F44537"/>
    <w:rsid w:val="00F44640"/>
    <w:rsid w:val="00F46185"/>
    <w:rsid w:val="00F46423"/>
    <w:rsid w:val="00F4696A"/>
    <w:rsid w:val="00F46F70"/>
    <w:rsid w:val="00F47067"/>
    <w:rsid w:val="00F47B07"/>
    <w:rsid w:val="00F500AA"/>
    <w:rsid w:val="00F508F3"/>
    <w:rsid w:val="00F525EB"/>
    <w:rsid w:val="00F52CB5"/>
    <w:rsid w:val="00F5392C"/>
    <w:rsid w:val="00F53A68"/>
    <w:rsid w:val="00F55A92"/>
    <w:rsid w:val="00F55B87"/>
    <w:rsid w:val="00F57E16"/>
    <w:rsid w:val="00F602CF"/>
    <w:rsid w:val="00F614F7"/>
    <w:rsid w:val="00F6217C"/>
    <w:rsid w:val="00F62BFF"/>
    <w:rsid w:val="00F63AAE"/>
    <w:rsid w:val="00F63DDE"/>
    <w:rsid w:val="00F63FB7"/>
    <w:rsid w:val="00F6421B"/>
    <w:rsid w:val="00F649D2"/>
    <w:rsid w:val="00F64C6F"/>
    <w:rsid w:val="00F655EF"/>
    <w:rsid w:val="00F6602B"/>
    <w:rsid w:val="00F7150B"/>
    <w:rsid w:val="00F71DE6"/>
    <w:rsid w:val="00F72D71"/>
    <w:rsid w:val="00F7381C"/>
    <w:rsid w:val="00F73A0C"/>
    <w:rsid w:val="00F7549F"/>
    <w:rsid w:val="00F75580"/>
    <w:rsid w:val="00F756DB"/>
    <w:rsid w:val="00F767A8"/>
    <w:rsid w:val="00F768CC"/>
    <w:rsid w:val="00F8184A"/>
    <w:rsid w:val="00F83FF0"/>
    <w:rsid w:val="00F84E7D"/>
    <w:rsid w:val="00F85066"/>
    <w:rsid w:val="00F85761"/>
    <w:rsid w:val="00F87A4D"/>
    <w:rsid w:val="00F90814"/>
    <w:rsid w:val="00F913B7"/>
    <w:rsid w:val="00F93688"/>
    <w:rsid w:val="00F939F3"/>
    <w:rsid w:val="00F93D8A"/>
    <w:rsid w:val="00F959CC"/>
    <w:rsid w:val="00F9644E"/>
    <w:rsid w:val="00F97E48"/>
    <w:rsid w:val="00FA0105"/>
    <w:rsid w:val="00FA05A0"/>
    <w:rsid w:val="00FA08BA"/>
    <w:rsid w:val="00FA17CC"/>
    <w:rsid w:val="00FA1F01"/>
    <w:rsid w:val="00FA26DF"/>
    <w:rsid w:val="00FA38FB"/>
    <w:rsid w:val="00FA5112"/>
    <w:rsid w:val="00FA5526"/>
    <w:rsid w:val="00FA5BC0"/>
    <w:rsid w:val="00FA5D4D"/>
    <w:rsid w:val="00FA6637"/>
    <w:rsid w:val="00FA70D3"/>
    <w:rsid w:val="00FA7AEC"/>
    <w:rsid w:val="00FB0AEA"/>
    <w:rsid w:val="00FB0EE2"/>
    <w:rsid w:val="00FB1762"/>
    <w:rsid w:val="00FB1A79"/>
    <w:rsid w:val="00FB208B"/>
    <w:rsid w:val="00FB256A"/>
    <w:rsid w:val="00FB2B2D"/>
    <w:rsid w:val="00FB5302"/>
    <w:rsid w:val="00FB542E"/>
    <w:rsid w:val="00FB564F"/>
    <w:rsid w:val="00FB662B"/>
    <w:rsid w:val="00FB6977"/>
    <w:rsid w:val="00FB7473"/>
    <w:rsid w:val="00FB7DBB"/>
    <w:rsid w:val="00FC05F8"/>
    <w:rsid w:val="00FC0E5F"/>
    <w:rsid w:val="00FC1266"/>
    <w:rsid w:val="00FC16F6"/>
    <w:rsid w:val="00FC1A95"/>
    <w:rsid w:val="00FC1ED4"/>
    <w:rsid w:val="00FC36BA"/>
    <w:rsid w:val="00FC3BEC"/>
    <w:rsid w:val="00FC440B"/>
    <w:rsid w:val="00FC56DE"/>
    <w:rsid w:val="00FC5A83"/>
    <w:rsid w:val="00FC64DE"/>
    <w:rsid w:val="00FC684B"/>
    <w:rsid w:val="00FC7132"/>
    <w:rsid w:val="00FC7D98"/>
    <w:rsid w:val="00FD1135"/>
    <w:rsid w:val="00FD3265"/>
    <w:rsid w:val="00FD3CF7"/>
    <w:rsid w:val="00FD4916"/>
    <w:rsid w:val="00FD4D12"/>
    <w:rsid w:val="00FD4DCD"/>
    <w:rsid w:val="00FD4F73"/>
    <w:rsid w:val="00FD595E"/>
    <w:rsid w:val="00FD6633"/>
    <w:rsid w:val="00FD7AFE"/>
    <w:rsid w:val="00FE27C7"/>
    <w:rsid w:val="00FE2C7E"/>
    <w:rsid w:val="00FE2E2B"/>
    <w:rsid w:val="00FE2F78"/>
    <w:rsid w:val="00FE3137"/>
    <w:rsid w:val="00FE3942"/>
    <w:rsid w:val="00FE3B9E"/>
    <w:rsid w:val="00FE48E4"/>
    <w:rsid w:val="00FE634C"/>
    <w:rsid w:val="00FE6E69"/>
    <w:rsid w:val="00FE6F59"/>
    <w:rsid w:val="00FE7013"/>
    <w:rsid w:val="00FF036B"/>
    <w:rsid w:val="00FF2C2F"/>
    <w:rsid w:val="00FF2EF4"/>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B92BDCA"/>
  <w15:docId w15:val="{4227B688-5359-4AB5-96D5-D86FA48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79868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1'!$C$30:$C$89</c:f>
              <c:numCache>
                <c:formatCode>0.00</c:formatCode>
                <c:ptCount val="60"/>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numCache>
            </c:numRef>
          </c:val>
          <c:extLst>
            <c:ext xmlns:c16="http://schemas.microsoft.com/office/drawing/2014/chart" uri="{C3380CC4-5D6E-409C-BE32-E72D297353CC}">
              <c16:uniqueId val="{00000000-707B-437A-8706-27ED6CC45AE1}"/>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1'!$F$30:$F$89</c:f>
              <c:numCache>
                <c:formatCode>0.00</c:formatCode>
                <c:ptCount val="60"/>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formatCode="General">
                  <c:v>-0.21</c:v>
                </c:pt>
                <c:pt idx="25" formatCode="General">
                  <c:v>-0.18</c:v>
                </c:pt>
                <c:pt idx="26" formatCode="General">
                  <c:v>-0.17</c:v>
                </c:pt>
                <c:pt idx="27" formatCode="General">
                  <c:v>-0.08</c:v>
                </c:pt>
                <c:pt idx="28" formatCode="General">
                  <c:v>-0.04</c:v>
                </c:pt>
                <c:pt idx="29" formatCode="General">
                  <c:v>-0.05</c:v>
                </c:pt>
                <c:pt idx="30" formatCode="General">
                  <c:v>-0.13</c:v>
                </c:pt>
                <c:pt idx="31" formatCode="General">
                  <c:v>-0.22</c:v>
                </c:pt>
                <c:pt idx="32" formatCode="General">
                  <c:v>-0.5</c:v>
                </c:pt>
                <c:pt idx="33" formatCode="General">
                  <c:v>-0.74</c:v>
                </c:pt>
                <c:pt idx="34" formatCode="General">
                  <c:v>-0.73</c:v>
                </c:pt>
                <c:pt idx="35" formatCode="General">
                  <c:v>-0.81</c:v>
                </c:pt>
                <c:pt idx="36" formatCode="General">
                  <c:v>-0.88</c:v>
                </c:pt>
                <c:pt idx="37" formatCode="General">
                  <c:v>-0.53</c:v>
                </c:pt>
                <c:pt idx="38" formatCode="General">
                  <c:v>-0.44</c:v>
                </c:pt>
                <c:pt idx="39" formatCode="General">
                  <c:v>-0.23</c:v>
                </c:pt>
                <c:pt idx="40" formatCode="General">
                  <c:v>-0.24</c:v>
                </c:pt>
                <c:pt idx="41" formatCode="General">
                  <c:v>-0.25</c:v>
                </c:pt>
                <c:pt idx="42" formatCode="General">
                  <c:v>-0.28999999999999998</c:v>
                </c:pt>
                <c:pt idx="43" formatCode="General">
                  <c:v>-0.33</c:v>
                </c:pt>
                <c:pt idx="44" formatCode="General">
                  <c:v>-0.28999999999999998</c:v>
                </c:pt>
                <c:pt idx="45" formatCode="General">
                  <c:v>0.12</c:v>
                </c:pt>
                <c:pt idx="46" formatCode="General">
                  <c:v>0.31</c:v>
                </c:pt>
                <c:pt idx="47" formatCode="General">
                  <c:v>0.19</c:v>
                </c:pt>
                <c:pt idx="48" formatCode="General">
                  <c:v>0.46</c:v>
                </c:pt>
                <c:pt idx="49" formatCode="General">
                  <c:v>0.55000000000000004</c:v>
                </c:pt>
                <c:pt idx="50" formatCode="General">
                  <c:v>0.62</c:v>
                </c:pt>
                <c:pt idx="51" formatCode="General">
                  <c:v>0.6</c:v>
                </c:pt>
                <c:pt idx="52" formatCode="General">
                  <c:v>0.7</c:v>
                </c:pt>
                <c:pt idx="53" formatCode="General">
                  <c:v>0.89</c:v>
                </c:pt>
                <c:pt idx="54" formatCode="General">
                  <c:v>1.0900000000000001</c:v>
                </c:pt>
                <c:pt idx="55" formatCode="General">
                  <c:v>1.26</c:v>
                </c:pt>
                <c:pt idx="56" formatCode="General">
                  <c:v>1.34</c:v>
                </c:pt>
                <c:pt idx="57" formatCode="General">
                  <c:v>1.44</c:v>
                </c:pt>
                <c:pt idx="58" formatCode="General">
                  <c:v>1.49</c:v>
                </c:pt>
                <c:pt idx="59" formatCode="General">
                  <c:v>1.52</c:v>
                </c:pt>
              </c:numCache>
            </c:numRef>
          </c:val>
          <c:smooth val="0"/>
          <c:extLst>
            <c:ext xmlns:c16="http://schemas.microsoft.com/office/drawing/2014/chart" uri="{C3380CC4-5D6E-409C-BE32-E72D297353CC}">
              <c16:uniqueId val="{00000001-707B-437A-8706-27ED6CC45AE1}"/>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1'!$D$30:$D$89</c:f>
              <c:numCache>
                <c:formatCode>0.00</c:formatCode>
                <c:ptCount val="60"/>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formatCode="General">
                  <c:v>0.28000000000000003</c:v>
                </c:pt>
                <c:pt idx="37" formatCode="General">
                  <c:v>0.28000000000000003</c:v>
                </c:pt>
                <c:pt idx="38" formatCode="General">
                  <c:v>0.28000000000000003</c:v>
                </c:pt>
                <c:pt idx="39" formatCode="General">
                  <c:v>0.28999999999999998</c:v>
                </c:pt>
                <c:pt idx="40" formatCode="General">
                  <c:v>0.3</c:v>
                </c:pt>
                <c:pt idx="41" formatCode="General">
                  <c:v>0.3</c:v>
                </c:pt>
                <c:pt idx="42" formatCode="General">
                  <c:v>0.3</c:v>
                </c:pt>
                <c:pt idx="43" formatCode="General">
                  <c:v>0.43</c:v>
                </c:pt>
                <c:pt idx="44" formatCode="General">
                  <c:v>0.46</c:v>
                </c:pt>
                <c:pt idx="45" formatCode="General">
                  <c:v>0.51</c:v>
                </c:pt>
                <c:pt idx="46" formatCode="General">
                  <c:v>0.71</c:v>
                </c:pt>
                <c:pt idx="47" formatCode="General">
                  <c:v>0.75</c:v>
                </c:pt>
                <c:pt idx="48" formatCode="General">
                  <c:v>0.77</c:v>
                </c:pt>
                <c:pt idx="49" formatCode="General">
                  <c:v>0.9</c:v>
                </c:pt>
                <c:pt idx="50" formatCode="General">
                  <c:v>0.9</c:v>
                </c:pt>
                <c:pt idx="51" formatCode="General">
                  <c:v>0.9</c:v>
                </c:pt>
                <c:pt idx="52" formatCode="General">
                  <c:v>0.9</c:v>
                </c:pt>
                <c:pt idx="53" formatCode="General">
                  <c:v>0.93</c:v>
                </c:pt>
                <c:pt idx="54" formatCode="General">
                  <c:v>1.18</c:v>
                </c:pt>
                <c:pt idx="55" formatCode="General">
                  <c:v>1.45</c:v>
                </c:pt>
                <c:pt idx="56" formatCode="General">
                  <c:v>1.54</c:v>
                </c:pt>
                <c:pt idx="57" formatCode="General">
                  <c:v>1.76</c:v>
                </c:pt>
                <c:pt idx="58" formatCode="General">
                  <c:v>1.99</c:v>
                </c:pt>
                <c:pt idx="59" formatCode="General">
                  <c:v>2.0099999999999998</c:v>
                </c:pt>
              </c:numCache>
            </c:numRef>
          </c:val>
          <c:smooth val="0"/>
          <c:extLst>
            <c:ext xmlns:c16="http://schemas.microsoft.com/office/drawing/2014/chart" uri="{C3380CC4-5D6E-409C-BE32-E72D297353CC}">
              <c16:uniqueId val="{00000002-707B-437A-8706-27ED6CC45AE1}"/>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1'!$G$30:$G$89</c:f>
              <c:numCache>
                <c:formatCode>0.00</c:formatCode>
                <c:ptCount val="60"/>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formatCode="General">
                  <c:v>0.04</c:v>
                </c:pt>
                <c:pt idx="25" formatCode="General">
                  <c:v>-0.08</c:v>
                </c:pt>
                <c:pt idx="26" formatCode="General">
                  <c:v>-0.1</c:v>
                </c:pt>
                <c:pt idx="27" formatCode="General">
                  <c:v>0.04</c:v>
                </c:pt>
                <c:pt idx="28" formatCode="General">
                  <c:v>7.0000000000000007E-2</c:v>
                </c:pt>
                <c:pt idx="29" formatCode="General">
                  <c:v>0.05</c:v>
                </c:pt>
                <c:pt idx="30" formatCode="General">
                  <c:v>-0.02</c:v>
                </c:pt>
                <c:pt idx="31" formatCode="General">
                  <c:v>-0.09</c:v>
                </c:pt>
                <c:pt idx="32" formatCode="General">
                  <c:v>-0.19</c:v>
                </c:pt>
                <c:pt idx="33" formatCode="General">
                  <c:v>-0.17</c:v>
                </c:pt>
                <c:pt idx="34" formatCode="General">
                  <c:v>-0.17</c:v>
                </c:pt>
                <c:pt idx="35" formatCode="General">
                  <c:v>-0.21</c:v>
                </c:pt>
                <c:pt idx="36" formatCode="General">
                  <c:v>-0.22</c:v>
                </c:pt>
                <c:pt idx="37" formatCode="General">
                  <c:v>0.09</c:v>
                </c:pt>
                <c:pt idx="38" formatCode="General">
                  <c:v>0.1</c:v>
                </c:pt>
                <c:pt idx="39" formatCode="General">
                  <c:v>0.16</c:v>
                </c:pt>
                <c:pt idx="40" formatCode="General">
                  <c:v>0.04</c:v>
                </c:pt>
                <c:pt idx="41" formatCode="General">
                  <c:v>-0.03</c:v>
                </c:pt>
                <c:pt idx="42" formatCode="General">
                  <c:v>0.14000000000000001</c:v>
                </c:pt>
                <c:pt idx="43" formatCode="General">
                  <c:v>0.09</c:v>
                </c:pt>
                <c:pt idx="44" formatCode="General">
                  <c:v>0.1</c:v>
                </c:pt>
                <c:pt idx="45" formatCode="General">
                  <c:v>0.63</c:v>
                </c:pt>
                <c:pt idx="46" formatCode="General">
                  <c:v>0.87</c:v>
                </c:pt>
                <c:pt idx="47" formatCode="General">
                  <c:v>0.68</c:v>
                </c:pt>
                <c:pt idx="48" formatCode="General">
                  <c:v>0.99</c:v>
                </c:pt>
                <c:pt idx="49" formatCode="General">
                  <c:v>1.07</c:v>
                </c:pt>
                <c:pt idx="50" formatCode="General">
                  <c:v>1.0900000000000001</c:v>
                </c:pt>
                <c:pt idx="51" formatCode="General">
                  <c:v>1.05</c:v>
                </c:pt>
                <c:pt idx="52" formatCode="General">
                  <c:v>1.21</c:v>
                </c:pt>
                <c:pt idx="53" formatCode="General">
                  <c:v>1.41</c:v>
                </c:pt>
                <c:pt idx="54" formatCode="General">
                  <c:v>1.44</c:v>
                </c:pt>
                <c:pt idx="55" formatCode="General">
                  <c:v>1.55</c:v>
                </c:pt>
                <c:pt idx="56" formatCode="General">
                  <c:v>1.7</c:v>
                </c:pt>
                <c:pt idx="57" formatCode="General">
                  <c:v>1.81</c:v>
                </c:pt>
                <c:pt idx="58" formatCode="General">
                  <c:v>1.79</c:v>
                </c:pt>
                <c:pt idx="59" formatCode="General">
                  <c:v>1.71</c:v>
                </c:pt>
              </c:numCache>
            </c:numRef>
          </c:val>
          <c:smooth val="0"/>
          <c:extLst>
            <c:ext xmlns:c16="http://schemas.microsoft.com/office/drawing/2014/chart" uri="{C3380CC4-5D6E-409C-BE32-E72D297353CC}">
              <c16:uniqueId val="{00000003-707B-437A-8706-27ED6CC45AE1}"/>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1'!$E$30:$E$89</c:f>
              <c:numCache>
                <c:formatCode>0.00</c:formatCode>
                <c:ptCount val="60"/>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formatCode="General">
                  <c:v>0.44</c:v>
                </c:pt>
                <c:pt idx="37" formatCode="General">
                  <c:v>0.44</c:v>
                </c:pt>
                <c:pt idx="38" formatCode="General">
                  <c:v>0.44</c:v>
                </c:pt>
                <c:pt idx="39" formatCode="General">
                  <c:v>0.45</c:v>
                </c:pt>
                <c:pt idx="40" formatCode="General">
                  <c:v>0.46</c:v>
                </c:pt>
                <c:pt idx="41" formatCode="General">
                  <c:v>0.46</c:v>
                </c:pt>
                <c:pt idx="42" formatCode="General">
                  <c:v>0.47</c:v>
                </c:pt>
                <c:pt idx="43" formatCode="General">
                  <c:v>0.6</c:v>
                </c:pt>
                <c:pt idx="44" formatCode="General">
                  <c:v>0.64</c:v>
                </c:pt>
                <c:pt idx="45" formatCode="General">
                  <c:v>0.69</c:v>
                </c:pt>
                <c:pt idx="46" formatCode="General">
                  <c:v>0.91</c:v>
                </c:pt>
                <c:pt idx="47" formatCode="General">
                  <c:v>0.96</c:v>
                </c:pt>
                <c:pt idx="48" formatCode="General">
                  <c:v>0.98</c:v>
                </c:pt>
                <c:pt idx="49" formatCode="General">
                  <c:v>1.1100000000000001</c:v>
                </c:pt>
                <c:pt idx="50" formatCode="General">
                  <c:v>1.1200000000000001</c:v>
                </c:pt>
                <c:pt idx="51" formatCode="General">
                  <c:v>1.1200000000000001</c:v>
                </c:pt>
                <c:pt idx="52" formatCode="General">
                  <c:v>1.1200000000000001</c:v>
                </c:pt>
                <c:pt idx="53" formatCode="General">
                  <c:v>1.1499999999999999</c:v>
                </c:pt>
                <c:pt idx="54" formatCode="General">
                  <c:v>1.39</c:v>
                </c:pt>
                <c:pt idx="55" formatCode="General">
                  <c:v>1.67</c:v>
                </c:pt>
                <c:pt idx="56" formatCode="General">
                  <c:v>1.79</c:v>
                </c:pt>
                <c:pt idx="57" formatCode="General">
                  <c:v>1.95</c:v>
                </c:pt>
                <c:pt idx="58" formatCode="General">
                  <c:v>2.1800000000000002</c:v>
                </c:pt>
                <c:pt idx="59" formatCode="General">
                  <c:v>2.21</c:v>
                </c:pt>
              </c:numCache>
            </c:numRef>
          </c:val>
          <c:smooth val="0"/>
          <c:extLst>
            <c:ext xmlns:c16="http://schemas.microsoft.com/office/drawing/2014/chart" uri="{C3380CC4-5D6E-409C-BE32-E72D297353CC}">
              <c16:uniqueId val="{00000004-707B-437A-8706-27ED6CC45AE1}"/>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1'!$A$30:$B$89</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2014</c:v>
                  </c:pt>
                  <c:pt idx="12">
                    <c:v>2015</c:v>
                  </c:pt>
                  <c:pt idx="24">
                    <c:v>2016</c:v>
                  </c:pt>
                  <c:pt idx="36">
                    <c:v>2017</c:v>
                  </c:pt>
                  <c:pt idx="48">
                    <c:v>2018</c:v>
                  </c:pt>
                </c:lvl>
              </c:multiLvlStrCache>
            </c:multiLvlStrRef>
          </c:cat>
          <c:val>
            <c:numRef>
              <c:f>'Měnové podmínky 1'!$H$30:$H$89</c:f>
              <c:numCache>
                <c:formatCode>0.00</c:formatCode>
                <c:ptCount val="60"/>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formatCode="General">
                  <c:v>0.62</c:v>
                </c:pt>
                <c:pt idx="25" formatCode="General">
                  <c:v>0.46</c:v>
                </c:pt>
                <c:pt idx="26" formatCode="General">
                  <c:v>0.35</c:v>
                </c:pt>
                <c:pt idx="27" formatCode="General">
                  <c:v>0.43</c:v>
                </c:pt>
                <c:pt idx="28" formatCode="General">
                  <c:v>0.46</c:v>
                </c:pt>
                <c:pt idx="29" formatCode="General">
                  <c:v>0.45</c:v>
                </c:pt>
                <c:pt idx="30" formatCode="General">
                  <c:v>0.37</c:v>
                </c:pt>
                <c:pt idx="31" formatCode="General">
                  <c:v>0.28999999999999998</c:v>
                </c:pt>
                <c:pt idx="32" formatCode="General">
                  <c:v>0.25</c:v>
                </c:pt>
                <c:pt idx="33" formatCode="General">
                  <c:v>0.37</c:v>
                </c:pt>
                <c:pt idx="34" formatCode="General">
                  <c:v>0.55000000000000004</c:v>
                </c:pt>
                <c:pt idx="35" formatCode="General">
                  <c:v>0.53</c:v>
                </c:pt>
                <c:pt idx="36" formatCode="General">
                  <c:v>0.47</c:v>
                </c:pt>
                <c:pt idx="37" formatCode="General">
                  <c:v>0.63</c:v>
                </c:pt>
                <c:pt idx="38" formatCode="General">
                  <c:v>0.87</c:v>
                </c:pt>
                <c:pt idx="39" formatCode="General">
                  <c:v>0.96</c:v>
                </c:pt>
                <c:pt idx="40" formatCode="General">
                  <c:v>0.74</c:v>
                </c:pt>
                <c:pt idx="41" formatCode="General">
                  <c:v>0.77</c:v>
                </c:pt>
                <c:pt idx="42" formatCode="General">
                  <c:v>0.9</c:v>
                </c:pt>
                <c:pt idx="43" formatCode="General">
                  <c:v>0.83</c:v>
                </c:pt>
                <c:pt idx="44" formatCode="General">
                  <c:v>0.97</c:v>
                </c:pt>
                <c:pt idx="45" formatCode="General">
                  <c:v>1.45</c:v>
                </c:pt>
                <c:pt idx="46" formatCode="General">
                  <c:v>1.68</c:v>
                </c:pt>
                <c:pt idx="47" formatCode="General">
                  <c:v>1.5</c:v>
                </c:pt>
                <c:pt idx="48" formatCode="General">
                  <c:v>1.77</c:v>
                </c:pt>
                <c:pt idx="49" formatCode="General">
                  <c:v>1.82</c:v>
                </c:pt>
                <c:pt idx="50" formatCode="General">
                  <c:v>1.81</c:v>
                </c:pt>
                <c:pt idx="51" formatCode="General">
                  <c:v>1.74</c:v>
                </c:pt>
                <c:pt idx="52" formatCode="General">
                  <c:v>1.89</c:v>
                </c:pt>
                <c:pt idx="53" formatCode="General">
                  <c:v>2.14</c:v>
                </c:pt>
                <c:pt idx="54" formatCode="General">
                  <c:v>2.11</c:v>
                </c:pt>
                <c:pt idx="55" formatCode="General">
                  <c:v>2.14</c:v>
                </c:pt>
                <c:pt idx="56" formatCode="General">
                  <c:v>2.14</c:v>
                </c:pt>
                <c:pt idx="57" formatCode="General">
                  <c:v>2.14</c:v>
                </c:pt>
                <c:pt idx="58" formatCode="General">
                  <c:v>2.0699999999999998</c:v>
                </c:pt>
                <c:pt idx="59" formatCode="General">
                  <c:v>2.0099999999999998</c:v>
                </c:pt>
              </c:numCache>
            </c:numRef>
          </c:val>
          <c:smooth val="0"/>
          <c:extLst>
            <c:ext xmlns:c16="http://schemas.microsoft.com/office/drawing/2014/chart" uri="{C3380CC4-5D6E-409C-BE32-E72D297353CC}">
              <c16:uniqueId val="{00000005-707B-437A-8706-27ED6CC45AE1}"/>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2ABD-9A59-44D3-9F66-612FDF115AEF}">
  <ds:schemaRefs>
    <ds:schemaRef ds:uri="http://schemas.openxmlformats.org/officeDocument/2006/bibliography"/>
  </ds:schemaRefs>
</ds:datastoreItem>
</file>

<file path=customXml/itemProps2.xml><?xml version="1.0" encoding="utf-8"?>
<ds:datastoreItem xmlns:ds="http://schemas.openxmlformats.org/officeDocument/2006/customXml" ds:itemID="{BDCCB0A7-9906-4CD5-9E1A-4BC9F46C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2</Pages>
  <Words>995</Words>
  <Characters>5872</Characters>
  <Application>Microsoft Office Word</Application>
  <DocSecurity>0</DocSecurity>
  <Lines>48</Lines>
  <Paragraphs>13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6854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kamenicky3604</cp:lastModifiedBy>
  <cp:revision>3</cp:revision>
  <cp:lastPrinted>2019-05-10T12:21:00Z</cp:lastPrinted>
  <dcterms:created xsi:type="dcterms:W3CDTF">2019-05-10T12:36:00Z</dcterms:created>
  <dcterms:modified xsi:type="dcterms:W3CDTF">2019-05-10T12:37:00Z</dcterms:modified>
</cp:coreProperties>
</file>