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bookmarkStart w:id="0" w:name="_GoBack"/>
      <w:bookmarkEnd w:id="0"/>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The former are some primary aggregates (employment, unemployment, ...)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w14:anchorId="3281D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49.5pt" o:ole="">
            <v:imagedata r:id="rId8" o:title=""/>
          </v:shape>
          <o:OLEObject Type="Embed" ProgID="Equation.3" ShapeID="_x0000_i1025" DrawAspect="Content" ObjectID="_1772810810"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f</w:t>
      </w:r>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replaced by the estimate of partial aggregate y</w:t>
      </w:r>
      <w:r w:rsidRPr="00D22E3D">
        <w:rPr>
          <w:rFonts w:ascii="Arial" w:hAnsi="Arial" w:cs="Arial"/>
          <w:vertAlign w:val="subscript"/>
          <w:lang w:val="en-GB"/>
        </w:rPr>
        <w:t>A</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t>the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w14:anchorId="3F6450CA">
          <v:shape id="_x0000_i1026" type="#_x0000_t75" style="width:441.5pt;height:54.5pt" o:ole="">
            <v:imagedata r:id="rId10" o:title=""/>
          </v:shape>
          <o:OLEObject Type="Embed" ProgID="Equation.3" ShapeID="_x0000_i1026" DrawAspect="Content" ObjectID="_1772810811"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sums lower than 4500 persons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w:t>
      </w:r>
      <w:r w:rsidR="004A1FA1">
        <w:rPr>
          <w:rFonts w:ascii="Arial" w:hAnsi="Arial"/>
          <w:lang w:val="en-GB"/>
        </w:rPr>
        <w:t xml:space="preserve"> </w:t>
      </w:r>
      <w:r w:rsidRPr="00D22E3D">
        <w:rPr>
          <w:rFonts w:ascii="Arial" w:hAnsi="Arial"/>
          <w:lang w:val="en-GB"/>
        </w:rPr>
        <w:t>%. Data lower than 750 persons are not published, as their relative standard error is higher than 50</w:t>
      </w:r>
      <w:r w:rsidR="004A1FA1">
        <w:rPr>
          <w:rFonts w:ascii="Arial" w:hAnsi="Arial"/>
          <w:lang w:val="en-GB"/>
        </w:rPr>
        <w:t xml:space="preserve"> </w:t>
      </w:r>
      <w:r w:rsidRPr="00D22E3D">
        <w:rPr>
          <w:rFonts w:ascii="Arial" w:hAnsi="Arial"/>
          <w:lang w:val="en-GB"/>
        </w:rPr>
        <w:t>%.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405063" w:rsidRDefault="00405063" w:rsidP="00405063">
      <w:pPr>
        <w:pStyle w:val="Zkladntext3"/>
        <w:tabs>
          <w:tab w:val="clear" w:pos="2977"/>
          <w:tab w:val="clear" w:pos="5245"/>
          <w:tab w:val="left" w:pos="-1440"/>
          <w:tab w:val="left" w:pos="-720"/>
          <w:tab w:val="left" w:pos="8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134" w:hanging="1134"/>
        <w:rPr>
          <w:lang w:val="en-GB"/>
        </w:rPr>
      </w:pPr>
      <w:r>
        <w:rPr>
          <w:b/>
          <w:lang w:val="en-GB"/>
        </w:rPr>
        <w:t>Table I</w:t>
      </w:r>
      <w:r>
        <w:rPr>
          <w:b/>
          <w:lang w:val="en-GB"/>
        </w:rPr>
        <w:tab/>
      </w:r>
      <w:r w:rsidR="00942ABE" w:rsidRPr="00D46087">
        <w:rPr>
          <w:b/>
          <w:lang w:val="en-GB"/>
        </w:rPr>
        <w:t>Estimates of 95% confidence interval of basic estimates for population aged 15</w:t>
      </w:r>
      <w:r>
        <w:rPr>
          <w:b/>
          <w:lang w:val="en-GB"/>
        </w:rPr>
        <w:t> </w:t>
      </w:r>
      <w:r w:rsidR="00942ABE" w:rsidRPr="00D46087">
        <w:rPr>
          <w:b/>
          <w:lang w:val="en-GB"/>
        </w:rPr>
        <w:t>and</w:t>
      </w:r>
      <w:r>
        <w:rPr>
          <w:b/>
          <w:lang w:val="en-GB"/>
        </w:rPr>
        <w:t> </w:t>
      </w:r>
      <w:r w:rsidR="00942ABE" w:rsidRPr="00D46087">
        <w:rPr>
          <w:b/>
          <w:lang w:val="en-GB"/>
        </w:rPr>
        <w:t>over</w:t>
      </w:r>
      <w:r>
        <w:rPr>
          <w:b/>
          <w:lang w:val="en-GB"/>
        </w:rPr>
        <w:t xml:space="preserve"> </w:t>
      </w:r>
      <w:r>
        <w:rPr>
          <w:b/>
          <w:lang w:val="en-GB"/>
        </w:rPr>
        <w:tab/>
      </w:r>
      <w:r w:rsidRPr="00D46087">
        <w:rPr>
          <w:lang w:val="en-GB"/>
        </w:rPr>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Ia</w:t>
      </w:r>
      <w:r w:rsidRPr="00D46087">
        <w:rPr>
          <w:rFonts w:ascii="Arial" w:hAnsi="Arial" w:cs="Arial"/>
          <w:lang w:val="en-GB"/>
        </w:rPr>
        <w:tab/>
        <w:t xml:space="preserve">for basic aggregates in </w:t>
      </w:r>
      <w:r w:rsidR="00F66FF1">
        <w:rPr>
          <w:rFonts w:ascii="Arial" w:hAnsi="Arial" w:cs="Arial"/>
          <w:lang w:val="en-GB"/>
        </w:rPr>
        <w:t>Q4</w:t>
      </w:r>
      <w:r w:rsidR="003656FE">
        <w:rPr>
          <w:rFonts w:ascii="Arial" w:hAnsi="Arial" w:cs="Arial"/>
          <w:lang w:val="en-GB"/>
        </w:rPr>
        <w:t xml:space="preserve"> 202</w:t>
      </w:r>
      <w:r w:rsidR="001625FB">
        <w:rPr>
          <w:rFonts w:ascii="Arial" w:hAnsi="Arial" w:cs="Arial"/>
          <w:lang w:val="en-GB"/>
        </w:rPr>
        <w:t>3</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Ib</w:t>
      </w:r>
      <w:r w:rsidRPr="00D46087">
        <w:rPr>
          <w:rFonts w:ascii="Arial" w:hAnsi="Arial" w:cs="Arial"/>
          <w:lang w:val="en-GB"/>
        </w:rPr>
        <w:tab/>
        <w:t xml:space="preserve">for basic aggregates in </w:t>
      </w:r>
      <w:r w:rsidR="00F66FF1">
        <w:rPr>
          <w:rFonts w:ascii="Arial" w:hAnsi="Arial" w:cs="Arial"/>
          <w:lang w:val="en-GB"/>
        </w:rPr>
        <w:t>Q4</w:t>
      </w:r>
      <w:r w:rsidR="003656FE">
        <w:rPr>
          <w:rFonts w:ascii="Arial" w:hAnsi="Arial" w:cs="Arial"/>
          <w:lang w:val="en-GB"/>
        </w:rPr>
        <w:t xml:space="preserve"> 202</w:t>
      </w:r>
      <w:r w:rsidR="001625FB">
        <w:rPr>
          <w:rFonts w:ascii="Arial" w:hAnsi="Arial" w:cs="Arial"/>
          <w:lang w:val="en-GB"/>
        </w:rPr>
        <w:t>3</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CC64F2">
        <w:rPr>
          <w:rFonts w:ascii="Arial" w:hAnsi="Arial" w:cs="Arial"/>
        </w:rPr>
        <w:t>1796</w:t>
      </w:r>
      <w:r w:rsidR="00C62DC1">
        <w:rPr>
          <w:rFonts w:ascii="Arial" w:hAnsi="Arial" w:cs="Arial"/>
        </w:rPr>
        <w:t>.</w:t>
      </w:r>
      <w:r w:rsidR="00CC64F2">
        <w:rPr>
          <w:rFonts w:ascii="Arial" w:hAnsi="Arial" w:cs="Arial"/>
        </w:rPr>
        <w:t>4</w:t>
      </w:r>
      <w:r w:rsidR="00C62DC1" w:rsidRPr="00AD0E9B">
        <w:t xml:space="preserve"> </w:t>
      </w:r>
      <w:r w:rsidRPr="00AC1307">
        <w:rPr>
          <w:rFonts w:ascii="Arial" w:hAnsi="Arial" w:cs="Arial"/>
          <w:lang w:val="en-GB"/>
        </w:rPr>
        <w:t xml:space="preserve">thousand in </w:t>
      </w:r>
      <w:r w:rsidR="00F66FF1">
        <w:rPr>
          <w:rFonts w:ascii="Arial" w:hAnsi="Arial" w:cs="Arial"/>
          <w:lang w:val="en-GB"/>
        </w:rPr>
        <w:t>Q4</w:t>
      </w:r>
      <w:r w:rsidR="00892C8B" w:rsidRPr="00AC1307">
        <w:rPr>
          <w:rFonts w:ascii="Arial" w:hAnsi="Arial" w:cs="Arial"/>
          <w:lang w:val="en-GB"/>
        </w:rPr>
        <w:t xml:space="preserve"> </w:t>
      </w:r>
      <w:r w:rsidR="003656FE" w:rsidRPr="00AC1307">
        <w:rPr>
          <w:rFonts w:ascii="Arial" w:hAnsi="Arial" w:cs="Arial"/>
          <w:lang w:val="en-GB"/>
        </w:rPr>
        <w:t>202</w:t>
      </w:r>
      <w:r w:rsidR="001625FB">
        <w:rPr>
          <w:rFonts w:ascii="Arial" w:hAnsi="Arial" w:cs="Arial"/>
          <w:lang w:val="en-GB"/>
        </w:rPr>
        <w:t>3</w:t>
      </w:r>
      <w:r w:rsidRPr="00AC1307">
        <w:rPr>
          <w:rFonts w:ascii="Arial" w:hAnsi="Arial" w:cs="Arial"/>
          <w:lang w:val="en-GB"/>
        </w:rPr>
        <w:t xml:space="preserve">, we use the table to find the row closest to the figure </w:t>
      </w:r>
      <w:r w:rsidR="00CC64F2">
        <w:rPr>
          <w:rFonts w:ascii="Arial" w:hAnsi="Arial" w:cs="Arial"/>
        </w:rPr>
        <w:t>1796.4 </w:t>
      </w:r>
      <w:r w:rsidRPr="00AC1307">
        <w:rPr>
          <w:rFonts w:ascii="Arial" w:hAnsi="Arial" w:cs="Arial"/>
        </w:rPr>
        <w:t>in</w:t>
      </w:r>
      <w:r w:rsidRPr="00AC1307">
        <w:rPr>
          <w:rFonts w:ascii="Arial" w:hAnsi="Arial" w:cs="Arial"/>
          <w:lang w:val="en-GB"/>
        </w:rPr>
        <w:t xml:space="preserve"> the column of the Czech Republic. This is </w:t>
      </w:r>
      <w:r w:rsidR="00C62DC1">
        <w:rPr>
          <w:rFonts w:ascii="Arial" w:hAnsi="Arial" w:cs="Arial"/>
        </w:rPr>
        <w:t>33.</w:t>
      </w:r>
      <w:r w:rsidR="00977298">
        <w:rPr>
          <w:rFonts w:ascii="Arial" w:hAnsi="Arial" w:cs="Arial"/>
        </w:rPr>
        <w:t>7</w:t>
      </w:r>
      <w:r w:rsidR="00C62DC1" w:rsidRPr="00AD0E9B">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977298">
        <w:rPr>
          <w:rFonts w:ascii="Arial" w:hAnsi="Arial" w:cs="Arial"/>
        </w:rPr>
        <w:t>4</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CC64F2">
        <w:rPr>
          <w:rFonts w:ascii="Arial" w:hAnsi="Arial" w:cs="Arial"/>
        </w:rPr>
        <w:t>1796.4</w:t>
      </w:r>
      <w:r w:rsidR="00C62DC1" w:rsidRPr="00AD0E9B">
        <w:t xml:space="preserve">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977298">
        <w:rPr>
          <w:rFonts w:ascii="Arial" w:hAnsi="Arial" w:cs="Arial"/>
        </w:rPr>
        <w:t>4</w:t>
      </w:r>
      <w:r w:rsidR="0032381E" w:rsidRPr="00AC1307">
        <w:rPr>
          <w:rFonts w:ascii="Arial" w:hAnsi="Arial" w:cs="Arial"/>
          <w:szCs w:val="28"/>
        </w:rPr>
        <w:t> </w:t>
      </w:r>
      <w:r w:rsidRPr="00AC1307">
        <w:rPr>
          <w:rFonts w:ascii="Arial" w:hAnsi="Arial" w:cs="Arial"/>
          <w:lang w:val="en-GB"/>
        </w:rPr>
        <w:t xml:space="preserve">and </w:t>
      </w:r>
      <w:r w:rsidR="00C62DC1">
        <w:rPr>
          <w:rFonts w:ascii="Arial" w:hAnsi="Arial" w:cs="Arial"/>
        </w:rPr>
        <w:t>33</w:t>
      </w:r>
      <w:r w:rsidR="00142468" w:rsidRPr="00AC1307">
        <w:rPr>
          <w:rFonts w:ascii="Arial" w:hAnsi="Arial" w:cs="Arial"/>
        </w:rPr>
        <w:t>.</w:t>
      </w:r>
      <w:r w:rsidR="00977298">
        <w:rPr>
          <w:rFonts w:ascii="Arial" w:hAnsi="Arial" w:cs="Arial"/>
        </w:rPr>
        <w:t>7</w:t>
      </w:r>
      <w:r w:rsidR="001F2582" w:rsidRPr="00AC1307">
        <w:rPr>
          <w:rFonts w:ascii="Arial" w:hAnsi="Arial" w:cs="Arial"/>
          <w:szCs w:val="28"/>
        </w:rPr>
        <w:t xml:space="preserve"> </w:t>
      </w:r>
      <w:r w:rsidRPr="00AC1307">
        <w:rPr>
          <w:rFonts w:ascii="Arial" w:hAnsi="Arial" w:cs="Arial"/>
          <w:lang w:val="en-GB"/>
        </w:rPr>
        <w:t xml:space="preserve">to </w:t>
      </w:r>
      <w:r w:rsidR="00C62DC1">
        <w:rPr>
          <w:rFonts w:ascii="Arial" w:hAnsi="Arial" w:cs="Arial"/>
        </w:rPr>
        <w:t>33</w:t>
      </w:r>
      <w:r w:rsidR="00A255D2" w:rsidRPr="00AC1307">
        <w:rPr>
          <w:rFonts w:ascii="Arial" w:hAnsi="Arial" w:cs="Arial"/>
        </w:rPr>
        <w:t>.</w:t>
      </w:r>
      <w:r w:rsidR="00977298">
        <w:rPr>
          <w:rFonts w:ascii="Arial" w:hAnsi="Arial" w:cs="Arial"/>
        </w:rPr>
        <w:t>7</w:t>
      </w:r>
      <w:r w:rsidR="0084481A" w:rsidRPr="00AC1307">
        <w:rPr>
          <w:rFonts w:ascii="Arial" w:hAnsi="Arial" w:cs="Arial"/>
          <w:lang w:val="en-GB"/>
        </w:rPr>
        <w:t xml:space="preserve">, getting </w:t>
      </w:r>
      <w:r w:rsidR="00C62DC1">
        <w:rPr>
          <w:rFonts w:ascii="Arial" w:hAnsi="Arial" w:cs="Arial"/>
        </w:rPr>
        <w:t>33</w:t>
      </w:r>
      <w:r w:rsidR="00A255D2" w:rsidRPr="00AC1307">
        <w:rPr>
          <w:rFonts w:ascii="Arial" w:hAnsi="Arial" w:cs="Arial"/>
        </w:rPr>
        <w:t>.</w:t>
      </w:r>
      <w:r w:rsidR="00CC64F2">
        <w:rPr>
          <w:rFonts w:ascii="Arial" w:hAnsi="Arial" w:cs="Arial"/>
        </w:rPr>
        <w:t>7</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F66FF1">
        <w:rPr>
          <w:rFonts w:ascii="Arial" w:hAnsi="Arial" w:cs="Arial"/>
          <w:lang w:val="en-GB"/>
        </w:rPr>
        <w:t>Q4</w:t>
      </w:r>
      <w:r w:rsidR="00892C8B" w:rsidRPr="00AC1307">
        <w:rPr>
          <w:rFonts w:ascii="Arial" w:hAnsi="Arial" w:cs="Arial"/>
          <w:lang w:val="en-GB"/>
        </w:rPr>
        <w:t xml:space="preserve"> </w:t>
      </w:r>
      <w:r w:rsidR="00335DC4" w:rsidRPr="00AC1307">
        <w:rPr>
          <w:rFonts w:ascii="Arial" w:hAnsi="Arial" w:cs="Arial"/>
          <w:lang w:val="en-GB"/>
        </w:rPr>
        <w:t>202</w:t>
      </w:r>
      <w:r w:rsidR="001625FB">
        <w:rPr>
          <w:rFonts w:ascii="Arial" w:hAnsi="Arial" w:cs="Arial"/>
          <w:lang w:val="en-GB"/>
        </w:rPr>
        <w:t>3</w:t>
      </w:r>
      <w:r w:rsidRPr="00AC1307">
        <w:rPr>
          <w:rFonts w:ascii="Arial" w:hAnsi="Arial" w:cs="Arial"/>
          <w:lang w:val="en-GB"/>
        </w:rPr>
        <w:t xml:space="preserve"> is approx. </w:t>
      </w:r>
      <w:r w:rsidR="00CC64F2">
        <w:rPr>
          <w:rFonts w:ascii="Arial" w:hAnsi="Arial" w:cs="Arial"/>
        </w:rPr>
        <w:t>1796.4</w:t>
      </w:r>
      <w:r w:rsidR="00C62DC1" w:rsidRPr="00AD0E9B">
        <w:t xml:space="preserve"> </w:t>
      </w:r>
      <w:r w:rsidR="003656FE" w:rsidRPr="00AC1307">
        <w:rPr>
          <w:rFonts w:ascii="Calibri" w:hAnsi="Calibri" w:cs="Calibri"/>
        </w:rPr>
        <w:t>± </w:t>
      </w:r>
      <w:r w:rsidR="00347A1F">
        <w:rPr>
          <w:rFonts w:ascii="Arial" w:hAnsi="Arial" w:cs="Arial"/>
        </w:rPr>
        <w:t>3</w:t>
      </w:r>
      <w:r w:rsidR="00C62DC1">
        <w:rPr>
          <w:rFonts w:ascii="Arial" w:hAnsi="Arial" w:cs="Arial"/>
        </w:rPr>
        <w:t>3</w:t>
      </w:r>
      <w:r w:rsidR="00A255D2" w:rsidRPr="00AC1307">
        <w:rPr>
          <w:rFonts w:ascii="Arial" w:hAnsi="Arial" w:cs="Arial"/>
        </w:rPr>
        <w:t>.</w:t>
      </w:r>
      <w:r w:rsidR="00CC64F2">
        <w:rPr>
          <w:rFonts w:ascii="Arial" w:hAnsi="Arial" w:cs="Arial"/>
        </w:rPr>
        <w:t>7</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347A1F">
        <w:rPr>
          <w:rFonts w:ascii="Arial" w:hAnsi="Arial" w:cs="Arial"/>
        </w:rPr>
        <w:t>1</w:t>
      </w:r>
      <w:r w:rsidR="00CC64F2">
        <w:rPr>
          <w:rFonts w:ascii="Arial" w:hAnsi="Arial" w:cs="Arial"/>
        </w:rPr>
        <w:t>762</w:t>
      </w:r>
      <w:r w:rsidR="00142468" w:rsidRPr="00D46087">
        <w:rPr>
          <w:rFonts w:ascii="Arial" w:hAnsi="Arial" w:cs="Arial"/>
        </w:rPr>
        <w:t>.</w:t>
      </w:r>
      <w:r w:rsidR="00CC64F2">
        <w:rPr>
          <w:rFonts w:ascii="Arial" w:hAnsi="Arial" w:cs="Arial"/>
        </w:rPr>
        <w:t>8</w:t>
      </w:r>
      <w:r w:rsidR="00085A42" w:rsidRPr="00D46087">
        <w:rPr>
          <w:rFonts w:ascii="Arial" w:hAnsi="Arial" w:cs="Arial"/>
          <w:szCs w:val="28"/>
        </w:rPr>
        <w:t> </w:t>
      </w:r>
      <w:r w:rsidRPr="00D46087">
        <w:rPr>
          <w:rFonts w:ascii="Arial" w:hAnsi="Arial" w:cs="Arial"/>
          <w:lang w:val="en-GB"/>
        </w:rPr>
        <w:t xml:space="preserve">thousand and not above </w:t>
      </w:r>
      <w:r w:rsidR="00335DC4">
        <w:rPr>
          <w:rFonts w:ascii="Arial" w:hAnsi="Arial" w:cs="Arial"/>
        </w:rPr>
        <w:t>18</w:t>
      </w:r>
      <w:r w:rsidR="00CC64F2">
        <w:rPr>
          <w:rFonts w:ascii="Arial" w:hAnsi="Arial" w:cs="Arial"/>
        </w:rPr>
        <w:t>30</w:t>
      </w:r>
      <w:r w:rsidR="00142468" w:rsidRPr="00D46087">
        <w:rPr>
          <w:rFonts w:ascii="Arial" w:hAnsi="Arial" w:cs="Arial"/>
        </w:rPr>
        <w:t>.</w:t>
      </w:r>
      <w:r w:rsidR="00CC64F2">
        <w:rPr>
          <w:rFonts w:ascii="Arial" w:hAnsi="Arial" w:cs="Arial"/>
        </w:rPr>
        <w:t>1</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AD0777">
        <w:rPr>
          <w:rFonts w:ascii="Arial" w:hAnsi="Arial" w:cs="Tahoma"/>
          <w:szCs w:val="16"/>
          <w:lang w:val="en-GB"/>
        </w:rPr>
        <w:t>same</w:t>
      </w:r>
      <w:r w:rsidRPr="00D46087">
        <w:rPr>
          <w:rFonts w:ascii="Arial" w:hAnsi="Arial" w:cs="Tahoma"/>
          <w:szCs w:val="16"/>
          <w:lang w:val="en-GB"/>
        </w:rPr>
        <w:t xml:space="preserve"> interval </w:t>
      </w:r>
      <w:r w:rsidR="00CC64F2">
        <w:rPr>
          <w:rFonts w:ascii="Arial" w:hAnsi="Arial" w:cs="Arial"/>
        </w:rPr>
        <w:t>1762</w:t>
      </w:r>
      <w:r w:rsidR="00CC64F2" w:rsidRPr="00D46087">
        <w:rPr>
          <w:rFonts w:ascii="Arial" w:hAnsi="Arial" w:cs="Arial"/>
        </w:rPr>
        <w:t>.</w:t>
      </w:r>
      <w:r w:rsidR="00CC64F2">
        <w:rPr>
          <w:rFonts w:ascii="Arial" w:hAnsi="Arial" w:cs="Arial"/>
        </w:rPr>
        <w:t>8</w:t>
      </w:r>
      <w:r w:rsidR="00C62DC1" w:rsidRPr="00D46087">
        <w:rPr>
          <w:rFonts w:ascii="Arial" w:hAnsi="Arial" w:cs="Arial"/>
          <w:szCs w:val="28"/>
        </w:rPr>
        <w:t> </w:t>
      </w:r>
      <w:r w:rsidRPr="00D46087">
        <w:rPr>
          <w:rFonts w:ascii="Arial" w:hAnsi="Arial" w:cs="Tahoma"/>
          <w:szCs w:val="16"/>
          <w:lang w:val="en-GB"/>
        </w:rPr>
        <w:t xml:space="preserve">to </w:t>
      </w:r>
      <w:r w:rsidR="00CC64F2">
        <w:rPr>
          <w:rFonts w:ascii="Arial" w:hAnsi="Arial" w:cs="Arial"/>
        </w:rPr>
        <w:t>1830</w:t>
      </w:r>
      <w:r w:rsidR="00CC64F2" w:rsidRPr="00D46087">
        <w:rPr>
          <w:rFonts w:ascii="Arial" w:hAnsi="Arial" w:cs="Arial"/>
        </w:rPr>
        <w:t>.</w:t>
      </w:r>
      <w:r w:rsidR="00CC64F2">
        <w:rPr>
          <w:rFonts w:ascii="Arial" w:hAnsi="Arial" w:cs="Arial"/>
        </w:rPr>
        <w:t>1</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IIa</w:t>
      </w:r>
      <w:r w:rsidRPr="00D46087">
        <w:rPr>
          <w:rFonts w:ascii="Arial" w:hAnsi="Arial" w:cs="Arial"/>
          <w:lang w:val="en-GB"/>
        </w:rPr>
        <w:tab/>
        <w:t xml:space="preserve">for partial aggregates in </w:t>
      </w:r>
      <w:r w:rsidR="00F66FF1">
        <w:rPr>
          <w:rFonts w:ascii="Arial" w:hAnsi="Arial" w:cs="Arial"/>
          <w:lang w:val="en-GB"/>
        </w:rPr>
        <w:t>Q4</w:t>
      </w:r>
      <w:r w:rsidR="0012658B" w:rsidRPr="00D46087">
        <w:rPr>
          <w:rFonts w:ascii="Arial" w:hAnsi="Arial" w:cs="Arial"/>
          <w:lang w:val="en-GB"/>
        </w:rPr>
        <w:t xml:space="preserve"> </w:t>
      </w:r>
      <w:r w:rsidR="00263940">
        <w:rPr>
          <w:rFonts w:ascii="Arial" w:hAnsi="Arial" w:cs="Arial"/>
          <w:lang w:val="en-GB"/>
        </w:rPr>
        <w:t>202</w:t>
      </w:r>
      <w:r w:rsidR="001625FB">
        <w:rPr>
          <w:rFonts w:ascii="Arial" w:hAnsi="Arial" w:cs="Arial"/>
          <w:lang w:val="en-GB"/>
        </w:rPr>
        <w:t>3</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IIb</w:t>
      </w:r>
      <w:r w:rsidRPr="00D46087">
        <w:rPr>
          <w:rFonts w:ascii="Arial" w:hAnsi="Arial" w:cs="Arial"/>
          <w:lang w:val="en-GB"/>
        </w:rPr>
        <w:tab/>
        <w:t xml:space="preserve">for partial aggregates in </w:t>
      </w:r>
      <w:r w:rsidR="00F66FF1">
        <w:rPr>
          <w:rFonts w:ascii="Arial" w:hAnsi="Arial" w:cs="Arial"/>
          <w:lang w:val="en-GB"/>
        </w:rPr>
        <w:t>Q4</w:t>
      </w:r>
      <w:r w:rsidR="00C0041E" w:rsidRPr="00D46087">
        <w:rPr>
          <w:rFonts w:ascii="Arial" w:hAnsi="Arial" w:cs="Arial"/>
          <w:lang w:val="en-GB"/>
        </w:rPr>
        <w:t xml:space="preserve"> </w:t>
      </w:r>
      <w:r w:rsidR="00263940">
        <w:rPr>
          <w:rFonts w:ascii="Arial" w:hAnsi="Arial" w:cs="Arial"/>
          <w:lang w:val="en-GB"/>
        </w:rPr>
        <w:t>202</w:t>
      </w:r>
      <w:r w:rsidR="001625FB">
        <w:rPr>
          <w:rFonts w:ascii="Arial" w:hAnsi="Arial" w:cs="Arial"/>
          <w:lang w:val="en-GB"/>
        </w:rPr>
        <w:t>3</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F66FF1">
        <w:rPr>
          <w:rFonts w:ascii="Arial" w:hAnsi="Arial" w:cs="Arial"/>
          <w:lang w:val="en-GB"/>
        </w:rPr>
        <w:t>Q4</w:t>
      </w:r>
      <w:r w:rsidR="00892C8B" w:rsidRPr="00D46087">
        <w:rPr>
          <w:rFonts w:ascii="Arial" w:hAnsi="Arial" w:cs="Arial"/>
          <w:lang w:val="en-GB"/>
        </w:rPr>
        <w:t xml:space="preserve"> </w:t>
      </w:r>
      <w:r w:rsidR="0071682A" w:rsidRPr="00D46087">
        <w:rPr>
          <w:rFonts w:ascii="Arial" w:hAnsi="Arial" w:cs="Arial"/>
          <w:lang w:val="en-GB"/>
        </w:rPr>
        <w:t>202</w:t>
      </w:r>
      <w:r w:rsidR="001625FB">
        <w:rPr>
          <w:rFonts w:ascii="Arial" w:hAnsi="Arial" w:cs="Arial"/>
          <w:lang w:val="en-GB"/>
        </w:rPr>
        <w:t>3</w:t>
      </w:r>
      <w:r w:rsidRPr="00D46087">
        <w:rPr>
          <w:rFonts w:ascii="Arial" w:hAnsi="Arial" w:cs="Arial"/>
          <w:lang w:val="en-GB"/>
        </w:rPr>
        <w:t xml:space="preserve">, which was </w:t>
      </w:r>
      <w:r w:rsidR="009B2C63">
        <w:rPr>
          <w:rFonts w:ascii="Arial" w:hAnsi="Arial" w:cs="Arial"/>
        </w:rPr>
        <w:t>1272.</w:t>
      </w:r>
      <w:r w:rsidR="009B2C63" w:rsidRPr="00517D22">
        <w:rPr>
          <w:rFonts w:ascii="Arial" w:hAnsi="Arial" w:cs="Arial"/>
        </w:rPr>
        <w:t>2</w:t>
      </w:r>
      <w:r w:rsidR="00810D9D" w:rsidRPr="00AD0E9B">
        <w:t xml:space="preserve"> </w:t>
      </w:r>
      <w:r w:rsidRPr="00D46087">
        <w:rPr>
          <w:rFonts w:ascii="Arial" w:hAnsi="Arial" w:cs="Arial"/>
          <w:lang w:val="en-GB"/>
        </w:rPr>
        <w:t xml:space="preserve">thousand out of the total of </w:t>
      </w:r>
      <w:r w:rsidR="009B2C63">
        <w:rPr>
          <w:rFonts w:ascii="Arial" w:hAnsi="Arial" w:cs="Arial"/>
        </w:rPr>
        <w:t>5087</w:t>
      </w:r>
      <w:r w:rsidR="00810D9D">
        <w:rPr>
          <w:rFonts w:ascii="Arial" w:hAnsi="Arial" w:cs="Arial"/>
        </w:rPr>
        <w:t>.</w:t>
      </w:r>
      <w:r w:rsidR="009B2C63">
        <w:rPr>
          <w:rFonts w:ascii="Arial" w:hAnsi="Arial" w:cs="Arial"/>
        </w:rPr>
        <w:t>4</w:t>
      </w:r>
      <w:r w:rsidR="00810D9D" w:rsidRPr="00AD0E9B">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9B2C63">
        <w:rPr>
          <w:rFonts w:ascii="Arial" w:hAnsi="Arial" w:cs="Arial"/>
        </w:rPr>
        <w:t>25.0</w:t>
      </w:r>
      <w:r w:rsidRPr="00D46087">
        <w:rPr>
          <w:rFonts w:ascii="Arial" w:hAnsi="Arial" w:cs="Arial"/>
          <w:lang w:val="en-GB"/>
        </w:rPr>
        <w:t xml:space="preserve">% of total employment), we use the table to find a figure in the row closest to </w:t>
      </w:r>
      <w:r w:rsidR="009B2C63">
        <w:rPr>
          <w:rFonts w:ascii="Arial" w:hAnsi="Arial" w:cs="Arial"/>
        </w:rPr>
        <w:t>5087.4</w:t>
      </w:r>
      <w:r w:rsidR="00810D9D" w:rsidRPr="00AD0E9B">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1A79F5">
        <w:rPr>
          <w:rFonts w:ascii="Arial" w:hAnsi="Arial" w:cs="Arial"/>
        </w:rPr>
        <w:t>5</w:t>
      </w:r>
      <w:r w:rsidR="00A255D2" w:rsidRPr="00D46087">
        <w:rPr>
          <w:rFonts w:ascii="Arial" w:hAnsi="Arial" w:cs="Arial"/>
        </w:rPr>
        <w:t>.</w:t>
      </w:r>
      <w:r w:rsidR="00831354">
        <w:rPr>
          <w:rFonts w:ascii="Arial" w:hAnsi="Arial" w:cs="Arial"/>
        </w:rPr>
        <w:t>0</w:t>
      </w:r>
      <w:r w:rsidRPr="00D46087">
        <w:rPr>
          <w:rFonts w:ascii="Arial" w:hAnsi="Arial" w:cs="Arial"/>
          <w:lang w:val="en-GB"/>
        </w:rPr>
        <w:t>. We can also make the following correction by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0A4D8B" w:rsidRPr="00A21C33" w:rsidTr="002E223D">
        <w:trPr>
          <w:cantSplit/>
        </w:trPr>
        <w:tc>
          <w:tcPr>
            <w:tcW w:w="1140" w:type="dxa"/>
            <w:tcBorders>
              <w:top w:val="single" w:sz="12" w:space="0" w:color="auto"/>
              <w:bottom w:val="single" w:sz="8" w:space="0" w:color="auto"/>
              <w:right w:val="single" w:sz="8" w:space="0" w:color="auto"/>
            </w:tcBorders>
            <w:vAlign w:val="center"/>
          </w:tcPr>
          <w:p w:rsidR="000A4D8B" w:rsidRPr="002939EE" w:rsidRDefault="000A4D8B" w:rsidP="000A4D8B">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25,3</w:t>
            </w:r>
          </w:p>
        </w:tc>
        <w:tc>
          <w:tcPr>
            <w:tcW w:w="2520" w:type="dxa"/>
            <w:tcBorders>
              <w:top w:val="single" w:sz="12" w:space="0" w:color="auto"/>
              <w:left w:val="dotted" w:sz="4" w:space="0" w:color="auto"/>
              <w:bottom w:val="single" w:sz="8"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30</w:t>
            </w:r>
          </w:p>
        </w:tc>
      </w:tr>
      <w:tr w:rsidR="00831354" w:rsidRPr="00A21C33" w:rsidTr="002E223D">
        <w:trPr>
          <w:cantSplit/>
        </w:trPr>
        <w:tc>
          <w:tcPr>
            <w:tcW w:w="1140" w:type="dxa"/>
            <w:tcBorders>
              <w:top w:val="single" w:sz="8" w:space="0" w:color="auto"/>
              <w:bottom w:val="dotted" w:sz="4" w:space="0" w:color="auto"/>
              <w:right w:val="single" w:sz="8"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0</w:t>
            </w:r>
            <w:r>
              <w:rPr>
                <w:rFonts w:ascii="Arial" w:hAnsi="Arial" w:cs="Arial"/>
              </w:rPr>
              <w:t>.</w:t>
            </w:r>
            <w:r w:rsidRPr="00517D22">
              <w:rPr>
                <w:rFonts w:ascii="Arial" w:hAnsi="Arial" w:cs="Arial"/>
              </w:rPr>
              <w:t>55</w:t>
            </w:r>
          </w:p>
        </w:tc>
        <w:tc>
          <w:tcPr>
            <w:tcW w:w="2700" w:type="dxa"/>
            <w:tcBorders>
              <w:top w:val="single" w:sz="8" w:space="0" w:color="auto"/>
              <w:left w:val="dotted" w:sz="4" w:space="0" w:color="auto"/>
              <w:bottom w:val="dotted" w:sz="4" w:space="0" w:color="auto"/>
              <w:right w:val="dotted" w:sz="4" w:space="0" w:color="auto"/>
            </w:tcBorders>
            <w:vAlign w:val="center"/>
          </w:tcPr>
          <w:p w:rsidR="00831354" w:rsidRPr="00517D22" w:rsidRDefault="00831354" w:rsidP="00831354">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0</w:t>
            </w:r>
            <w:r>
              <w:rPr>
                <w:rFonts w:ascii="Arial" w:hAnsi="Arial" w:cs="Arial"/>
              </w:rPr>
              <w:t>.</w:t>
            </w:r>
            <w:r w:rsidRPr="00517D22">
              <w:rPr>
                <w:rFonts w:ascii="Arial" w:hAnsi="Arial" w:cs="Arial"/>
              </w:rPr>
              <w:t>58</w:t>
            </w:r>
          </w:p>
        </w:tc>
      </w:tr>
      <w:tr w:rsidR="00831354" w:rsidRPr="00A21C33" w:rsidTr="002E223D">
        <w:trPr>
          <w:cantSplit/>
        </w:trPr>
        <w:tc>
          <w:tcPr>
            <w:tcW w:w="1140" w:type="dxa"/>
            <w:tcBorders>
              <w:top w:val="dotted" w:sz="4" w:space="0" w:color="auto"/>
              <w:bottom w:val="dotted" w:sz="4" w:space="0" w:color="auto"/>
              <w:right w:val="single" w:sz="8"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5087</w:t>
            </w:r>
            <w:r>
              <w:rPr>
                <w:rFonts w:ascii="Arial" w:hAnsi="Arial" w:cs="Arial"/>
              </w:rPr>
              <w:t>.</w:t>
            </w:r>
            <w:r w:rsidRPr="00517D22">
              <w:rPr>
                <w:rFonts w:ascii="Arial" w:hAnsi="Arial" w:cs="Arial"/>
              </w:rPr>
              <w:t>4</w:t>
            </w:r>
            <w:r w:rsidRPr="00517D22">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831354" w:rsidRPr="00517D22" w:rsidRDefault="00831354" w:rsidP="00831354">
            <w:pPr>
              <w:keepNext/>
              <w:keepLines/>
              <w:spacing w:before="79"/>
              <w:jc w:val="center"/>
              <w:rPr>
                <w:rFonts w:ascii="Arial" w:hAnsi="Arial" w:cs="Arial"/>
              </w:rPr>
            </w:pPr>
            <w:r w:rsidRPr="00517D22">
              <w:rPr>
                <w:rFonts w:ascii="Arial" w:hAnsi="Arial" w:cs="Arial"/>
              </w:rPr>
              <w:t>cca 0</w:t>
            </w:r>
            <w:r>
              <w:rPr>
                <w:rFonts w:ascii="Arial" w:hAnsi="Arial" w:cs="Arial"/>
              </w:rPr>
              <w:t>.</w:t>
            </w:r>
            <w:r w:rsidRPr="00517D22">
              <w:rPr>
                <w:rFonts w:ascii="Arial" w:hAnsi="Arial" w:cs="Arial"/>
              </w:rPr>
              <w:t>542</w:t>
            </w:r>
          </w:p>
          <w:p w:rsidR="00831354" w:rsidRPr="00517D22" w:rsidRDefault="00831354" w:rsidP="00831354">
            <w:pPr>
              <w:jc w:val="center"/>
              <w:rPr>
                <w:rFonts w:ascii="Arial" w:hAnsi="Arial" w:cs="Arial"/>
              </w:rPr>
            </w:pPr>
            <w:r w:rsidRPr="00517D22">
              <w:rPr>
                <w:rFonts w:ascii="Arial" w:hAnsi="Arial" w:cs="Arial"/>
              </w:rPr>
              <w:t>=0</w:t>
            </w:r>
            <w:r>
              <w:rPr>
                <w:rFonts w:ascii="Arial" w:hAnsi="Arial" w:cs="Arial"/>
              </w:rPr>
              <w:t>.</w:t>
            </w:r>
            <w:r w:rsidRPr="00517D22">
              <w:rPr>
                <w:rFonts w:ascii="Arial" w:hAnsi="Arial" w:cs="Arial"/>
              </w:rPr>
              <w:t>55-(5087</w:t>
            </w:r>
            <w:r>
              <w:rPr>
                <w:rFonts w:ascii="Arial" w:hAnsi="Arial" w:cs="Arial"/>
              </w:rPr>
              <w:t>.</w:t>
            </w:r>
            <w:r w:rsidRPr="00517D22">
              <w:rPr>
                <w:rFonts w:ascii="Arial" w:hAnsi="Arial" w:cs="Arial"/>
              </w:rPr>
              <w:t>4</w:t>
            </w:r>
          </w:p>
          <w:p w:rsidR="00831354" w:rsidRPr="00517D22" w:rsidRDefault="00831354" w:rsidP="00831354">
            <w:pPr>
              <w:keepNext/>
              <w:keepLines/>
              <w:spacing w:after="28"/>
              <w:jc w:val="center"/>
              <w:rPr>
                <w:rFonts w:ascii="Arial" w:hAnsi="Arial" w:cs="Arial"/>
              </w:rPr>
            </w:pPr>
            <w:r w:rsidRPr="00517D22">
              <w:rPr>
                <w:rFonts w:ascii="Arial" w:hAnsi="Arial" w:cs="Arial"/>
              </w:rPr>
              <w:t>-5000) / (5500-5000) * (0</w:t>
            </w:r>
            <w:r>
              <w:rPr>
                <w:rFonts w:ascii="Arial" w:hAnsi="Arial" w:cs="Arial"/>
              </w:rPr>
              <w:t>.</w:t>
            </w:r>
            <w:r w:rsidRPr="00517D22">
              <w:rPr>
                <w:rFonts w:ascii="Arial" w:hAnsi="Arial" w:cs="Arial"/>
              </w:rPr>
              <w:t>55-0</w:t>
            </w:r>
            <w:r>
              <w:rPr>
                <w:rFonts w:ascii="Arial" w:hAnsi="Arial" w:cs="Arial"/>
              </w:rPr>
              <w:t>.</w:t>
            </w:r>
            <w:r w:rsidRPr="00517D22">
              <w:rPr>
                <w:rFonts w:ascii="Arial" w:hAnsi="Arial" w:cs="Arial"/>
              </w:rPr>
              <w:t>52)</w:t>
            </w:r>
          </w:p>
        </w:tc>
        <w:tc>
          <w:tcPr>
            <w:tcW w:w="2700" w:type="dxa"/>
            <w:tcBorders>
              <w:top w:val="dotted" w:sz="4" w:space="0" w:color="auto"/>
              <w:left w:val="dotted" w:sz="4" w:space="0" w:color="auto"/>
              <w:bottom w:val="dotted" w:sz="4" w:space="0" w:color="auto"/>
              <w:right w:val="dotted" w:sz="4" w:space="0" w:color="auto"/>
            </w:tcBorders>
            <w:vAlign w:val="center"/>
          </w:tcPr>
          <w:p w:rsidR="00831354" w:rsidRPr="00517D22" w:rsidRDefault="00831354" w:rsidP="00831354">
            <w:pPr>
              <w:keepNext/>
              <w:keepLines/>
              <w:spacing w:before="79"/>
              <w:jc w:val="center"/>
              <w:rPr>
                <w:rFonts w:ascii="Arial" w:hAnsi="Arial" w:cs="Arial"/>
                <w:b/>
                <w:bCs/>
              </w:rPr>
            </w:pPr>
            <w:r w:rsidRPr="00517D22">
              <w:rPr>
                <w:rFonts w:ascii="Arial" w:hAnsi="Arial" w:cs="Arial"/>
                <w:b/>
                <w:bCs/>
              </w:rPr>
              <w:t>cca 0</w:t>
            </w:r>
            <w:r>
              <w:rPr>
                <w:rFonts w:ascii="Arial" w:hAnsi="Arial" w:cs="Arial"/>
                <w:b/>
                <w:bCs/>
              </w:rPr>
              <w:t>.</w:t>
            </w:r>
            <w:r w:rsidRPr="00517D22">
              <w:rPr>
                <w:rFonts w:ascii="Arial" w:hAnsi="Arial" w:cs="Arial"/>
                <w:b/>
                <w:bCs/>
              </w:rPr>
              <w:t>542</w:t>
            </w:r>
          </w:p>
          <w:p w:rsidR="00831354" w:rsidRPr="00517D22" w:rsidRDefault="00831354" w:rsidP="00831354">
            <w:pPr>
              <w:keepNext/>
              <w:keepLines/>
              <w:spacing w:after="28"/>
              <w:jc w:val="center"/>
              <w:rPr>
                <w:rFonts w:ascii="Arial" w:hAnsi="Arial" w:cs="Arial"/>
              </w:rPr>
            </w:pPr>
            <w:r w:rsidRPr="00517D22">
              <w:rPr>
                <w:rFonts w:ascii="Arial" w:hAnsi="Arial" w:cs="Arial"/>
                <w:b/>
                <w:bCs/>
              </w:rPr>
              <w:t>=0</w:t>
            </w:r>
            <w:r>
              <w:rPr>
                <w:rFonts w:ascii="Arial" w:hAnsi="Arial" w:cs="Arial"/>
                <w:b/>
                <w:bCs/>
              </w:rPr>
              <w:t>.</w:t>
            </w:r>
            <w:r w:rsidRPr="00517D22">
              <w:rPr>
                <w:rFonts w:ascii="Arial" w:hAnsi="Arial" w:cs="Arial"/>
                <w:b/>
                <w:bCs/>
              </w:rPr>
              <w:t>542+(25</w:t>
            </w:r>
            <w:r>
              <w:rPr>
                <w:rFonts w:ascii="Arial" w:hAnsi="Arial" w:cs="Arial"/>
                <w:b/>
                <w:bCs/>
              </w:rPr>
              <w:t>.</w:t>
            </w:r>
            <w:r w:rsidRPr="00517D22">
              <w:rPr>
                <w:rFonts w:ascii="Arial" w:hAnsi="Arial" w:cs="Arial"/>
                <w:b/>
                <w:bCs/>
              </w:rPr>
              <w:t>0-25) / (30 -25)* (0</w:t>
            </w:r>
            <w:r>
              <w:rPr>
                <w:rFonts w:ascii="Arial" w:hAnsi="Arial" w:cs="Arial"/>
                <w:b/>
                <w:bCs/>
              </w:rPr>
              <w:t>.</w:t>
            </w:r>
            <w:r w:rsidRPr="00517D22">
              <w:rPr>
                <w:rFonts w:ascii="Arial" w:hAnsi="Arial" w:cs="Arial"/>
                <w:b/>
                <w:bCs/>
              </w:rPr>
              <w:t>573-0</w:t>
            </w:r>
            <w:r>
              <w:rPr>
                <w:rFonts w:ascii="Arial" w:hAnsi="Arial" w:cs="Arial"/>
                <w:b/>
                <w:bCs/>
              </w:rPr>
              <w:t>.</w:t>
            </w:r>
            <w:r w:rsidRPr="00517D22">
              <w:rPr>
                <w:rFonts w:ascii="Arial" w:hAnsi="Arial" w:cs="Arial"/>
                <w:b/>
                <w:bCs/>
              </w:rPr>
              <w:t>542)</w:t>
            </w:r>
          </w:p>
        </w:tc>
        <w:tc>
          <w:tcPr>
            <w:tcW w:w="2520" w:type="dxa"/>
            <w:tcBorders>
              <w:top w:val="dotted" w:sz="4" w:space="0" w:color="auto"/>
              <w:left w:val="dotted" w:sz="4" w:space="0" w:color="auto"/>
              <w:bottom w:val="dotted" w:sz="4" w:space="0" w:color="auto"/>
            </w:tcBorders>
            <w:vAlign w:val="center"/>
          </w:tcPr>
          <w:p w:rsidR="00831354" w:rsidRPr="00517D22" w:rsidRDefault="00831354" w:rsidP="00831354">
            <w:pPr>
              <w:keepNext/>
              <w:keepLines/>
              <w:spacing w:before="79"/>
              <w:jc w:val="center"/>
              <w:rPr>
                <w:rFonts w:ascii="Arial" w:hAnsi="Arial" w:cs="Arial"/>
              </w:rPr>
            </w:pPr>
            <w:r w:rsidRPr="00517D22">
              <w:rPr>
                <w:rFonts w:ascii="Arial" w:hAnsi="Arial" w:cs="Arial"/>
              </w:rPr>
              <w:t>cca 0</w:t>
            </w:r>
            <w:r>
              <w:rPr>
                <w:rFonts w:ascii="Arial" w:hAnsi="Arial" w:cs="Arial"/>
              </w:rPr>
              <w:t>.</w:t>
            </w:r>
            <w:r w:rsidRPr="00517D22">
              <w:rPr>
                <w:rFonts w:ascii="Arial" w:hAnsi="Arial" w:cs="Arial"/>
              </w:rPr>
              <w:t>573</w:t>
            </w:r>
          </w:p>
          <w:p w:rsidR="00831354" w:rsidRPr="00517D22" w:rsidRDefault="00831354" w:rsidP="00831354">
            <w:pPr>
              <w:jc w:val="center"/>
              <w:rPr>
                <w:rFonts w:ascii="Arial" w:hAnsi="Arial" w:cs="Arial"/>
              </w:rPr>
            </w:pPr>
            <w:r w:rsidRPr="00517D22">
              <w:rPr>
                <w:rFonts w:ascii="Arial" w:hAnsi="Arial" w:cs="Arial"/>
              </w:rPr>
              <w:t>=0</w:t>
            </w:r>
            <w:r>
              <w:rPr>
                <w:rFonts w:ascii="Arial" w:hAnsi="Arial" w:cs="Arial"/>
              </w:rPr>
              <w:t>.</w:t>
            </w:r>
            <w:r w:rsidRPr="00517D22">
              <w:rPr>
                <w:rFonts w:ascii="Arial" w:hAnsi="Arial" w:cs="Arial"/>
              </w:rPr>
              <w:t>58-(5087</w:t>
            </w:r>
            <w:r>
              <w:rPr>
                <w:rFonts w:ascii="Arial" w:hAnsi="Arial" w:cs="Arial"/>
              </w:rPr>
              <w:t>.</w:t>
            </w:r>
            <w:r w:rsidRPr="00517D22">
              <w:rPr>
                <w:rFonts w:ascii="Arial" w:hAnsi="Arial" w:cs="Arial"/>
              </w:rPr>
              <w:t>4</w:t>
            </w:r>
          </w:p>
          <w:p w:rsidR="00831354" w:rsidRPr="00517D22" w:rsidRDefault="00831354" w:rsidP="00831354">
            <w:pPr>
              <w:keepNext/>
              <w:keepLines/>
              <w:spacing w:after="28"/>
              <w:jc w:val="center"/>
              <w:rPr>
                <w:rFonts w:ascii="Arial" w:hAnsi="Arial" w:cs="Arial"/>
              </w:rPr>
            </w:pPr>
            <w:r w:rsidRPr="00517D22">
              <w:rPr>
                <w:rFonts w:ascii="Arial" w:hAnsi="Arial" w:cs="Arial"/>
              </w:rPr>
              <w:t>-5000) / (5500-5000 * (0</w:t>
            </w:r>
            <w:r>
              <w:rPr>
                <w:rFonts w:ascii="Arial" w:hAnsi="Arial" w:cs="Arial"/>
              </w:rPr>
              <w:t>.</w:t>
            </w:r>
            <w:r w:rsidRPr="00517D22">
              <w:rPr>
                <w:rFonts w:ascii="Arial" w:hAnsi="Arial" w:cs="Arial"/>
              </w:rPr>
              <w:t>58-0</w:t>
            </w:r>
            <w:r>
              <w:rPr>
                <w:rFonts w:ascii="Arial" w:hAnsi="Arial" w:cs="Arial"/>
              </w:rPr>
              <w:t>.</w:t>
            </w:r>
            <w:r w:rsidRPr="00517D22">
              <w:rPr>
                <w:rFonts w:ascii="Arial" w:hAnsi="Arial" w:cs="Arial"/>
              </w:rPr>
              <w:t>55)</w:t>
            </w:r>
          </w:p>
        </w:tc>
      </w:tr>
      <w:tr w:rsidR="00831354" w:rsidRPr="00A21C33" w:rsidTr="002E223D">
        <w:trPr>
          <w:cantSplit/>
        </w:trPr>
        <w:tc>
          <w:tcPr>
            <w:tcW w:w="1140" w:type="dxa"/>
            <w:tcBorders>
              <w:top w:val="dotted" w:sz="4" w:space="0" w:color="auto"/>
              <w:bottom w:val="single" w:sz="12" w:space="0" w:color="auto"/>
              <w:right w:val="single" w:sz="8"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0</w:t>
            </w:r>
            <w:r>
              <w:rPr>
                <w:rFonts w:ascii="Arial" w:hAnsi="Arial" w:cs="Arial"/>
              </w:rPr>
              <w:t>.</w:t>
            </w:r>
            <w:r w:rsidRPr="00517D22">
              <w:rPr>
                <w:rFonts w:ascii="Arial" w:hAnsi="Arial" w:cs="Arial"/>
              </w:rPr>
              <w:t>52</w:t>
            </w:r>
          </w:p>
        </w:tc>
        <w:tc>
          <w:tcPr>
            <w:tcW w:w="2700" w:type="dxa"/>
            <w:tcBorders>
              <w:top w:val="dotted" w:sz="4" w:space="0" w:color="auto"/>
              <w:left w:val="dotted" w:sz="4" w:space="0" w:color="auto"/>
              <w:bottom w:val="single" w:sz="12" w:space="0" w:color="auto"/>
              <w:right w:val="dotted" w:sz="4" w:space="0" w:color="auto"/>
            </w:tcBorders>
            <w:vAlign w:val="center"/>
          </w:tcPr>
          <w:p w:rsidR="00831354" w:rsidRPr="00517D22" w:rsidRDefault="00831354" w:rsidP="00831354">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831354" w:rsidRPr="00517D22" w:rsidRDefault="00831354" w:rsidP="00831354">
            <w:pPr>
              <w:keepNext/>
              <w:keepLines/>
              <w:spacing w:before="79" w:after="28"/>
              <w:jc w:val="center"/>
              <w:rPr>
                <w:rFonts w:ascii="Arial" w:hAnsi="Arial" w:cs="Arial"/>
              </w:rPr>
            </w:pPr>
            <w:r w:rsidRPr="00517D22">
              <w:rPr>
                <w:rFonts w:ascii="Arial" w:hAnsi="Arial" w:cs="Arial"/>
              </w:rPr>
              <w:t>0</w:t>
            </w:r>
            <w:r>
              <w:rPr>
                <w:rFonts w:ascii="Arial" w:hAnsi="Arial" w:cs="Arial"/>
              </w:rPr>
              <w:t>.</w:t>
            </w:r>
            <w:r w:rsidRPr="00517D22">
              <w:rPr>
                <w:rFonts w:ascii="Arial" w:hAnsi="Arial" w:cs="Arial"/>
              </w:rPr>
              <w:t>55</w:t>
            </w:r>
          </w:p>
        </w:tc>
      </w:tr>
    </w:tbl>
    <w:p w:rsidR="00FF6E37" w:rsidRPr="00C126B9"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spacing w:val="-4"/>
          <w:lang w:val="en-GB"/>
        </w:rPr>
      </w:pPr>
      <w:r w:rsidRPr="00C126B9">
        <w:rPr>
          <w:spacing w:val="-4"/>
          <w:lang w:val="en-GB"/>
        </w:rPr>
        <w:t xml:space="preserve">This implies that there is a 95% probability that employment in manufacturing was not below </w:t>
      </w:r>
      <w:r w:rsidR="00A255D2" w:rsidRPr="00C126B9">
        <w:rPr>
          <w:spacing w:val="-4"/>
        </w:rPr>
        <w:t>2</w:t>
      </w:r>
      <w:r w:rsidR="00517FDC" w:rsidRPr="00C126B9">
        <w:rPr>
          <w:spacing w:val="-4"/>
        </w:rPr>
        <w:t>5</w:t>
      </w:r>
      <w:r w:rsidR="00A255D2" w:rsidRPr="00C126B9">
        <w:rPr>
          <w:spacing w:val="-4"/>
        </w:rPr>
        <w:t>.</w:t>
      </w:r>
      <w:r w:rsidR="00831354">
        <w:rPr>
          <w:spacing w:val="-4"/>
        </w:rPr>
        <w:t>0</w:t>
      </w:r>
      <w:r w:rsidRPr="00C126B9">
        <w:rPr>
          <w:spacing w:val="-4"/>
          <w:lang w:val="en-GB"/>
        </w:rPr>
        <w:t xml:space="preserve">% minus approx. </w:t>
      </w:r>
      <w:r w:rsidR="00A255D2" w:rsidRPr="00C126B9">
        <w:rPr>
          <w:spacing w:val="-4"/>
        </w:rPr>
        <w:t>0.</w:t>
      </w:r>
      <w:r w:rsidR="007772FA" w:rsidRPr="00C126B9">
        <w:rPr>
          <w:spacing w:val="-4"/>
        </w:rPr>
        <w:t>5</w:t>
      </w:r>
      <w:r w:rsidR="00831354">
        <w:rPr>
          <w:spacing w:val="-4"/>
        </w:rPr>
        <w:t>42</w:t>
      </w:r>
      <w:r w:rsidR="00462655" w:rsidRPr="00C126B9">
        <w:rPr>
          <w:spacing w:val="-4"/>
        </w:rPr>
        <w:t>% (</w:t>
      </w:r>
      <w:r w:rsidR="00831354">
        <w:t>1244.</w:t>
      </w:r>
      <w:r w:rsidR="00831354" w:rsidRPr="00517D22">
        <w:t>7</w:t>
      </w:r>
      <w:r w:rsidR="00BC25DF" w:rsidRPr="00C126B9">
        <w:rPr>
          <w:spacing w:val="-4"/>
        </w:rPr>
        <w:t> </w:t>
      </w:r>
      <w:r w:rsidR="00E41654" w:rsidRPr="00C126B9">
        <w:rPr>
          <w:spacing w:val="-4"/>
          <w:lang w:val="en-GB"/>
        </w:rPr>
        <w:t xml:space="preserve">thousand) and more than </w:t>
      </w:r>
      <w:r w:rsidR="00A255D2" w:rsidRPr="00C126B9">
        <w:rPr>
          <w:spacing w:val="-4"/>
        </w:rPr>
        <w:t>2</w:t>
      </w:r>
      <w:r w:rsidR="0020759C" w:rsidRPr="00C126B9">
        <w:rPr>
          <w:spacing w:val="-4"/>
        </w:rPr>
        <w:t>5</w:t>
      </w:r>
      <w:r w:rsidR="00A255D2" w:rsidRPr="00C126B9">
        <w:rPr>
          <w:spacing w:val="-4"/>
        </w:rPr>
        <w:t>.</w:t>
      </w:r>
      <w:r w:rsidR="00831354">
        <w:rPr>
          <w:spacing w:val="-4"/>
        </w:rPr>
        <w:t>0</w:t>
      </w:r>
      <w:r w:rsidRPr="00C126B9">
        <w:rPr>
          <w:spacing w:val="-4"/>
          <w:lang w:val="en-GB"/>
        </w:rPr>
        <w:t>% plus </w:t>
      </w:r>
      <w:r w:rsidR="00C126B9" w:rsidRPr="00C126B9">
        <w:rPr>
          <w:spacing w:val="-4"/>
          <w:lang w:val="en-GB"/>
        </w:rPr>
        <w:t xml:space="preserve">approx. </w:t>
      </w:r>
      <w:r w:rsidR="00A255D2" w:rsidRPr="00C126B9">
        <w:rPr>
          <w:spacing w:val="-4"/>
        </w:rPr>
        <w:t>0.</w:t>
      </w:r>
      <w:r w:rsidR="007772FA" w:rsidRPr="00C126B9">
        <w:rPr>
          <w:spacing w:val="-4"/>
        </w:rPr>
        <w:t>5</w:t>
      </w:r>
      <w:r w:rsidR="00831354">
        <w:rPr>
          <w:spacing w:val="-4"/>
        </w:rPr>
        <w:t>42</w:t>
      </w:r>
      <w:r w:rsidR="007772FA" w:rsidRPr="00C126B9">
        <w:rPr>
          <w:spacing w:val="-4"/>
        </w:rPr>
        <w:t>% (</w:t>
      </w:r>
      <w:r w:rsidR="00831354">
        <w:t>1299.</w:t>
      </w:r>
      <w:r w:rsidR="00831354" w:rsidRPr="00517D22">
        <w:t>8</w:t>
      </w:r>
      <w:r w:rsidR="0020759C" w:rsidRPr="00C126B9">
        <w:rPr>
          <w:spacing w:val="-4"/>
        </w:rPr>
        <w:t> </w:t>
      </w:r>
      <w:r w:rsidRPr="00C126B9">
        <w:rPr>
          <w:spacing w:val="-4"/>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w:t>
      </w:r>
      <w:r w:rsidR="00AC54AD">
        <w:rPr>
          <w:rFonts w:cs="Tahoma"/>
          <w:szCs w:val="16"/>
          <w:lang w:val="en-GB"/>
        </w:rPr>
        <w:t>the same</w:t>
      </w:r>
      <w:r w:rsidR="001F08FD" w:rsidRPr="00722DB4">
        <w:rPr>
          <w:rFonts w:cs="Tahoma"/>
          <w:szCs w:val="16"/>
          <w:lang w:val="en-GB"/>
        </w:rPr>
        <w:t xml:space="preserve"> </w:t>
      </w:r>
      <w:r w:rsidRPr="00722DB4">
        <w:rPr>
          <w:rFonts w:cs="Tahoma"/>
          <w:szCs w:val="16"/>
          <w:lang w:val="en-GB"/>
        </w:rPr>
        <w:t xml:space="preserve">interval </w:t>
      </w:r>
      <w:r w:rsidR="00831354">
        <w:t>1244.</w:t>
      </w:r>
      <w:r w:rsidR="00831354" w:rsidRPr="00517D22">
        <w:t>7</w:t>
      </w:r>
      <w:r w:rsidR="00C126B9" w:rsidRPr="00C126B9">
        <w:rPr>
          <w:spacing w:val="-4"/>
        </w:rPr>
        <w:t> </w:t>
      </w:r>
      <w:r w:rsidR="00C126B9">
        <w:rPr>
          <w:szCs w:val="28"/>
        </w:rPr>
        <w:t xml:space="preserve">to </w:t>
      </w:r>
      <w:r w:rsidR="00831354">
        <w:t>1299.</w:t>
      </w:r>
      <w:r w:rsidR="00831354" w:rsidRPr="00517D22">
        <w:t>8</w:t>
      </w:r>
      <w:r w:rsidR="0020759C" w:rsidRPr="00D639FF">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F66FF1">
        <w:rPr>
          <w:rFonts w:ascii="Arial" w:hAnsi="Arial" w:cs="Arial"/>
          <w:b/>
          <w:lang w:val="en-GB"/>
        </w:rPr>
        <w:t>Q4</w:t>
      </w:r>
      <w:r w:rsidR="007853D7" w:rsidRPr="00D22E3D">
        <w:rPr>
          <w:rFonts w:ascii="Arial" w:hAnsi="Arial" w:cs="Arial"/>
          <w:b/>
          <w:lang w:val="en-GB"/>
        </w:rPr>
        <w:t xml:space="preserve"> </w:t>
      </w:r>
      <w:r w:rsidR="00013D3A">
        <w:rPr>
          <w:rFonts w:ascii="Arial" w:hAnsi="Arial" w:cs="Arial"/>
          <w:b/>
          <w:lang w:val="en-GB"/>
        </w:rPr>
        <w:t>202</w:t>
      </w:r>
      <w:r w:rsidR="001625FB">
        <w:rPr>
          <w:rFonts w:ascii="Arial" w:hAnsi="Arial" w:cs="Arial"/>
          <w:b/>
          <w:lang w:val="en-GB"/>
        </w:rPr>
        <w:t>3</w:t>
      </w:r>
      <w:r w:rsidRPr="00D22E3D">
        <w:rPr>
          <w:rFonts w:ascii="Arial" w:hAnsi="Arial" w:cs="Arial"/>
          <w:b/>
          <w:lang w:val="en-GB"/>
        </w:rPr>
        <w:t>)</w:t>
      </w:r>
    </w:p>
    <w:tbl>
      <w:tblPr>
        <w:tblW w:w="9082" w:type="dxa"/>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9B7A41">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9B7A41">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9B7A41">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 rate (%)</w:t>
            </w:r>
          </w:p>
        </w:tc>
      </w:tr>
      <w:tr w:rsidR="00B25862"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B25862" w:rsidRPr="00D22E3D" w:rsidRDefault="00B25862" w:rsidP="00B25862">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5087.4</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40.8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0.8%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133.2</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10.2</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7.7%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2.6%</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b/>
                <w:bCs/>
                <w:sz w:val="18"/>
                <w:szCs w:val="18"/>
              </w:rPr>
            </w:pPr>
            <w:r>
              <w:rPr>
                <w:rFonts w:ascii="Arial" w:hAnsi="Arial" w:cs="Arial"/>
                <w:b/>
                <w:bCs/>
                <w:sz w:val="16"/>
                <w:szCs w:val="16"/>
              </w:rPr>
              <w:t>0.2%</w:t>
            </w:r>
          </w:p>
        </w:tc>
      </w:tr>
      <w:tr w:rsidR="00B25862"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 </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676.8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17.0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13.6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29.8%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2.0%</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0.6%</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668.0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15.0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2.2%</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10.5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2.9</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28.0%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1.5%</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0.4%</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307.5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9.5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6.0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33.7%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1.9%</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0.6%</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D22E3D">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289.4</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8.6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36.0%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1.6%</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0.6%</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138.5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5.6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7.1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27.7%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4.9%</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1.3%</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372.6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11.6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16.2</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22.9%</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4.2%</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1.0%</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203.1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7.8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5.6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1.9</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34.6%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2.7%</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0.9%</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255.9</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9.1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9.4</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28.0%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3.6%</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1.0%</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247.5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8.6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45.3%</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1.4%</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0.6%</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245.8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7.8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3.2%</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1.3</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47.7%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1.1%</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0.5%</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573.5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14.0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2.4%</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16.8</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22.1%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2.8%</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0.6%</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290.6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10.6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8.5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32.0%</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2.8%</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0.9%</w:t>
            </w:r>
          </w:p>
        </w:tc>
      </w:tr>
      <w:tr w:rsidR="00B25862"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273.1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9.7</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3.6%</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5.4</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2.1</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38.5%</w:t>
            </w:r>
          </w:p>
        </w:tc>
        <w:tc>
          <w:tcPr>
            <w:tcW w:w="844" w:type="dxa"/>
            <w:tcBorders>
              <w:left w:val="dotted" w:sz="4"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1.9%</w:t>
            </w:r>
          </w:p>
        </w:tc>
        <w:tc>
          <w:tcPr>
            <w:tcW w:w="792" w:type="dxa"/>
            <w:tcBorders>
              <w:left w:val="dotted" w:sz="4"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0.7%</w:t>
            </w:r>
          </w:p>
        </w:tc>
      </w:tr>
      <w:tr w:rsidR="00B25862" w:rsidRPr="00D22E3D" w:rsidTr="0050497D">
        <w:trPr>
          <w:trHeight w:val="227"/>
          <w:jc w:val="center"/>
        </w:trPr>
        <w:tc>
          <w:tcPr>
            <w:tcW w:w="2382" w:type="dxa"/>
            <w:tcBorders>
              <w:left w:val="single" w:sz="12" w:space="0" w:color="auto"/>
              <w:bottom w:val="single" w:sz="12" w:space="0" w:color="auto"/>
              <w:right w:val="single" w:sz="12" w:space="0" w:color="auto"/>
            </w:tcBorders>
            <w:tcMar>
              <w:left w:w="85" w:type="dxa"/>
            </w:tcMar>
            <w:vAlign w:val="center"/>
          </w:tcPr>
          <w:p w:rsidR="00B25862" w:rsidRPr="00D22E3D" w:rsidRDefault="00B25862" w:rsidP="00B2586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545.0</w:t>
            </w:r>
          </w:p>
        </w:tc>
        <w:tc>
          <w:tcPr>
            <w:tcW w:w="844" w:type="dxa"/>
            <w:tcBorders>
              <w:left w:val="dotted" w:sz="4"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14.1</w:t>
            </w:r>
          </w:p>
        </w:tc>
        <w:tc>
          <w:tcPr>
            <w:tcW w:w="844" w:type="dxa"/>
            <w:tcBorders>
              <w:left w:val="dotted" w:sz="4"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2.6%</w:t>
            </w:r>
          </w:p>
        </w:tc>
        <w:tc>
          <w:tcPr>
            <w:tcW w:w="844" w:type="dxa"/>
            <w:tcBorders>
              <w:left w:val="dotted" w:sz="4"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23.2</w:t>
            </w:r>
          </w:p>
        </w:tc>
        <w:tc>
          <w:tcPr>
            <w:tcW w:w="844" w:type="dxa"/>
            <w:tcBorders>
              <w:left w:val="dotted" w:sz="4"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4.3</w:t>
            </w:r>
          </w:p>
        </w:tc>
        <w:tc>
          <w:tcPr>
            <w:tcW w:w="844" w:type="dxa"/>
            <w:tcBorders>
              <w:left w:val="dotted" w:sz="4"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18.5%</w:t>
            </w:r>
          </w:p>
        </w:tc>
        <w:tc>
          <w:tcPr>
            <w:tcW w:w="844" w:type="dxa"/>
            <w:tcBorders>
              <w:left w:val="dotted" w:sz="4" w:space="0" w:color="auto"/>
              <w:bottom w:val="single" w:sz="12" w:space="0" w:color="auto"/>
              <w:right w:val="dotted" w:sz="4"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4.1%</w:t>
            </w:r>
          </w:p>
        </w:tc>
        <w:tc>
          <w:tcPr>
            <w:tcW w:w="792" w:type="dxa"/>
            <w:tcBorders>
              <w:left w:val="dotted" w:sz="4" w:space="0" w:color="auto"/>
              <w:bottom w:val="single" w:sz="12" w:space="0" w:color="auto"/>
              <w:right w:val="single" w:sz="12" w:space="0" w:color="auto"/>
            </w:tcBorders>
            <w:tcMar>
              <w:right w:w="85" w:type="dxa"/>
            </w:tcMar>
            <w:vAlign w:val="center"/>
          </w:tcPr>
          <w:p w:rsidR="00B25862" w:rsidRPr="004C34F2" w:rsidRDefault="00B25862" w:rsidP="00B25862">
            <w:pPr>
              <w:jc w:val="right"/>
              <w:rPr>
                <w:rFonts w:ascii="Arial" w:hAnsi="Arial" w:cs="Arial"/>
                <w:sz w:val="18"/>
                <w:szCs w:val="18"/>
              </w:rPr>
            </w:pPr>
            <w:r>
              <w:rPr>
                <w:rFonts w:ascii="Arial" w:hAnsi="Arial" w:cs="Arial"/>
                <w:sz w:val="16"/>
                <w:szCs w:val="16"/>
              </w:rPr>
              <w:t>0.8%</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D13EC1" w:rsidRPr="00D13EC1">
        <w:rPr>
          <w:rFonts w:ascii="Arial" w:hAnsi="Arial"/>
          <w:szCs w:val="17"/>
          <w:lang w:val="en-US"/>
        </w:rPr>
        <w:t>For all quarters of a given year, the demographic projection</w:t>
      </w:r>
      <w:r w:rsidR="00B25862">
        <w:rPr>
          <w:rFonts w:ascii="Arial" w:hAnsi="Arial"/>
          <w:szCs w:val="17"/>
          <w:lang w:val="en-US"/>
        </w:rPr>
        <w:t xml:space="preserve"> </w:t>
      </w:r>
      <w:r w:rsidR="00D13EC1" w:rsidRPr="00D13EC1">
        <w:rPr>
          <w:rFonts w:ascii="Arial" w:hAnsi="Arial"/>
          <w:szCs w:val="17"/>
          <w:lang w:val="en-US"/>
        </w:rPr>
        <w:t xml:space="preserve">for the labor force sample survey </w:t>
      </w:r>
      <w:r w:rsidR="00B25862">
        <w:rPr>
          <w:rFonts w:ascii="Arial" w:hAnsi="Arial"/>
          <w:szCs w:val="17"/>
          <w:lang w:val="en-US"/>
        </w:rPr>
        <w:t xml:space="preserve">is </w:t>
      </w:r>
      <w:r w:rsidR="00D13EC1" w:rsidRPr="00D13EC1">
        <w:rPr>
          <w:rFonts w:ascii="Arial" w:hAnsi="Arial"/>
          <w:szCs w:val="17"/>
          <w:lang w:val="en-US"/>
        </w:rPr>
        <w:t>based on the final popu</w:t>
      </w:r>
      <w:r w:rsidR="00576684">
        <w:rPr>
          <w:rFonts w:ascii="Arial" w:hAnsi="Arial"/>
          <w:szCs w:val="17"/>
          <w:lang w:val="en-US"/>
        </w:rPr>
        <w:t xml:space="preserve">lation statistics data as of </w:t>
      </w:r>
      <w:r w:rsidR="00D13EC1" w:rsidRPr="00D13EC1">
        <w:rPr>
          <w:rFonts w:ascii="Arial" w:hAnsi="Arial"/>
          <w:szCs w:val="17"/>
          <w:lang w:val="en-US"/>
        </w:rPr>
        <w:t>31</w:t>
      </w:r>
      <w:r w:rsidR="00576684">
        <w:rPr>
          <w:rFonts w:ascii="Arial" w:hAnsi="Arial"/>
          <w:szCs w:val="17"/>
          <w:lang w:val="en-US"/>
        </w:rPr>
        <w:t xml:space="preserve"> December</w:t>
      </w:r>
      <w:r w:rsidR="00D13EC1" w:rsidRPr="00D13EC1">
        <w:rPr>
          <w:rFonts w:ascii="Arial" w:hAnsi="Arial"/>
          <w:szCs w:val="17"/>
          <w:lang w:val="en-US"/>
        </w:rPr>
        <w:t xml:space="preserve"> of the previous year after deducting the estimate of persons living outside private households or outside the apartments.</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r w:rsidR="00DE7EF1" w:rsidRPr="00DE7EF1">
        <w:rPr>
          <w:lang w:val="en-GB"/>
        </w:rPr>
        <w:t xml:space="preserve"> </w:t>
      </w:r>
      <w:r w:rsidR="00DE7EF1" w:rsidRPr="00D22E3D">
        <w:rPr>
          <w:lang w:val="en-GB"/>
        </w:rPr>
        <w:br w:type="page"/>
      </w:r>
    </w:p>
    <w:p w:rsidR="00FD1191" w:rsidRPr="00D22E3D" w:rsidRDefault="00FA55C3" w:rsidP="00FA55C3">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560" w:hanging="1560"/>
        <w:rPr>
          <w:rStyle w:val="hps"/>
          <w:lang w:val="en-GB"/>
        </w:rPr>
      </w:pPr>
      <w:r>
        <w:rPr>
          <w:rStyle w:val="hps"/>
        </w:rPr>
        <w:lastRenderedPageBreak/>
        <w:tab/>
      </w:r>
      <w:r w:rsidR="00FD1191" w:rsidRPr="00D22E3D">
        <w:rPr>
          <w:rStyle w:val="hps"/>
        </w:rPr>
        <w:t>Achieved</w:t>
      </w:r>
      <w:r w:rsidR="00FD1191" w:rsidRPr="00D22E3D">
        <w:t xml:space="preserve"> </w:t>
      </w:r>
      <w:r w:rsidR="00FD1191" w:rsidRPr="00D22E3D">
        <w:rPr>
          <w:rStyle w:val="hps"/>
        </w:rPr>
        <w:t>(</w:t>
      </w:r>
      <w:r w:rsidR="00A35385" w:rsidRPr="00D22E3D">
        <w:t>i.e.</w:t>
      </w:r>
      <w:r w:rsidR="00FD1191" w:rsidRPr="00D22E3D">
        <w:t xml:space="preserve"> </w:t>
      </w:r>
      <w:r w:rsidR="00FD1191" w:rsidRPr="00D22E3D">
        <w:rPr>
          <w:rStyle w:val="hps"/>
        </w:rPr>
        <w:t>Complete</w:t>
      </w:r>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 xml:space="preserve">Attainment)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r w:rsidR="00FA55C3">
        <w:rPr>
          <w:lang w:val="en-GB"/>
        </w:rPr>
        <w:tab/>
      </w:r>
      <w:r w:rsidRPr="00FC38E4">
        <w:rPr>
          <w:rStyle w:val="hps"/>
          <w:b/>
          <w:i/>
        </w:rPr>
        <w:t>0</w:t>
      </w:r>
      <w:r w:rsidRPr="00FC38E4">
        <w:rPr>
          <w:b/>
          <w:i/>
        </w:rPr>
        <w:t xml:space="preserve"> </w:t>
      </w:r>
      <w:r w:rsidR="00FC38E4">
        <w:rPr>
          <w:b/>
          <w:i/>
        </w:rPr>
        <w:t xml:space="preserve"> </w:t>
      </w:r>
      <w:r w:rsidRPr="00FC38E4">
        <w:rPr>
          <w:rStyle w:val="hps"/>
          <w:b/>
          <w:i/>
        </w:rPr>
        <w:t>Less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r w:rsidRPr="00FC38E4">
        <w:rPr>
          <w:rStyle w:val="hps"/>
          <w:b/>
          <w:i/>
        </w:rPr>
        <w:t xml:space="preserve">3 </w:t>
      </w:r>
      <w:r w:rsidR="00FC38E4">
        <w:rPr>
          <w:rStyle w:val="hps"/>
          <w:b/>
          <w:i/>
        </w:rPr>
        <w:t xml:space="preserve"> </w:t>
      </w:r>
      <w:r w:rsidRPr="00FC38E4">
        <w:rPr>
          <w:rStyle w:val="hps"/>
          <w:b/>
          <w:i/>
        </w:rPr>
        <w:t>Upper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(eg</w:t>
      </w:r>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w:t>
      </w:r>
      <w:r w:rsidR="00C62DC1">
        <w:rPr>
          <w:rFonts w:ascii="Arial" w:hAnsi="Arial"/>
          <w:lang w:val="en-GB"/>
        </w:rPr>
        <w:t>Q2</w:t>
      </w:r>
      <w:r w:rsidRPr="00D22E3D">
        <w:rPr>
          <w:rFonts w:ascii="Arial" w:hAnsi="Arial"/>
          <w:lang w:val="en-GB"/>
        </w:rPr>
        <w:t xml:space="preserve">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t>CZ</w:t>
      </w:r>
      <w:r w:rsidRPr="00D22E3D">
        <w:rPr>
          <w:rFonts w:ascii="Arial" w:hAnsi="Arial" w:cs="Arial"/>
          <w:lang w:val="en-GB"/>
        </w:rPr>
        <w:noBreakHyphen/>
        <w:t>ICSE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t>xxx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t>xxx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t>xxx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w:t>
      </w:r>
      <w:r w:rsidR="0008156A">
        <w:rPr>
          <w:rFonts w:ascii="Arial" w:hAnsi="Arial" w:cs="Arial"/>
          <w:bCs/>
          <w:lang w:val="en-GB"/>
        </w:rPr>
        <w:t xml:space="preserve">ormal education and </w:t>
      </w:r>
      <w:r w:rsidR="00DB160E">
        <w:rPr>
          <w:rFonts w:ascii="Arial" w:hAnsi="Arial" w:cs="Arial"/>
          <w:bCs/>
          <w:lang w:val="en-GB"/>
        </w:rPr>
        <w:t>reason non-formal education</w:t>
      </w:r>
      <w:r w:rsidRPr="00D22E3D">
        <w:rPr>
          <w:rFonts w:ascii="Arial" w:hAnsi="Arial" w:cs="Arial"/>
          <w:bCs/>
          <w:lang w:val="en-GB"/>
        </w:rPr>
        <w:t>.</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r w:rsidRPr="00D22E3D">
        <w:rPr>
          <w:rFonts w:ascii="Arial" w:hAnsi="Arial" w:cs="Arial"/>
          <w:bCs/>
          <w:i/>
          <w:iCs/>
          <w:lang w:val="en-GB"/>
        </w:rPr>
        <w:t>The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8214A5" w:rsidRPr="006C00B4" w:rsidRDefault="00942ABE" w:rsidP="006C00B4">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rsidP="006C00B4">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6C00B4" w:rsidRPr="00D22E3D" w:rsidRDefault="006C00B4"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8214A5" w:rsidRDefault="007610F9"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8214A5"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bCs/>
          <w:lang w:val="en-GB"/>
        </w:rPr>
      </w:pPr>
      <w:r>
        <w:rPr>
          <w:rFonts w:ascii="Arial" w:hAnsi="Arial" w:cs="Arial"/>
          <w:i/>
          <w:iCs/>
          <w:lang w:val="en-GB"/>
        </w:rPr>
        <w:tab/>
      </w:r>
      <w:r w:rsidR="007610F9"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007610F9"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007610F9" w:rsidRPr="00D22E3D">
        <w:rPr>
          <w:rFonts w:ascii="Arial" w:hAnsi="Arial" w:cs="Arial"/>
          <w:bCs/>
          <w:lang w:val="en-GB"/>
        </w:rPr>
        <w:t xml:space="preserve"> classification</w:t>
      </w:r>
      <w:r w:rsidR="007610F9"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w:t>
      </w:r>
      <w:r w:rsidR="00075049">
        <w:rPr>
          <w:rFonts w:ascii="Arial" w:hAnsi="Arial" w:cs="Arial"/>
          <w:bCs/>
          <w:i/>
          <w:iCs/>
          <w:lang w:val="en-GB"/>
        </w:rPr>
        <w:t>ity</w:t>
      </w:r>
      <w:r w:rsidRPr="006541D8">
        <w:rPr>
          <w:rFonts w:ascii="Arial" w:hAnsi="Arial" w:cs="Arial"/>
          <w:bCs/>
          <w:i/>
          <w:iCs/>
          <w:lang w:val="en-GB"/>
        </w:rPr>
        <w:t>: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 xml:space="preserve">Main reasons why persons in the Czech Republic and Areas </w:t>
      </w:r>
      <w:r w:rsidR="00E77F00" w:rsidRPr="00E77F00">
        <w:rPr>
          <w:rFonts w:ascii="Arial" w:hAnsi="Arial" w:cs="Arial"/>
          <w:bCs/>
        </w:rPr>
        <w:t>worked shorter working hours</w:t>
      </w:r>
      <w:r w:rsidR="001D4213">
        <w:rPr>
          <w:rFonts w:ascii="Arial" w:hAnsi="Arial" w:cs="Arial"/>
          <w:bCs/>
        </w:rPr>
        <w:t xml:space="preserve"> (part time) </w:t>
      </w:r>
      <w:r w:rsidR="00E77F00" w:rsidRPr="00E77F00">
        <w:rPr>
          <w:rFonts w:ascii="Arial" w:hAnsi="Arial" w:cs="Arial"/>
          <w:bCs/>
        </w:rPr>
        <w:t>in the reference week</w:t>
      </w:r>
      <w:r w:rsidRPr="00D22E3D">
        <w:rPr>
          <w:rFonts w:ascii="Arial" w:hAnsi="Arial" w:cs="Arial"/>
          <w:bCs/>
          <w:lang w:val="en-GB"/>
        </w:rPr>
        <w:t xml:space="preserve"> o</w:t>
      </w:r>
      <w:r w:rsidR="00021CC4">
        <w:rPr>
          <w:rFonts w:ascii="Arial" w:hAnsi="Arial" w:cs="Arial"/>
          <w:bCs/>
          <w:lang w:val="en-GB"/>
        </w:rPr>
        <w:t xml:space="preserve">r why they did not work </w:t>
      </w:r>
      <w:r w:rsidR="00021CC4" w:rsidRPr="00D22E3D">
        <w:rPr>
          <w:rFonts w:ascii="Arial" w:hAnsi="Arial" w:cs="Arial"/>
          <w:bCs/>
          <w:lang w:val="en-GB"/>
        </w:rPr>
        <w:t>in the reference week</w:t>
      </w:r>
      <w:r w:rsidR="00021CC4">
        <w:rPr>
          <w:rFonts w:ascii="Arial" w:hAnsi="Arial" w:cs="Arial"/>
          <w:bCs/>
          <w:lang w:val="en-GB"/>
        </w:rPr>
        <w:t xml:space="preserve"> at all.</w:t>
      </w:r>
    </w:p>
    <w:p w:rsidR="00942ABE" w:rsidRPr="00D22E3D" w:rsidRDefault="00CB65BF" w:rsidP="006C00B4">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rsidP="006C00B4">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6C00B4" w:rsidRPr="00D22E3D" w:rsidRDefault="006C00B4">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lastRenderedPageBreak/>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lastRenderedPageBreak/>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b/>
          <w:lang w:val="en-GB"/>
        </w:rPr>
        <w:t>x</w:t>
      </w:r>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AF38F0"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sidR="00942ABE" w:rsidRPr="00D22E3D">
        <w:rPr>
          <w:rFonts w:ascii="Arial" w:hAnsi="Arial" w:cs="Arial"/>
          <w:b/>
          <w:bCs/>
          <w:i/>
          <w:iCs/>
          <w:szCs w:val="24"/>
          <w:lang w:val="en-GB"/>
        </w:rPr>
        <w:tab/>
      </w:r>
      <w:r w:rsidR="00F63F14">
        <w:rPr>
          <w:rFonts w:ascii="Arial" w:hAnsi="Arial" w:cs="Arial"/>
          <w:b/>
          <w:bCs/>
          <w:i/>
          <w:iCs/>
          <w:szCs w:val="24"/>
          <w:lang w:val="cs-CZ"/>
        </w:rPr>
        <w:t>Internet</w:t>
      </w:r>
      <w:r w:rsidR="00942ABE" w:rsidRPr="00D22E3D">
        <w:rPr>
          <w:rFonts w:ascii="Arial" w:hAnsi="Arial" w:cs="Arial"/>
          <w:b/>
          <w:bCs/>
          <w:i/>
          <w:iCs/>
          <w:szCs w:val="24"/>
          <w:lang w:val="cs-CZ"/>
        </w:rPr>
        <w:t>:</w:t>
      </w:r>
      <w:r w:rsidR="00107B1D" w:rsidRPr="00D22E3D">
        <w:rPr>
          <w:rFonts w:ascii="Arial" w:hAnsi="Arial" w:cs="Arial"/>
          <w:bCs/>
          <w:iCs/>
          <w:szCs w:val="24"/>
          <w:lang w:val="cs-CZ"/>
        </w:rPr>
        <w:tab/>
      </w:r>
      <w:r>
        <w:rPr>
          <w:rFonts w:ascii="Arial" w:hAnsi="Arial" w:cs="Arial"/>
          <w:bCs/>
          <w:iCs/>
          <w:szCs w:val="24"/>
          <w:lang w:val="en-GB"/>
        </w:rPr>
        <w:tab/>
      </w:r>
      <w:hyperlink r:id="rId12" w:history="1">
        <w:r w:rsidR="003A500C" w:rsidRPr="00D22E3D">
          <w:rPr>
            <w:rStyle w:val="Hypertextovodkaz"/>
            <w:rFonts w:ascii="Arial" w:hAnsi="Arial" w:cs="Arial"/>
            <w:bCs/>
            <w:iCs/>
            <w:color w:val="auto"/>
            <w:szCs w:val="24"/>
            <w:lang w:val="en-GB"/>
          </w:rPr>
          <w:t>http://www.czso.cz</w:t>
        </w:r>
      </w:hyperlink>
      <w:r w:rsidR="001A7922">
        <w:rPr>
          <w:rFonts w:ascii="Arial" w:hAnsi="Arial" w:cs="Arial"/>
          <w:bCs/>
          <w:iCs/>
          <w:szCs w:val="24"/>
          <w:lang w:val="en-GB"/>
        </w:rPr>
        <w:t xml:space="preserve">  –</w:t>
      </w:r>
      <w:r w:rsidR="00F502AA" w:rsidRPr="00D22E3D">
        <w:rPr>
          <w:rFonts w:ascii="Arial" w:hAnsi="Arial" w:cs="Arial"/>
          <w:bCs/>
          <w:iCs/>
          <w:szCs w:val="24"/>
          <w:lang w:val="en-GB"/>
        </w:rPr>
        <w:t xml:space="preserve">  </w:t>
      </w:r>
      <w:r w:rsidR="00F502AA" w:rsidRPr="00D22E3D">
        <w:rPr>
          <w:rFonts w:ascii="Arial" w:hAnsi="Arial" w:cs="Arial"/>
          <w:bCs/>
          <w:iCs/>
          <w:szCs w:val="24"/>
          <w:u w:val="single"/>
          <w:lang w:val="en-GB"/>
        </w:rPr>
        <w:t>Employment, Unemployment</w:t>
      </w:r>
    </w:p>
    <w:p w:rsidR="00F502AA" w:rsidRPr="00D22E3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C4001F">
        <w:rPr>
          <w:rFonts w:ascii="Arial" w:hAnsi="Arial" w:cs="Arial"/>
          <w:b/>
          <w:lang w:val="en-GB"/>
        </w:rPr>
        <w:t>3</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AF38F0">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C4001F">
        <w:rPr>
          <w:rFonts w:ascii="Arial" w:hAnsi="Arial" w:cs="Arial"/>
          <w:b/>
          <w:bCs/>
          <w:iCs/>
          <w:szCs w:val="24"/>
          <w:lang w:val="en-GB"/>
        </w:rPr>
        <w:t>3</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(*.xls). Adobe Acrobat (*.pdf)</w:t>
      </w:r>
    </w:p>
    <w:sectPr w:rsidR="00942ABE" w:rsidRPr="00D22E3D"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DF" w:rsidRDefault="00753BDF">
      <w:r>
        <w:separator/>
      </w:r>
    </w:p>
  </w:endnote>
  <w:endnote w:type="continuationSeparator" w:id="0">
    <w:p w:rsidR="00753BDF" w:rsidRDefault="0075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8" w:rsidRDefault="005820D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Q4 202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8" w:rsidRDefault="005820D8">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Q4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DF" w:rsidRDefault="00753BDF">
      <w:r>
        <w:separator/>
      </w:r>
    </w:p>
  </w:footnote>
  <w:footnote w:type="continuationSeparator" w:id="0">
    <w:p w:rsidR="00753BDF" w:rsidRDefault="00753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342A"/>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126"/>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0D8"/>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53BD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285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26E6"/>
    <w:rsid w:val="0088679A"/>
    <w:rsid w:val="0088788B"/>
    <w:rsid w:val="00891F13"/>
    <w:rsid w:val="00892C8B"/>
    <w:rsid w:val="00892E44"/>
    <w:rsid w:val="0089599A"/>
    <w:rsid w:val="00896182"/>
    <w:rsid w:val="0089797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63"/>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B32"/>
    <w:rsid w:val="00AE3F51"/>
    <w:rsid w:val="00AE5A43"/>
    <w:rsid w:val="00AE7AB1"/>
    <w:rsid w:val="00AE7B6C"/>
    <w:rsid w:val="00AF0F0B"/>
    <w:rsid w:val="00AF191A"/>
    <w:rsid w:val="00AF38F0"/>
    <w:rsid w:val="00B035F3"/>
    <w:rsid w:val="00B055BB"/>
    <w:rsid w:val="00B07CCF"/>
    <w:rsid w:val="00B10EBF"/>
    <w:rsid w:val="00B168CD"/>
    <w:rsid w:val="00B16E41"/>
    <w:rsid w:val="00B227DE"/>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2"/>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C58FD"/>
    <w:rsid w:val="00DD0606"/>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3150"/>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6711"/>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2B6B"/>
    <w:rsid w:val="00FC30B6"/>
    <w:rsid w:val="00FC38E4"/>
    <w:rsid w:val="00FC4618"/>
    <w:rsid w:val="00FC633D"/>
    <w:rsid w:val="00FD1191"/>
    <w:rsid w:val="00FD5688"/>
    <w:rsid w:val="00FE13BC"/>
    <w:rsid w:val="00FE19EC"/>
    <w:rsid w:val="00FE1E4D"/>
    <w:rsid w:val="00FE250D"/>
    <w:rsid w:val="00FE5E48"/>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E540-7F8D-458D-B341-F19CABC8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3648</Words>
  <Characters>21527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25125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2024-03-24T17:37:00Z</dcterms:created>
  <dcterms:modified xsi:type="dcterms:W3CDTF">2024-03-24T17:40:00Z</dcterms:modified>
</cp:coreProperties>
</file>