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0" w:rsidRPr="0048357D" w:rsidRDefault="003265F0" w:rsidP="003265F0">
      <w:pPr>
        <w:pStyle w:val="Nadpis1"/>
        <w:ind w:right="992"/>
        <w:rPr>
          <w:rFonts w:cs="Arial"/>
          <w:b w:val="0"/>
          <w:color w:val="31849B"/>
          <w:sz w:val="24"/>
        </w:rPr>
      </w:pPr>
      <w:bookmarkStart w:id="0" w:name="_GoBack"/>
      <w:bookmarkEnd w:id="0"/>
      <w:r w:rsidRPr="008D317B">
        <w:t>METODOLOGICKÝ ÚVOD</w:t>
      </w:r>
    </w:p>
    <w:p w:rsidR="003265F0" w:rsidRDefault="003265F0" w:rsidP="009E39BA">
      <w:pPr>
        <w:pStyle w:val="Zkladntext"/>
        <w:spacing w:before="240" w:after="24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uvedená v této publikaci vycházejí z výsledků ročních statistických šetření ČSÚ o využívání informačních a komunikačních technologií v podnikatelském sektoru v ČR (ICT 5-01). Toto šetření se provádí v České republice od roku 2003 (v roce 2002 proběhlo pilotní šetření) a od roku 2006 je plně srovnatelné s obdobnými šetřeními uskutečněnými v ostatních členských zemích EU v rámci nařízení Evropského parlamentu a Rady (ES) č. 808/2004 o statistice Společenství o informační společnosti.</w:t>
      </w:r>
    </w:p>
    <w:p w:rsidR="003265F0" w:rsidRPr="008D317B" w:rsidRDefault="003265F0" w:rsidP="003265F0">
      <w:pPr>
        <w:pStyle w:val="Nadpis2"/>
        <w:spacing w:before="480" w:after="240"/>
      </w:pPr>
      <w:r w:rsidRPr="008D317B">
        <w:t>Základní údaje o šetření</w:t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760"/>
      </w:tblGrid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Název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Předmět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Rozšíření a využívání informačních a komunikačních technologií v podnikatelském sektoru.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Cílová populace (základní soubor):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Právnické a fyzické osoby s 10 a více zaměstnanými osobami ve vybraných odvětvích ekonomické činnosti.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Referenční období: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Leden 2015; u otázek o elektronickém obchodování, využívání internetu ve vztahu k veřejné správě a při výběrových řízeních rok 2014. 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Technika šetření: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Dotazník rozeslaný zpravodajským jednotkám. Možnost vyplnění klasického tištěného dotazníku, ale i elektronické verze.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Opora výběru: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Koordinační databáze a Registr ekonomických subjektů – 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.12.2014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Způsob výběru jednotek: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</w:p>
          <w:p w:rsidR="003265F0" w:rsidRPr="00A3505C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RPr="00AE009D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rPr>
                <w:rFonts w:cs="Arial"/>
              </w:rPr>
            </w:pPr>
            <w:r w:rsidRPr="007E4180">
              <w:rPr>
                <w:rFonts w:cs="Arial"/>
              </w:rPr>
              <w:t>Výběrový soubor: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9E39BA" w:rsidRDefault="003265F0" w:rsidP="00E03FD6">
            <w:pPr>
              <w:jc w:val="both"/>
              <w:rPr>
                <w:rFonts w:cs="Arial"/>
              </w:rPr>
            </w:pPr>
            <w:r w:rsidRPr="009E39BA">
              <w:rPr>
                <w:rFonts w:cs="Arial"/>
              </w:rPr>
              <w:t>7 6</w:t>
            </w:r>
            <w:r w:rsidR="009E39BA" w:rsidRPr="009E39BA">
              <w:rPr>
                <w:rFonts w:cs="Arial"/>
              </w:rPr>
              <w:t>44</w:t>
            </w:r>
            <w:r w:rsidRPr="009E39BA">
              <w:rPr>
                <w:rFonts w:cs="Arial"/>
              </w:rPr>
              <w:t xml:space="preserve"> zpravodajských jednotek </w:t>
            </w:r>
          </w:p>
          <w:p w:rsidR="003265F0" w:rsidRPr="009E39BA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FF7EC3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FF7EC3" w:rsidRDefault="003265F0" w:rsidP="00E03FD6">
            <w:pPr>
              <w:rPr>
                <w:rFonts w:cs="Arial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FF7EC3" w:rsidRDefault="003265F0" w:rsidP="00E03FD6">
            <w:pPr>
              <w:jc w:val="both"/>
              <w:rPr>
                <w:rFonts w:cs="Arial"/>
                <w:highlight w:val="yellow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rPr>
                <w:rFonts w:cs="Arial"/>
              </w:rPr>
            </w:pPr>
            <w:r w:rsidRPr="007E4180">
              <w:rPr>
                <w:rFonts w:cs="Arial"/>
              </w:rPr>
              <w:t>Dotazníky použité pro dopočty: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7E4180" w:rsidRDefault="003265F0" w:rsidP="00E03FD6">
            <w:pPr>
              <w:jc w:val="both"/>
              <w:rPr>
                <w:rFonts w:cs="Arial"/>
              </w:rPr>
            </w:pPr>
            <w:r w:rsidRPr="009E39BA">
              <w:rPr>
                <w:rFonts w:cs="Arial"/>
              </w:rPr>
              <w:t>6 </w:t>
            </w:r>
            <w:r w:rsidR="009E39BA" w:rsidRPr="009E39BA">
              <w:rPr>
                <w:rFonts w:cs="Arial"/>
              </w:rPr>
              <w:t>176</w:t>
            </w:r>
          </w:p>
          <w:p w:rsidR="003265F0" w:rsidRPr="007E4180" w:rsidRDefault="003265F0" w:rsidP="00E03FD6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</w:p>
        </w:tc>
      </w:tr>
      <w:tr w:rsidR="003265F0" w:rsidTr="00E03FD6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rPr>
                <w:rFonts w:cs="Arial"/>
              </w:rPr>
            </w:pPr>
            <w:r>
              <w:rPr>
                <w:rFonts w:cs="Arial"/>
              </w:rPr>
              <w:t>Dopočty (odhad na sledovanou populaci):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E03FD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Váhy stanoveny pomocí programu CLAN, kalibrace vah pomocí metody GREG; jako pomocná proměnná byl použit průměrný počet pojištěnců.</w:t>
            </w:r>
          </w:p>
        </w:tc>
      </w:tr>
    </w:tbl>
    <w:p w:rsidR="003265F0" w:rsidRDefault="003265F0" w:rsidP="003265F0">
      <w:pPr>
        <w:pStyle w:val="Zkladntext"/>
        <w:spacing w:line="288" w:lineRule="auto"/>
        <w:ind w:right="0"/>
        <w:rPr>
          <w:rFonts w:ascii="Arial" w:hAnsi="Arial" w:cs="Arial"/>
          <w:sz w:val="20"/>
        </w:rPr>
      </w:pPr>
    </w:p>
    <w:p w:rsidR="003265F0" w:rsidRPr="008D317B" w:rsidRDefault="003265F0" w:rsidP="0015316C">
      <w:pPr>
        <w:pStyle w:val="Nadpis2"/>
        <w:tabs>
          <w:tab w:val="left" w:pos="4536"/>
        </w:tabs>
        <w:spacing w:before="480" w:after="120"/>
      </w:pPr>
      <w:r w:rsidRPr="008D317B">
        <w:lastRenderedPageBreak/>
        <w:t>Výběrový soubor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Srovnatelnost publikovaných údajů: 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nepřekročila: </w:t>
      </w:r>
    </w:p>
    <w:p w:rsidR="003265F0" w:rsidRDefault="003265F0" w:rsidP="009E39BA">
      <w:pPr>
        <w:pStyle w:val="Zkladntext"/>
        <w:numPr>
          <w:ilvl w:val="0"/>
          <w:numId w:val="9"/>
        </w:numPr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údaje celkem za všechna sledovaná odvětví 2 procentní body,</w:t>
      </w:r>
    </w:p>
    <w:p w:rsidR="003265F0" w:rsidRDefault="003265F0" w:rsidP="009E39BA">
      <w:pPr>
        <w:pStyle w:val="Zkladntext"/>
        <w:numPr>
          <w:ilvl w:val="0"/>
          <w:numId w:val="9"/>
        </w:numPr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podniky jednotlivých sledovaných odvětví s 10 a více zaměstnanci 5 procentních bodů,</w:t>
      </w:r>
    </w:p>
    <w:p w:rsidR="003265F0" w:rsidRDefault="003265F0" w:rsidP="009E39BA">
      <w:pPr>
        <w:pStyle w:val="Zkladntext"/>
        <w:numPr>
          <w:ilvl w:val="0"/>
          <w:numId w:val="9"/>
        </w:numPr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podniky jednotlivých sledovaných odvětví ve velikostních  skupinách 10–49, 50–249 a 250 a více zaměstnanců 8 procentních bodů.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většině případů je směrodatná odchylka významně nižší než uvedené hodnoty.</w:t>
      </w:r>
    </w:p>
    <w:p w:rsidR="009E39BA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9" w:history="1">
        <w:r w:rsidR="00832454" w:rsidRPr="00B35F38">
          <w:rPr>
            <w:rStyle w:val="Hypertextovodkaz"/>
            <w:rFonts w:ascii="Arial" w:eastAsia="Times New Roman" w:hAnsi="Arial" w:cs="Arial"/>
            <w:bCs/>
            <w:color w:val="31849B"/>
            <w:sz w:val="20"/>
            <w:szCs w:val="20"/>
            <w:lang w:eastAsia="cs-CZ"/>
          </w:rPr>
          <w:t>http://www.czso.cz/csu/klasifik.nsf/i/klasifikace_ekonomickych_cinnosti_(cz_nace)</w:t>
        </w:r>
      </w:hyperlink>
    </w:p>
    <w:p w:rsidR="003265F0" w:rsidRDefault="003265F0" w:rsidP="009E39BA">
      <w:pPr>
        <w:pStyle w:val="Zkladntext2"/>
        <w:tabs>
          <w:tab w:val="left" w:pos="900"/>
        </w:tabs>
        <w:spacing w:before="240" w:after="120" w:line="288" w:lineRule="auto"/>
        <w:ind w:right="-1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V tabulkové příloze jsou k dispozici data za podniky v České republice v podrobném maticovém členění podle velikosti (3 skupiny) a odvětví sledovaných podniků (30 skupin).</w:t>
      </w:r>
    </w:p>
    <w:p w:rsidR="003265F0" w:rsidRPr="008D317B" w:rsidRDefault="003265F0" w:rsidP="0015316C">
      <w:pPr>
        <w:pStyle w:val="Nadpis2"/>
        <w:spacing w:before="240" w:after="120"/>
      </w:pPr>
      <w:r w:rsidRPr="008D317B">
        <w:t>Sledované ukazatele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1.</w:t>
      </w:r>
      <w:r w:rsidRPr="00832454">
        <w:rPr>
          <w:rFonts w:ascii="Arial" w:hAnsi="Arial" w:cs="Arial"/>
          <w:sz w:val="20"/>
          <w:szCs w:val="20"/>
        </w:rPr>
        <w:tab/>
        <w:t>Firemní počítačová síť a související technologie</w:t>
      </w:r>
    </w:p>
    <w:p w:rsidR="003265F0" w:rsidRPr="00832454" w:rsidRDefault="003265F0" w:rsidP="003265F0">
      <w:pPr>
        <w:numPr>
          <w:ilvl w:val="0"/>
          <w:numId w:val="2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bezdrátové připojení, práce s datovými soubory pomocí vzdáleného přístupu</w:t>
      </w:r>
    </w:p>
    <w:p w:rsidR="003265F0" w:rsidRPr="00832454" w:rsidRDefault="003265F0" w:rsidP="003265F0">
      <w:pPr>
        <w:numPr>
          <w:ilvl w:val="0"/>
          <w:numId w:val="2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intranet a extranet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2.</w:t>
      </w:r>
      <w:r w:rsidRPr="00832454">
        <w:rPr>
          <w:rFonts w:ascii="Arial" w:hAnsi="Arial" w:cs="Arial"/>
          <w:sz w:val="20"/>
          <w:szCs w:val="20"/>
        </w:rPr>
        <w:tab/>
        <w:t>Internet</w:t>
      </w:r>
    </w:p>
    <w:p w:rsidR="003265F0" w:rsidRPr="00832454" w:rsidRDefault="003265F0" w:rsidP="003265F0">
      <w:pPr>
        <w:numPr>
          <w:ilvl w:val="0"/>
          <w:numId w:val="10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 xml:space="preserve">způsob a rychlost internetového připojení </w:t>
      </w:r>
    </w:p>
    <w:p w:rsidR="003265F0" w:rsidRPr="00832454" w:rsidRDefault="003265F0" w:rsidP="003265F0">
      <w:pPr>
        <w:numPr>
          <w:ilvl w:val="0"/>
          <w:numId w:val="10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účely využití internetu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3.</w:t>
      </w:r>
      <w:r w:rsidRPr="00832454">
        <w:rPr>
          <w:rFonts w:ascii="Arial" w:hAnsi="Arial" w:cs="Arial"/>
          <w:sz w:val="20"/>
          <w:szCs w:val="20"/>
        </w:rPr>
        <w:tab/>
        <w:t>Použití internetu ve vztahu k veřejné správě</w:t>
      </w:r>
    </w:p>
    <w:p w:rsidR="003265F0" w:rsidRPr="00832454" w:rsidRDefault="003265F0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 xml:space="preserve">způsob použití internetu ve vztahu k veřejné správě </w:t>
      </w:r>
    </w:p>
    <w:p w:rsidR="003265F0" w:rsidRPr="00832454" w:rsidRDefault="003265F0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úplné elektronické podání</w:t>
      </w:r>
    </w:p>
    <w:p w:rsidR="003265F0" w:rsidRPr="00832454" w:rsidRDefault="003265F0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datové schránky</w:t>
      </w:r>
    </w:p>
    <w:p w:rsidR="003265F0" w:rsidRPr="00832454" w:rsidRDefault="003265F0" w:rsidP="003265F0">
      <w:pPr>
        <w:numPr>
          <w:ilvl w:val="0"/>
          <w:numId w:val="3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použití internetu při výběrových řízeních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4.</w:t>
      </w:r>
      <w:r w:rsidRPr="00832454">
        <w:rPr>
          <w:rFonts w:ascii="Arial" w:hAnsi="Arial" w:cs="Arial"/>
          <w:sz w:val="20"/>
          <w:szCs w:val="20"/>
        </w:rPr>
        <w:tab/>
        <w:t>Webové stránky a jejich využití</w:t>
      </w:r>
    </w:p>
    <w:p w:rsidR="003265F0" w:rsidRPr="00832454" w:rsidRDefault="003265F0" w:rsidP="003265F0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jazykový obsah webových stránek</w:t>
      </w:r>
    </w:p>
    <w:p w:rsidR="003265F0" w:rsidRPr="00832454" w:rsidRDefault="003265F0" w:rsidP="003265F0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obsah a služby dostupné na webových stránkách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5.</w:t>
      </w:r>
      <w:r w:rsidRPr="00832454">
        <w:rPr>
          <w:rFonts w:ascii="Arial" w:hAnsi="Arial" w:cs="Arial"/>
          <w:sz w:val="20"/>
          <w:szCs w:val="20"/>
        </w:rPr>
        <w:tab/>
        <w:t xml:space="preserve">Zaměstnanci používající počítač a jiné ICT </w:t>
      </w:r>
    </w:p>
    <w:p w:rsidR="003265F0" w:rsidRPr="00832454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používání ICT v práci</w:t>
      </w:r>
    </w:p>
    <w:p w:rsidR="003265F0" w:rsidRPr="00832454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možnost školení zaměstnanců prostřednictvím ICT</w:t>
      </w:r>
    </w:p>
    <w:p w:rsidR="003265F0" w:rsidRPr="00832454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IT odborníci zaměstnaní ve firmách</w:t>
      </w:r>
    </w:p>
    <w:p w:rsidR="003265F0" w:rsidRPr="00832454" w:rsidRDefault="003265F0" w:rsidP="003265F0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 xml:space="preserve">kdo má ve firmách na starosti údržbu, podporu a vývoj ICT? 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6.</w:t>
      </w:r>
      <w:r w:rsidRPr="00832454">
        <w:rPr>
          <w:rFonts w:ascii="Arial" w:hAnsi="Arial" w:cs="Arial"/>
          <w:sz w:val="20"/>
          <w:szCs w:val="20"/>
        </w:rPr>
        <w:tab/>
        <w:t>Integrace vnitropodnikových procesů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sdílení dat o přijatých a zadaných objednávkách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využívání podnikových informačních systémů ERP a CRM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lastRenderedPageBreak/>
        <w:t>7.</w:t>
      </w:r>
      <w:r w:rsidRPr="00832454">
        <w:rPr>
          <w:rFonts w:ascii="Arial" w:hAnsi="Arial" w:cs="Arial"/>
          <w:sz w:val="20"/>
          <w:szCs w:val="20"/>
        </w:rPr>
        <w:tab/>
        <w:t xml:space="preserve">Elektronický prodej  </w:t>
      </w:r>
    </w:p>
    <w:p w:rsidR="003265F0" w:rsidRPr="00832454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způsob realizace elektronických prodejů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 xml:space="preserve">hodnota elektronických prodejů </w:t>
      </w:r>
    </w:p>
    <w:p w:rsidR="003265F0" w:rsidRPr="00832454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způsob platby u elektronického prodeje</w:t>
      </w:r>
    </w:p>
    <w:p w:rsidR="003265F0" w:rsidRPr="00832454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realizované elektronické prodeje podle země odběratele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8.</w:t>
      </w:r>
      <w:r w:rsidRPr="00832454">
        <w:rPr>
          <w:rFonts w:ascii="Arial" w:hAnsi="Arial" w:cs="Arial"/>
          <w:sz w:val="20"/>
          <w:szCs w:val="20"/>
        </w:rPr>
        <w:tab/>
        <w:t>Elektronické nakupování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způsob realizace elektronických nákupů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hodnota elektronických nákupů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realizované elektronické nákupy podle země dodavatele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9.</w:t>
      </w:r>
      <w:r w:rsidRPr="00832454">
        <w:rPr>
          <w:rFonts w:ascii="Arial" w:hAnsi="Arial" w:cs="Arial"/>
          <w:sz w:val="20"/>
          <w:szCs w:val="20"/>
        </w:rPr>
        <w:tab/>
        <w:t xml:space="preserve">Elektronická fakturace </w:t>
      </w:r>
    </w:p>
    <w:p w:rsidR="003265F0" w:rsidRPr="00832454" w:rsidRDefault="003265F0" w:rsidP="003265F0">
      <w:pPr>
        <w:numPr>
          <w:ilvl w:val="0"/>
          <w:numId w:val="7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vystavovaných a zasílaných faktur firmami</w:t>
      </w:r>
    </w:p>
    <w:p w:rsidR="003265F0" w:rsidRPr="00832454" w:rsidRDefault="003265F0" w:rsidP="003265F0">
      <w:pPr>
        <w:numPr>
          <w:ilvl w:val="0"/>
          <w:numId w:val="7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přijímaných faktur</w:t>
      </w:r>
    </w:p>
    <w:p w:rsidR="003265F0" w:rsidRPr="00832454" w:rsidRDefault="003265F0" w:rsidP="003265F0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zasílání faktur prostřednictvím datových schránek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10.</w:t>
      </w:r>
      <w:r w:rsidRPr="00832454">
        <w:rPr>
          <w:rFonts w:ascii="Arial" w:hAnsi="Arial" w:cs="Arial"/>
          <w:sz w:val="20"/>
          <w:szCs w:val="20"/>
        </w:rPr>
        <w:tab/>
      </w:r>
      <w:r w:rsidR="00B803AF" w:rsidRPr="00832454">
        <w:rPr>
          <w:rFonts w:ascii="Arial" w:hAnsi="Arial" w:cs="Arial"/>
          <w:sz w:val="20"/>
          <w:szCs w:val="20"/>
        </w:rPr>
        <w:t xml:space="preserve"> </w:t>
      </w:r>
      <w:r w:rsidRPr="00832454">
        <w:rPr>
          <w:rFonts w:ascii="Arial" w:hAnsi="Arial" w:cs="Arial"/>
          <w:sz w:val="20"/>
          <w:szCs w:val="20"/>
        </w:rPr>
        <w:t>Elektronické sdílení informací k řízení dodavatelsko-odběratelských vztahů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způsob elektronického sdílení informací s dodavateli/odběrateli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použití SCM softwarového balíku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11.</w:t>
      </w:r>
      <w:r w:rsidRPr="00832454">
        <w:rPr>
          <w:rFonts w:ascii="Arial" w:hAnsi="Arial" w:cs="Arial"/>
          <w:sz w:val="20"/>
          <w:szCs w:val="20"/>
        </w:rPr>
        <w:tab/>
      </w:r>
      <w:r w:rsidR="00B803AF" w:rsidRPr="00832454">
        <w:rPr>
          <w:rFonts w:ascii="Arial" w:hAnsi="Arial" w:cs="Arial"/>
          <w:sz w:val="20"/>
          <w:szCs w:val="20"/>
        </w:rPr>
        <w:t xml:space="preserve"> </w:t>
      </w:r>
      <w:r w:rsidRPr="00832454">
        <w:rPr>
          <w:rFonts w:ascii="Arial" w:hAnsi="Arial" w:cs="Arial"/>
          <w:sz w:val="20"/>
          <w:szCs w:val="20"/>
        </w:rPr>
        <w:t>Bezpečnost informačního systému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definování bezpečnostní politiky informačních systémů a její revize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 xml:space="preserve">schopnost pokrývání nejčastějších/nejzávažnějších rizik </w:t>
      </w:r>
    </w:p>
    <w:p w:rsidR="003265F0" w:rsidRPr="00832454" w:rsidRDefault="003265F0" w:rsidP="003265F0">
      <w:pPr>
        <w:pStyle w:val="Nadpis5"/>
        <w:tabs>
          <w:tab w:val="left" w:pos="360"/>
        </w:tabs>
        <w:spacing w:before="12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12.</w:t>
      </w:r>
      <w:r w:rsidRPr="00832454">
        <w:rPr>
          <w:rFonts w:ascii="Arial" w:hAnsi="Arial" w:cs="Arial"/>
          <w:sz w:val="20"/>
          <w:szCs w:val="20"/>
        </w:rPr>
        <w:tab/>
      </w:r>
      <w:r w:rsidR="00B803AF" w:rsidRPr="00832454">
        <w:rPr>
          <w:rFonts w:ascii="Arial" w:hAnsi="Arial" w:cs="Arial"/>
          <w:sz w:val="20"/>
          <w:szCs w:val="20"/>
        </w:rPr>
        <w:t xml:space="preserve"> </w:t>
      </w:r>
      <w:r w:rsidRPr="00832454">
        <w:rPr>
          <w:rFonts w:ascii="Arial" w:hAnsi="Arial" w:cs="Arial"/>
          <w:sz w:val="20"/>
          <w:szCs w:val="20"/>
        </w:rPr>
        <w:t>Používání sociálních médií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využívaných sociálních médií</w:t>
      </w:r>
    </w:p>
    <w:p w:rsidR="003265F0" w:rsidRPr="00832454" w:rsidRDefault="003265F0" w:rsidP="003265F0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důvody využívání sociálních médií</w:t>
      </w:r>
    </w:p>
    <w:p w:rsidR="00EE3E78" w:rsidRDefault="003265F0" w:rsidP="0015316C">
      <w:pPr>
        <w:pStyle w:val="Zkladntext2"/>
        <w:tabs>
          <w:tab w:val="left" w:pos="900"/>
        </w:tabs>
        <w:spacing w:before="480" w:after="120" w:line="288" w:lineRule="auto"/>
        <w:ind w:right="0"/>
        <w:jc w:val="both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 w:rsidR="00015562"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 w:rsidR="006F0E7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6F0E7E">
        <w:rPr>
          <w:rFonts w:ascii="Arial" w:hAnsi="Arial" w:cs="Arial"/>
          <w:sz w:val="20"/>
        </w:rPr>
        <w:br/>
      </w:r>
      <w:r w:rsidRPr="002F742A">
        <w:rPr>
          <w:rFonts w:ascii="Arial" w:hAnsi="Arial" w:cs="Arial"/>
          <w:sz w:val="20"/>
        </w:rPr>
        <w:t>na</w:t>
      </w:r>
      <w:r w:rsidR="00015562">
        <w:rPr>
          <w:rFonts w:ascii="Arial" w:hAnsi="Arial" w:cs="Arial"/>
          <w:sz w:val="20"/>
        </w:rPr>
        <w:t xml:space="preserve"> internetových</w:t>
      </w:r>
      <w:r>
        <w:rPr>
          <w:rFonts w:ascii="Arial" w:hAnsi="Arial" w:cs="Arial"/>
          <w:sz w:val="20"/>
        </w:rPr>
        <w:t xml:space="preserve"> strán</w:t>
      </w:r>
      <w:r w:rsidR="00015562">
        <w:rPr>
          <w:rFonts w:ascii="Arial" w:hAnsi="Arial" w:cs="Arial"/>
          <w:sz w:val="20"/>
        </w:rPr>
        <w:t>kách</w:t>
      </w:r>
      <w:r w:rsidRPr="002F742A">
        <w:rPr>
          <w:rFonts w:ascii="Arial" w:hAnsi="Arial" w:cs="Arial"/>
          <w:sz w:val="20"/>
        </w:rPr>
        <w:t>:</w:t>
      </w:r>
      <w:r w:rsidR="00015562">
        <w:rPr>
          <w:rFonts w:ascii="Arial" w:hAnsi="Arial" w:cs="Arial"/>
          <w:sz w:val="20"/>
        </w:rPr>
        <w:t xml:space="preserve"> </w:t>
      </w:r>
      <w:hyperlink r:id="rId10" w:history="1">
        <w:r w:rsidRPr="00B35F38">
          <w:rPr>
            <w:rStyle w:val="Hypertextovodkaz"/>
            <w:rFonts w:ascii="Arial" w:hAnsi="Arial" w:cs="Arial"/>
            <w:color w:val="31849B"/>
            <w:sz w:val="20"/>
            <w:szCs w:val="20"/>
          </w:rPr>
          <w:t>http://czso.cz/csu/redakce.nsf/i/podnikatelsky_sektor</w:t>
        </w:r>
      </w:hyperlink>
    </w:p>
    <w:p w:rsidR="00832454" w:rsidRPr="00832454" w:rsidRDefault="00832454" w:rsidP="0015316C">
      <w:pPr>
        <w:pStyle w:val="Nadpis2"/>
        <w:spacing w:before="480" w:after="120" w:line="240" w:lineRule="auto"/>
        <w:jc w:val="both"/>
      </w:pPr>
      <w:r>
        <w:t xml:space="preserve">Použité zkratky a symboly </w:t>
      </w:r>
    </w:p>
    <w:p w:rsidR="00832454" w:rsidRDefault="00832454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832454" w:rsidRPr="00832454" w:rsidRDefault="00832454" w:rsidP="00015562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832454" w:rsidRPr="00832454" w:rsidSect="003265F0">
          <w:footerReference w:type="even" r:id="rId11"/>
          <w:footerReference w:type="default" r:id="rId12"/>
          <w:pgSz w:w="11906" w:h="16838" w:code="9"/>
          <w:pgMar w:top="1134" w:right="1134" w:bottom="1418" w:left="1134" w:header="680" w:footer="680" w:gutter="0"/>
          <w:pgNumType w:start="8"/>
          <w:cols w:space="708"/>
          <w:docGrid w:linePitch="360"/>
        </w:sectPr>
      </w:pP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lastRenderedPageBreak/>
        <w:t>ADSL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Asymetric</w:t>
      </w:r>
      <w:proofErr w:type="spellEnd"/>
      <w:r>
        <w:rPr>
          <w:rFonts w:ascii="Arial" w:hAnsi="Arial" w:cs="Arial"/>
          <w:sz w:val="20"/>
          <w:szCs w:val="20"/>
        </w:rPr>
        <w:t xml:space="preserve"> 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Business-to-business</w:t>
      </w:r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CRM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Customer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Relationship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Management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DNS(S)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 xml:space="preserve"> Server (</w:t>
      </w:r>
      <w:proofErr w:type="spellStart"/>
      <w:r>
        <w:rPr>
          <w:rFonts w:ascii="Arial" w:hAnsi="Arial" w:cs="Arial"/>
          <w:sz w:val="20"/>
          <w:szCs w:val="20"/>
        </w:rPr>
        <w:t>Syst</w:t>
      </w:r>
      <w:r w:rsidR="0015316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DSL</w:t>
      </w:r>
      <w:r>
        <w:rPr>
          <w:rFonts w:ascii="Arial" w:hAnsi="Arial" w:cs="Arial"/>
          <w:sz w:val="20"/>
          <w:szCs w:val="20"/>
        </w:rPr>
        <w:tab/>
        <w:t xml:space="preserve">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ERP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Planning</w:t>
      </w:r>
      <w:proofErr w:type="spellEnd"/>
    </w:p>
    <w:p w:rsidR="0015316C" w:rsidRDefault="0015316C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HSPA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8A32E5">
        <w:rPr>
          <w:rFonts w:ascii="Arial" w:hAnsi="Arial" w:cs="Arial"/>
          <w:sz w:val="20"/>
          <w:szCs w:val="20"/>
        </w:rPr>
        <w:t>High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-Speed </w:t>
      </w:r>
      <w:proofErr w:type="spellStart"/>
      <w:r w:rsidRPr="008A32E5">
        <w:rPr>
          <w:rFonts w:ascii="Arial" w:hAnsi="Arial" w:cs="Arial"/>
          <w:sz w:val="20"/>
          <w:szCs w:val="20"/>
        </w:rPr>
        <w:t>Packet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 Access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ICT</w:t>
      </w:r>
      <w:r w:rsidRPr="00B52EA1">
        <w:rPr>
          <w:rFonts w:ascii="Arial" w:hAnsi="Arial" w:cs="Arial"/>
          <w:sz w:val="20"/>
          <w:szCs w:val="20"/>
        </w:rPr>
        <w:tab/>
        <w:t xml:space="preserve">Informační a komunikační technologie </w:t>
      </w:r>
    </w:p>
    <w:p w:rsidR="00015562" w:rsidRDefault="00832454" w:rsidP="0015316C">
      <w:pPr>
        <w:pStyle w:val="Zpat"/>
        <w:tabs>
          <w:tab w:val="clear" w:pos="4536"/>
          <w:tab w:val="clear" w:pos="9072"/>
          <w:tab w:val="left" w:pos="1134"/>
        </w:tabs>
        <w:spacing w:after="40"/>
        <w:ind w:left="1134" w:hanging="1134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lastRenderedPageBreak/>
        <w:t>IP adresa</w:t>
      </w:r>
      <w:r>
        <w:rPr>
          <w:rFonts w:ascii="Arial" w:hAnsi="Arial" w:cs="Arial"/>
          <w:sz w:val="20"/>
          <w:szCs w:val="20"/>
        </w:rPr>
        <w:tab/>
      </w:r>
      <w:r w:rsidRPr="008A32E5">
        <w:rPr>
          <w:rFonts w:ascii="Arial" w:hAnsi="Arial" w:cs="Arial"/>
          <w:sz w:val="20"/>
          <w:szCs w:val="20"/>
        </w:rPr>
        <w:t>číslo identifikuj</w:t>
      </w:r>
      <w:r>
        <w:rPr>
          <w:rFonts w:ascii="Arial" w:hAnsi="Arial" w:cs="Arial"/>
          <w:sz w:val="20"/>
          <w:szCs w:val="20"/>
        </w:rPr>
        <w:t>ící</w:t>
      </w:r>
      <w:r w:rsidRPr="008A32E5">
        <w:rPr>
          <w:rFonts w:ascii="Arial" w:hAnsi="Arial" w:cs="Arial"/>
          <w:sz w:val="20"/>
          <w:szCs w:val="20"/>
        </w:rPr>
        <w:t xml:space="preserve"> síťové rozhraní v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="00197107">
        <w:fldChar w:fldCharType="begin"/>
      </w:r>
      <w:r w:rsidR="00197107">
        <w:instrText xml:space="preserve"> HYPERLINK "https://cs.wikipedia.org/wiki/Po%C4%8D%C3%ADta%C4%8Dov%C3%A1_s%C3%AD%C5%A5" \o "Počítačová síť" </w:instrText>
      </w:r>
      <w:r w:rsidR="00197107">
        <w:fldChar w:fldCharType="separate"/>
      </w:r>
      <w:proofErr w:type="gramStart"/>
      <w:r w:rsidRPr="008A32E5">
        <w:rPr>
          <w:rFonts w:ascii="Arial" w:hAnsi="Arial" w:cs="Arial"/>
          <w:sz w:val="20"/>
          <w:szCs w:val="20"/>
        </w:rPr>
        <w:t>poč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 w:rsidRPr="008A32E5">
        <w:rPr>
          <w:rFonts w:ascii="Arial" w:hAnsi="Arial" w:cs="Arial"/>
          <w:sz w:val="20"/>
          <w:szCs w:val="20"/>
        </w:rPr>
        <w:t>síti</w:t>
      </w:r>
      <w:proofErr w:type="spellEnd"/>
      <w:proofErr w:type="gramEnd"/>
      <w:r w:rsidR="0019710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používající internetový protokol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systém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technologie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Long Term </w:t>
      </w:r>
      <w:proofErr w:type="spellStart"/>
      <w:r>
        <w:rPr>
          <w:rFonts w:ascii="Arial" w:hAnsi="Arial" w:cs="Arial"/>
          <w:sz w:val="20"/>
          <w:szCs w:val="20"/>
        </w:rPr>
        <w:t>Evolution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LTE-A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LTE-</w:t>
      </w:r>
      <w:proofErr w:type="spellStart"/>
      <w:r>
        <w:rPr>
          <w:rFonts w:ascii="Arial" w:hAnsi="Arial" w:cs="Arial"/>
          <w:sz w:val="20"/>
          <w:szCs w:val="20"/>
        </w:rPr>
        <w:t>Advanced</w:t>
      </w:r>
      <w:proofErr w:type="spellEnd"/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Megabit za sekundu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Supply </w:t>
      </w:r>
      <w:proofErr w:type="spellStart"/>
      <w:r>
        <w:rPr>
          <w:rFonts w:ascii="Arial" w:hAnsi="Arial" w:cs="Arial"/>
          <w:sz w:val="20"/>
          <w:szCs w:val="20"/>
        </w:rPr>
        <w:t>Chain</w:t>
      </w:r>
      <w:proofErr w:type="spellEnd"/>
      <w:r>
        <w:rPr>
          <w:rFonts w:ascii="Arial" w:hAnsi="Arial" w:cs="Arial"/>
          <w:sz w:val="20"/>
          <w:szCs w:val="20"/>
        </w:rPr>
        <w:t xml:space="preserve"> Management</w:t>
      </w:r>
    </w:p>
    <w:p w:rsidR="00832454" w:rsidRPr="00B52EA1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Software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WCDMA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 w:rsidRPr="00C71AE8">
        <w:rPr>
          <w:rFonts w:ascii="Arial" w:hAnsi="Arial" w:cs="Arial"/>
          <w:sz w:val="20"/>
          <w:szCs w:val="20"/>
        </w:rPr>
        <w:t>Wide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Code-Division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Multiple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Access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WLAN</w:t>
      </w:r>
      <w:r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832454" w:rsidRDefault="00832454" w:rsidP="0015316C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XML</w:t>
      </w:r>
      <w:r w:rsidRPr="00B52EA1">
        <w:rPr>
          <w:rFonts w:ascii="Arial" w:hAnsi="Arial" w:cs="Arial"/>
          <w:sz w:val="20"/>
          <w:szCs w:val="20"/>
        </w:rPr>
        <w:tab/>
      </w:r>
      <w:r w:rsidR="0015316C">
        <w:rPr>
          <w:rFonts w:ascii="Arial" w:hAnsi="Arial" w:cs="Arial"/>
          <w:sz w:val="20"/>
          <w:szCs w:val="20"/>
        </w:rPr>
        <w:tab/>
      </w:r>
      <w:proofErr w:type="spellStart"/>
      <w:r w:rsidR="00015562">
        <w:rPr>
          <w:rFonts w:ascii="Arial" w:hAnsi="Arial" w:cs="Arial"/>
          <w:bCs/>
          <w:sz w:val="20"/>
          <w:szCs w:val="20"/>
        </w:rPr>
        <w:t>eXtensible</w:t>
      </w:r>
      <w:proofErr w:type="spellEnd"/>
      <w:r w:rsidR="000155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15562">
        <w:rPr>
          <w:rFonts w:ascii="Arial" w:hAnsi="Arial" w:cs="Arial"/>
          <w:bCs/>
          <w:sz w:val="20"/>
          <w:szCs w:val="20"/>
        </w:rPr>
        <w:t>Markup</w:t>
      </w:r>
      <w:proofErr w:type="spellEnd"/>
      <w:r w:rsidR="0001556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15562">
        <w:rPr>
          <w:rFonts w:ascii="Arial" w:hAnsi="Arial" w:cs="Arial"/>
          <w:bCs/>
          <w:sz w:val="20"/>
          <w:szCs w:val="20"/>
        </w:rPr>
        <w:t>Language</w:t>
      </w:r>
      <w:proofErr w:type="spellEnd"/>
    </w:p>
    <w:p w:rsidR="00015562" w:rsidRDefault="00015562" w:rsidP="00015562">
      <w:pPr>
        <w:pStyle w:val="Zpat"/>
        <w:tabs>
          <w:tab w:val="clear" w:pos="4536"/>
          <w:tab w:val="clear" w:pos="9072"/>
          <w:tab w:val="left" w:pos="1701"/>
        </w:tabs>
        <w:spacing w:after="40"/>
        <w:ind w:left="-142"/>
        <w:sectPr w:rsidR="00015562" w:rsidSect="0015316C">
          <w:type w:val="continuous"/>
          <w:pgSz w:w="11906" w:h="16838" w:code="9"/>
          <w:pgMar w:top="1134" w:right="1134" w:bottom="1418" w:left="1134" w:header="680" w:footer="680" w:gutter="0"/>
          <w:pgNumType w:start="8"/>
          <w:cols w:num="2" w:space="2"/>
          <w:docGrid w:linePitch="360"/>
        </w:sectPr>
      </w:pPr>
    </w:p>
    <w:p w:rsidR="00015562" w:rsidRPr="00832454" w:rsidRDefault="00015562" w:rsidP="00015562">
      <w:pPr>
        <w:pStyle w:val="Zpat"/>
        <w:tabs>
          <w:tab w:val="clear" w:pos="4536"/>
          <w:tab w:val="clear" w:pos="9072"/>
          <w:tab w:val="left" w:pos="1701"/>
        </w:tabs>
        <w:spacing w:after="40"/>
      </w:pPr>
    </w:p>
    <w:sectPr w:rsidR="00015562" w:rsidRPr="00832454" w:rsidSect="00832454"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07" w:rsidRDefault="00197107" w:rsidP="00E71A58">
      <w:r>
        <w:separator/>
      </w:r>
    </w:p>
  </w:endnote>
  <w:endnote w:type="continuationSeparator" w:id="0">
    <w:p w:rsidR="00197107" w:rsidRDefault="0019710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07" w:rsidRDefault="00197107" w:rsidP="00E71A58">
      <w:r>
        <w:separator/>
      </w:r>
    </w:p>
  </w:footnote>
  <w:footnote w:type="continuationSeparator" w:id="0">
    <w:p w:rsidR="00197107" w:rsidRDefault="0019710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DB0782"/>
    <w:multiLevelType w:val="hybridMultilevel"/>
    <w:tmpl w:val="7CD694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F0"/>
    <w:rsid w:val="0000767A"/>
    <w:rsid w:val="00010702"/>
    <w:rsid w:val="00015562"/>
    <w:rsid w:val="0004694F"/>
    <w:rsid w:val="00062EC5"/>
    <w:rsid w:val="00087634"/>
    <w:rsid w:val="000A1183"/>
    <w:rsid w:val="000C3408"/>
    <w:rsid w:val="001405FA"/>
    <w:rsid w:val="001425C3"/>
    <w:rsid w:val="00143453"/>
    <w:rsid w:val="0015316C"/>
    <w:rsid w:val="00163793"/>
    <w:rsid w:val="001714F2"/>
    <w:rsid w:val="0018101B"/>
    <w:rsid w:val="00185010"/>
    <w:rsid w:val="00197107"/>
    <w:rsid w:val="001A552F"/>
    <w:rsid w:val="001B3110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C70B8"/>
    <w:rsid w:val="002E02A1"/>
    <w:rsid w:val="002E455B"/>
    <w:rsid w:val="00304771"/>
    <w:rsid w:val="00306C5B"/>
    <w:rsid w:val="003209D6"/>
    <w:rsid w:val="003265F0"/>
    <w:rsid w:val="003657F3"/>
    <w:rsid w:val="00385D98"/>
    <w:rsid w:val="003A2B4D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3805"/>
    <w:rsid w:val="004A77DF"/>
    <w:rsid w:val="004B55B7"/>
    <w:rsid w:val="004C3867"/>
    <w:rsid w:val="004C4CD0"/>
    <w:rsid w:val="004C70DC"/>
    <w:rsid w:val="004D0211"/>
    <w:rsid w:val="004F06F5"/>
    <w:rsid w:val="004F33A0"/>
    <w:rsid w:val="005108C0"/>
    <w:rsid w:val="00511873"/>
    <w:rsid w:val="00513B7E"/>
    <w:rsid w:val="00525137"/>
    <w:rsid w:val="005251DD"/>
    <w:rsid w:val="00583FFD"/>
    <w:rsid w:val="00593152"/>
    <w:rsid w:val="005A21E0"/>
    <w:rsid w:val="005B1173"/>
    <w:rsid w:val="005B4204"/>
    <w:rsid w:val="005D5802"/>
    <w:rsid w:val="005F7FA5"/>
    <w:rsid w:val="00604307"/>
    <w:rsid w:val="0060487F"/>
    <w:rsid w:val="00624093"/>
    <w:rsid w:val="006404A7"/>
    <w:rsid w:val="006451E4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B78D8"/>
    <w:rsid w:val="006C113F"/>
    <w:rsid w:val="006D61F6"/>
    <w:rsid w:val="006E279A"/>
    <w:rsid w:val="006E313B"/>
    <w:rsid w:val="006F0E7E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C3F6A"/>
    <w:rsid w:val="007E7E61"/>
    <w:rsid w:val="007F0845"/>
    <w:rsid w:val="00821FF6"/>
    <w:rsid w:val="0083143E"/>
    <w:rsid w:val="00832454"/>
    <w:rsid w:val="00834FAA"/>
    <w:rsid w:val="00836086"/>
    <w:rsid w:val="00876086"/>
    <w:rsid w:val="008B7C02"/>
    <w:rsid w:val="008C0E88"/>
    <w:rsid w:val="008D2A16"/>
    <w:rsid w:val="008E31FF"/>
    <w:rsid w:val="009003A8"/>
    <w:rsid w:val="00902EFF"/>
    <w:rsid w:val="00921F14"/>
    <w:rsid w:val="0094427A"/>
    <w:rsid w:val="00974923"/>
    <w:rsid w:val="00987E97"/>
    <w:rsid w:val="009B6FD3"/>
    <w:rsid w:val="009E39BA"/>
    <w:rsid w:val="00A10D66"/>
    <w:rsid w:val="00A23E43"/>
    <w:rsid w:val="00A46DE0"/>
    <w:rsid w:val="00A60436"/>
    <w:rsid w:val="00A62CE1"/>
    <w:rsid w:val="00A75E40"/>
    <w:rsid w:val="00A857C0"/>
    <w:rsid w:val="00AA559A"/>
    <w:rsid w:val="00AB2AF1"/>
    <w:rsid w:val="00AB76F3"/>
    <w:rsid w:val="00AD306C"/>
    <w:rsid w:val="00B17E71"/>
    <w:rsid w:val="00B17FDE"/>
    <w:rsid w:val="00B30698"/>
    <w:rsid w:val="00B32DDB"/>
    <w:rsid w:val="00B35F38"/>
    <w:rsid w:val="00B6608F"/>
    <w:rsid w:val="00B76D1E"/>
    <w:rsid w:val="00B803AF"/>
    <w:rsid w:val="00B95940"/>
    <w:rsid w:val="00BD366B"/>
    <w:rsid w:val="00BD6D50"/>
    <w:rsid w:val="00C21F94"/>
    <w:rsid w:val="00C37BA2"/>
    <w:rsid w:val="00C90CF4"/>
    <w:rsid w:val="00C93389"/>
    <w:rsid w:val="00CA0C7F"/>
    <w:rsid w:val="00CB35AC"/>
    <w:rsid w:val="00CC61F7"/>
    <w:rsid w:val="00CD57C7"/>
    <w:rsid w:val="00CF51EC"/>
    <w:rsid w:val="00D040DD"/>
    <w:rsid w:val="00DC5B3B"/>
    <w:rsid w:val="00E01C0E"/>
    <w:rsid w:val="00E04694"/>
    <w:rsid w:val="00E71A58"/>
    <w:rsid w:val="00E95E46"/>
    <w:rsid w:val="00EA0C68"/>
    <w:rsid w:val="00EC7132"/>
    <w:rsid w:val="00EE01F9"/>
    <w:rsid w:val="00EE3E78"/>
    <w:rsid w:val="00EF1F5A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czso.cz/csu/redakce.nsf/i/podnikatelsky_sek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zso.cz/csu/klasifik.nsf/i/klasifikace_ekonomickych_cinnosti_(cz_nace)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F3EE-A4B0-4842-AECA-9F8950EB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2014-07-17T15:07:00Z</cp:lastPrinted>
  <dcterms:created xsi:type="dcterms:W3CDTF">2015-12-02T06:54:00Z</dcterms:created>
  <dcterms:modified xsi:type="dcterms:W3CDTF">2015-12-02T06:54:00Z</dcterms:modified>
</cp:coreProperties>
</file>