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AA" w:rsidRDefault="00637DAA" w:rsidP="00637DA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Metodické vysvětlivky</w:t>
      </w:r>
    </w:p>
    <w:p w:rsidR="00637DAA" w:rsidRDefault="00637DAA" w:rsidP="00637DAA">
      <w:pPr>
        <w:jc w:val="both"/>
        <w:rPr>
          <w:rFonts w:ascii="Arial" w:hAnsi="Arial" w:cs="Arial"/>
          <w:b/>
          <w:bCs/>
        </w:rPr>
      </w:pPr>
    </w:p>
    <w:p w:rsidR="00637DAA" w:rsidRPr="0090687B" w:rsidRDefault="00637DAA" w:rsidP="00637DA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Publikace </w:t>
      </w:r>
      <w:r w:rsidRPr="0090687B">
        <w:rPr>
          <w:rFonts w:cs="Calibri"/>
          <w:b/>
          <w:sz w:val="24"/>
          <w:szCs w:val="24"/>
        </w:rPr>
        <w:t>Chov skotu</w:t>
      </w:r>
      <w:r w:rsidRPr="0090687B">
        <w:rPr>
          <w:rFonts w:cs="Calibri"/>
          <w:sz w:val="24"/>
          <w:szCs w:val="24"/>
        </w:rPr>
        <w:t xml:space="preserve"> obsahuje statistické informace o dvou základních oblastech:</w:t>
      </w:r>
    </w:p>
    <w:p w:rsidR="0090687B" w:rsidRPr="0090687B" w:rsidRDefault="0090687B" w:rsidP="0090687B">
      <w:pPr>
        <w:pStyle w:val="Bezmezer"/>
        <w:numPr>
          <w:ilvl w:val="0"/>
          <w:numId w:val="1"/>
        </w:numPr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stavech turů (skotu, buvolů) podle věku a účelu chovu</w:t>
      </w:r>
    </w:p>
    <w:p w:rsidR="0090687B" w:rsidRPr="0090687B" w:rsidRDefault="0090687B" w:rsidP="0090687B">
      <w:pPr>
        <w:pStyle w:val="Odstavecseseznamem"/>
        <w:numPr>
          <w:ilvl w:val="0"/>
          <w:numId w:val="1"/>
        </w:numPr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produkci v chovu skotu (výroba mléka, výroba jatečného skotu, počet narozených telat), ze které se odvozují ukazatele užitkovosti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Údaje jsou zjišťovány pro splnění povinností vyplývajících z nařízení Evropského parlamentu a Rady (ES) č. 1165/2008 a 138/2004, směrnice Rady č. 96/16/ES, v platných zněních, pro potřeby analýz této oblasti ve vnitřní ekonomice, pro potřeby Evropské unie a mezinárodních organizací, zejména Organizace pro výživu a zemědělství, a pro informování veřejnosti.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Statistické údaje pokrývají </w:t>
      </w:r>
      <w:r w:rsidRPr="0090687B">
        <w:rPr>
          <w:rFonts w:cs="Calibri"/>
          <w:b/>
          <w:sz w:val="24"/>
          <w:szCs w:val="24"/>
        </w:rPr>
        <w:t>zemědělský sektor</w:t>
      </w:r>
      <w:r w:rsidRPr="0090687B">
        <w:rPr>
          <w:rFonts w:cs="Calibri"/>
          <w:sz w:val="24"/>
          <w:szCs w:val="24"/>
        </w:rPr>
        <w:t xml:space="preserve">, který je definovaný podle klasifikace NACE </w:t>
      </w:r>
      <w:proofErr w:type="spellStart"/>
      <w:r w:rsidRPr="0090687B">
        <w:rPr>
          <w:rFonts w:cs="Calibri"/>
          <w:sz w:val="24"/>
          <w:szCs w:val="24"/>
        </w:rPr>
        <w:t>rev</w:t>
      </w:r>
      <w:proofErr w:type="spellEnd"/>
      <w:r w:rsidRPr="0090687B">
        <w:rPr>
          <w:rFonts w:cs="Calibri"/>
          <w:sz w:val="24"/>
          <w:szCs w:val="24"/>
        </w:rPr>
        <w:t>. 2 zemědělskými činnostmi a prahovými hodnotami pro zápis do zemědělského registru: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01.1 Pěstování plodin jiných než trvalých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01.2 Pěstování trvalých plodin 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01.3 Množení rostlin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01.4 Živočišná výroba, z třídy 01.49 Chov ostatních zvířat jsou zahrnuty pouze chov </w:t>
      </w:r>
      <w:proofErr w:type="spellStart"/>
      <w:r w:rsidRPr="0090687B">
        <w:rPr>
          <w:rFonts w:cs="Calibri"/>
          <w:sz w:val="24"/>
          <w:szCs w:val="24"/>
        </w:rPr>
        <w:t>polodomestikovaných</w:t>
      </w:r>
      <w:proofErr w:type="spellEnd"/>
      <w:r w:rsidRPr="0090687B">
        <w:rPr>
          <w:rFonts w:cs="Calibri"/>
          <w:sz w:val="24"/>
          <w:szCs w:val="24"/>
        </w:rPr>
        <w:t xml:space="preserve"> a ostatních zvířat (s výjimkou chovu hmyzu) a chov včel, výroba medu a včelího vosku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01.5 Smíšené hospodářství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01.6 Podpůrné činnosti pro zemědělství a posklizňové činnosti, z této skupiny se zahrnují pouze činnosti k udržení zemědělské půdy v dobrém zemědělském a environmentálním stavu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Do zemědělského registru se zapisují subjekty, které splňují alespoň jedno z kritérií stanovených vyhláškou ČSÚ č. 126/2001 Sb.: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a) výměra obhospodařované zemědělské půdy nejméně 1 hektar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m2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c) výměra půdy, na které jsou zřízeny skleníky, fóliovníky nebo pařeniště, nejméně 300 m2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d) chov hospodářských zvířat v počtu nejméně 1 kusu skotu nebo 2 kusů prasat nebo 4 kusů ovcí nebo 4 kusů koz nebo 50 kusů drůbeže nebo 100 kusů králíků nebo 100 kusů kožešinových zvířat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e) chov sladkovodních ryb na vodní ploše bez zřetele na její výměru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b/>
          <w:sz w:val="24"/>
          <w:szCs w:val="24"/>
        </w:rPr>
        <w:t>Statistickou populací</w:t>
      </w:r>
      <w:r w:rsidRPr="0090687B">
        <w:rPr>
          <w:rFonts w:ascii="Calibri" w:hAnsi="Calibri" w:cs="Calibri"/>
          <w:sz w:val="24"/>
          <w:szCs w:val="24"/>
        </w:rPr>
        <w:t xml:space="preserve"> jsou ekonomické subjekty zabývající se chovem skotu.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b/>
          <w:sz w:val="24"/>
          <w:szCs w:val="24"/>
        </w:rPr>
        <w:t>Statistickou jednotkou</w:t>
      </w:r>
      <w:r w:rsidRPr="0090687B">
        <w:rPr>
          <w:rFonts w:cs="Calibri"/>
          <w:sz w:val="24"/>
          <w:szCs w:val="24"/>
        </w:rPr>
        <w:t xml:space="preserve"> je zemědělský podnik, kterým se rozumí </w:t>
      </w:r>
      <w:proofErr w:type="spellStart"/>
      <w:r w:rsidRPr="0090687B">
        <w:rPr>
          <w:rFonts w:cs="Calibri"/>
          <w:sz w:val="24"/>
          <w:szCs w:val="24"/>
        </w:rPr>
        <w:t>technicko-hospodářská</w:t>
      </w:r>
      <w:proofErr w:type="spellEnd"/>
      <w:r w:rsidRPr="0090687B">
        <w:rPr>
          <w:rFonts w:cs="Calibri"/>
          <w:sz w:val="24"/>
          <w:szCs w:val="24"/>
        </w:rPr>
        <w:t xml:space="preserve"> jednotka, která podléhá jednotnému řízení a provádí zemědělské činnosti jako svou primární nebo sekundární činnost.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Statistickými jednotkami jsou právnické i fyzické osoby.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Pro stavy zvířat je </w:t>
      </w:r>
      <w:r w:rsidRPr="0090687B">
        <w:rPr>
          <w:rFonts w:cs="Calibri"/>
          <w:b/>
          <w:sz w:val="24"/>
          <w:szCs w:val="24"/>
        </w:rPr>
        <w:t>referenčním dnem</w:t>
      </w:r>
      <w:r w:rsidRPr="0090687B">
        <w:rPr>
          <w:rFonts w:cs="Calibri"/>
          <w:sz w:val="24"/>
          <w:szCs w:val="24"/>
        </w:rPr>
        <w:t xml:space="preserve"> 30. červen a 31. prosinec.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 xml:space="preserve">Pro ukazatele produkce jsou </w:t>
      </w:r>
      <w:r w:rsidRPr="0090687B">
        <w:rPr>
          <w:rFonts w:ascii="Calibri" w:hAnsi="Calibri" w:cs="Calibri"/>
          <w:b/>
          <w:sz w:val="24"/>
          <w:szCs w:val="24"/>
        </w:rPr>
        <w:t>referenčním obdobím</w:t>
      </w:r>
      <w:r w:rsidRPr="0090687B">
        <w:rPr>
          <w:rFonts w:ascii="Calibri" w:hAnsi="Calibri" w:cs="Calibri"/>
          <w:sz w:val="24"/>
          <w:szCs w:val="24"/>
        </w:rPr>
        <w:t xml:space="preserve"> kalendářní pololetí nebo rok.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 xml:space="preserve">Statistické informace geograficky pokrývají </w:t>
      </w:r>
      <w:r w:rsidRPr="0090687B">
        <w:rPr>
          <w:rFonts w:ascii="Calibri" w:hAnsi="Calibri" w:cs="Calibri"/>
          <w:b/>
          <w:sz w:val="24"/>
          <w:szCs w:val="24"/>
        </w:rPr>
        <w:t>území</w:t>
      </w:r>
      <w:r w:rsidRPr="0090687B">
        <w:rPr>
          <w:rFonts w:ascii="Calibri" w:hAnsi="Calibri" w:cs="Calibri"/>
          <w:sz w:val="24"/>
          <w:szCs w:val="24"/>
        </w:rPr>
        <w:t xml:space="preserve"> České republiky a jsou členěny podle krajů (úroveň NUTS3, CZ010 Hlavní město Praha a CZ020 Středočeský kraj společně) nebo regionů soudržnosti (NUTS2).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b/>
          <w:sz w:val="24"/>
          <w:szCs w:val="24"/>
        </w:rPr>
        <w:t>Zdrojem publikovaných dat</w:t>
      </w:r>
      <w:r w:rsidRPr="0090687B">
        <w:rPr>
          <w:rFonts w:cs="Calibri"/>
          <w:sz w:val="24"/>
          <w:szCs w:val="24"/>
        </w:rPr>
        <w:t xml:space="preserve"> je výběrové statistické zjišťování Zem1-02 o chovu skotu, které se provádí jako výběrové šetření dvakrát ročně. Výběr je stratifikovaný podle velikosti </w:t>
      </w:r>
      <w:r w:rsidRPr="0090687B">
        <w:rPr>
          <w:rFonts w:cs="Calibri"/>
          <w:sz w:val="24"/>
          <w:szCs w:val="24"/>
        </w:rPr>
        <w:lastRenderedPageBreak/>
        <w:t xml:space="preserve">chovaného stáda skotu, příslušnosti k výrobní podoblasti a kraji hospodaření. Zjištěné hodnoty jsou ve stratech váženy koeficienty odpovídajícími </w:t>
      </w:r>
      <w:proofErr w:type="spellStart"/>
      <w:r w:rsidRPr="0090687B">
        <w:rPr>
          <w:rFonts w:cs="Calibri"/>
          <w:sz w:val="24"/>
          <w:szCs w:val="24"/>
        </w:rPr>
        <w:t>procentickému</w:t>
      </w:r>
      <w:proofErr w:type="spellEnd"/>
      <w:r w:rsidRPr="0090687B">
        <w:rPr>
          <w:rFonts w:cs="Calibri"/>
          <w:sz w:val="24"/>
          <w:szCs w:val="24"/>
        </w:rPr>
        <w:t xml:space="preserve"> zastoupení vybraných jednotek.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Nezjištěné hodnoty (skutečná non-response) jsou nahrazovány průměrnou hodnotou ve stratu.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b/>
          <w:sz w:val="24"/>
          <w:szCs w:val="24"/>
        </w:rPr>
        <w:t>Data jsou kontrolována</w:t>
      </w:r>
      <w:r w:rsidRPr="0090687B">
        <w:rPr>
          <w:rFonts w:cs="Calibri"/>
          <w:sz w:val="24"/>
          <w:szCs w:val="24"/>
        </w:rPr>
        <w:t xml:space="preserve"> na úrovni zpravodajské jednotky ve dvou fázích:</w:t>
      </w:r>
    </w:p>
    <w:p w:rsidR="0090687B" w:rsidRPr="0090687B" w:rsidRDefault="0090687B" w:rsidP="0090687B">
      <w:pPr>
        <w:pStyle w:val="Bezmezer"/>
        <w:numPr>
          <w:ilvl w:val="0"/>
          <w:numId w:val="1"/>
        </w:numPr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před odesláním vyplněného on-line formuláře - závazné kontroly</w:t>
      </w:r>
    </w:p>
    <w:p w:rsidR="0090687B" w:rsidRPr="0090687B" w:rsidRDefault="0090687B" w:rsidP="0090687B">
      <w:pPr>
        <w:pStyle w:val="Bezmezer"/>
        <w:numPr>
          <w:ilvl w:val="0"/>
          <w:numId w:val="1"/>
        </w:numPr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po přijetí dat - informativní kontroly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a na úrovni agregátů se posuzují výkyvy vzhledem k předchozímu období.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Ze zjištěných údajů jsou počítány </w:t>
      </w:r>
      <w:r w:rsidRPr="0090687B">
        <w:rPr>
          <w:rFonts w:cs="Calibri"/>
          <w:b/>
          <w:sz w:val="24"/>
          <w:szCs w:val="24"/>
        </w:rPr>
        <w:t>odvozené ukazatele</w:t>
      </w:r>
      <w:r w:rsidRPr="0090687B">
        <w:rPr>
          <w:rFonts w:cs="Calibri"/>
          <w:sz w:val="24"/>
          <w:szCs w:val="24"/>
        </w:rPr>
        <w:t>: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průměrný stav krav = počet krmných dnů krav / počet kalendářních dnů za sledované období), 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průměrná denní užitkovost = výroba mléka v litrech / počet krmných dnů dojených krav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 xml:space="preserve">průměrná roční dojivost = výroba mléka v litrech / průměrný stav dojených krav za rok 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počet telat narozených na 100 krav = počet živě narozených telat / 100 * průměrný stav krav ve sledovaném období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úhyn telat v procentech= počet uhynulých telat do 3 měsíců věku * 100 / počet živě narozených telat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počet telat odchovaných na 100 krav počet = (počet živě narozených telat – počet uhynulých telat do 3 měsíců věku) / 100*průměrný stav krav ve sledovaném období.</w:t>
      </w:r>
    </w:p>
    <w:p w:rsidR="0090687B" w:rsidRPr="0090687B" w:rsidRDefault="0090687B" w:rsidP="0090687B">
      <w:pPr>
        <w:pStyle w:val="Bezmezer"/>
        <w:rPr>
          <w:rFonts w:cs="Calibri"/>
          <w:b/>
          <w:sz w:val="24"/>
          <w:szCs w:val="24"/>
        </w:rPr>
      </w:pPr>
      <w:r w:rsidRPr="0090687B">
        <w:rPr>
          <w:rFonts w:cs="Calibri"/>
          <w:b/>
          <w:sz w:val="24"/>
          <w:szCs w:val="24"/>
        </w:rPr>
        <w:t>Přerušení řady u sledovaných ukazatelů:</w:t>
      </w:r>
    </w:p>
    <w:p w:rsidR="0090687B" w:rsidRPr="0090687B" w:rsidRDefault="0090687B" w:rsidP="0090687B">
      <w:pPr>
        <w:pStyle w:val="Bezmezer"/>
        <w:rPr>
          <w:rFonts w:cs="Calibri"/>
          <w:sz w:val="24"/>
          <w:szCs w:val="24"/>
        </w:rPr>
      </w:pPr>
      <w:r w:rsidRPr="0090687B">
        <w:rPr>
          <w:rFonts w:cs="Calibri"/>
          <w:sz w:val="24"/>
          <w:szCs w:val="24"/>
        </w:rPr>
        <w:t>od roku 2017</w:t>
      </w:r>
    </w:p>
    <w:p w:rsidR="0090687B" w:rsidRPr="0090687B" w:rsidRDefault="0090687B" w:rsidP="0090687B">
      <w:pPr>
        <w:rPr>
          <w:rFonts w:ascii="Calibri" w:hAnsi="Calibri" w:cs="Calibri"/>
          <w:sz w:val="24"/>
          <w:szCs w:val="24"/>
        </w:rPr>
      </w:pPr>
      <w:r w:rsidRPr="0090687B">
        <w:rPr>
          <w:rFonts w:ascii="Calibri" w:hAnsi="Calibri" w:cs="Calibri"/>
          <w:sz w:val="24"/>
          <w:szCs w:val="24"/>
        </w:rPr>
        <w:t>Věkové členění skotu do 1 roku změněno z kategorií „do 8 měsíců“ a „8 až 12 měsíců věku“ na „do 6 měsíců“ a „6 až 12 měsíců věku“.</w:t>
      </w:r>
      <w:bookmarkStart w:id="0" w:name="_GoBack"/>
      <w:bookmarkEnd w:id="0"/>
    </w:p>
    <w:p w:rsidR="0090687B" w:rsidRPr="0090687B" w:rsidRDefault="0090687B" w:rsidP="0090687B">
      <w:pPr>
        <w:pStyle w:val="Nadpis1"/>
        <w:rPr>
          <w:rFonts w:ascii="Calibri" w:hAnsi="Calibri" w:cs="Calibri"/>
          <w:bCs w:val="0"/>
          <w:i/>
          <w:iCs/>
          <w:sz w:val="24"/>
          <w:szCs w:val="24"/>
          <w:lang w:val="en-US"/>
        </w:rPr>
      </w:pPr>
    </w:p>
    <w:p w:rsidR="00637DAA" w:rsidRPr="0090687B" w:rsidRDefault="00637DAA" w:rsidP="00637DAA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637DAA" w:rsidRPr="0090687B" w:rsidRDefault="00637DAA" w:rsidP="00637DAA">
      <w:pPr>
        <w:ind w:left="284"/>
        <w:jc w:val="both"/>
        <w:rPr>
          <w:rFonts w:ascii="Calibri" w:hAnsi="Calibri" w:cs="Calibri"/>
          <w:sz w:val="24"/>
          <w:szCs w:val="24"/>
        </w:rPr>
      </w:pPr>
    </w:p>
    <w:p w:rsidR="00637DAA" w:rsidRPr="0090687B" w:rsidRDefault="00637DAA" w:rsidP="00637DAA">
      <w:pPr>
        <w:ind w:left="284"/>
        <w:jc w:val="both"/>
        <w:rPr>
          <w:rFonts w:ascii="Calibri" w:hAnsi="Calibri" w:cs="Calibri"/>
          <w:sz w:val="24"/>
          <w:szCs w:val="24"/>
        </w:rPr>
      </w:pPr>
    </w:p>
    <w:p w:rsidR="00637DAA" w:rsidRPr="0090687B" w:rsidRDefault="00637DAA" w:rsidP="00637DAA">
      <w:pPr>
        <w:ind w:left="284"/>
        <w:jc w:val="both"/>
        <w:rPr>
          <w:rFonts w:ascii="Calibri" w:hAnsi="Calibri" w:cs="Calibri"/>
          <w:sz w:val="24"/>
          <w:szCs w:val="24"/>
        </w:rPr>
      </w:pPr>
    </w:p>
    <w:p w:rsidR="005C0AF0" w:rsidRDefault="005C0AF0" w:rsidP="00637DAA"/>
    <w:sectPr w:rsidR="005C0AF0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4C225D"/>
    <w:rsid w:val="005C0AF0"/>
    <w:rsid w:val="00637DAA"/>
    <w:rsid w:val="007E0E8C"/>
    <w:rsid w:val="0090687B"/>
    <w:rsid w:val="009938D9"/>
    <w:rsid w:val="00A14EE8"/>
    <w:rsid w:val="00C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64366-7688-4B24-987D-A766C133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next w:val="Normln"/>
    <w:link w:val="Nadpis1Char"/>
    <w:uiPriority w:val="9"/>
    <w:qFormat/>
    <w:rsid w:val="0090687B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90687B"/>
    <w:rPr>
      <w:rFonts w:ascii="Arial" w:eastAsia="MS Gothic" w:hAnsi="Arial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9068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068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cabova7827</cp:lastModifiedBy>
  <cp:revision>3</cp:revision>
  <dcterms:created xsi:type="dcterms:W3CDTF">2018-08-03T10:11:00Z</dcterms:created>
  <dcterms:modified xsi:type="dcterms:W3CDTF">2021-07-15T06:45:00Z</dcterms:modified>
</cp:coreProperties>
</file>