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14973091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  <w:bookmarkStart w:id="0" w:name="_GoBack"/>
      <w:bookmarkEnd w:id="0"/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28" w:rsidRDefault="00AB4A28" w:rsidP="00E71A58">
      <w:r>
        <w:separator/>
      </w:r>
    </w:p>
  </w:endnote>
  <w:endnote w:type="continuationSeparator" w:id="0">
    <w:p w:rsidR="00AB4A28" w:rsidRDefault="00AB4A2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3E6477">
      <w:rPr>
        <w:szCs w:val="16"/>
      </w:rPr>
      <w:t>červ</w:t>
    </w:r>
    <w:r w:rsidR="00FB7895">
      <w:rPr>
        <w:szCs w:val="16"/>
      </w:rPr>
      <w:t>en</w:t>
    </w:r>
    <w:r w:rsidR="00242278">
      <w:rPr>
        <w:szCs w:val="16"/>
      </w:rPr>
      <w:t>ec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242278">
      <w:rPr>
        <w:rStyle w:val="ZpatChar"/>
        <w:i/>
        <w:szCs w:val="16"/>
      </w:rPr>
      <w:t>July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28" w:rsidRDefault="00AB4A28" w:rsidP="00E71A58">
      <w:r>
        <w:separator/>
      </w:r>
    </w:p>
  </w:footnote>
  <w:footnote w:type="continuationSeparator" w:id="0">
    <w:p w:rsidR="00AB4A28" w:rsidRDefault="00AB4A2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9163860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0B16-ED6F-4EB9-A6FF-C83851B2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34</cp:revision>
  <cp:lastPrinted>2017-01-18T13:33:00Z</cp:lastPrinted>
  <dcterms:created xsi:type="dcterms:W3CDTF">2024-02-15T09:23:00Z</dcterms:created>
  <dcterms:modified xsi:type="dcterms:W3CDTF">2025-07-25T16:25:00Z</dcterms:modified>
</cp:coreProperties>
</file>