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4F" w:rsidRPr="007D0E6B" w:rsidRDefault="00CE113A" w:rsidP="0097104F">
      <w:pPr>
        <w:pStyle w:val="Nadpis1"/>
      </w:pPr>
      <w:r w:rsidRPr="00CE113A">
        <w:t xml:space="preserve">MEZIROČNÍ RŮST CEN BYL NEJVYŠŠÍ ZA POSLEDNÍCH PĚT </w:t>
      </w:r>
      <w:r>
        <w:t>LET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1F7337">
        <w:t>ří</w:t>
      </w:r>
      <w:r w:rsidR="00CE113A">
        <w:t>jen</w:t>
      </w:r>
      <w:r w:rsidR="00F7312B">
        <w:t> 2017</w:t>
      </w:r>
    </w:p>
    <w:p w:rsidR="00F7312B" w:rsidRPr="00F7312B" w:rsidRDefault="00CE113A" w:rsidP="00F7312B">
      <w:pPr>
        <w:pStyle w:val="Perex"/>
        <w:spacing w:before="120" w:line="288" w:lineRule="auto"/>
        <w:rPr>
          <w:szCs w:val="20"/>
        </w:rPr>
      </w:pPr>
      <w:r w:rsidRPr="00CE113A">
        <w:t>Spotřebitelské ceny vzrostly v říjnu proti září o 0,5 %. Toto zvýšení ovlivnil zejména růst cen v oddíle potraviny a nealkoholické nápoje. Meziročně vzrostly spotřebitels</w:t>
      </w:r>
      <w:r>
        <w:t>ké ceny o 2,9 %, což bylo o 0,2 </w:t>
      </w:r>
      <w:r w:rsidRPr="00CE113A">
        <w:t>procentního bodu více než v září. Jedná se o nejvyšší meziroční růst cen od října 2012.</w:t>
      </w:r>
      <w:r w:rsidR="00F7312B" w:rsidRPr="00F7312B">
        <w:rPr>
          <w:szCs w:val="20"/>
        </w:rPr>
        <w:t xml:space="preserve"> </w:t>
      </w:r>
    </w:p>
    <w:p w:rsidR="00CE113A" w:rsidRPr="00CE113A" w:rsidRDefault="00CE113A" w:rsidP="00CE113A">
      <w:pPr>
        <w:spacing w:after="0" w:line="276" w:lineRule="auto"/>
        <w:jc w:val="both"/>
        <w:rPr>
          <w:rFonts w:cs="Arial"/>
          <w:szCs w:val="20"/>
        </w:rPr>
      </w:pPr>
      <w:r w:rsidRPr="00CE113A">
        <w:rPr>
          <w:rFonts w:cs="Arial"/>
          <w:b/>
          <w:szCs w:val="20"/>
        </w:rPr>
        <w:t>Meziměsíční</w:t>
      </w:r>
      <w:r w:rsidRPr="00CE113A">
        <w:rPr>
          <w:rFonts w:cs="Arial"/>
          <w:szCs w:val="20"/>
        </w:rPr>
        <w:t xml:space="preserve"> růst spotřebitelských cen v oddíle potraviny a nealkoholické nápoje způsobilo zejména zvýšení cen zeleniny o 8,4 % vlivem vyšších cen plodové zeleniny o 35,0 %. Růst cen potravin byl též ovlivněn vyššími cenami ovoce o 6,0 %, vajec o 12,5 %, čerstvého másla o 5,6 %, sýrů o 1,3 %, jogurtů o 2,9 %, drůbežího masa o 1,8 %, čokolády a čokoládových výrobků o 3,1 %. V oddíle odívání a obuv vzrostly ceny oděvů o 2,4 % a obuvi o 4,6 %. V oddíle ostatní zboží a služby se zvýšily především ceny výrobků a služeb pro osobní péči o 1,6 %. V oddíle doprava pokračoval růst cen pohonných hmot, který byl v říjnu 0,8 %.</w:t>
      </w:r>
    </w:p>
    <w:p w:rsidR="00CE113A" w:rsidRPr="00CE113A" w:rsidRDefault="00CE113A" w:rsidP="00CE113A">
      <w:pPr>
        <w:tabs>
          <w:tab w:val="left" w:pos="4900"/>
        </w:tabs>
        <w:spacing w:after="0" w:line="276" w:lineRule="auto"/>
        <w:jc w:val="both"/>
        <w:rPr>
          <w:rFonts w:cs="Arial"/>
          <w:szCs w:val="20"/>
        </w:rPr>
      </w:pPr>
    </w:p>
    <w:p w:rsidR="00CE113A" w:rsidRPr="00CE113A" w:rsidRDefault="00CE113A" w:rsidP="00CE113A">
      <w:pPr>
        <w:tabs>
          <w:tab w:val="left" w:pos="4900"/>
        </w:tabs>
        <w:spacing w:after="0" w:line="276" w:lineRule="auto"/>
        <w:jc w:val="both"/>
        <w:rPr>
          <w:rFonts w:cs="Arial"/>
          <w:szCs w:val="20"/>
        </w:rPr>
      </w:pPr>
      <w:r w:rsidRPr="00CE113A">
        <w:rPr>
          <w:rFonts w:cs="Arial"/>
          <w:szCs w:val="20"/>
        </w:rPr>
        <w:t>Na snižování celkové cenové hladiny působil v říjnu především pokles cen v oddíle pošty a telekomunikace vlivem nižších cen telefonických a telefaxových služeb o 0,6 %. V oddíle zdraví se snížily ceny lázeňských pobytů o 4,2 %.</w:t>
      </w:r>
    </w:p>
    <w:p w:rsidR="00CE113A" w:rsidRPr="00CE113A" w:rsidRDefault="00CE113A" w:rsidP="00CE113A">
      <w:pPr>
        <w:tabs>
          <w:tab w:val="left" w:pos="4900"/>
        </w:tabs>
        <w:spacing w:after="0" w:line="276" w:lineRule="auto"/>
        <w:jc w:val="both"/>
        <w:rPr>
          <w:rFonts w:cs="Arial"/>
          <w:szCs w:val="20"/>
        </w:rPr>
      </w:pPr>
    </w:p>
    <w:p w:rsidR="001F7337" w:rsidRPr="00CE113A" w:rsidRDefault="00CE113A" w:rsidP="00CE113A">
      <w:pPr>
        <w:pStyle w:val="Zkladntextodsazen2"/>
        <w:spacing w:after="240" w:line="288" w:lineRule="auto"/>
        <w:ind w:left="0"/>
        <w:rPr>
          <w:rFonts w:eastAsia="Times New Roman" w:cs="Arial"/>
          <w:szCs w:val="20"/>
          <w:lang w:eastAsia="cs-CZ"/>
        </w:rPr>
      </w:pPr>
      <w:r w:rsidRPr="00CE113A">
        <w:rPr>
          <w:rFonts w:eastAsia="Times New Roman" w:cs="Arial"/>
          <w:szCs w:val="20"/>
          <w:lang w:eastAsia="cs-CZ"/>
        </w:rPr>
        <w:t>Ceny zboží úhrnem vzrostly o 0,8 % a ceny služeb o 0,1 %.</w:t>
      </w:r>
    </w:p>
    <w:p w:rsidR="00CE113A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650AB">
        <w:rPr>
          <w:rFonts w:cs="Arial"/>
          <w:b/>
          <w:szCs w:val="20"/>
        </w:rPr>
        <w:t>Meziročně</w:t>
      </w:r>
      <w:r w:rsidRPr="00B650AB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říjnu</w:t>
      </w:r>
      <w:r w:rsidRPr="00B650A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2,9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>, což je o </w:t>
      </w:r>
      <w:r w:rsidRPr="00B650AB">
        <w:rPr>
          <w:rFonts w:cs="Arial"/>
          <w:szCs w:val="20"/>
        </w:rPr>
        <w:t>0,</w:t>
      </w:r>
      <w:r>
        <w:rPr>
          <w:rFonts w:cs="Arial"/>
          <w:szCs w:val="20"/>
        </w:rPr>
        <w:t>2</w:t>
      </w:r>
      <w:r w:rsidRPr="00B650AB">
        <w:rPr>
          <w:rFonts w:cs="Arial"/>
          <w:szCs w:val="20"/>
        </w:rPr>
        <w:t> pr</w:t>
      </w:r>
      <w:r>
        <w:rPr>
          <w:rFonts w:cs="Arial"/>
          <w:szCs w:val="20"/>
        </w:rPr>
        <w:t>ocentního bodu více než </w:t>
      </w:r>
      <w:r w:rsidRPr="00B650AB">
        <w:rPr>
          <w:rFonts w:cs="Arial"/>
          <w:szCs w:val="20"/>
        </w:rPr>
        <w:t>v </w:t>
      </w:r>
      <w:r>
        <w:rPr>
          <w:rFonts w:cs="Arial"/>
          <w:szCs w:val="20"/>
        </w:rPr>
        <w:t>září</w:t>
      </w:r>
      <w:r w:rsidRPr="00B650A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576E20">
        <w:rPr>
          <w:rFonts w:cs="Arial"/>
          <w:szCs w:val="20"/>
        </w:rPr>
        <w:t xml:space="preserve">Tento vývoj </w:t>
      </w:r>
      <w:r>
        <w:rPr>
          <w:rFonts w:cs="Arial"/>
          <w:szCs w:val="20"/>
        </w:rPr>
        <w:t>byl ovlivněn</w:t>
      </w:r>
      <w:r w:rsidRPr="00576E20">
        <w:rPr>
          <w:rFonts w:cs="Arial"/>
          <w:szCs w:val="20"/>
        </w:rPr>
        <w:t xml:space="preserve"> zejména zrychlení</w:t>
      </w:r>
      <w:r>
        <w:rPr>
          <w:rFonts w:cs="Arial"/>
          <w:szCs w:val="20"/>
        </w:rPr>
        <w:t>m</w:t>
      </w:r>
      <w:r w:rsidRPr="00576E20">
        <w:rPr>
          <w:rFonts w:cs="Arial"/>
          <w:szCs w:val="20"/>
        </w:rPr>
        <w:t xml:space="preserve"> meziročního cenového růstu v oddíle </w:t>
      </w:r>
      <w:r>
        <w:rPr>
          <w:rFonts w:cs="Arial"/>
          <w:szCs w:val="20"/>
        </w:rPr>
        <w:t>potraviny a </w:t>
      </w:r>
      <w:r w:rsidRPr="008453F2">
        <w:rPr>
          <w:rFonts w:cs="Arial"/>
          <w:szCs w:val="20"/>
        </w:rPr>
        <w:t xml:space="preserve">nealkoholické </w:t>
      </w:r>
      <w:r>
        <w:rPr>
          <w:rFonts w:cs="Arial"/>
          <w:szCs w:val="20"/>
        </w:rPr>
        <w:t xml:space="preserve">nápoje. Ceny zeleniny přešly z cenového poklesu o 4,4 % v září v růst o 10,4 % v říjnu, ceny ovoce byly vyšší o 8,2 % (v září o 2,4 %), vajec o 36,4 % (v září o 25,8 %), nealkoholických nápojů o 4,3 % (v září o 1,6 %). V oddíle odívání a obuv </w:t>
      </w:r>
      <w:r w:rsidRPr="000C13E4">
        <w:rPr>
          <w:rFonts w:cs="Arial"/>
          <w:szCs w:val="20"/>
        </w:rPr>
        <w:t xml:space="preserve">ceny oděvů </w:t>
      </w:r>
      <w:r>
        <w:rPr>
          <w:rFonts w:cs="Arial"/>
          <w:szCs w:val="20"/>
        </w:rPr>
        <w:t>prohloubily svůj pokles na </w:t>
      </w:r>
      <w:r>
        <w:rPr>
          <w:rFonts w:ascii="Calibri" w:hAnsi="Calibri" w:cs="Arial"/>
          <w:szCs w:val="20"/>
        </w:rPr>
        <w:t>–</w:t>
      </w:r>
      <w:r>
        <w:rPr>
          <w:rFonts w:cs="Arial"/>
          <w:szCs w:val="20"/>
        </w:rPr>
        <w:t>1,</w:t>
      </w:r>
      <w:r w:rsidRPr="002D6A1D">
        <w:rPr>
          <w:rFonts w:cs="Arial"/>
          <w:szCs w:val="20"/>
        </w:rPr>
        <w:t>9</w:t>
      </w:r>
      <w:r>
        <w:rPr>
          <w:rFonts w:cs="Arial"/>
          <w:szCs w:val="20"/>
        </w:rPr>
        <w:t> </w:t>
      </w:r>
      <w:r w:rsidRPr="002D6A1D">
        <w:rPr>
          <w:rFonts w:cs="Arial"/>
          <w:szCs w:val="20"/>
        </w:rPr>
        <w:t>% (z</w:t>
      </w:r>
      <w:r>
        <w:rPr>
          <w:rFonts w:cs="Arial"/>
          <w:szCs w:val="20"/>
        </w:rPr>
        <w:t> </w:t>
      </w:r>
      <w:r>
        <w:rPr>
          <w:rFonts w:ascii="Calibri" w:hAnsi="Calibri" w:cs="Arial"/>
          <w:szCs w:val="20"/>
        </w:rPr>
        <w:t>–</w:t>
      </w:r>
      <w:bookmarkStart w:id="0" w:name="_GoBack"/>
      <w:bookmarkEnd w:id="0"/>
      <w:r>
        <w:rPr>
          <w:rFonts w:cs="Arial"/>
          <w:szCs w:val="20"/>
        </w:rPr>
        <w:t>0,3 </w:t>
      </w:r>
      <w:r w:rsidRPr="002D6A1D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v září) a ceny obuvi zpomalily růst na 2,5</w:t>
      </w:r>
      <w:r w:rsidRPr="000C13E4">
        <w:rPr>
          <w:rFonts w:cs="Arial"/>
          <w:szCs w:val="20"/>
        </w:rPr>
        <w:t> % (</w:t>
      </w:r>
      <w:proofErr w:type="gramStart"/>
      <w:r w:rsidRPr="000C13E4">
        <w:rPr>
          <w:rFonts w:cs="Arial"/>
          <w:szCs w:val="20"/>
        </w:rPr>
        <w:t>z</w:t>
      </w:r>
      <w:r>
        <w:rPr>
          <w:rFonts w:cs="Arial"/>
          <w:szCs w:val="20"/>
        </w:rPr>
        <w:t>e</w:t>
      </w:r>
      <w:proofErr w:type="gramEnd"/>
      <w:r w:rsidRPr="000C13E4">
        <w:rPr>
          <w:rFonts w:cs="Arial"/>
          <w:szCs w:val="20"/>
        </w:rPr>
        <w:t> </w:t>
      </w:r>
      <w:r>
        <w:rPr>
          <w:rFonts w:cs="Arial"/>
          <w:szCs w:val="20"/>
        </w:rPr>
        <w:t>3,6</w:t>
      </w:r>
      <w:r w:rsidRPr="000C13E4">
        <w:rPr>
          <w:rFonts w:cs="Arial"/>
          <w:szCs w:val="20"/>
        </w:rPr>
        <w:t> % v </w:t>
      </w:r>
      <w:r>
        <w:rPr>
          <w:rFonts w:cs="Arial"/>
          <w:szCs w:val="20"/>
        </w:rPr>
        <w:t>září</w:t>
      </w:r>
      <w:r w:rsidRPr="000C13E4">
        <w:rPr>
          <w:rFonts w:cs="Arial"/>
          <w:szCs w:val="20"/>
        </w:rPr>
        <w:t>).</w:t>
      </w:r>
    </w:p>
    <w:p w:rsidR="00CE113A" w:rsidRDefault="00CE113A" w:rsidP="00CE113A">
      <w:pPr>
        <w:jc w:val="both"/>
      </w:pPr>
      <w:r w:rsidRPr="003D6B5A">
        <w:t>Na meziroční zvyšování cenové hladiny měly v</w:t>
      </w:r>
      <w:r>
        <w:t xml:space="preserve"> říjnu nadále </w:t>
      </w:r>
      <w:r w:rsidRPr="003D6B5A">
        <w:t>největší vliv 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>potraviny a nealkoholické nápoje.</w:t>
      </w:r>
      <w:r w:rsidRPr="00256600">
        <w:t xml:space="preserve"> </w:t>
      </w:r>
      <w:r>
        <w:t>Ceny pekárenských výrobků a obilovin vzrostly o 6,1 %, masa o 4,9 %, mléka o 11,4 %, sýrů o 12,7 %, jogurtů o 13,1 %, čerstvého másla o 50,7 %, rostlinných a ostatních tuků o 14,4 %. Druhé</w:t>
      </w:r>
      <w:r w:rsidRPr="00256600">
        <w:t xml:space="preserve"> v pořadí vlivu byly ceny v oddí</w:t>
      </w:r>
      <w:r>
        <w:t>le bydlení, kde se zvýšily ceny</w:t>
      </w:r>
      <w:r w:rsidRPr="00256600">
        <w:t xml:space="preserve"> </w:t>
      </w:r>
      <w:r>
        <w:t xml:space="preserve">čistého nájemného o 2,9 %, </w:t>
      </w:r>
      <w:r w:rsidRPr="00256600">
        <w:t>vodného o 1,2</w:t>
      </w:r>
      <w:r w:rsidRPr="00303B5D">
        <w:t> %, stočného o 0,4 %, elektřiny o 0,3 %</w:t>
      </w:r>
      <w:r>
        <w:t>.</w:t>
      </w:r>
      <w:r w:rsidRPr="00303B5D">
        <w:t xml:space="preserve"> Vliv na zvýšení cenové hladiny měly též ceny v oddíle</w:t>
      </w:r>
      <w:r>
        <w:t xml:space="preserve"> stravování a ubytování, kde byly vyšší</w:t>
      </w:r>
      <w:r w:rsidRPr="005B7CA1">
        <w:t xml:space="preserve"> ceny stravovacích služeb o </w:t>
      </w:r>
      <w:r>
        <w:t>7,2</w:t>
      </w:r>
      <w:r w:rsidRPr="005B7CA1">
        <w:t> % a ceny ubytovacích služeb o </w:t>
      </w:r>
      <w:r>
        <w:t>1,7</w:t>
      </w:r>
      <w:r w:rsidRPr="005B7CA1">
        <w:t> %.</w:t>
      </w:r>
      <w:r>
        <w:t xml:space="preserve"> Růst cen pokračoval také v oddíle doprava vlivem vyšších cen pohonných hmot </w:t>
      </w:r>
      <w:r w:rsidRPr="002D6A1D">
        <w:t>o 2,6 %.</w:t>
      </w:r>
    </w:p>
    <w:p w:rsidR="00CE113A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 </w:t>
      </w:r>
      <w:r w:rsidRPr="00432CD2">
        <w:rPr>
          <w:rFonts w:eastAsia="Calibri"/>
          <w:szCs w:val="22"/>
        </w:rPr>
        <w:t>(o 0,</w:t>
      </w:r>
      <w:r>
        <w:rPr>
          <w:rFonts w:eastAsia="Calibri"/>
          <w:szCs w:val="22"/>
        </w:rPr>
        <w:t>9</w:t>
      </w:r>
      <w:r w:rsidRPr="00432CD2">
        <w:rPr>
          <w:rFonts w:eastAsia="Calibri"/>
          <w:szCs w:val="22"/>
        </w:rPr>
        <w:t xml:space="preserve"> %). </w:t>
      </w:r>
      <w:r>
        <w:rPr>
          <w:rFonts w:eastAsia="Calibri"/>
          <w:szCs w:val="22"/>
        </w:rPr>
        <w:t>P</w:t>
      </w:r>
      <w:r w:rsidRPr="00432CD2">
        <w:rPr>
          <w:rFonts w:eastAsia="Calibri"/>
          <w:szCs w:val="22"/>
        </w:rPr>
        <w:t>okles cen pokračoval v oddíle pošty a telekomunikace v důsledku snížení cen telefonických a telefaxových služeb o</w:t>
      </w:r>
      <w:r>
        <w:rPr>
          <w:rFonts w:eastAsia="Calibri"/>
          <w:szCs w:val="22"/>
        </w:rPr>
        <w:t> 1,8</w:t>
      </w:r>
      <w:r w:rsidRPr="00432CD2">
        <w:rPr>
          <w:rFonts w:eastAsia="Calibri"/>
          <w:szCs w:val="22"/>
        </w:rPr>
        <w:t> %. V oddíle bydlení byly nižší ceny tepla a </w:t>
      </w:r>
      <w:r>
        <w:rPr>
          <w:rFonts w:eastAsia="Calibri"/>
          <w:szCs w:val="22"/>
        </w:rPr>
        <w:t xml:space="preserve">teplé vody </w:t>
      </w:r>
      <w:r w:rsidRPr="00432CD2">
        <w:rPr>
          <w:rFonts w:eastAsia="Calibri"/>
          <w:szCs w:val="22"/>
        </w:rPr>
        <w:t>o 2,3 %</w:t>
      </w:r>
      <w:r>
        <w:rPr>
          <w:rFonts w:eastAsia="Calibri"/>
          <w:szCs w:val="22"/>
        </w:rPr>
        <w:t xml:space="preserve"> a </w:t>
      </w:r>
      <w:r w:rsidRPr="00432CD2">
        <w:rPr>
          <w:rFonts w:eastAsia="Calibri"/>
          <w:szCs w:val="22"/>
        </w:rPr>
        <w:t>ceny zemního plynu o 0,8 %.</w:t>
      </w:r>
    </w:p>
    <w:p w:rsidR="00CE113A" w:rsidRPr="00576E20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2,7 %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3,2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102,7</w:t>
      </w:r>
      <w:r w:rsidRPr="00916640">
        <w:rPr>
          <w:rFonts w:cs="Arial"/>
          <w:szCs w:val="20"/>
        </w:rPr>
        <w:t> %.</w:t>
      </w:r>
    </w:p>
    <w:p w:rsidR="00CE113A" w:rsidRPr="00576E20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říjnu 2,3</w:t>
      </w:r>
      <w:r w:rsidRPr="00576E20">
        <w:rPr>
          <w:rFonts w:cs="Arial"/>
          <w:szCs w:val="20"/>
        </w:rPr>
        <w:t> %.</w:t>
      </w:r>
    </w:p>
    <w:p w:rsidR="0097104F" w:rsidRDefault="00CE113A" w:rsidP="00CE113A">
      <w:pPr>
        <w:tabs>
          <w:tab w:val="left" w:pos="4900"/>
        </w:tabs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září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1,8 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7017F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> srpnu.</w:t>
      </w:r>
      <w:r w:rsidRPr="006F3483">
        <w:rPr>
          <w:rFonts w:cs="Arial"/>
          <w:bCs/>
          <w:szCs w:val="22"/>
        </w:rPr>
        <w:t xml:space="preserve"> Nejvíce vzrostly ceny v Litvě (o </w:t>
      </w:r>
      <w:r>
        <w:rPr>
          <w:rFonts w:cs="Arial"/>
          <w:bCs/>
          <w:szCs w:val="22"/>
        </w:rPr>
        <w:t>4,6</w:t>
      </w:r>
      <w:r w:rsidRPr="006F3483">
        <w:rPr>
          <w:rFonts w:cs="Arial"/>
          <w:bCs/>
          <w:szCs w:val="22"/>
        </w:rPr>
        <w:t> %)</w:t>
      </w:r>
      <w:r>
        <w:rPr>
          <w:rFonts w:cs="Arial"/>
          <w:bCs/>
          <w:szCs w:val="22"/>
        </w:rPr>
        <w:t xml:space="preserve"> a v Estonsku (o 3,9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na Kypru (o 0,1 %)</w:t>
      </w:r>
      <w:r w:rsidRPr="0077017F"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září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proofErr w:type="gramStart"/>
      <w:r w:rsidRPr="006F3483">
        <w:rPr>
          <w:rFonts w:cs="Arial"/>
          <w:bCs/>
          <w:szCs w:val="22"/>
        </w:rPr>
        <w:t>1,</w:t>
      </w:r>
      <w:r>
        <w:rPr>
          <w:rFonts w:cs="Arial"/>
          <w:bCs/>
          <w:szCs w:val="22"/>
        </w:rPr>
        <w:t>8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1,6</w:t>
      </w:r>
      <w:proofErr w:type="gramEnd"/>
      <w:r w:rsidRPr="006F3483">
        <w:rPr>
          <w:rFonts w:cs="Arial"/>
          <w:bCs/>
          <w:szCs w:val="22"/>
        </w:rPr>
        <w:t> % v </w:t>
      </w:r>
      <w:r>
        <w:rPr>
          <w:rFonts w:cs="Arial"/>
          <w:bCs/>
          <w:szCs w:val="22"/>
        </w:rPr>
        <w:t>srpnu</w:t>
      </w:r>
      <w:r w:rsidRPr="006F3483">
        <w:rPr>
          <w:rFonts w:cs="Arial"/>
          <w:bCs/>
          <w:szCs w:val="22"/>
        </w:rPr>
        <w:t>. 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 srpnu i v září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 xml:space="preserve">vzrostl </w:t>
      </w:r>
      <w:r w:rsidRPr="004A212A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říjnu</w:t>
      </w:r>
      <w:r w:rsidRPr="004A212A">
        <w:rPr>
          <w:rFonts w:cs="Arial"/>
          <w:b/>
          <w:szCs w:val="20"/>
        </w:rPr>
        <w:t xml:space="preserve"> </w:t>
      </w:r>
      <w:r w:rsidRPr="007A0059">
        <w:rPr>
          <w:rFonts w:cs="Arial"/>
          <w:szCs w:val="20"/>
        </w:rPr>
        <w:t>HICP v ČR</w:t>
      </w:r>
      <w:r>
        <w:rPr>
          <w:rFonts w:cs="Arial"/>
          <w:b/>
          <w:szCs w:val="20"/>
        </w:rPr>
        <w:t xml:space="preserve"> meziměsíčně</w:t>
      </w:r>
      <w:r w:rsidRPr="004A212A">
        <w:rPr>
          <w:rFonts w:cs="Arial"/>
          <w:b/>
          <w:szCs w:val="20"/>
        </w:rPr>
        <w:t xml:space="preserve"> </w:t>
      </w:r>
      <w:r w:rsidRPr="00433270">
        <w:rPr>
          <w:rFonts w:cs="Arial"/>
          <w:szCs w:val="20"/>
        </w:rPr>
        <w:t>o 0,5 %</w:t>
      </w:r>
      <w:r w:rsidRPr="004A212A">
        <w:rPr>
          <w:rFonts w:cs="Arial"/>
          <w:szCs w:val="20"/>
        </w:rPr>
        <w:t xml:space="preserve"> </w:t>
      </w:r>
      <w:r w:rsidRPr="008752BE">
        <w:rPr>
          <w:rFonts w:cs="Arial"/>
          <w:szCs w:val="20"/>
        </w:rPr>
        <w:t>a </w:t>
      </w:r>
      <w:r w:rsidRPr="004875C1">
        <w:rPr>
          <w:rFonts w:cs="Arial"/>
          <w:b/>
          <w:szCs w:val="20"/>
        </w:rPr>
        <w:t>meziročn</w:t>
      </w:r>
      <w:r>
        <w:rPr>
          <w:rFonts w:cs="Arial"/>
          <w:b/>
          <w:szCs w:val="20"/>
        </w:rPr>
        <w:t>ě</w:t>
      </w:r>
      <w:r w:rsidRPr="004875C1">
        <w:rPr>
          <w:rFonts w:cs="Arial"/>
          <w:b/>
          <w:szCs w:val="20"/>
        </w:rPr>
        <w:t xml:space="preserve"> </w:t>
      </w:r>
      <w:r w:rsidRPr="00433270">
        <w:rPr>
          <w:rFonts w:cs="Arial"/>
          <w:szCs w:val="20"/>
        </w:rPr>
        <w:t>o 2,8 %.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>Bleskový odhad meziroční změny HICP pro</w:t>
      </w:r>
      <w:r>
        <w:rPr>
          <w:rFonts w:cs="Arial"/>
          <w:b/>
          <w:bCs/>
          <w:szCs w:val="20"/>
        </w:rPr>
        <w:t> </w:t>
      </w:r>
      <w:r w:rsidRPr="004A212A">
        <w:rPr>
          <w:rFonts w:cs="Arial"/>
          <w:b/>
          <w:bCs/>
          <w:szCs w:val="20"/>
        </w:rPr>
        <w:t xml:space="preserve">eurozónu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říjen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7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B35369">
        <w:rPr>
          <w:rFonts w:cs="Arial"/>
          <w:szCs w:val="20"/>
        </w:rPr>
        <w:t>1,4 %,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9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D20C94" w:rsidRDefault="00D20C94" w:rsidP="00CE113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Default="00D20C94" w:rsidP="00D20C94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D20C94" w:rsidRPr="008C03DA" w:rsidRDefault="00D20C94" w:rsidP="00D20C9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>Od ledna 2018 budou indexy s</w:t>
      </w:r>
      <w:r>
        <w:rPr>
          <w:rFonts w:cs="Arial"/>
          <w:iCs/>
          <w:szCs w:val="20"/>
        </w:rPr>
        <w:t>potřebitelských cen počítány na </w:t>
      </w:r>
      <w:r w:rsidRPr="008C03DA">
        <w:rPr>
          <w:rFonts w:cs="Arial"/>
          <w:iCs/>
          <w:szCs w:val="20"/>
        </w:rPr>
        <w:t>základě nově zavedené klasifikace ECOICOP (evropská klasifikace individuální spotřeb</w:t>
      </w:r>
      <w:r>
        <w:rPr>
          <w:rFonts w:cs="Arial"/>
          <w:iCs/>
          <w:szCs w:val="20"/>
        </w:rPr>
        <w:t>y podle účelu), která zavádí do </w:t>
      </w:r>
      <w:r w:rsidRPr="008C03DA">
        <w:rPr>
          <w:rFonts w:cs="Arial"/>
          <w:iCs/>
          <w:szCs w:val="20"/>
        </w:rPr>
        <w:t xml:space="preserve">spotřebního koše detailnější členění. K této změně dochází dle nařízení </w:t>
      </w:r>
      <w:r>
        <w:rPr>
          <w:rFonts w:cs="Arial"/>
          <w:iCs/>
          <w:szCs w:val="20"/>
        </w:rPr>
        <w:t>E</w:t>
      </w:r>
      <w:r w:rsidRPr="008C03DA">
        <w:rPr>
          <w:rFonts w:cs="Arial"/>
          <w:iCs/>
          <w:szCs w:val="20"/>
        </w:rPr>
        <w:t>vropského parlamentu a </w:t>
      </w:r>
      <w:r>
        <w:rPr>
          <w:rFonts w:cs="Arial"/>
          <w:iCs/>
          <w:szCs w:val="20"/>
        </w:rPr>
        <w:t>R</w:t>
      </w:r>
      <w:r w:rsidRPr="008C03DA">
        <w:rPr>
          <w:rFonts w:cs="Arial"/>
          <w:iCs/>
          <w:szCs w:val="20"/>
        </w:rPr>
        <w:t>ady EU 2016/792. Struktura publikovaných indexů zůstane zachována.</w:t>
      </w:r>
    </w:p>
    <w:p w:rsidR="00D20C94" w:rsidRPr="00D20C94" w:rsidRDefault="00D20C94" w:rsidP="00D20C9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 xml:space="preserve">Od ledna 2018 budou zároveň indexy spotřebitelských cen počítány na aktualizovaných vahách, které budou vycházet z výdajů domácností v roce 2016. Nově vypočítávané indexy budou na všech úrovních spotřebního koše </w:t>
      </w:r>
      <w:r>
        <w:rPr>
          <w:rFonts w:cs="Arial"/>
          <w:iCs/>
          <w:szCs w:val="20"/>
        </w:rPr>
        <w:t>řetězeny k časové řadě indexů o </w:t>
      </w:r>
      <w:r w:rsidRPr="008C03DA">
        <w:rPr>
          <w:rFonts w:cs="Arial"/>
          <w:iCs/>
          <w:szCs w:val="20"/>
        </w:rPr>
        <w:t>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D20C94" w:rsidRPr="00D20C94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C7" w:rsidRDefault="00C662C7" w:rsidP="00E71A58">
      <w:r>
        <w:separator/>
      </w:r>
    </w:p>
  </w:endnote>
  <w:endnote w:type="continuationSeparator" w:id="0">
    <w:p w:rsidR="00C662C7" w:rsidRDefault="00C662C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1C34DB">
      <w:rPr>
        <w:szCs w:val="16"/>
      </w:rPr>
      <w:t>ří</w:t>
    </w:r>
    <w:r w:rsidR="00ED4014">
      <w:rPr>
        <w:szCs w:val="16"/>
      </w:rPr>
      <w:t>jen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ED4014">
      <w:rPr>
        <w:rStyle w:val="ZpatChar"/>
        <w:i/>
        <w:szCs w:val="16"/>
      </w:rPr>
      <w:t>Octo</w:t>
    </w:r>
    <w:r w:rsidR="001C34DB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C7" w:rsidRDefault="00C662C7" w:rsidP="00E71A58">
      <w:r>
        <w:separator/>
      </w:r>
    </w:p>
  </w:footnote>
  <w:footnote w:type="continuationSeparator" w:id="0">
    <w:p w:rsidR="00C662C7" w:rsidRDefault="00C662C7" w:rsidP="00E71A58">
      <w:r>
        <w:continuationSeparator/>
      </w:r>
    </w:p>
  </w:footnote>
  <w:footnote w:id="1">
    <w:p w:rsidR="00CE113A" w:rsidRDefault="00CE113A" w:rsidP="00CE113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9pt;height:10.9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662C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113A"/>
    <w:rsid w:val="00CE670B"/>
    <w:rsid w:val="00CF51EC"/>
    <w:rsid w:val="00CF73AE"/>
    <w:rsid w:val="00D040DD"/>
    <w:rsid w:val="00D12A2B"/>
    <w:rsid w:val="00D13986"/>
    <w:rsid w:val="00D20C94"/>
    <w:rsid w:val="00D25F28"/>
    <w:rsid w:val="00D27973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4014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c.europa.eu/eurostat/web/hicp/data/main-tables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A099-B575-46F3-9E85-E5F006E9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49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Jeanny</cp:lastModifiedBy>
  <cp:revision>31</cp:revision>
  <cp:lastPrinted>2017-01-18T13:33:00Z</cp:lastPrinted>
  <dcterms:created xsi:type="dcterms:W3CDTF">2017-02-09T16:27:00Z</dcterms:created>
  <dcterms:modified xsi:type="dcterms:W3CDTF">2017-11-08T22:43:00Z</dcterms:modified>
</cp:coreProperties>
</file>