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CC47" w14:textId="77777777" w:rsidR="00073B58" w:rsidRPr="00A00994" w:rsidRDefault="00073B58" w:rsidP="00073B58">
      <w:pPr>
        <w:pStyle w:val="Nadpis1"/>
        <w:rPr>
          <w:lang w:val="en-GB"/>
        </w:rPr>
      </w:pPr>
      <w:bookmarkStart w:id="0" w:name="_Toc58605374"/>
      <w:bookmarkStart w:id="1" w:name="_Toc66719930"/>
      <w:bookmarkStart w:id="2" w:name="_Toc532558287"/>
      <w:bookmarkStart w:id="3" w:name="_Toc58605375"/>
      <w:bookmarkStart w:id="4" w:name="_Toc82508186"/>
      <w:bookmarkStart w:id="5" w:name="_Toc116642871"/>
      <w:r w:rsidRPr="00A00994">
        <w:rPr>
          <w:lang w:val="en-GB"/>
        </w:rPr>
        <w:t>2. Overall Economic Performance</w:t>
      </w:r>
      <w:bookmarkEnd w:id="5"/>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073B58" w:rsidRPr="00A00994" w14:paraId="4AC6EC0F" w14:textId="77777777" w:rsidTr="00073B58">
        <w:trPr>
          <w:trHeight w:val="145"/>
        </w:trPr>
        <w:tc>
          <w:tcPr>
            <w:tcW w:w="1806" w:type="dxa"/>
            <w:shd w:val="clear" w:color="auto" w:fill="auto"/>
            <w:tcMar>
              <w:left w:w="0" w:type="dxa"/>
            </w:tcMar>
          </w:tcPr>
          <w:p w14:paraId="08267645" w14:textId="77777777" w:rsidR="00073B58" w:rsidRPr="00A00994" w:rsidRDefault="00073B58" w:rsidP="00073B58">
            <w:pPr>
              <w:pStyle w:val="Marginlie"/>
              <w:rPr>
                <w:lang w:val="en-GB"/>
              </w:rPr>
            </w:pPr>
            <w:r w:rsidRPr="00A00994">
              <w:rPr>
                <w:lang w:val="en-GB"/>
              </w:rPr>
              <w:t>The Czech economy has continued growing.</w:t>
            </w:r>
          </w:p>
        </w:tc>
        <w:tc>
          <w:tcPr>
            <w:tcW w:w="223" w:type="dxa"/>
            <w:shd w:val="clear" w:color="auto" w:fill="auto"/>
            <w:tcMar>
              <w:left w:w="0" w:type="dxa"/>
            </w:tcMar>
          </w:tcPr>
          <w:p w14:paraId="4693EA91"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39A8AAD" w14:textId="77777777" w:rsidR="00073B58" w:rsidRPr="00A00994" w:rsidRDefault="00073B58" w:rsidP="00073B58">
            <w:pPr>
              <w:rPr>
                <w:spacing w:val="-2"/>
                <w:lang w:val="en-GB"/>
              </w:rPr>
            </w:pPr>
            <w:r w:rsidRPr="00A00994">
              <w:rPr>
                <w:spacing w:val="-2"/>
                <w:lang w:val="en-GB"/>
              </w:rPr>
              <w:t>The Gross domestic product (GDP) sustained growth in Q2 2022 and increased by 0.5%</w:t>
            </w:r>
            <w:r w:rsidRPr="00A00994">
              <w:rPr>
                <w:rStyle w:val="Znakapoznpodarou"/>
                <w:rFonts w:cs="Arial"/>
                <w:spacing w:val="-2"/>
                <w:lang w:val="en-GB"/>
              </w:rPr>
              <w:footnoteReference w:id="1"/>
            </w:r>
            <w:r w:rsidRPr="00A00994">
              <w:rPr>
                <w:spacing w:val="-2"/>
                <w:lang w:val="en-GB"/>
              </w:rPr>
              <w:t xml:space="preserve"> in real terms quarter-on-quarter. The economic development was marked by widespread uncertainty. Thus mainly the gross capital formation contributed to the quarter-on-quarter GDP growth, especially the change of the inventory stock. On the contrary, the domestic consumption again slightly fell quarter-on-quarter. The favourable effect of the foreign demand, which boosted the GDP growth in the last two quarters also ceased. The year-on-year addition to Gross domestic product slowed down to 3.7%. The effect of the weak comparative basis, which was reflected in the year-on-year GDP development in the last year also dissipated after a longer time period. The gross capital formation also favourably affected the year-on-year GDP dynamics. The consumption, especially the government consumption, also weakly contributed. The foreign demand had exerted a negative influence. According to the data in constant prices, the GDP overtook in real terms the level of the same period of year 2019 by 0.9% in Q2 and it moved close to the total pre-pandemic peak from Q4 2019. </w:t>
            </w:r>
          </w:p>
        </w:tc>
      </w:tr>
      <w:tr w:rsidR="00073B58" w:rsidRPr="00A00994" w14:paraId="4C9CF1FD" w14:textId="77777777" w:rsidTr="00073B58">
        <w:trPr>
          <w:trHeight w:val="170"/>
        </w:trPr>
        <w:tc>
          <w:tcPr>
            <w:tcW w:w="1806" w:type="dxa"/>
            <w:vMerge w:val="restart"/>
            <w:shd w:val="clear" w:color="auto" w:fill="auto"/>
            <w:tcMar>
              <w:left w:w="0" w:type="dxa"/>
            </w:tcMar>
          </w:tcPr>
          <w:p w14:paraId="4C5AD3CA"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537BCC24"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F536029" w14:textId="77777777" w:rsidR="00073B58" w:rsidRPr="00A00994" w:rsidRDefault="00073B58" w:rsidP="00073B58">
            <w:pPr>
              <w:spacing w:after="0"/>
              <w:rPr>
                <w:b/>
                <w:szCs w:val="20"/>
                <w:lang w:val="en-GB"/>
              </w:rPr>
            </w:pPr>
            <w:r w:rsidRPr="00A00994">
              <w:rPr>
                <w:rFonts w:cs="Arial"/>
                <w:b/>
                <w:bCs/>
                <w:color w:val="000000"/>
                <w:szCs w:val="20"/>
                <w:lang w:val="en-GB"/>
              </w:rPr>
              <w:t>Chart 1 GDP</w:t>
            </w:r>
            <w:r w:rsidRPr="00A00994">
              <w:rPr>
                <w:rFonts w:cs="Arial"/>
                <w:b/>
                <w:szCs w:val="20"/>
                <w:lang w:val="en-GB" w:eastAsia="en-US"/>
              </w:rPr>
              <w:t xml:space="preserve"> </w:t>
            </w:r>
            <w:r w:rsidRPr="00A00994">
              <w:rPr>
                <w:rFonts w:cs="Arial"/>
                <w:bCs/>
                <w:szCs w:val="20"/>
                <w:lang w:val="en-GB" w:eastAsia="en-US"/>
              </w:rPr>
              <w:t>(volume indices, adjusted for seasonal and calendar effects, in %)</w:t>
            </w:r>
          </w:p>
        </w:tc>
      </w:tr>
      <w:tr w:rsidR="00073B58" w:rsidRPr="00A00994" w14:paraId="46FC0004" w14:textId="77777777" w:rsidTr="00073B58">
        <w:tblPrEx>
          <w:tblCellMar>
            <w:left w:w="70" w:type="dxa"/>
            <w:right w:w="70" w:type="dxa"/>
          </w:tblCellMar>
        </w:tblPrEx>
        <w:trPr>
          <w:trHeight w:val="170"/>
        </w:trPr>
        <w:tc>
          <w:tcPr>
            <w:tcW w:w="1806" w:type="dxa"/>
            <w:vMerge/>
            <w:shd w:val="clear" w:color="auto" w:fill="auto"/>
          </w:tcPr>
          <w:p w14:paraId="3BFC62BC" w14:textId="77777777" w:rsidR="00073B58" w:rsidRPr="00A00994" w:rsidRDefault="00073B58" w:rsidP="00073B58">
            <w:pPr>
              <w:pStyle w:val="Marginlie"/>
              <w:rPr>
                <w:lang w:val="en-GB"/>
              </w:rPr>
            </w:pPr>
          </w:p>
        </w:tc>
        <w:tc>
          <w:tcPr>
            <w:tcW w:w="223" w:type="dxa"/>
            <w:vMerge/>
            <w:shd w:val="clear" w:color="auto" w:fill="auto"/>
          </w:tcPr>
          <w:p w14:paraId="5C648862" w14:textId="77777777" w:rsidR="00073B58" w:rsidRPr="00A00994" w:rsidRDefault="00073B58" w:rsidP="00073B58">
            <w:pPr>
              <w:pStyle w:val="Textpoznpodarou"/>
              <w:jc w:val="both"/>
              <w:rPr>
                <w:spacing w:val="-4"/>
                <w:lang w:val="en-GB"/>
              </w:rPr>
            </w:pPr>
          </w:p>
        </w:tc>
        <w:tc>
          <w:tcPr>
            <w:tcW w:w="7610" w:type="dxa"/>
            <w:shd w:val="clear" w:color="auto" w:fill="auto"/>
          </w:tcPr>
          <w:p w14:paraId="17D0F963" w14:textId="77777777" w:rsidR="00073B58" w:rsidRPr="00A00994" w:rsidRDefault="00073B58" w:rsidP="00073B58">
            <w:pPr>
              <w:spacing w:after="0"/>
              <w:rPr>
                <w:lang w:val="en-GB"/>
              </w:rPr>
            </w:pPr>
            <w:r>
              <w:rPr>
                <w:noProof/>
              </w:rPr>
              <w:drawing>
                <wp:inline distT="0" distB="0" distL="0" distR="0" wp14:anchorId="675DEBAC" wp14:editId="19270C37">
                  <wp:extent cx="4737600" cy="3553200"/>
                  <wp:effectExtent l="0" t="0" r="6350" b="0"/>
                  <wp:docPr id="25" name="Graf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73B58" w:rsidRPr="00A00994" w14:paraId="21402AB4" w14:textId="77777777" w:rsidTr="00073B58">
        <w:trPr>
          <w:trHeight w:val="170"/>
        </w:trPr>
        <w:tc>
          <w:tcPr>
            <w:tcW w:w="1806" w:type="dxa"/>
            <w:vMerge/>
            <w:shd w:val="clear" w:color="auto" w:fill="auto"/>
            <w:tcMar>
              <w:left w:w="0" w:type="dxa"/>
            </w:tcMar>
          </w:tcPr>
          <w:p w14:paraId="4C996402" w14:textId="77777777" w:rsidR="00073B58" w:rsidRPr="00A00994" w:rsidRDefault="00073B58" w:rsidP="00073B58">
            <w:pPr>
              <w:pStyle w:val="Marginlie"/>
              <w:rPr>
                <w:lang w:val="en-GB"/>
              </w:rPr>
            </w:pPr>
          </w:p>
        </w:tc>
        <w:tc>
          <w:tcPr>
            <w:tcW w:w="223" w:type="dxa"/>
            <w:vMerge/>
            <w:shd w:val="clear" w:color="auto" w:fill="auto"/>
            <w:tcMar>
              <w:left w:w="0" w:type="dxa"/>
            </w:tcMar>
          </w:tcPr>
          <w:p w14:paraId="339E704D"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0471010" w14:textId="77777777" w:rsidR="00073B58" w:rsidRPr="00A00994" w:rsidRDefault="00073B58" w:rsidP="00073B58">
            <w:pPr>
              <w:spacing w:after="220"/>
              <w:rPr>
                <w:sz w:val="14"/>
                <w:szCs w:val="14"/>
                <w:lang w:val="en-GB"/>
              </w:rPr>
            </w:pPr>
            <w:r w:rsidRPr="00A00994">
              <w:rPr>
                <w:sz w:val="14"/>
                <w:szCs w:val="14"/>
                <w:lang w:val="en-GB"/>
              </w:rPr>
              <w:t>Source: CZSO, Eurostat</w:t>
            </w:r>
          </w:p>
        </w:tc>
      </w:tr>
      <w:tr w:rsidR="00073B58" w:rsidRPr="00A00994" w14:paraId="551CFB3E" w14:textId="77777777" w:rsidTr="00073B58">
        <w:trPr>
          <w:trHeight w:val="145"/>
        </w:trPr>
        <w:tc>
          <w:tcPr>
            <w:tcW w:w="1806" w:type="dxa"/>
            <w:shd w:val="clear" w:color="auto" w:fill="auto"/>
            <w:tcMar>
              <w:left w:w="0" w:type="dxa"/>
            </w:tcMar>
          </w:tcPr>
          <w:p w14:paraId="35B2FCA7" w14:textId="77777777" w:rsidR="00073B58" w:rsidRPr="00A00994" w:rsidRDefault="00073B58" w:rsidP="00073B58">
            <w:pPr>
              <w:pStyle w:val="Marginlie"/>
              <w:rPr>
                <w:lang w:val="en-GB"/>
              </w:rPr>
            </w:pPr>
            <w:r w:rsidRPr="00A00994">
              <w:rPr>
                <w:lang w:val="en-GB"/>
              </w:rPr>
              <w:t xml:space="preserve">Mainly the EU economies with a large share of industry face difficulties.  </w:t>
            </w:r>
          </w:p>
        </w:tc>
        <w:tc>
          <w:tcPr>
            <w:tcW w:w="223" w:type="dxa"/>
            <w:shd w:val="clear" w:color="auto" w:fill="auto"/>
            <w:tcMar>
              <w:left w:w="0" w:type="dxa"/>
            </w:tcMar>
          </w:tcPr>
          <w:p w14:paraId="2E937487"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9EA1B0F" w14:textId="77777777" w:rsidR="00073B58" w:rsidRPr="00A00994" w:rsidRDefault="00073B58" w:rsidP="00073B58">
            <w:pPr>
              <w:rPr>
                <w:lang w:val="en-GB"/>
              </w:rPr>
            </w:pPr>
            <w:r w:rsidRPr="00A00994">
              <w:rPr>
                <w:lang w:val="en-GB"/>
              </w:rPr>
              <w:t xml:space="preserve">The year-on-year GDP growth </w:t>
            </w:r>
            <w:r>
              <w:rPr>
                <w:lang w:val="en-GB"/>
              </w:rPr>
              <w:t xml:space="preserve">in the EU </w:t>
            </w:r>
            <w:r w:rsidRPr="00A00994">
              <w:rPr>
                <w:lang w:val="en-GB"/>
              </w:rPr>
              <w:t>slowed down to 4.2%</w:t>
            </w:r>
            <w:r w:rsidRPr="00A00994">
              <w:rPr>
                <w:rStyle w:val="Znakapoznpodarou"/>
                <w:lang w:val="en-GB"/>
              </w:rPr>
              <w:footnoteReference w:id="2"/>
            </w:r>
            <w:r w:rsidRPr="00A00994">
              <w:rPr>
                <w:lang w:val="en-GB"/>
              </w:rPr>
              <w:t xml:space="preserve"> in Q2. Counter growth factors, such as shortage of components or rising prices of energies, mostly hit the countries featuring a large share of industry. Estonia (0.3%), Slovakia (1.7%) and Germany (1.7%) thus recorded the smallest year-on-year GDP addition. The Czech Republic also ranked below the Europe-wide average. The GDP on the other hand grew the most in Ireland (10.8%), Malta (8.9%) and Slovenia (8.3%) and the large economies of the South, such as Spain (6.3%) and Italy (4.7%) were also above the Europe-wide average. Quarter-on-quarter, the GDP expanded by 0.7% in the EU and it thus maintained a stable pace already third quarter in a row. The Polish (−2.1%), Estonian (−1.3%), Latvian (−1.0%) and Lithuanian (−0.5%) economies decreased </w:t>
            </w:r>
            <w:r w:rsidRPr="00A00994">
              <w:rPr>
                <w:lang w:val="en-GB"/>
              </w:rPr>
              <w:lastRenderedPageBreak/>
              <w:t>quarter-on-quarter. Portugal stagnated and the GDP grew only slightly in Germany (0.1%). The largest quarter-on-quarter GDP increase occurred in the Netherlands (2.6%), Romania (2.1%) and in Croatia (2.0%).</w:t>
            </w:r>
          </w:p>
        </w:tc>
      </w:tr>
      <w:tr w:rsidR="00073B58" w:rsidRPr="00A00994" w14:paraId="69989177" w14:textId="77777777" w:rsidTr="00073B58">
        <w:trPr>
          <w:trHeight w:val="145"/>
        </w:trPr>
        <w:tc>
          <w:tcPr>
            <w:tcW w:w="1806" w:type="dxa"/>
            <w:shd w:val="clear" w:color="auto" w:fill="auto"/>
            <w:tcMar>
              <w:left w:w="0" w:type="dxa"/>
            </w:tcMar>
          </w:tcPr>
          <w:p w14:paraId="53DF6FD6" w14:textId="77777777" w:rsidR="00073B58" w:rsidRPr="00A00994" w:rsidRDefault="00073B58" w:rsidP="00073B58">
            <w:pPr>
              <w:pStyle w:val="Marginlie"/>
              <w:rPr>
                <w:lang w:val="en-GB"/>
              </w:rPr>
            </w:pPr>
            <w:r w:rsidRPr="00A00994">
              <w:rPr>
                <w:lang w:val="en-GB"/>
              </w:rPr>
              <w:lastRenderedPageBreak/>
              <w:t xml:space="preserve">Even the relatively strong rise of wages and salaries did not cover the jump in prices. </w:t>
            </w:r>
          </w:p>
        </w:tc>
        <w:tc>
          <w:tcPr>
            <w:tcW w:w="223" w:type="dxa"/>
            <w:shd w:val="clear" w:color="auto" w:fill="auto"/>
            <w:tcMar>
              <w:left w:w="0" w:type="dxa"/>
            </w:tcMar>
          </w:tcPr>
          <w:p w14:paraId="3DD23750"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4A0D858" w14:textId="77777777" w:rsidR="00073B58" w:rsidRPr="00A00994" w:rsidRDefault="00073B58" w:rsidP="00073B58">
            <w:pPr>
              <w:rPr>
                <w:spacing w:val="-2"/>
                <w:lang w:val="en-GB"/>
              </w:rPr>
            </w:pPr>
            <w:r w:rsidRPr="00A00994">
              <w:rPr>
                <w:spacing w:val="-2"/>
                <w:lang w:val="en-GB"/>
              </w:rPr>
              <w:t>The volume of paid out wages and salaries expanded by 8.5% in Q2 2022 year-on-year. Total employment was by 2.5% higher year-on-year</w:t>
            </w:r>
            <w:r w:rsidRPr="00A00994">
              <w:rPr>
                <w:rStyle w:val="Znakapoznpodarou"/>
                <w:spacing w:val="-2"/>
                <w:lang w:val="en-GB"/>
              </w:rPr>
              <w:footnoteReference w:id="3"/>
            </w:r>
            <w:r w:rsidRPr="00A00994">
              <w:rPr>
                <w:spacing w:val="-2"/>
                <w:lang w:val="en-GB"/>
              </w:rPr>
              <w:t>. Even though the nominal increase of wages and salaries was relatively high, it did not suffice to cover the sharply hiking price level and thus the volume of wages and salaries fell by 6.7%</w:t>
            </w:r>
            <w:r w:rsidRPr="00A00994">
              <w:rPr>
                <w:rStyle w:val="Znakapoznpodarou"/>
                <w:spacing w:val="-2"/>
                <w:lang w:val="en-GB"/>
              </w:rPr>
              <w:footnoteReference w:id="4"/>
            </w:r>
            <w:r w:rsidRPr="00A00994">
              <w:rPr>
                <w:spacing w:val="-2"/>
                <w:lang w:val="en-GB"/>
              </w:rPr>
              <w:t xml:space="preserve"> in real terms. With the exception of branches with the dominant government sector</w:t>
            </w:r>
            <w:r w:rsidRPr="00A00994">
              <w:rPr>
                <w:rStyle w:val="Znakapoznpodarou"/>
                <w:spacing w:val="-2"/>
                <w:lang w:val="en-GB"/>
              </w:rPr>
              <w:footnoteReference w:id="5"/>
            </w:r>
            <w:r w:rsidRPr="00A00994">
              <w:rPr>
                <w:spacing w:val="-2"/>
                <w:lang w:val="en-GB"/>
              </w:rPr>
              <w:t>, where under the influence of high comparative basis</w:t>
            </w:r>
            <w:r w:rsidRPr="00A00994">
              <w:rPr>
                <w:rStyle w:val="Znakapoznpodarou"/>
                <w:spacing w:val="-2"/>
                <w:lang w:val="en-GB"/>
              </w:rPr>
              <w:footnoteReference w:id="6"/>
            </w:r>
            <w:r w:rsidRPr="00A00994">
              <w:rPr>
                <w:spacing w:val="-2"/>
                <w:lang w:val="en-GB"/>
              </w:rPr>
              <w:t xml:space="preserve"> the paid out wages fell by 4.9% year-on-year, compensations to employees grew in the whole economy. The expanded volume of wages and salaries was also supported by hiring in some branches, mostly in services. The wages and salaries recorded the largest year-on-year addition in other service activities (24.1% given the employment growth of 2.9%), in group trade, transportation, accommodation and food service (21.3% with employment increase by 4.1%), real estate activities (18.3%, employment addition by 6.4%) and in information and communication (16.0% given the employment growth of 3.3%). The volume of paid out wages and salaries also grew strongly in professional, scientific, technical and administrative activities (10.9% with employment growth by 0.5%), in construction (10.6%, employment increased by 3.8%) and in manufacturing (9.3%, employment growth 1.6%). The addition to wages and salaries ended below the overall average in agriculture, forestry and fishing (8.3% with employment growth of 3.0%) and in financial and insurance activities (6.7%). Financial and insurance activities was also the only branch, where the employment dropped year-on-year (−1.4%).  </w:t>
            </w:r>
          </w:p>
        </w:tc>
      </w:tr>
      <w:tr w:rsidR="00073B58" w:rsidRPr="00A00994" w14:paraId="24C065D1" w14:textId="77777777" w:rsidTr="00073B58">
        <w:trPr>
          <w:trHeight w:val="170"/>
        </w:trPr>
        <w:tc>
          <w:tcPr>
            <w:tcW w:w="1806" w:type="dxa"/>
            <w:vMerge w:val="restart"/>
            <w:shd w:val="clear" w:color="auto" w:fill="auto"/>
            <w:tcMar>
              <w:left w:w="0" w:type="dxa"/>
            </w:tcMar>
          </w:tcPr>
          <w:p w14:paraId="1D1178D8"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4255BE8D"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6E7BF705" w14:textId="77777777" w:rsidR="00073B58" w:rsidRPr="00A00994" w:rsidRDefault="00073B58" w:rsidP="00073B58">
            <w:pPr>
              <w:spacing w:after="0"/>
              <w:rPr>
                <w:szCs w:val="20"/>
                <w:lang w:val="en-GB"/>
              </w:rPr>
            </w:pPr>
            <w:r w:rsidRPr="00A00994">
              <w:rPr>
                <w:b/>
                <w:szCs w:val="20"/>
                <w:lang w:val="en-GB"/>
              </w:rPr>
              <w:t>Chart 2 Contribution of expenditure items to real GDP change</w:t>
            </w:r>
            <w:r w:rsidRPr="00A00994">
              <w:rPr>
                <w:rFonts w:cs="Arial"/>
                <w:b/>
                <w:szCs w:val="20"/>
                <w:lang w:val="en-GB" w:eastAsia="en-US"/>
              </w:rPr>
              <w:t xml:space="preserve">* </w:t>
            </w:r>
            <w:r w:rsidRPr="00A00994">
              <w:rPr>
                <w:rFonts w:cs="Arial"/>
                <w:bCs/>
                <w:szCs w:val="20"/>
                <w:lang w:val="en-GB" w:eastAsia="en-US"/>
              </w:rPr>
              <w:t>(volume indices, year-on-year growth, contributions in p.p., GDP in %)</w:t>
            </w:r>
          </w:p>
        </w:tc>
      </w:tr>
      <w:tr w:rsidR="00073B58" w:rsidRPr="00A00994" w14:paraId="1A49AB5B" w14:textId="77777777" w:rsidTr="00073B58">
        <w:tblPrEx>
          <w:tblCellMar>
            <w:left w:w="70" w:type="dxa"/>
            <w:right w:w="70" w:type="dxa"/>
          </w:tblCellMar>
        </w:tblPrEx>
        <w:trPr>
          <w:trHeight w:val="170"/>
        </w:trPr>
        <w:tc>
          <w:tcPr>
            <w:tcW w:w="1806" w:type="dxa"/>
            <w:vMerge/>
            <w:shd w:val="clear" w:color="auto" w:fill="auto"/>
          </w:tcPr>
          <w:p w14:paraId="040EC517" w14:textId="77777777" w:rsidR="00073B58" w:rsidRPr="00A00994" w:rsidRDefault="00073B58" w:rsidP="00073B58">
            <w:pPr>
              <w:pStyle w:val="Marginlie"/>
              <w:rPr>
                <w:lang w:val="en-GB"/>
              </w:rPr>
            </w:pPr>
          </w:p>
        </w:tc>
        <w:tc>
          <w:tcPr>
            <w:tcW w:w="223" w:type="dxa"/>
            <w:vMerge/>
            <w:shd w:val="clear" w:color="auto" w:fill="auto"/>
          </w:tcPr>
          <w:p w14:paraId="45ABC5BE" w14:textId="77777777" w:rsidR="00073B58" w:rsidRPr="00A00994" w:rsidRDefault="00073B58" w:rsidP="00073B58">
            <w:pPr>
              <w:pStyle w:val="Textpoznpodarou"/>
              <w:jc w:val="both"/>
              <w:rPr>
                <w:spacing w:val="-4"/>
                <w:lang w:val="en-GB"/>
              </w:rPr>
            </w:pPr>
          </w:p>
        </w:tc>
        <w:tc>
          <w:tcPr>
            <w:tcW w:w="7610" w:type="dxa"/>
            <w:shd w:val="clear" w:color="auto" w:fill="auto"/>
          </w:tcPr>
          <w:p w14:paraId="69CDE150" w14:textId="77777777" w:rsidR="00073B58" w:rsidRPr="00A00994" w:rsidRDefault="00073B58" w:rsidP="00073B58">
            <w:pPr>
              <w:spacing w:after="0"/>
              <w:rPr>
                <w:lang w:val="en-GB"/>
              </w:rPr>
            </w:pPr>
            <w:r>
              <w:rPr>
                <w:noProof/>
              </w:rPr>
              <w:drawing>
                <wp:inline distT="0" distB="0" distL="0" distR="0" wp14:anchorId="0A0C4E95" wp14:editId="152F713D">
                  <wp:extent cx="4737600" cy="3553200"/>
                  <wp:effectExtent l="0" t="0" r="6350" b="0"/>
                  <wp:docPr id="42" name="Graf 4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73B58" w:rsidRPr="00A00994" w14:paraId="6F243372" w14:textId="77777777" w:rsidTr="00073B58">
        <w:trPr>
          <w:trHeight w:val="170"/>
        </w:trPr>
        <w:tc>
          <w:tcPr>
            <w:tcW w:w="1806" w:type="dxa"/>
            <w:vMerge/>
            <w:shd w:val="clear" w:color="auto" w:fill="auto"/>
            <w:tcMar>
              <w:left w:w="0" w:type="dxa"/>
            </w:tcMar>
          </w:tcPr>
          <w:p w14:paraId="173F8E1D" w14:textId="77777777" w:rsidR="00073B58" w:rsidRPr="00A00994" w:rsidRDefault="00073B58" w:rsidP="00073B58">
            <w:pPr>
              <w:pStyle w:val="Marginlie"/>
              <w:rPr>
                <w:lang w:val="en-GB"/>
              </w:rPr>
            </w:pPr>
          </w:p>
        </w:tc>
        <w:tc>
          <w:tcPr>
            <w:tcW w:w="223" w:type="dxa"/>
            <w:vMerge/>
            <w:shd w:val="clear" w:color="auto" w:fill="auto"/>
            <w:tcMar>
              <w:left w:w="0" w:type="dxa"/>
            </w:tcMar>
          </w:tcPr>
          <w:p w14:paraId="7C3BB005"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18DCA695" w14:textId="77777777" w:rsidR="00073B58" w:rsidRDefault="00073B58" w:rsidP="00073B58">
            <w:pPr>
              <w:spacing w:after="0"/>
              <w:rPr>
                <w:sz w:val="14"/>
                <w:szCs w:val="14"/>
                <w:lang w:val="en-GB"/>
              </w:rPr>
            </w:pPr>
            <w:r w:rsidRPr="00A00994">
              <w:rPr>
                <w:sz w:val="14"/>
                <w:szCs w:val="14"/>
                <w:lang w:val="en-GB"/>
              </w:rPr>
              <w:t>Source: CZSO</w:t>
            </w:r>
          </w:p>
          <w:p w14:paraId="63EF51DB" w14:textId="77777777" w:rsidR="00073B58" w:rsidRPr="00A00994" w:rsidRDefault="00073B58" w:rsidP="00073B58">
            <w:pPr>
              <w:spacing w:after="0"/>
              <w:rPr>
                <w:lang w:val="en-GB"/>
              </w:rPr>
            </w:pPr>
            <w:r w:rsidRPr="00A00994">
              <w:rPr>
                <w:sz w:val="14"/>
                <w:szCs w:val="14"/>
                <w:lang w:val="en-GB"/>
              </w:rPr>
              <w:t>*after exclusion of imports for final use</w:t>
            </w:r>
          </w:p>
        </w:tc>
      </w:tr>
      <w:tr w:rsidR="00073B58" w:rsidRPr="00A00994" w14:paraId="79736237" w14:textId="77777777" w:rsidTr="00073B58">
        <w:trPr>
          <w:trHeight w:val="145"/>
        </w:trPr>
        <w:tc>
          <w:tcPr>
            <w:tcW w:w="1806" w:type="dxa"/>
            <w:shd w:val="clear" w:color="auto" w:fill="auto"/>
            <w:tcMar>
              <w:left w:w="0" w:type="dxa"/>
            </w:tcMar>
          </w:tcPr>
          <w:p w14:paraId="5AD6840A" w14:textId="77777777" w:rsidR="00073B58" w:rsidRPr="00A00994" w:rsidRDefault="00073B58" w:rsidP="00073B58">
            <w:pPr>
              <w:pStyle w:val="Marginlie"/>
              <w:rPr>
                <w:lang w:val="en-GB"/>
              </w:rPr>
            </w:pPr>
            <w:r w:rsidRPr="00A00994">
              <w:rPr>
                <w:lang w:val="en-GB"/>
              </w:rPr>
              <w:lastRenderedPageBreak/>
              <w:t xml:space="preserve">Domestic consumption grew only negligibly year-on-year. </w:t>
            </w:r>
          </w:p>
        </w:tc>
        <w:tc>
          <w:tcPr>
            <w:tcW w:w="223" w:type="dxa"/>
            <w:shd w:val="clear" w:color="auto" w:fill="auto"/>
            <w:tcMar>
              <w:left w:w="0" w:type="dxa"/>
            </w:tcMar>
          </w:tcPr>
          <w:p w14:paraId="72945590"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FA35EA9" w14:textId="77777777" w:rsidR="00073B58" w:rsidRPr="00A00994" w:rsidRDefault="00073B58" w:rsidP="00073B58">
            <w:pPr>
              <w:rPr>
                <w:lang w:val="en-GB"/>
              </w:rPr>
            </w:pPr>
            <w:r w:rsidRPr="00A00994">
              <w:rPr>
                <w:spacing w:val="-2"/>
                <w:lang w:val="en-GB"/>
              </w:rPr>
              <w:t>The domestic consumption was by 0.7% higher year-on-year in Q2. It represented a marked weakening compared to the previous four quarters, which were affected by a weak comparative basis. The abolition of restrictions and opening of retail and services was also joined by massive realisation of the postponed household consumption in the last year’s Q2. The household consumption stagnated year-on-year in Q2 (0.2%) and the consumption of government institutions slightly increased (1.8%). The total contribution of consumption</w:t>
            </w:r>
            <w:r w:rsidRPr="00A00994">
              <w:rPr>
                <w:rStyle w:val="Znakapoznpodarou"/>
                <w:spacing w:val="-2"/>
                <w:lang w:val="en-GB"/>
              </w:rPr>
              <w:footnoteReference w:id="7"/>
            </w:r>
            <w:r w:rsidRPr="00A00994">
              <w:rPr>
                <w:spacing w:val="-2"/>
                <w:lang w:val="en-GB"/>
              </w:rPr>
              <w:t xml:space="preserve"> to the year-on-year GDP growth attained 0.4 p.p. The domestic consumption fell by 0.2% quarter-on-quarter, for the third time in a row. The concerns of households regarding the growth of prices and further economic development turned into a real slump of their income, which naturally adversely affected the consumption. Still, the quarter-on-quarter decrease narrowed compared to the preceding two quarters. The household consumption was lower by 0.1%, while the government expenditures lagged by 0.4%. From the view of the durability, the consumption of durable items fell the most year-on-year (−9.6%)</w:t>
            </w:r>
            <w:r w:rsidRPr="00A00994">
              <w:rPr>
                <w:rStyle w:val="Znakapoznpodarou"/>
                <w:lang w:val="en-GB"/>
              </w:rPr>
              <w:footnoteReference w:id="8"/>
            </w:r>
            <w:r w:rsidRPr="00A00994">
              <w:rPr>
                <w:spacing w:val="-2"/>
                <w:lang w:val="en-GB"/>
              </w:rPr>
              <w:t xml:space="preserve">. The strong quarter-on-quarter downswing (−12.1%) for this category also signals the concerns of households in relation to further development. Consumption of non-durable goods was by 7.5% lower year-on-year and medium term durability goods by 4.2%. By contrast the considerable year-on-year rise of consumption of services continued (12.2%). Despite the uncertainty of households, the slump has so far avoided the services.  </w:t>
            </w:r>
          </w:p>
        </w:tc>
      </w:tr>
      <w:tr w:rsidR="00073B58" w:rsidRPr="00A00994" w14:paraId="5DAD7C43" w14:textId="77777777" w:rsidTr="00073B58">
        <w:trPr>
          <w:trHeight w:val="145"/>
        </w:trPr>
        <w:tc>
          <w:tcPr>
            <w:tcW w:w="1806" w:type="dxa"/>
            <w:shd w:val="clear" w:color="auto" w:fill="auto"/>
            <w:tcMar>
              <w:left w:w="0" w:type="dxa"/>
            </w:tcMar>
          </w:tcPr>
          <w:p w14:paraId="5A8BDC9A" w14:textId="77777777" w:rsidR="00073B58" w:rsidRPr="00A00994" w:rsidRDefault="00073B58" w:rsidP="00073B58">
            <w:pPr>
              <w:pStyle w:val="Marginlie"/>
              <w:rPr>
                <w:lang w:val="en-GB"/>
              </w:rPr>
            </w:pPr>
            <w:r w:rsidRPr="00A00994">
              <w:rPr>
                <w:lang w:val="en-GB"/>
              </w:rPr>
              <w:t xml:space="preserve">Investment into other buildings and structures and also machinery and equipment grew. </w:t>
            </w:r>
          </w:p>
        </w:tc>
        <w:tc>
          <w:tcPr>
            <w:tcW w:w="223" w:type="dxa"/>
            <w:shd w:val="clear" w:color="auto" w:fill="auto"/>
            <w:tcMar>
              <w:left w:w="0" w:type="dxa"/>
            </w:tcMar>
          </w:tcPr>
          <w:p w14:paraId="429AED44"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4C8D2411" w14:textId="77777777" w:rsidR="00073B58" w:rsidRPr="00A00994" w:rsidRDefault="00073B58" w:rsidP="00073B58">
            <w:pPr>
              <w:rPr>
                <w:lang w:val="en-GB"/>
              </w:rPr>
            </w:pPr>
            <w:r w:rsidRPr="00A00994">
              <w:rPr>
                <w:lang w:val="en-GB"/>
              </w:rPr>
              <w:t>The expenditures on gross capital formation expanded by 12.8% year-on-year in Q2. In that, the gross fixed capital formation increased by 6.2%. The gross capital formation added 3.8 p.p. to the year-on-year GDP growth. The inventory stock creation</w:t>
            </w:r>
            <w:r w:rsidRPr="00A00994">
              <w:rPr>
                <w:rStyle w:val="Znakapoznpodarou"/>
                <w:lang w:val="en-GB"/>
              </w:rPr>
              <w:footnoteReference w:id="9"/>
            </w:r>
            <w:r w:rsidRPr="00A00994">
              <w:rPr>
                <w:lang w:val="en-GB"/>
              </w:rPr>
              <w:t xml:space="preserve"> thus substantially influenced the growth of both the gross capital and total GDP. It is already strengthened for more than one year in connection to the shortage of components in industry. The businesses thus accumulated final products awaiting supplies and completion. This situation partially improved, but the businesses newly feel the need to stock up with material in the event of further shortages and also due to sharply rising prices. Quarter-on-quarter, the expenditures on gross capital formation went up by 3.0%. While the gross fixed capital formation increased by 0.7%. The quarter-on-quarter comparison was thus also strongly assisted by the creation of the inventory stock. Based on the data of the </w:t>
            </w:r>
            <w:r w:rsidRPr="00A00994">
              <w:rPr>
                <w:rFonts w:cs="Arial"/>
                <w:szCs w:val="20"/>
                <w:lang w:val="en-GB"/>
              </w:rPr>
              <w:t xml:space="preserve">type classification of gross fixed capital formation, year-on-year the investment into transport equipment </w:t>
            </w:r>
            <w:r w:rsidRPr="00A00994">
              <w:rPr>
                <w:lang w:val="en-GB"/>
              </w:rPr>
              <w:t xml:space="preserve">(17.5%), further other buildings and structures (7.4%) and ICT and other machinery and equipment (4.7%) increased the most. Investments into </w:t>
            </w:r>
            <w:r>
              <w:rPr>
                <w:lang w:val="en-GB"/>
              </w:rPr>
              <w:t>dwellings</w:t>
            </w:r>
            <w:r w:rsidRPr="00A00994">
              <w:rPr>
                <w:lang w:val="en-GB"/>
              </w:rPr>
              <w:t xml:space="preserve"> were by 4.6% higher and the expenditures on intellectual property products rose by 3.7%. The year-on-year dynamics was however in some cases aided by the comparison with the weak last year’s Q2. Since the quarter-on-quarter development showed considerable decrease of expenditures on </w:t>
            </w:r>
            <w:r>
              <w:rPr>
                <w:lang w:val="en-GB"/>
              </w:rPr>
              <w:t>dwellings</w:t>
            </w:r>
            <w:r w:rsidRPr="00A00994">
              <w:rPr>
                <w:lang w:val="en-GB"/>
              </w:rPr>
              <w:t xml:space="preserve"> (−2.5%) and lowering of investment into transport equipment (−0.3%). The investment into other buildings and structures (3.1%) and ICT and other machinery and equipment (1.6%) grew notably quarter-on-quarter.    </w:t>
            </w:r>
          </w:p>
        </w:tc>
      </w:tr>
      <w:tr w:rsidR="00073B58" w:rsidRPr="00A00994" w14:paraId="5065C52F" w14:textId="77777777" w:rsidTr="00073B58">
        <w:trPr>
          <w:trHeight w:val="145"/>
        </w:trPr>
        <w:tc>
          <w:tcPr>
            <w:tcW w:w="1806" w:type="dxa"/>
            <w:shd w:val="clear" w:color="auto" w:fill="auto"/>
            <w:tcMar>
              <w:left w:w="0" w:type="dxa"/>
            </w:tcMar>
          </w:tcPr>
          <w:p w14:paraId="6384F93E" w14:textId="77777777" w:rsidR="00073B58" w:rsidRPr="00A00994" w:rsidRDefault="00073B58" w:rsidP="00073B58">
            <w:pPr>
              <w:pStyle w:val="Marginlie"/>
              <w:rPr>
                <w:lang w:val="en-GB"/>
              </w:rPr>
            </w:pPr>
            <w:r w:rsidRPr="00A00994">
              <w:rPr>
                <w:lang w:val="en-GB"/>
              </w:rPr>
              <w:t xml:space="preserve">Balance of foreign trade with goods and services slumped into deficit. </w:t>
            </w:r>
          </w:p>
        </w:tc>
        <w:tc>
          <w:tcPr>
            <w:tcW w:w="223" w:type="dxa"/>
            <w:shd w:val="clear" w:color="auto" w:fill="auto"/>
            <w:tcMar>
              <w:left w:w="0" w:type="dxa"/>
            </w:tcMar>
          </w:tcPr>
          <w:p w14:paraId="7F5AB6BB"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562123C3" w14:textId="77777777" w:rsidR="00073B58" w:rsidRPr="00A00994" w:rsidRDefault="00073B58" w:rsidP="00073B58">
            <w:pPr>
              <w:rPr>
                <w:lang w:val="en-GB"/>
              </w:rPr>
            </w:pPr>
            <w:r w:rsidRPr="00A00994">
              <w:rPr>
                <w:lang w:val="en-GB"/>
              </w:rPr>
              <w:t>Export of goods and services went up in real terms by 1.8%</w:t>
            </w:r>
            <w:r w:rsidRPr="00A00994">
              <w:rPr>
                <w:rStyle w:val="Znakapoznpodarou"/>
                <w:lang w:val="en-GB"/>
              </w:rPr>
              <w:footnoteReference w:id="10"/>
            </w:r>
            <w:r w:rsidRPr="00A00994">
              <w:rPr>
                <w:lang w:val="en-GB"/>
              </w:rPr>
              <w:t xml:space="preserve"> year-on-year. Strictly the export of services was growing (15.7%), which is steadily recovering from the pandemic downturn in the past year. On the other hand the export of goods kept falling year-on-year (−0.6%). The year-on-year addition to import of goods and services reached 2.7% and again thus exceeded the dynamics of export. The export of goods and services rose by 1.2% in real terms quarter-on-quarter. Export of goods moderately increased (0.5%), however the services fared much better (4.9%). Import was by 1.8% higher </w:t>
            </w:r>
            <w:r w:rsidRPr="00A00994">
              <w:rPr>
                <w:lang w:val="en-GB"/>
              </w:rPr>
              <w:lastRenderedPageBreak/>
              <w:t>quarter-on-quarter, in that the import of goods increased by 1.1% and services by 5.7%. The resulting balance of trade with goods and services worsened by 77.3 CZK bn year-on-year and thus dropped into the deficit of 25.8 bn. It represents the first balance deficit since Q2 2004. The balance of trade with goods was in deficit (−55.7 CZK bn), on the contrary the trade with services amounted to surplus of 29.9 bn.</w:t>
            </w:r>
          </w:p>
        </w:tc>
      </w:tr>
      <w:tr w:rsidR="00073B58" w:rsidRPr="00A00994" w14:paraId="06A35D7D" w14:textId="77777777" w:rsidTr="00073B58">
        <w:trPr>
          <w:trHeight w:val="145"/>
        </w:trPr>
        <w:tc>
          <w:tcPr>
            <w:tcW w:w="1806" w:type="dxa"/>
            <w:shd w:val="clear" w:color="auto" w:fill="auto"/>
            <w:tcMar>
              <w:left w:w="0" w:type="dxa"/>
            </w:tcMar>
          </w:tcPr>
          <w:p w14:paraId="6B4A71A4" w14:textId="77777777" w:rsidR="00073B58" w:rsidRPr="00A00994" w:rsidRDefault="00073B58" w:rsidP="00073B58">
            <w:pPr>
              <w:pStyle w:val="Marginlie"/>
              <w:rPr>
                <w:lang w:val="en-GB"/>
              </w:rPr>
            </w:pPr>
            <w:r w:rsidRPr="00A00994">
              <w:rPr>
                <w:lang w:val="en-GB"/>
              </w:rPr>
              <w:lastRenderedPageBreak/>
              <w:t xml:space="preserve">The GVA was rising in the majority of branches year-on-year. </w:t>
            </w:r>
          </w:p>
        </w:tc>
        <w:tc>
          <w:tcPr>
            <w:tcW w:w="223" w:type="dxa"/>
            <w:shd w:val="clear" w:color="auto" w:fill="auto"/>
            <w:tcMar>
              <w:left w:w="0" w:type="dxa"/>
            </w:tcMar>
          </w:tcPr>
          <w:p w14:paraId="21F68B0E"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0A414FE9" w14:textId="77777777" w:rsidR="00073B58" w:rsidRPr="00A00994" w:rsidRDefault="00073B58" w:rsidP="00073B58">
            <w:pPr>
              <w:rPr>
                <w:lang w:val="en-GB"/>
              </w:rPr>
            </w:pPr>
            <w:r w:rsidRPr="00A00994">
              <w:rPr>
                <w:lang w:val="en-GB"/>
              </w:rPr>
              <w:t xml:space="preserve">The Gross value added (GVA) mildly grew by 3.4% year-on-year in Q2. The year-on-year comparison is not affected by the low comparative basis to such an extent as in the preceding quarters. Apart from agriculture, forestry and fishing (−0.7%), the GVA increased for all branches year-on-year. Mainly services prospered. The effect of the low comparative basis is apparent mainly for other activities (17.1%) since the branch started to revive from the pandemic downturn only last year. The GVA significantly grew in group trade, transportation, accommodation and food service (7.7%), in information and communication (6.6%), in professional, scientific, technical and administrative activities (5.7%) and in construction (5.1%) this year in Q2. The GVA went up by 3.2% in financial and insurance activities year-on-year and by 1.1% in branches with prevalence of government institutions. The GVA in real estate activities (0.8%) mildly increased year-on-year after more than two years of decreases. Manufacturing again slightly increased (0.8%) after two decreases. </w:t>
            </w:r>
          </w:p>
        </w:tc>
      </w:tr>
      <w:tr w:rsidR="00073B58" w:rsidRPr="00A00994" w14:paraId="2257D1E5" w14:textId="77777777" w:rsidTr="00073B58">
        <w:trPr>
          <w:trHeight w:val="145"/>
        </w:trPr>
        <w:tc>
          <w:tcPr>
            <w:tcW w:w="1806" w:type="dxa"/>
            <w:shd w:val="clear" w:color="auto" w:fill="auto"/>
            <w:tcMar>
              <w:left w:w="0" w:type="dxa"/>
            </w:tcMar>
          </w:tcPr>
          <w:p w14:paraId="44462E98" w14:textId="77777777" w:rsidR="00073B58" w:rsidRPr="00A00994" w:rsidRDefault="00073B58" w:rsidP="00073B58">
            <w:pPr>
              <w:pStyle w:val="Marginlie"/>
              <w:rPr>
                <w:lang w:val="en-GB"/>
              </w:rPr>
            </w:pPr>
            <w:r w:rsidRPr="00A00994">
              <w:rPr>
                <w:lang w:val="en-GB"/>
              </w:rPr>
              <w:t xml:space="preserve">Part of services reported significant quarter-on-quarter GVA recovery.  </w:t>
            </w:r>
          </w:p>
        </w:tc>
        <w:tc>
          <w:tcPr>
            <w:tcW w:w="223" w:type="dxa"/>
            <w:shd w:val="clear" w:color="auto" w:fill="auto"/>
            <w:tcMar>
              <w:left w:w="0" w:type="dxa"/>
            </w:tcMar>
          </w:tcPr>
          <w:p w14:paraId="5376612C"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7F7ABAA9" w14:textId="77777777" w:rsidR="00073B58" w:rsidRPr="00A00994" w:rsidRDefault="00073B58" w:rsidP="00073B58">
            <w:pPr>
              <w:rPr>
                <w:lang w:val="en-GB"/>
              </w:rPr>
            </w:pPr>
            <w:r w:rsidRPr="00A00994">
              <w:rPr>
                <w:lang w:val="en-GB"/>
              </w:rPr>
              <w:t xml:space="preserve">In comparison to the previous quarter, the GVA increased by 0.5%. The majority of branches was expanding except for construction (−1.1%), real estate activities (−0.5%) and branches with dominance of the government institutions (−0.3%). Professional, scientific, technical and administrative activities (3.5%), information and communication (2.4%), other service activities (2.4%) and agriculture, forestry and fishing (2.3%) reported a notable revival of the GVA. The GVA grew moderately in financial and insurance activities (0.5%), in group trade, transportation, accommodation and food service (0.4%) and also in manufacturing (0.3%).   </w:t>
            </w:r>
          </w:p>
        </w:tc>
      </w:tr>
      <w:tr w:rsidR="00073B58" w:rsidRPr="00A00994" w14:paraId="0FDA0D91" w14:textId="77777777" w:rsidTr="00073B58">
        <w:trPr>
          <w:trHeight w:val="170"/>
        </w:trPr>
        <w:tc>
          <w:tcPr>
            <w:tcW w:w="1806" w:type="dxa"/>
            <w:vMerge w:val="restart"/>
            <w:shd w:val="clear" w:color="auto" w:fill="auto"/>
            <w:tcMar>
              <w:left w:w="0" w:type="dxa"/>
            </w:tcMar>
          </w:tcPr>
          <w:p w14:paraId="1E1BF245" w14:textId="77777777" w:rsidR="00073B58" w:rsidRPr="00A00994" w:rsidRDefault="00073B58" w:rsidP="00073B58">
            <w:pPr>
              <w:pStyle w:val="Marginlie"/>
              <w:rPr>
                <w:lang w:val="en-GB"/>
              </w:rPr>
            </w:pPr>
          </w:p>
        </w:tc>
        <w:tc>
          <w:tcPr>
            <w:tcW w:w="223" w:type="dxa"/>
            <w:vMerge w:val="restart"/>
            <w:shd w:val="clear" w:color="auto" w:fill="auto"/>
            <w:tcMar>
              <w:left w:w="0" w:type="dxa"/>
            </w:tcMar>
          </w:tcPr>
          <w:p w14:paraId="3129FDC2"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2F8DA43" w14:textId="77777777" w:rsidR="00073B58" w:rsidRPr="00A00994" w:rsidRDefault="00073B58" w:rsidP="00073B58">
            <w:pPr>
              <w:spacing w:after="0"/>
              <w:rPr>
                <w:szCs w:val="20"/>
                <w:lang w:val="en-GB"/>
              </w:rPr>
            </w:pPr>
            <w:r w:rsidRPr="00A00994">
              <w:rPr>
                <w:b/>
                <w:szCs w:val="20"/>
                <w:lang w:val="en-GB"/>
              </w:rPr>
              <w:t>Chart 3 Contributions</w:t>
            </w:r>
            <w:r w:rsidRPr="00A00994">
              <w:rPr>
                <w:b/>
                <w:szCs w:val="20"/>
                <w:lang w:val="en-GB" w:eastAsia="en-US"/>
              </w:rPr>
              <w:t xml:space="preserve"> of branches to real change in GVA</w:t>
            </w:r>
            <w:r w:rsidRPr="00A00994">
              <w:rPr>
                <w:rFonts w:cs="Arial"/>
                <w:b/>
                <w:szCs w:val="20"/>
                <w:lang w:val="en-GB" w:eastAsia="en-US"/>
              </w:rPr>
              <w:t xml:space="preserve"> </w:t>
            </w:r>
            <w:r w:rsidRPr="00A00994">
              <w:rPr>
                <w:rFonts w:cs="Arial"/>
                <w:bCs/>
                <w:szCs w:val="20"/>
                <w:lang w:val="en-GB" w:eastAsia="en-US"/>
              </w:rPr>
              <w:t>(volume indices, year-on-year contributions in p.p., GVA in %)</w:t>
            </w:r>
            <w:r w:rsidRPr="00A00994">
              <w:rPr>
                <w:rFonts w:cs="Arial"/>
                <w:szCs w:val="20"/>
                <w:lang w:val="en-GB" w:eastAsia="en-US"/>
              </w:rPr>
              <w:t xml:space="preserve"> </w:t>
            </w:r>
          </w:p>
        </w:tc>
      </w:tr>
      <w:tr w:rsidR="00073B58" w:rsidRPr="00A00994" w14:paraId="02CC2CD2" w14:textId="77777777" w:rsidTr="00073B58">
        <w:tblPrEx>
          <w:tblCellMar>
            <w:left w:w="70" w:type="dxa"/>
            <w:right w:w="70" w:type="dxa"/>
          </w:tblCellMar>
        </w:tblPrEx>
        <w:trPr>
          <w:trHeight w:val="170"/>
        </w:trPr>
        <w:tc>
          <w:tcPr>
            <w:tcW w:w="1806" w:type="dxa"/>
            <w:vMerge/>
            <w:shd w:val="clear" w:color="auto" w:fill="auto"/>
          </w:tcPr>
          <w:p w14:paraId="3B472342" w14:textId="77777777" w:rsidR="00073B58" w:rsidRPr="00A00994" w:rsidRDefault="00073B58" w:rsidP="00073B58">
            <w:pPr>
              <w:pStyle w:val="Marginlie"/>
              <w:rPr>
                <w:lang w:val="en-GB"/>
              </w:rPr>
            </w:pPr>
          </w:p>
        </w:tc>
        <w:tc>
          <w:tcPr>
            <w:tcW w:w="223" w:type="dxa"/>
            <w:vMerge/>
            <w:shd w:val="clear" w:color="auto" w:fill="auto"/>
          </w:tcPr>
          <w:p w14:paraId="33205B91" w14:textId="77777777" w:rsidR="00073B58" w:rsidRPr="00A00994" w:rsidRDefault="00073B58" w:rsidP="00073B58">
            <w:pPr>
              <w:pStyle w:val="Textpoznpodarou"/>
              <w:jc w:val="both"/>
              <w:rPr>
                <w:spacing w:val="-4"/>
                <w:lang w:val="en-GB"/>
              </w:rPr>
            </w:pPr>
          </w:p>
        </w:tc>
        <w:tc>
          <w:tcPr>
            <w:tcW w:w="7610" w:type="dxa"/>
            <w:shd w:val="clear" w:color="auto" w:fill="auto"/>
          </w:tcPr>
          <w:p w14:paraId="7B65932D" w14:textId="77777777" w:rsidR="00073B58" w:rsidRPr="00A00994" w:rsidRDefault="00073B58" w:rsidP="00073B58">
            <w:pPr>
              <w:spacing w:after="0"/>
              <w:rPr>
                <w:lang w:val="en-GB"/>
              </w:rPr>
            </w:pPr>
            <w:r>
              <w:rPr>
                <w:noProof/>
              </w:rPr>
              <w:drawing>
                <wp:inline distT="0" distB="0" distL="0" distR="0" wp14:anchorId="5817F319" wp14:editId="29D5D9EE">
                  <wp:extent cx="4737600" cy="3553200"/>
                  <wp:effectExtent l="0" t="0" r="6350" b="0"/>
                  <wp:docPr id="43" name="Graf 4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73B58" w:rsidRPr="00A00994" w14:paraId="42A1A4C5" w14:textId="77777777" w:rsidTr="00073B58">
        <w:trPr>
          <w:trHeight w:val="170"/>
        </w:trPr>
        <w:tc>
          <w:tcPr>
            <w:tcW w:w="1806" w:type="dxa"/>
            <w:vMerge/>
            <w:shd w:val="clear" w:color="auto" w:fill="auto"/>
            <w:tcMar>
              <w:left w:w="0" w:type="dxa"/>
            </w:tcMar>
          </w:tcPr>
          <w:p w14:paraId="6DE03759" w14:textId="77777777" w:rsidR="00073B58" w:rsidRPr="00A00994" w:rsidRDefault="00073B58" w:rsidP="00073B58">
            <w:pPr>
              <w:pStyle w:val="Marginlie"/>
              <w:rPr>
                <w:lang w:val="en-GB"/>
              </w:rPr>
            </w:pPr>
          </w:p>
        </w:tc>
        <w:tc>
          <w:tcPr>
            <w:tcW w:w="223" w:type="dxa"/>
            <w:vMerge/>
            <w:shd w:val="clear" w:color="auto" w:fill="auto"/>
            <w:tcMar>
              <w:left w:w="0" w:type="dxa"/>
            </w:tcMar>
          </w:tcPr>
          <w:p w14:paraId="4DB840FA" w14:textId="77777777" w:rsidR="00073B58" w:rsidRPr="00A00994" w:rsidRDefault="00073B58" w:rsidP="00073B58">
            <w:pPr>
              <w:pStyle w:val="Textpoznpodarou"/>
              <w:jc w:val="both"/>
              <w:rPr>
                <w:spacing w:val="-4"/>
                <w:lang w:val="en-GB"/>
              </w:rPr>
            </w:pPr>
          </w:p>
        </w:tc>
        <w:tc>
          <w:tcPr>
            <w:tcW w:w="7610" w:type="dxa"/>
            <w:shd w:val="clear" w:color="auto" w:fill="auto"/>
            <w:tcMar>
              <w:left w:w="0" w:type="dxa"/>
            </w:tcMar>
          </w:tcPr>
          <w:p w14:paraId="30A19A1A" w14:textId="77777777" w:rsidR="00073B58" w:rsidRPr="00A00994" w:rsidRDefault="00073B58" w:rsidP="00073B58">
            <w:pPr>
              <w:rPr>
                <w:b/>
                <w:bCs/>
                <w:sz w:val="16"/>
                <w:szCs w:val="16"/>
                <w:lang w:val="en-GB"/>
              </w:rPr>
            </w:pPr>
            <w:r w:rsidRPr="00A00994">
              <w:rPr>
                <w:sz w:val="14"/>
                <w:szCs w:val="14"/>
                <w:lang w:val="en-GB"/>
              </w:rPr>
              <w:t>Source: CZSO</w:t>
            </w:r>
          </w:p>
        </w:tc>
      </w:tr>
    </w:tbl>
    <w:p w14:paraId="5BAB8EA3" w14:textId="73A704B0" w:rsidR="000663F0" w:rsidRPr="00A00994" w:rsidRDefault="000663F0" w:rsidP="00584A5D">
      <w:pPr>
        <w:rPr>
          <w:b/>
          <w:sz w:val="2"/>
          <w:szCs w:val="2"/>
          <w:lang w:val="en-GB"/>
        </w:rPr>
      </w:pPr>
      <w:bookmarkStart w:id="6" w:name="_GoBack"/>
      <w:bookmarkEnd w:id="0"/>
      <w:bookmarkEnd w:id="1"/>
      <w:bookmarkEnd w:id="2"/>
      <w:bookmarkEnd w:id="3"/>
      <w:bookmarkEnd w:id="4"/>
      <w:bookmarkEnd w:id="6"/>
    </w:p>
    <w:sectPr w:rsidR="000663F0" w:rsidRPr="00A00994" w:rsidSect="00584A5D">
      <w:headerReference w:type="even" r:id="rId12"/>
      <w:headerReference w:type="default" r:id="rId13"/>
      <w:footerReference w:type="even" r:id="rId14"/>
      <w:footerReference w:type="default" r:id="rId15"/>
      <w:pgSz w:w="11906" w:h="16838" w:code="9"/>
      <w:pgMar w:top="1134" w:right="1134" w:bottom="1418" w:left="1134" w:header="680" w:footer="737" w:gutter="0"/>
      <w:pgNumType w:start="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77CA" w16cid:durableId="26F13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CE34" w14:textId="77777777" w:rsidR="00C36407" w:rsidRDefault="00C36407" w:rsidP="00E71A58">
      <w:r>
        <w:separator/>
      </w:r>
    </w:p>
  </w:endnote>
  <w:endnote w:type="continuationSeparator" w:id="0">
    <w:p w14:paraId="6773555C" w14:textId="77777777" w:rsidR="00C36407" w:rsidRDefault="00C3640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74A184F4" w:rsidR="00073B58" w:rsidRPr="00932443" w:rsidRDefault="00073B58"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584A5D">
      <w:rPr>
        <w:szCs w:val="16"/>
      </w:rPr>
      <w:t>10</w:t>
    </w:r>
    <w:r w:rsidRPr="00932443">
      <w:rPr>
        <w:szCs w:val="16"/>
      </w:rPr>
      <w:fldChar w:fldCharType="end"/>
    </w:r>
    <w:r w:rsidRPr="00932443">
      <w:rPr>
        <w:szCs w:val="16"/>
      </w:rPr>
      <w:tab/>
    </w:r>
    <w:r w:rsidRPr="00D060D1">
      <w:rPr>
        <w:szCs w:val="16"/>
        <w:lang w:val="en-GB"/>
      </w:rPr>
      <w:t>First half of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4B7DD439" w:rsidR="00073B58" w:rsidRPr="00932443" w:rsidRDefault="00073B58" w:rsidP="00FA6CB6">
    <w:pPr>
      <w:pStyle w:val="Zpat"/>
      <w:rPr>
        <w:szCs w:val="16"/>
      </w:rPr>
    </w:pPr>
    <w:r w:rsidRPr="00FA6CB6">
      <w:rPr>
        <w:szCs w:val="16"/>
      </w:rPr>
      <w:tab/>
    </w:r>
    <w:r w:rsidRPr="00D060D1">
      <w:rPr>
        <w:szCs w:val="16"/>
        <w:lang w:val="en-GB"/>
      </w:rPr>
      <w:t xml:space="preserve">First </w:t>
    </w:r>
    <w:r>
      <w:rPr>
        <w:szCs w:val="16"/>
        <w:lang w:val="en-GB"/>
      </w:rPr>
      <w:t>h</w:t>
    </w:r>
    <w:r w:rsidRPr="00D060D1">
      <w:rPr>
        <w:szCs w:val="16"/>
        <w:lang w:val="en-GB"/>
      </w:rPr>
      <w:t>alf of 202</w:t>
    </w:r>
    <w:r>
      <w:rPr>
        <w:lang w:eastAsia="cs-CZ"/>
      </w:rPr>
      <w:drawing>
        <wp:anchor distT="0" distB="0" distL="114300" distR="114300" simplePos="0" relativeHeight="251670016" behindDoc="0" locked="0" layoutInCell="1" allowOverlap="1" wp14:anchorId="3E4346EB" wp14:editId="36046FDA">
          <wp:simplePos x="0" y="0"/>
          <wp:positionH relativeFrom="margin">
            <wp:posOffset>0</wp:posOffset>
          </wp:positionH>
          <wp:positionV relativeFrom="paragraph">
            <wp:posOffset>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584A5D">
      <w:rPr>
        <w:rStyle w:val="ZpatChar"/>
        <w:szCs w:val="16"/>
      </w:rPr>
      <w:t>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7A343" w14:textId="77777777" w:rsidR="00C36407" w:rsidRDefault="00C36407" w:rsidP="00A21B4D">
      <w:pPr>
        <w:spacing w:after="0"/>
      </w:pPr>
      <w:r>
        <w:separator/>
      </w:r>
    </w:p>
  </w:footnote>
  <w:footnote w:type="continuationSeparator" w:id="0">
    <w:p w14:paraId="6334B2F6" w14:textId="77777777" w:rsidR="00C36407" w:rsidRDefault="00C36407" w:rsidP="00E71A58">
      <w:r>
        <w:continuationSeparator/>
      </w:r>
    </w:p>
  </w:footnote>
  <w:footnote w:id="1">
    <w:p w14:paraId="5644C4D9" w14:textId="77777777" w:rsidR="00073B58" w:rsidRPr="009D3F73" w:rsidRDefault="00073B58" w:rsidP="00073B58">
      <w:pPr>
        <w:pStyle w:val="Textpoznpodarou"/>
        <w:jc w:val="both"/>
        <w:rPr>
          <w:sz w:val="16"/>
          <w:szCs w:val="16"/>
          <w:lang w:val="en-GB"/>
        </w:rPr>
      </w:pPr>
      <w:r w:rsidRPr="000348AF">
        <w:rPr>
          <w:rStyle w:val="Znakapoznpodarou"/>
          <w:sz w:val="16"/>
          <w:szCs w:val="16"/>
        </w:rPr>
        <w:footnoteRef/>
      </w:r>
      <w:r w:rsidRPr="000348AF">
        <w:rPr>
          <w:sz w:val="16"/>
          <w:szCs w:val="16"/>
        </w:rPr>
        <w:t xml:space="preserve"> </w:t>
      </w:r>
      <w:r w:rsidRPr="00CE719A">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w:t>
      </w:r>
      <w:r>
        <w:rPr>
          <w:sz w:val="16"/>
          <w:szCs w:val="16"/>
          <w:lang w:val="en-GB"/>
        </w:rPr>
        <w:t>30th</w:t>
      </w:r>
      <w:r w:rsidRPr="00CE719A">
        <w:rPr>
          <w:sz w:val="16"/>
          <w:szCs w:val="16"/>
          <w:lang w:val="en-GB"/>
        </w:rPr>
        <w:t xml:space="preserve"> </w:t>
      </w:r>
      <w:r>
        <w:rPr>
          <w:sz w:val="16"/>
          <w:szCs w:val="16"/>
          <w:lang w:val="en-GB"/>
        </w:rPr>
        <w:t xml:space="preserve">August </w:t>
      </w:r>
      <w:r w:rsidRPr="00CE719A">
        <w:rPr>
          <w:sz w:val="16"/>
          <w:szCs w:val="16"/>
          <w:lang w:val="en-GB"/>
        </w:rPr>
        <w:t>202</w:t>
      </w:r>
      <w:r>
        <w:rPr>
          <w:sz w:val="16"/>
          <w:szCs w:val="16"/>
          <w:lang w:val="en-GB"/>
        </w:rPr>
        <w:t>2</w:t>
      </w:r>
      <w:r w:rsidRPr="00CE719A">
        <w:rPr>
          <w:sz w:val="16"/>
          <w:szCs w:val="16"/>
          <w:lang w:val="en-GB"/>
        </w:rPr>
        <w:t>.</w:t>
      </w:r>
    </w:p>
  </w:footnote>
  <w:footnote w:id="2">
    <w:p w14:paraId="2740A9FA" w14:textId="77777777" w:rsidR="00073B58" w:rsidRPr="009D3F73" w:rsidRDefault="00073B58" w:rsidP="00073B58">
      <w:pPr>
        <w:pStyle w:val="Textpoznpodarou"/>
        <w:jc w:val="both"/>
        <w:rPr>
          <w:sz w:val="16"/>
          <w:szCs w:val="16"/>
          <w:lang w:val="en-GB"/>
        </w:rPr>
      </w:pPr>
      <w:r w:rsidRPr="009D3F73">
        <w:rPr>
          <w:rStyle w:val="Znakapoznpodarou"/>
          <w:sz w:val="16"/>
          <w:szCs w:val="16"/>
          <w:lang w:val="en-GB"/>
        </w:rPr>
        <w:footnoteRef/>
      </w:r>
      <w:r w:rsidRPr="009D3F73">
        <w:rPr>
          <w:sz w:val="16"/>
          <w:szCs w:val="16"/>
          <w:lang w:val="en-GB"/>
        </w:rPr>
        <w:t xml:space="preserve"> Data </w:t>
      </w:r>
      <w:r>
        <w:rPr>
          <w:sz w:val="16"/>
          <w:szCs w:val="16"/>
          <w:lang w:val="en-GB"/>
        </w:rPr>
        <w:t xml:space="preserve">for Luxembourg were not available. </w:t>
      </w:r>
    </w:p>
  </w:footnote>
  <w:footnote w:id="3">
    <w:p w14:paraId="76C599EF" w14:textId="77777777" w:rsidR="00073B58" w:rsidRPr="00EB2693" w:rsidRDefault="00073B58" w:rsidP="00073B58">
      <w:pPr>
        <w:pStyle w:val="Textpoznpodarou"/>
        <w:jc w:val="both"/>
        <w:rPr>
          <w:lang w:val="en-GB"/>
        </w:rPr>
      </w:pPr>
      <w:r w:rsidRPr="009C6EA8">
        <w:rPr>
          <w:rStyle w:val="Znakapoznpodarou"/>
          <w:sz w:val="16"/>
          <w:szCs w:val="16"/>
        </w:rPr>
        <w:footnoteRef/>
      </w:r>
      <w:r w:rsidRPr="009C6EA8">
        <w:rPr>
          <w:sz w:val="16"/>
          <w:szCs w:val="16"/>
        </w:rPr>
        <w:t xml:space="preserve"> </w:t>
      </w:r>
      <w:r w:rsidRPr="00EB2693">
        <w:rPr>
          <w:sz w:val="16"/>
          <w:szCs w:val="16"/>
          <w:lang w:val="en-GB"/>
        </w:rPr>
        <w:t xml:space="preserve">Employment data are in the national accounts conception (persons), figure seasonally adjusted.  </w:t>
      </w:r>
    </w:p>
  </w:footnote>
  <w:footnote w:id="4">
    <w:p w14:paraId="15AF55EB"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sidRPr="00D559D2">
        <w:rPr>
          <w:sz w:val="16"/>
          <w:szCs w:val="16"/>
          <w:lang w:val="en-GB"/>
        </w:rPr>
        <w:t xml:space="preserve">Converted into the real expression using the deflator of final consumption expenditure of households. </w:t>
      </w:r>
    </w:p>
  </w:footnote>
  <w:footnote w:id="5">
    <w:p w14:paraId="027FE806"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Pr>
          <w:sz w:val="16"/>
          <w:szCs w:val="16"/>
          <w:lang w:val="en-GB"/>
        </w:rPr>
        <w:t xml:space="preserve">Public administration, education, health and social work. </w:t>
      </w:r>
    </w:p>
  </w:footnote>
  <w:footnote w:id="6">
    <w:p w14:paraId="7FF4E4E0" w14:textId="77777777" w:rsidR="00073B58" w:rsidRPr="00EB2693" w:rsidRDefault="00073B58" w:rsidP="00073B58">
      <w:pPr>
        <w:pStyle w:val="Textpoznpodarou"/>
        <w:jc w:val="both"/>
        <w:rPr>
          <w:sz w:val="16"/>
          <w:szCs w:val="16"/>
          <w:lang w:val="en-GB"/>
        </w:rPr>
      </w:pPr>
      <w:r w:rsidRPr="00EB2693">
        <w:rPr>
          <w:rStyle w:val="Znakapoznpodarou"/>
          <w:sz w:val="16"/>
          <w:szCs w:val="16"/>
          <w:lang w:val="en-GB"/>
        </w:rPr>
        <w:footnoteRef/>
      </w:r>
      <w:r w:rsidRPr="00EB2693">
        <w:rPr>
          <w:sz w:val="16"/>
          <w:szCs w:val="16"/>
          <w:lang w:val="en-GB"/>
        </w:rPr>
        <w:t xml:space="preserve"> </w:t>
      </w:r>
      <w:r>
        <w:rPr>
          <w:sz w:val="16"/>
          <w:szCs w:val="16"/>
          <w:lang w:val="en-GB"/>
        </w:rPr>
        <w:t xml:space="preserve">Payment of covid bonuses to medical professionals. </w:t>
      </w:r>
    </w:p>
  </w:footnote>
  <w:footnote w:id="7">
    <w:p w14:paraId="70FD5624" w14:textId="77777777" w:rsidR="00073B58" w:rsidRPr="00C87817" w:rsidRDefault="00073B58" w:rsidP="00073B58">
      <w:pPr>
        <w:pStyle w:val="Textpoznpodarou"/>
        <w:jc w:val="both"/>
        <w:rPr>
          <w:sz w:val="16"/>
          <w:szCs w:val="16"/>
          <w:lang w:val="en-GB"/>
        </w:rPr>
      </w:pPr>
      <w:r w:rsidRPr="009C6EA8">
        <w:rPr>
          <w:rStyle w:val="Znakapoznpodarou"/>
          <w:sz w:val="16"/>
          <w:szCs w:val="16"/>
        </w:rPr>
        <w:footnoteRef/>
      </w:r>
      <w:r w:rsidRPr="009C6EA8">
        <w:rPr>
          <w:sz w:val="16"/>
          <w:szCs w:val="16"/>
        </w:rPr>
        <w:t xml:space="preserve"> </w:t>
      </w:r>
      <w:r w:rsidRPr="001C0409">
        <w:rPr>
          <w:sz w:val="16"/>
          <w:szCs w:val="16"/>
          <w:lang w:val="en-GB"/>
        </w:rPr>
        <w:t>Additions to the GDP change after exclusion of imports for final use.</w:t>
      </w:r>
    </w:p>
  </w:footnote>
  <w:footnote w:id="8">
    <w:p w14:paraId="41DEA215" w14:textId="77777777" w:rsidR="00073B58" w:rsidRPr="00C87817" w:rsidRDefault="00073B58" w:rsidP="00073B58">
      <w:pPr>
        <w:pStyle w:val="Textpoznpodarou"/>
        <w:jc w:val="both"/>
        <w:rPr>
          <w:sz w:val="16"/>
          <w:szCs w:val="16"/>
          <w:lang w:val="en-GB"/>
        </w:rPr>
      </w:pPr>
      <w:r w:rsidRPr="00C87817">
        <w:rPr>
          <w:rStyle w:val="Znakapoznpodarou"/>
          <w:sz w:val="16"/>
          <w:szCs w:val="16"/>
          <w:lang w:val="en-GB"/>
        </w:rPr>
        <w:footnoteRef/>
      </w:r>
      <w:r w:rsidRPr="00C87817">
        <w:rPr>
          <w:sz w:val="16"/>
          <w:szCs w:val="16"/>
          <w:lang w:val="en-GB"/>
        </w:rPr>
        <w:t xml:space="preserve"> </w:t>
      </w:r>
      <w:r w:rsidRPr="001C0409">
        <w:rPr>
          <w:sz w:val="16"/>
          <w:szCs w:val="16"/>
          <w:lang w:val="en-GB"/>
        </w:rPr>
        <w:t xml:space="preserve">Data regarding consumption based on durability are in domestic conception. </w:t>
      </w:r>
    </w:p>
  </w:footnote>
  <w:footnote w:id="9">
    <w:p w14:paraId="14FCD4FA" w14:textId="77777777" w:rsidR="00073B58" w:rsidRPr="00F72C79" w:rsidRDefault="00073B58" w:rsidP="00073B58">
      <w:pPr>
        <w:pStyle w:val="Textpoznpodarou"/>
        <w:jc w:val="both"/>
        <w:rPr>
          <w:sz w:val="16"/>
          <w:szCs w:val="16"/>
          <w:lang w:val="en-GB"/>
        </w:rPr>
      </w:pPr>
      <w:r w:rsidRPr="004831F6">
        <w:rPr>
          <w:rStyle w:val="Znakapoznpodarou"/>
          <w:sz w:val="16"/>
          <w:szCs w:val="16"/>
        </w:rPr>
        <w:footnoteRef/>
      </w:r>
      <w:r w:rsidRPr="004831F6">
        <w:rPr>
          <w:sz w:val="16"/>
          <w:szCs w:val="16"/>
        </w:rPr>
        <w:t xml:space="preserve"> </w:t>
      </w:r>
      <w:r w:rsidRPr="00A95AB2">
        <w:rPr>
          <w:sz w:val="16"/>
          <w:szCs w:val="16"/>
          <w:lang w:val="en-GB"/>
        </w:rPr>
        <w:t xml:space="preserve">Change of inventories (in current prices and seasonally adjusted) attained </w:t>
      </w:r>
      <w:r>
        <w:rPr>
          <w:sz w:val="16"/>
          <w:szCs w:val="16"/>
          <w:lang w:val="en-GB"/>
        </w:rPr>
        <w:t>92</w:t>
      </w:r>
      <w:r w:rsidRPr="00A95AB2">
        <w:rPr>
          <w:sz w:val="16"/>
          <w:szCs w:val="16"/>
          <w:lang w:val="en-GB"/>
        </w:rPr>
        <w:t>.</w:t>
      </w:r>
      <w:r>
        <w:rPr>
          <w:sz w:val="16"/>
          <w:szCs w:val="16"/>
          <w:lang w:val="en-GB"/>
        </w:rPr>
        <w:t>8</w:t>
      </w:r>
      <w:r w:rsidRPr="00A95AB2">
        <w:rPr>
          <w:sz w:val="16"/>
          <w:szCs w:val="16"/>
          <w:lang w:val="en-GB"/>
        </w:rPr>
        <w:t xml:space="preserve"> CZK bn in Q2.</w:t>
      </w:r>
      <w:r>
        <w:rPr>
          <w:sz w:val="16"/>
          <w:szCs w:val="16"/>
          <w:lang w:val="en-GB"/>
        </w:rPr>
        <w:t xml:space="preserve"> </w:t>
      </w:r>
    </w:p>
  </w:footnote>
  <w:footnote w:id="10">
    <w:p w14:paraId="42832A06" w14:textId="77777777" w:rsidR="00073B58" w:rsidRPr="00F72C79" w:rsidRDefault="00073B58" w:rsidP="00073B58">
      <w:pPr>
        <w:pStyle w:val="Textpoznpodarou"/>
        <w:jc w:val="both"/>
        <w:rPr>
          <w:sz w:val="16"/>
          <w:szCs w:val="16"/>
          <w:lang w:val="en-GB"/>
        </w:rPr>
      </w:pPr>
      <w:r w:rsidRPr="00F72C79">
        <w:rPr>
          <w:rStyle w:val="Znakapoznpodarou"/>
          <w:sz w:val="16"/>
          <w:szCs w:val="16"/>
          <w:lang w:val="en-GB"/>
        </w:rPr>
        <w:footnoteRef/>
      </w:r>
      <w:r w:rsidRPr="00F72C79">
        <w:rPr>
          <w:sz w:val="16"/>
          <w:szCs w:val="16"/>
          <w:lang w:val="en-GB"/>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r>
        <w:rPr>
          <w:sz w:val="16"/>
          <w:szCs w:val="16"/>
          <w:lang w:val="en-GB"/>
        </w:rPr>
        <w:t xml:space="preserve"> Foreign trade balance in current prices and after seasonal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5496D026" w:rsidR="00073B58" w:rsidRPr="00D060D1" w:rsidRDefault="00073B58" w:rsidP="00937AE2">
    <w:pPr>
      <w:pStyle w:val="Zhlav"/>
      <w:rPr>
        <w:lang w:val="en-GB"/>
      </w:rPr>
    </w:pPr>
    <w:r w:rsidRPr="00D060D1">
      <w:rPr>
        <w:lang w:val="en-GB"/>
      </w:rPr>
      <w:t>The Czech Economy Development</w:t>
    </w:r>
  </w:p>
  <w:p w14:paraId="3E881AB3" w14:textId="77777777" w:rsidR="00073B58" w:rsidRPr="006F5416" w:rsidRDefault="00073B5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0E20256D" w:rsidR="00073B58" w:rsidRPr="00D060D1" w:rsidRDefault="00073B58" w:rsidP="00937AE2">
    <w:pPr>
      <w:pStyle w:val="Zhlav"/>
      <w:rPr>
        <w:lang w:val="en-GB"/>
      </w:rPr>
    </w:pPr>
    <w:r w:rsidRPr="00D060D1">
      <w:rPr>
        <w:lang w:val="en-GB"/>
      </w:rPr>
      <w:t>The Czech Economy Development</w:t>
    </w:r>
  </w:p>
  <w:p w14:paraId="57266714" w14:textId="77777777" w:rsidR="00073B58" w:rsidRPr="006F5416" w:rsidRDefault="00073B5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2A2B"/>
    <w:rsid w:val="0000370A"/>
    <w:rsid w:val="00003849"/>
    <w:rsid w:val="00003D02"/>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68D"/>
    <w:rsid w:val="00010702"/>
    <w:rsid w:val="00010A2C"/>
    <w:rsid w:val="0001128E"/>
    <w:rsid w:val="00011912"/>
    <w:rsid w:val="0001193B"/>
    <w:rsid w:val="00011E90"/>
    <w:rsid w:val="000129B7"/>
    <w:rsid w:val="0001387D"/>
    <w:rsid w:val="00014CE1"/>
    <w:rsid w:val="00014ED0"/>
    <w:rsid w:val="0001641E"/>
    <w:rsid w:val="00016420"/>
    <w:rsid w:val="00016BDB"/>
    <w:rsid w:val="00017B01"/>
    <w:rsid w:val="000200BE"/>
    <w:rsid w:val="000204E5"/>
    <w:rsid w:val="000205D1"/>
    <w:rsid w:val="00020F22"/>
    <w:rsid w:val="0002195D"/>
    <w:rsid w:val="00021F9B"/>
    <w:rsid w:val="000228AE"/>
    <w:rsid w:val="000230CC"/>
    <w:rsid w:val="000233D1"/>
    <w:rsid w:val="000234D6"/>
    <w:rsid w:val="00023D29"/>
    <w:rsid w:val="00024280"/>
    <w:rsid w:val="00024348"/>
    <w:rsid w:val="000243D4"/>
    <w:rsid w:val="00024449"/>
    <w:rsid w:val="00026109"/>
    <w:rsid w:val="0002622B"/>
    <w:rsid w:val="00026389"/>
    <w:rsid w:val="0002669F"/>
    <w:rsid w:val="000279E5"/>
    <w:rsid w:val="000305E0"/>
    <w:rsid w:val="00031AE0"/>
    <w:rsid w:val="00031BB2"/>
    <w:rsid w:val="000322EF"/>
    <w:rsid w:val="00032AE0"/>
    <w:rsid w:val="00033FCD"/>
    <w:rsid w:val="00034776"/>
    <w:rsid w:val="000348AF"/>
    <w:rsid w:val="00034B70"/>
    <w:rsid w:val="00034DF7"/>
    <w:rsid w:val="00034E68"/>
    <w:rsid w:val="000350C8"/>
    <w:rsid w:val="00036195"/>
    <w:rsid w:val="000374B2"/>
    <w:rsid w:val="000376C0"/>
    <w:rsid w:val="000403A7"/>
    <w:rsid w:val="00040632"/>
    <w:rsid w:val="00040A64"/>
    <w:rsid w:val="00041AFC"/>
    <w:rsid w:val="00041CEC"/>
    <w:rsid w:val="00041D02"/>
    <w:rsid w:val="00042596"/>
    <w:rsid w:val="00042A4A"/>
    <w:rsid w:val="00043A33"/>
    <w:rsid w:val="00044183"/>
    <w:rsid w:val="0004431D"/>
    <w:rsid w:val="00044AAC"/>
    <w:rsid w:val="00045426"/>
    <w:rsid w:val="0004694F"/>
    <w:rsid w:val="00046F2F"/>
    <w:rsid w:val="00047AD4"/>
    <w:rsid w:val="00047D54"/>
    <w:rsid w:val="00047EC5"/>
    <w:rsid w:val="0005054A"/>
    <w:rsid w:val="00050A87"/>
    <w:rsid w:val="00051506"/>
    <w:rsid w:val="00051A2E"/>
    <w:rsid w:val="000522E4"/>
    <w:rsid w:val="0005312A"/>
    <w:rsid w:val="00053713"/>
    <w:rsid w:val="0005434E"/>
    <w:rsid w:val="00054C5F"/>
    <w:rsid w:val="00055CB6"/>
    <w:rsid w:val="0005621E"/>
    <w:rsid w:val="00056628"/>
    <w:rsid w:val="000572DD"/>
    <w:rsid w:val="00057B1E"/>
    <w:rsid w:val="0006033F"/>
    <w:rsid w:val="000603ED"/>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65"/>
    <w:rsid w:val="000663F0"/>
    <w:rsid w:val="00066558"/>
    <w:rsid w:val="000671DB"/>
    <w:rsid w:val="00067982"/>
    <w:rsid w:val="0007053D"/>
    <w:rsid w:val="00070A87"/>
    <w:rsid w:val="000712B3"/>
    <w:rsid w:val="00071A7C"/>
    <w:rsid w:val="00071E38"/>
    <w:rsid w:val="00071E60"/>
    <w:rsid w:val="00072FF5"/>
    <w:rsid w:val="00073A5A"/>
    <w:rsid w:val="00073B58"/>
    <w:rsid w:val="000746AF"/>
    <w:rsid w:val="0007474E"/>
    <w:rsid w:val="00074988"/>
    <w:rsid w:val="0007512B"/>
    <w:rsid w:val="00075551"/>
    <w:rsid w:val="000767F5"/>
    <w:rsid w:val="00076CCB"/>
    <w:rsid w:val="00076D90"/>
    <w:rsid w:val="00077FF0"/>
    <w:rsid w:val="00081A55"/>
    <w:rsid w:val="0008263E"/>
    <w:rsid w:val="00082C19"/>
    <w:rsid w:val="00082F89"/>
    <w:rsid w:val="00083457"/>
    <w:rsid w:val="000837CD"/>
    <w:rsid w:val="00083B7F"/>
    <w:rsid w:val="00084BFF"/>
    <w:rsid w:val="00085395"/>
    <w:rsid w:val="000863DC"/>
    <w:rsid w:val="00086896"/>
    <w:rsid w:val="00086AC1"/>
    <w:rsid w:val="00086D19"/>
    <w:rsid w:val="0008729C"/>
    <w:rsid w:val="00087634"/>
    <w:rsid w:val="00087F2B"/>
    <w:rsid w:val="00090694"/>
    <w:rsid w:val="00090EE2"/>
    <w:rsid w:val="00090FC6"/>
    <w:rsid w:val="000913B1"/>
    <w:rsid w:val="0009190F"/>
    <w:rsid w:val="0009290F"/>
    <w:rsid w:val="00093241"/>
    <w:rsid w:val="00093868"/>
    <w:rsid w:val="000940BC"/>
    <w:rsid w:val="00094A84"/>
    <w:rsid w:val="00095025"/>
    <w:rsid w:val="00095135"/>
    <w:rsid w:val="0009626E"/>
    <w:rsid w:val="0009644D"/>
    <w:rsid w:val="00097191"/>
    <w:rsid w:val="000974D1"/>
    <w:rsid w:val="00097784"/>
    <w:rsid w:val="0009799E"/>
    <w:rsid w:val="00097E48"/>
    <w:rsid w:val="000A07CB"/>
    <w:rsid w:val="000A0BC0"/>
    <w:rsid w:val="000A1183"/>
    <w:rsid w:val="000A12ED"/>
    <w:rsid w:val="000A17BB"/>
    <w:rsid w:val="000A1D49"/>
    <w:rsid w:val="000A212B"/>
    <w:rsid w:val="000A242D"/>
    <w:rsid w:val="000A256D"/>
    <w:rsid w:val="000A2643"/>
    <w:rsid w:val="000A2E5F"/>
    <w:rsid w:val="000A3A2C"/>
    <w:rsid w:val="000A3D9E"/>
    <w:rsid w:val="000A4A54"/>
    <w:rsid w:val="000A4ED9"/>
    <w:rsid w:val="000A50C7"/>
    <w:rsid w:val="000A5DB7"/>
    <w:rsid w:val="000A6597"/>
    <w:rsid w:val="000A6753"/>
    <w:rsid w:val="000A6D94"/>
    <w:rsid w:val="000A7377"/>
    <w:rsid w:val="000A74A4"/>
    <w:rsid w:val="000A775A"/>
    <w:rsid w:val="000A7D63"/>
    <w:rsid w:val="000A7FF4"/>
    <w:rsid w:val="000B03CC"/>
    <w:rsid w:val="000B0842"/>
    <w:rsid w:val="000B2B79"/>
    <w:rsid w:val="000B4212"/>
    <w:rsid w:val="000B54B5"/>
    <w:rsid w:val="000B67B7"/>
    <w:rsid w:val="000B6A0A"/>
    <w:rsid w:val="000C0127"/>
    <w:rsid w:val="000C0CA6"/>
    <w:rsid w:val="000C0EA8"/>
    <w:rsid w:val="000C0EB2"/>
    <w:rsid w:val="000C13A2"/>
    <w:rsid w:val="000C21E7"/>
    <w:rsid w:val="000C23EC"/>
    <w:rsid w:val="000C26A2"/>
    <w:rsid w:val="000C290E"/>
    <w:rsid w:val="000C30C3"/>
    <w:rsid w:val="000C3408"/>
    <w:rsid w:val="000C35AB"/>
    <w:rsid w:val="000C3F7B"/>
    <w:rsid w:val="000C45A5"/>
    <w:rsid w:val="000C4769"/>
    <w:rsid w:val="000C4D56"/>
    <w:rsid w:val="000C5DFA"/>
    <w:rsid w:val="000C62C0"/>
    <w:rsid w:val="000C6306"/>
    <w:rsid w:val="000C6AFD"/>
    <w:rsid w:val="000C6C90"/>
    <w:rsid w:val="000C72B7"/>
    <w:rsid w:val="000C7A79"/>
    <w:rsid w:val="000D0A26"/>
    <w:rsid w:val="000D13CB"/>
    <w:rsid w:val="000D1ECA"/>
    <w:rsid w:val="000D2196"/>
    <w:rsid w:val="000D246F"/>
    <w:rsid w:val="000D27C9"/>
    <w:rsid w:val="000D2C2E"/>
    <w:rsid w:val="000D2F9F"/>
    <w:rsid w:val="000D3058"/>
    <w:rsid w:val="000D310A"/>
    <w:rsid w:val="000D3EF4"/>
    <w:rsid w:val="000D4761"/>
    <w:rsid w:val="000D4DC0"/>
    <w:rsid w:val="000D55BA"/>
    <w:rsid w:val="000D5637"/>
    <w:rsid w:val="000D5A03"/>
    <w:rsid w:val="000D5BED"/>
    <w:rsid w:val="000D5ED3"/>
    <w:rsid w:val="000D616C"/>
    <w:rsid w:val="000D6AD9"/>
    <w:rsid w:val="000D6F4E"/>
    <w:rsid w:val="000D6FDA"/>
    <w:rsid w:val="000D73BB"/>
    <w:rsid w:val="000E0820"/>
    <w:rsid w:val="000E0E96"/>
    <w:rsid w:val="000E298B"/>
    <w:rsid w:val="000E2C7D"/>
    <w:rsid w:val="000E3E56"/>
    <w:rsid w:val="000E440D"/>
    <w:rsid w:val="000E4AC5"/>
    <w:rsid w:val="000E6253"/>
    <w:rsid w:val="000E6A04"/>
    <w:rsid w:val="000E6AC4"/>
    <w:rsid w:val="000E6E4D"/>
    <w:rsid w:val="000E6FBD"/>
    <w:rsid w:val="000E6FCB"/>
    <w:rsid w:val="000F090B"/>
    <w:rsid w:val="000F15F7"/>
    <w:rsid w:val="000F1AA2"/>
    <w:rsid w:val="000F378E"/>
    <w:rsid w:val="000F3F3B"/>
    <w:rsid w:val="000F4721"/>
    <w:rsid w:val="000F47E8"/>
    <w:rsid w:val="000F5C59"/>
    <w:rsid w:val="000F629E"/>
    <w:rsid w:val="000F70E4"/>
    <w:rsid w:val="000F76EA"/>
    <w:rsid w:val="001002DE"/>
    <w:rsid w:val="001006AB"/>
    <w:rsid w:val="00100A8B"/>
    <w:rsid w:val="00100F5C"/>
    <w:rsid w:val="001014D9"/>
    <w:rsid w:val="00101B15"/>
    <w:rsid w:val="00101CDA"/>
    <w:rsid w:val="00102037"/>
    <w:rsid w:val="00103DCB"/>
    <w:rsid w:val="001041F2"/>
    <w:rsid w:val="00104C4C"/>
    <w:rsid w:val="00105015"/>
    <w:rsid w:val="001055D2"/>
    <w:rsid w:val="001057C2"/>
    <w:rsid w:val="00105B09"/>
    <w:rsid w:val="0010707E"/>
    <w:rsid w:val="00107124"/>
    <w:rsid w:val="0011038E"/>
    <w:rsid w:val="00111573"/>
    <w:rsid w:val="00111E98"/>
    <w:rsid w:val="001125EF"/>
    <w:rsid w:val="00112CAB"/>
    <w:rsid w:val="0011440C"/>
    <w:rsid w:val="00114C33"/>
    <w:rsid w:val="00116D3F"/>
    <w:rsid w:val="00117474"/>
    <w:rsid w:val="00117623"/>
    <w:rsid w:val="00117642"/>
    <w:rsid w:val="00117FEA"/>
    <w:rsid w:val="001200CF"/>
    <w:rsid w:val="001208E3"/>
    <w:rsid w:val="00120F97"/>
    <w:rsid w:val="00121609"/>
    <w:rsid w:val="0012192F"/>
    <w:rsid w:val="00122994"/>
    <w:rsid w:val="00123204"/>
    <w:rsid w:val="00124B46"/>
    <w:rsid w:val="001257BE"/>
    <w:rsid w:val="001257E0"/>
    <w:rsid w:val="00125D69"/>
    <w:rsid w:val="00126538"/>
    <w:rsid w:val="00126A48"/>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5DA"/>
    <w:rsid w:val="001459BC"/>
    <w:rsid w:val="00145D5C"/>
    <w:rsid w:val="00146310"/>
    <w:rsid w:val="001502B9"/>
    <w:rsid w:val="00150ECA"/>
    <w:rsid w:val="00150FA4"/>
    <w:rsid w:val="00151707"/>
    <w:rsid w:val="00152C86"/>
    <w:rsid w:val="00152F4F"/>
    <w:rsid w:val="00153264"/>
    <w:rsid w:val="0015329F"/>
    <w:rsid w:val="00153378"/>
    <w:rsid w:val="00153D54"/>
    <w:rsid w:val="001544A1"/>
    <w:rsid w:val="001553B8"/>
    <w:rsid w:val="001554C2"/>
    <w:rsid w:val="00156D04"/>
    <w:rsid w:val="001571C0"/>
    <w:rsid w:val="0015753D"/>
    <w:rsid w:val="00157984"/>
    <w:rsid w:val="00157CC9"/>
    <w:rsid w:val="00160C21"/>
    <w:rsid w:val="001612F4"/>
    <w:rsid w:val="00161553"/>
    <w:rsid w:val="0016206D"/>
    <w:rsid w:val="0016216F"/>
    <w:rsid w:val="0016256B"/>
    <w:rsid w:val="00162C26"/>
    <w:rsid w:val="00162F81"/>
    <w:rsid w:val="00163793"/>
    <w:rsid w:val="00164CA1"/>
    <w:rsid w:val="00165313"/>
    <w:rsid w:val="001665AB"/>
    <w:rsid w:val="00167485"/>
    <w:rsid w:val="001679F5"/>
    <w:rsid w:val="00167B92"/>
    <w:rsid w:val="00167CB9"/>
    <w:rsid w:val="00167DD8"/>
    <w:rsid w:val="001705AD"/>
    <w:rsid w:val="001706D6"/>
    <w:rsid w:val="001714F2"/>
    <w:rsid w:val="00171BA9"/>
    <w:rsid w:val="00171E8E"/>
    <w:rsid w:val="00171FEA"/>
    <w:rsid w:val="00173622"/>
    <w:rsid w:val="001738A5"/>
    <w:rsid w:val="00173CB7"/>
    <w:rsid w:val="001742E7"/>
    <w:rsid w:val="00174501"/>
    <w:rsid w:val="00174965"/>
    <w:rsid w:val="00175B9F"/>
    <w:rsid w:val="00176217"/>
    <w:rsid w:val="001762F4"/>
    <w:rsid w:val="001777BA"/>
    <w:rsid w:val="00181029"/>
    <w:rsid w:val="00181BBC"/>
    <w:rsid w:val="00181E9D"/>
    <w:rsid w:val="00182D3C"/>
    <w:rsid w:val="0018385F"/>
    <w:rsid w:val="00183931"/>
    <w:rsid w:val="00183BCF"/>
    <w:rsid w:val="00184017"/>
    <w:rsid w:val="0018477D"/>
    <w:rsid w:val="001847BB"/>
    <w:rsid w:val="00184B08"/>
    <w:rsid w:val="00185010"/>
    <w:rsid w:val="001854F2"/>
    <w:rsid w:val="00185C22"/>
    <w:rsid w:val="00186BA9"/>
    <w:rsid w:val="00187D50"/>
    <w:rsid w:val="00190796"/>
    <w:rsid w:val="00190B4D"/>
    <w:rsid w:val="00191298"/>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DBF"/>
    <w:rsid w:val="001A1F68"/>
    <w:rsid w:val="001A21FA"/>
    <w:rsid w:val="001A4D7C"/>
    <w:rsid w:val="001A4DC3"/>
    <w:rsid w:val="001A4EF0"/>
    <w:rsid w:val="001A552F"/>
    <w:rsid w:val="001A6015"/>
    <w:rsid w:val="001A70B1"/>
    <w:rsid w:val="001A7672"/>
    <w:rsid w:val="001B01CB"/>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44E"/>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081"/>
    <w:rsid w:val="001C544D"/>
    <w:rsid w:val="001C5A8A"/>
    <w:rsid w:val="001C5C63"/>
    <w:rsid w:val="001C5E46"/>
    <w:rsid w:val="001C69CE"/>
    <w:rsid w:val="001C6B3B"/>
    <w:rsid w:val="001C7051"/>
    <w:rsid w:val="001C7A26"/>
    <w:rsid w:val="001C7E3F"/>
    <w:rsid w:val="001D0EF1"/>
    <w:rsid w:val="001D1A44"/>
    <w:rsid w:val="001D2029"/>
    <w:rsid w:val="001D22C2"/>
    <w:rsid w:val="001D2C99"/>
    <w:rsid w:val="001D3852"/>
    <w:rsid w:val="001D3B75"/>
    <w:rsid w:val="001D452E"/>
    <w:rsid w:val="001D4E19"/>
    <w:rsid w:val="001D54C1"/>
    <w:rsid w:val="001D556E"/>
    <w:rsid w:val="001D5DF2"/>
    <w:rsid w:val="001D6175"/>
    <w:rsid w:val="001D68B2"/>
    <w:rsid w:val="001D7EFD"/>
    <w:rsid w:val="001D7F60"/>
    <w:rsid w:val="001E085B"/>
    <w:rsid w:val="001E111C"/>
    <w:rsid w:val="001E149B"/>
    <w:rsid w:val="001E15CB"/>
    <w:rsid w:val="001E3227"/>
    <w:rsid w:val="001E3306"/>
    <w:rsid w:val="001E4452"/>
    <w:rsid w:val="001E504C"/>
    <w:rsid w:val="001E56AC"/>
    <w:rsid w:val="001E5A17"/>
    <w:rsid w:val="001E74C5"/>
    <w:rsid w:val="001F1236"/>
    <w:rsid w:val="001F1CAE"/>
    <w:rsid w:val="001F2F90"/>
    <w:rsid w:val="001F406B"/>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549F"/>
    <w:rsid w:val="00206516"/>
    <w:rsid w:val="00206CF4"/>
    <w:rsid w:val="002070CF"/>
    <w:rsid w:val="002071D5"/>
    <w:rsid w:val="00210941"/>
    <w:rsid w:val="002111E5"/>
    <w:rsid w:val="0021149E"/>
    <w:rsid w:val="002118B9"/>
    <w:rsid w:val="00211E4A"/>
    <w:rsid w:val="00213691"/>
    <w:rsid w:val="002142C0"/>
    <w:rsid w:val="002151B4"/>
    <w:rsid w:val="00217BED"/>
    <w:rsid w:val="00217C5B"/>
    <w:rsid w:val="002208C9"/>
    <w:rsid w:val="00220A43"/>
    <w:rsid w:val="0022139E"/>
    <w:rsid w:val="00222729"/>
    <w:rsid w:val="0022287B"/>
    <w:rsid w:val="002228DB"/>
    <w:rsid w:val="00223185"/>
    <w:rsid w:val="00223264"/>
    <w:rsid w:val="002233D6"/>
    <w:rsid w:val="002235EA"/>
    <w:rsid w:val="002243FB"/>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8C7"/>
    <w:rsid w:val="00244A15"/>
    <w:rsid w:val="002452D9"/>
    <w:rsid w:val="00246649"/>
    <w:rsid w:val="00247319"/>
    <w:rsid w:val="002474FE"/>
    <w:rsid w:val="0024799E"/>
    <w:rsid w:val="00247E60"/>
    <w:rsid w:val="00251496"/>
    <w:rsid w:val="00251B08"/>
    <w:rsid w:val="00251C53"/>
    <w:rsid w:val="00251F7A"/>
    <w:rsid w:val="00252AB9"/>
    <w:rsid w:val="002532B1"/>
    <w:rsid w:val="00253C0F"/>
    <w:rsid w:val="00253ED9"/>
    <w:rsid w:val="002558C1"/>
    <w:rsid w:val="00256207"/>
    <w:rsid w:val="002575F3"/>
    <w:rsid w:val="002603E1"/>
    <w:rsid w:val="002605FE"/>
    <w:rsid w:val="0026120E"/>
    <w:rsid w:val="002617EE"/>
    <w:rsid w:val="0026183A"/>
    <w:rsid w:val="00261C26"/>
    <w:rsid w:val="00262582"/>
    <w:rsid w:val="002626B4"/>
    <w:rsid w:val="0026288F"/>
    <w:rsid w:val="0026291D"/>
    <w:rsid w:val="00262CF3"/>
    <w:rsid w:val="002631D6"/>
    <w:rsid w:val="00264309"/>
    <w:rsid w:val="00264992"/>
    <w:rsid w:val="00264B4F"/>
    <w:rsid w:val="00264B85"/>
    <w:rsid w:val="0026564B"/>
    <w:rsid w:val="0026588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881"/>
    <w:rsid w:val="00282AD4"/>
    <w:rsid w:val="0028341F"/>
    <w:rsid w:val="002837AE"/>
    <w:rsid w:val="00283C13"/>
    <w:rsid w:val="00283F7B"/>
    <w:rsid w:val="0028431A"/>
    <w:rsid w:val="002853FA"/>
    <w:rsid w:val="00285412"/>
    <w:rsid w:val="002857D3"/>
    <w:rsid w:val="00286220"/>
    <w:rsid w:val="0029110B"/>
    <w:rsid w:val="00291640"/>
    <w:rsid w:val="00291EBD"/>
    <w:rsid w:val="0029237E"/>
    <w:rsid w:val="00292997"/>
    <w:rsid w:val="00293043"/>
    <w:rsid w:val="00293D24"/>
    <w:rsid w:val="00293FC1"/>
    <w:rsid w:val="0029461A"/>
    <w:rsid w:val="00294F74"/>
    <w:rsid w:val="0029509B"/>
    <w:rsid w:val="0029588F"/>
    <w:rsid w:val="00295E96"/>
    <w:rsid w:val="00297256"/>
    <w:rsid w:val="00297A5C"/>
    <w:rsid w:val="00297D51"/>
    <w:rsid w:val="002A0122"/>
    <w:rsid w:val="002A016B"/>
    <w:rsid w:val="002A0B40"/>
    <w:rsid w:val="002A103E"/>
    <w:rsid w:val="002A16D4"/>
    <w:rsid w:val="002A1E4F"/>
    <w:rsid w:val="002A230C"/>
    <w:rsid w:val="002A23F9"/>
    <w:rsid w:val="002A2AF7"/>
    <w:rsid w:val="002A3209"/>
    <w:rsid w:val="002A35F7"/>
    <w:rsid w:val="002A38F3"/>
    <w:rsid w:val="002A3EA2"/>
    <w:rsid w:val="002A4701"/>
    <w:rsid w:val="002A4F23"/>
    <w:rsid w:val="002A51AC"/>
    <w:rsid w:val="002A532A"/>
    <w:rsid w:val="002A5846"/>
    <w:rsid w:val="002A5D3A"/>
    <w:rsid w:val="002A5D97"/>
    <w:rsid w:val="002A603E"/>
    <w:rsid w:val="002A63B9"/>
    <w:rsid w:val="002A6FCC"/>
    <w:rsid w:val="002A7089"/>
    <w:rsid w:val="002B0692"/>
    <w:rsid w:val="002B0763"/>
    <w:rsid w:val="002B1619"/>
    <w:rsid w:val="002B3DD7"/>
    <w:rsid w:val="002B3EF4"/>
    <w:rsid w:val="002B4845"/>
    <w:rsid w:val="002B5567"/>
    <w:rsid w:val="002B5812"/>
    <w:rsid w:val="002B6545"/>
    <w:rsid w:val="002B72AA"/>
    <w:rsid w:val="002B764D"/>
    <w:rsid w:val="002B7E7F"/>
    <w:rsid w:val="002C1110"/>
    <w:rsid w:val="002C1BC2"/>
    <w:rsid w:val="002C1F09"/>
    <w:rsid w:val="002C22A4"/>
    <w:rsid w:val="002C260B"/>
    <w:rsid w:val="002C27A6"/>
    <w:rsid w:val="002C288C"/>
    <w:rsid w:val="002C2EB0"/>
    <w:rsid w:val="002C31E4"/>
    <w:rsid w:val="002C398D"/>
    <w:rsid w:val="002C40D2"/>
    <w:rsid w:val="002C43BD"/>
    <w:rsid w:val="002C5245"/>
    <w:rsid w:val="002C564A"/>
    <w:rsid w:val="002C59D8"/>
    <w:rsid w:val="002C5FEB"/>
    <w:rsid w:val="002C6494"/>
    <w:rsid w:val="002D05CB"/>
    <w:rsid w:val="002D0E59"/>
    <w:rsid w:val="002D2127"/>
    <w:rsid w:val="002D2C4F"/>
    <w:rsid w:val="002D3EBB"/>
    <w:rsid w:val="002D455C"/>
    <w:rsid w:val="002D6066"/>
    <w:rsid w:val="002D6A4C"/>
    <w:rsid w:val="002E01AD"/>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59E"/>
    <w:rsid w:val="002E792B"/>
    <w:rsid w:val="002E7AEB"/>
    <w:rsid w:val="002E7B79"/>
    <w:rsid w:val="002F0C47"/>
    <w:rsid w:val="002F1B09"/>
    <w:rsid w:val="002F1D56"/>
    <w:rsid w:val="002F1DCB"/>
    <w:rsid w:val="002F1DE4"/>
    <w:rsid w:val="002F327C"/>
    <w:rsid w:val="002F333D"/>
    <w:rsid w:val="002F351A"/>
    <w:rsid w:val="002F357F"/>
    <w:rsid w:val="002F46D6"/>
    <w:rsid w:val="002F498A"/>
    <w:rsid w:val="002F4AD8"/>
    <w:rsid w:val="002F5285"/>
    <w:rsid w:val="002F5820"/>
    <w:rsid w:val="002F58CC"/>
    <w:rsid w:val="002F5F60"/>
    <w:rsid w:val="002F616A"/>
    <w:rsid w:val="002F64BB"/>
    <w:rsid w:val="002F7D9B"/>
    <w:rsid w:val="00300C31"/>
    <w:rsid w:val="003017EC"/>
    <w:rsid w:val="00302165"/>
    <w:rsid w:val="00303BB4"/>
    <w:rsid w:val="00304194"/>
    <w:rsid w:val="00304771"/>
    <w:rsid w:val="00304F9C"/>
    <w:rsid w:val="0030521E"/>
    <w:rsid w:val="003052D4"/>
    <w:rsid w:val="00305863"/>
    <w:rsid w:val="00305FE5"/>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7C6"/>
    <w:rsid w:val="00316B3D"/>
    <w:rsid w:val="00317343"/>
    <w:rsid w:val="0032058C"/>
    <w:rsid w:val="003208D0"/>
    <w:rsid w:val="003209D6"/>
    <w:rsid w:val="003217B9"/>
    <w:rsid w:val="00321924"/>
    <w:rsid w:val="00321AF1"/>
    <w:rsid w:val="00321EB6"/>
    <w:rsid w:val="003220A5"/>
    <w:rsid w:val="00322CF6"/>
    <w:rsid w:val="003238E0"/>
    <w:rsid w:val="00323A1C"/>
    <w:rsid w:val="00323A2F"/>
    <w:rsid w:val="0032417B"/>
    <w:rsid w:val="003247E1"/>
    <w:rsid w:val="00324B59"/>
    <w:rsid w:val="00325071"/>
    <w:rsid w:val="00325E46"/>
    <w:rsid w:val="003263F9"/>
    <w:rsid w:val="0032656E"/>
    <w:rsid w:val="0032788F"/>
    <w:rsid w:val="00332190"/>
    <w:rsid w:val="00332A98"/>
    <w:rsid w:val="003334BD"/>
    <w:rsid w:val="00333973"/>
    <w:rsid w:val="00333CD0"/>
    <w:rsid w:val="0033448D"/>
    <w:rsid w:val="00334AD2"/>
    <w:rsid w:val="00334CB6"/>
    <w:rsid w:val="00336F1E"/>
    <w:rsid w:val="0033709C"/>
    <w:rsid w:val="003370C5"/>
    <w:rsid w:val="003373C6"/>
    <w:rsid w:val="0033753A"/>
    <w:rsid w:val="00340BF3"/>
    <w:rsid w:val="00341D26"/>
    <w:rsid w:val="00341F05"/>
    <w:rsid w:val="0034210C"/>
    <w:rsid w:val="0034335E"/>
    <w:rsid w:val="003434C5"/>
    <w:rsid w:val="00344668"/>
    <w:rsid w:val="00344940"/>
    <w:rsid w:val="00344E77"/>
    <w:rsid w:val="00346234"/>
    <w:rsid w:val="003462D9"/>
    <w:rsid w:val="0034699F"/>
    <w:rsid w:val="0034723F"/>
    <w:rsid w:val="00347247"/>
    <w:rsid w:val="003474B6"/>
    <w:rsid w:val="00347DD4"/>
    <w:rsid w:val="00350580"/>
    <w:rsid w:val="00350B13"/>
    <w:rsid w:val="00352B43"/>
    <w:rsid w:val="00352C28"/>
    <w:rsid w:val="003541BB"/>
    <w:rsid w:val="00354F89"/>
    <w:rsid w:val="0035506D"/>
    <w:rsid w:val="0036077F"/>
    <w:rsid w:val="00360C86"/>
    <w:rsid w:val="00360F7A"/>
    <w:rsid w:val="00360FBC"/>
    <w:rsid w:val="00361537"/>
    <w:rsid w:val="00361FB7"/>
    <w:rsid w:val="0036242A"/>
    <w:rsid w:val="003627D3"/>
    <w:rsid w:val="00362C23"/>
    <w:rsid w:val="00362DCA"/>
    <w:rsid w:val="00362E90"/>
    <w:rsid w:val="00364FA0"/>
    <w:rsid w:val="003657F3"/>
    <w:rsid w:val="00365844"/>
    <w:rsid w:val="00365DA5"/>
    <w:rsid w:val="00365EF5"/>
    <w:rsid w:val="00365F61"/>
    <w:rsid w:val="0036624C"/>
    <w:rsid w:val="00366461"/>
    <w:rsid w:val="003667F6"/>
    <w:rsid w:val="00367F84"/>
    <w:rsid w:val="003712BC"/>
    <w:rsid w:val="00372164"/>
    <w:rsid w:val="003738BD"/>
    <w:rsid w:val="00374263"/>
    <w:rsid w:val="0037445E"/>
    <w:rsid w:val="003746F0"/>
    <w:rsid w:val="00374A20"/>
    <w:rsid w:val="00374B96"/>
    <w:rsid w:val="00374E21"/>
    <w:rsid w:val="0037537A"/>
    <w:rsid w:val="0037713E"/>
    <w:rsid w:val="00377B2E"/>
    <w:rsid w:val="00380C9B"/>
    <w:rsid w:val="0038102E"/>
    <w:rsid w:val="003810F0"/>
    <w:rsid w:val="003815D4"/>
    <w:rsid w:val="003818DC"/>
    <w:rsid w:val="003820ED"/>
    <w:rsid w:val="00382513"/>
    <w:rsid w:val="00382D80"/>
    <w:rsid w:val="00383388"/>
    <w:rsid w:val="003834F8"/>
    <w:rsid w:val="003838D0"/>
    <w:rsid w:val="003840C2"/>
    <w:rsid w:val="00384327"/>
    <w:rsid w:val="00384A89"/>
    <w:rsid w:val="00385086"/>
    <w:rsid w:val="00385D98"/>
    <w:rsid w:val="003866AA"/>
    <w:rsid w:val="00390306"/>
    <w:rsid w:val="003908A6"/>
    <w:rsid w:val="00390CE5"/>
    <w:rsid w:val="0039109D"/>
    <w:rsid w:val="00391989"/>
    <w:rsid w:val="00391A6C"/>
    <w:rsid w:val="003927F6"/>
    <w:rsid w:val="0039398D"/>
    <w:rsid w:val="00393B3F"/>
    <w:rsid w:val="0039402D"/>
    <w:rsid w:val="003962CA"/>
    <w:rsid w:val="00396739"/>
    <w:rsid w:val="003978B1"/>
    <w:rsid w:val="003A04F6"/>
    <w:rsid w:val="003A0837"/>
    <w:rsid w:val="003A2B4D"/>
    <w:rsid w:val="003A2D12"/>
    <w:rsid w:val="003A2E46"/>
    <w:rsid w:val="003A2EBA"/>
    <w:rsid w:val="003A3343"/>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C8D"/>
    <w:rsid w:val="003B1EA8"/>
    <w:rsid w:val="003B1F9D"/>
    <w:rsid w:val="003B2A8D"/>
    <w:rsid w:val="003B2AD1"/>
    <w:rsid w:val="003B2D2E"/>
    <w:rsid w:val="003B3135"/>
    <w:rsid w:val="003B376A"/>
    <w:rsid w:val="003B42C7"/>
    <w:rsid w:val="003B461F"/>
    <w:rsid w:val="003B483F"/>
    <w:rsid w:val="003B4998"/>
    <w:rsid w:val="003B5A32"/>
    <w:rsid w:val="003B5B59"/>
    <w:rsid w:val="003B709D"/>
    <w:rsid w:val="003B7B50"/>
    <w:rsid w:val="003C0B07"/>
    <w:rsid w:val="003C2284"/>
    <w:rsid w:val="003C2CE7"/>
    <w:rsid w:val="003C2DB8"/>
    <w:rsid w:val="003C3490"/>
    <w:rsid w:val="003C3608"/>
    <w:rsid w:val="003C3AE8"/>
    <w:rsid w:val="003C3D2C"/>
    <w:rsid w:val="003C4058"/>
    <w:rsid w:val="003C4E13"/>
    <w:rsid w:val="003C53AB"/>
    <w:rsid w:val="003C58A5"/>
    <w:rsid w:val="003C6221"/>
    <w:rsid w:val="003C63D7"/>
    <w:rsid w:val="003C672E"/>
    <w:rsid w:val="003C68CC"/>
    <w:rsid w:val="003C7D39"/>
    <w:rsid w:val="003C7E62"/>
    <w:rsid w:val="003D12B9"/>
    <w:rsid w:val="003D1A33"/>
    <w:rsid w:val="003D1E7A"/>
    <w:rsid w:val="003D242B"/>
    <w:rsid w:val="003D2492"/>
    <w:rsid w:val="003D29AA"/>
    <w:rsid w:val="003D2A99"/>
    <w:rsid w:val="003D4EFE"/>
    <w:rsid w:val="003D55EA"/>
    <w:rsid w:val="003D6920"/>
    <w:rsid w:val="003E0249"/>
    <w:rsid w:val="003E08A4"/>
    <w:rsid w:val="003E1EF8"/>
    <w:rsid w:val="003E2DFB"/>
    <w:rsid w:val="003E4466"/>
    <w:rsid w:val="003E4C91"/>
    <w:rsid w:val="003E52D8"/>
    <w:rsid w:val="003E585F"/>
    <w:rsid w:val="003E5FA9"/>
    <w:rsid w:val="003E62F1"/>
    <w:rsid w:val="003E6F84"/>
    <w:rsid w:val="003F0148"/>
    <w:rsid w:val="003F313C"/>
    <w:rsid w:val="003F33B1"/>
    <w:rsid w:val="003F33B9"/>
    <w:rsid w:val="003F37FC"/>
    <w:rsid w:val="003F3E76"/>
    <w:rsid w:val="003F4318"/>
    <w:rsid w:val="003F4B2C"/>
    <w:rsid w:val="003F551C"/>
    <w:rsid w:val="003F5A2B"/>
    <w:rsid w:val="003F5B3D"/>
    <w:rsid w:val="003F626D"/>
    <w:rsid w:val="003F72ED"/>
    <w:rsid w:val="003F778A"/>
    <w:rsid w:val="003F79B6"/>
    <w:rsid w:val="003F7D23"/>
    <w:rsid w:val="00400050"/>
    <w:rsid w:val="004002C8"/>
    <w:rsid w:val="00400468"/>
    <w:rsid w:val="0040099D"/>
    <w:rsid w:val="00400B87"/>
    <w:rsid w:val="004016CB"/>
    <w:rsid w:val="00401B23"/>
    <w:rsid w:val="00402ADB"/>
    <w:rsid w:val="0040368D"/>
    <w:rsid w:val="00403D1D"/>
    <w:rsid w:val="00403F57"/>
    <w:rsid w:val="00404398"/>
    <w:rsid w:val="004046BD"/>
    <w:rsid w:val="0040488D"/>
    <w:rsid w:val="00404BAB"/>
    <w:rsid w:val="004052EF"/>
    <w:rsid w:val="00405318"/>
    <w:rsid w:val="004059D2"/>
    <w:rsid w:val="00405FFC"/>
    <w:rsid w:val="004060C9"/>
    <w:rsid w:val="004066D0"/>
    <w:rsid w:val="00406B0D"/>
    <w:rsid w:val="00406C2E"/>
    <w:rsid w:val="00406CDA"/>
    <w:rsid w:val="00406EB0"/>
    <w:rsid w:val="00407711"/>
    <w:rsid w:val="0040772C"/>
    <w:rsid w:val="00407C13"/>
    <w:rsid w:val="004103F6"/>
    <w:rsid w:val="00410638"/>
    <w:rsid w:val="00412511"/>
    <w:rsid w:val="004125C2"/>
    <w:rsid w:val="00412DFA"/>
    <w:rsid w:val="00413465"/>
    <w:rsid w:val="004149AC"/>
    <w:rsid w:val="0041501E"/>
    <w:rsid w:val="00415452"/>
    <w:rsid w:val="004159C3"/>
    <w:rsid w:val="00415A57"/>
    <w:rsid w:val="00416730"/>
    <w:rsid w:val="00416DAC"/>
    <w:rsid w:val="00417068"/>
    <w:rsid w:val="00417106"/>
    <w:rsid w:val="00420792"/>
    <w:rsid w:val="00420880"/>
    <w:rsid w:val="00421179"/>
    <w:rsid w:val="004225D7"/>
    <w:rsid w:val="004227DA"/>
    <w:rsid w:val="00423623"/>
    <w:rsid w:val="0042425A"/>
    <w:rsid w:val="0042470E"/>
    <w:rsid w:val="00424B72"/>
    <w:rsid w:val="00425352"/>
    <w:rsid w:val="00425734"/>
    <w:rsid w:val="00426C99"/>
    <w:rsid w:val="004272BE"/>
    <w:rsid w:val="00427654"/>
    <w:rsid w:val="004305E4"/>
    <w:rsid w:val="00430C96"/>
    <w:rsid w:val="0043174F"/>
    <w:rsid w:val="00431BFF"/>
    <w:rsid w:val="00432199"/>
    <w:rsid w:val="00432A58"/>
    <w:rsid w:val="004331C3"/>
    <w:rsid w:val="00433C17"/>
    <w:rsid w:val="00434617"/>
    <w:rsid w:val="00434DE9"/>
    <w:rsid w:val="00435051"/>
    <w:rsid w:val="00435C69"/>
    <w:rsid w:val="004360FB"/>
    <w:rsid w:val="00437701"/>
    <w:rsid w:val="00437CED"/>
    <w:rsid w:val="004407BF"/>
    <w:rsid w:val="00440900"/>
    <w:rsid w:val="0044121D"/>
    <w:rsid w:val="00441BF6"/>
    <w:rsid w:val="00441D2B"/>
    <w:rsid w:val="00441F8B"/>
    <w:rsid w:val="00442085"/>
    <w:rsid w:val="0044279E"/>
    <w:rsid w:val="004441A0"/>
    <w:rsid w:val="00444618"/>
    <w:rsid w:val="00444C8C"/>
    <w:rsid w:val="00445861"/>
    <w:rsid w:val="00445A8E"/>
    <w:rsid w:val="00446D44"/>
    <w:rsid w:val="0045078A"/>
    <w:rsid w:val="0045086D"/>
    <w:rsid w:val="00450DAB"/>
    <w:rsid w:val="0045125B"/>
    <w:rsid w:val="00451E25"/>
    <w:rsid w:val="00451EF1"/>
    <w:rsid w:val="004521DF"/>
    <w:rsid w:val="00452E60"/>
    <w:rsid w:val="0045321B"/>
    <w:rsid w:val="00456FE5"/>
    <w:rsid w:val="00457490"/>
    <w:rsid w:val="00457744"/>
    <w:rsid w:val="0045778B"/>
    <w:rsid w:val="0045786C"/>
    <w:rsid w:val="00457953"/>
    <w:rsid w:val="0046011D"/>
    <w:rsid w:val="004604D8"/>
    <w:rsid w:val="00460656"/>
    <w:rsid w:val="00460FB3"/>
    <w:rsid w:val="00463205"/>
    <w:rsid w:val="00463D3C"/>
    <w:rsid w:val="00464851"/>
    <w:rsid w:val="00464990"/>
    <w:rsid w:val="00464BF5"/>
    <w:rsid w:val="00466595"/>
    <w:rsid w:val="00466B3E"/>
    <w:rsid w:val="0046746A"/>
    <w:rsid w:val="00467B14"/>
    <w:rsid w:val="004706ED"/>
    <w:rsid w:val="004707FE"/>
    <w:rsid w:val="00470EDC"/>
    <w:rsid w:val="00471533"/>
    <w:rsid w:val="00471D6A"/>
    <w:rsid w:val="00472418"/>
    <w:rsid w:val="0047276D"/>
    <w:rsid w:val="00472AF6"/>
    <w:rsid w:val="00473482"/>
    <w:rsid w:val="00473491"/>
    <w:rsid w:val="00474646"/>
    <w:rsid w:val="004748E0"/>
    <w:rsid w:val="00474A04"/>
    <w:rsid w:val="00476240"/>
    <w:rsid w:val="00476439"/>
    <w:rsid w:val="00476450"/>
    <w:rsid w:val="004764B7"/>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880"/>
    <w:rsid w:val="00484ECE"/>
    <w:rsid w:val="00485145"/>
    <w:rsid w:val="00485E4D"/>
    <w:rsid w:val="00485E82"/>
    <w:rsid w:val="00486132"/>
    <w:rsid w:val="0048686D"/>
    <w:rsid w:val="004868F4"/>
    <w:rsid w:val="00486A4D"/>
    <w:rsid w:val="00487FC3"/>
    <w:rsid w:val="004915CB"/>
    <w:rsid w:val="004924DC"/>
    <w:rsid w:val="00492879"/>
    <w:rsid w:val="00493E85"/>
    <w:rsid w:val="00494464"/>
    <w:rsid w:val="00495145"/>
    <w:rsid w:val="0049531F"/>
    <w:rsid w:val="00496A39"/>
    <w:rsid w:val="004979A5"/>
    <w:rsid w:val="004A0144"/>
    <w:rsid w:val="004A0328"/>
    <w:rsid w:val="004A036E"/>
    <w:rsid w:val="004A0498"/>
    <w:rsid w:val="004A06B0"/>
    <w:rsid w:val="004A0D0E"/>
    <w:rsid w:val="004A14E4"/>
    <w:rsid w:val="004A204E"/>
    <w:rsid w:val="004A2642"/>
    <w:rsid w:val="004A26A5"/>
    <w:rsid w:val="004A27F0"/>
    <w:rsid w:val="004A3212"/>
    <w:rsid w:val="004A37CD"/>
    <w:rsid w:val="004A40D9"/>
    <w:rsid w:val="004A49A5"/>
    <w:rsid w:val="004A4F8A"/>
    <w:rsid w:val="004A52AB"/>
    <w:rsid w:val="004A5494"/>
    <w:rsid w:val="004A5D4E"/>
    <w:rsid w:val="004A61C5"/>
    <w:rsid w:val="004A62A0"/>
    <w:rsid w:val="004A77B8"/>
    <w:rsid w:val="004A77DF"/>
    <w:rsid w:val="004B0A56"/>
    <w:rsid w:val="004B1417"/>
    <w:rsid w:val="004B18DF"/>
    <w:rsid w:val="004B1D3D"/>
    <w:rsid w:val="004B305C"/>
    <w:rsid w:val="004B31B8"/>
    <w:rsid w:val="004B339A"/>
    <w:rsid w:val="004B3BD0"/>
    <w:rsid w:val="004B4C83"/>
    <w:rsid w:val="004B55B7"/>
    <w:rsid w:val="004B5BFA"/>
    <w:rsid w:val="004B6005"/>
    <w:rsid w:val="004B619E"/>
    <w:rsid w:val="004B6468"/>
    <w:rsid w:val="004B6AC1"/>
    <w:rsid w:val="004B6EF8"/>
    <w:rsid w:val="004B7125"/>
    <w:rsid w:val="004B756A"/>
    <w:rsid w:val="004B7A0C"/>
    <w:rsid w:val="004B7FB1"/>
    <w:rsid w:val="004C06D6"/>
    <w:rsid w:val="004C0970"/>
    <w:rsid w:val="004C0B3F"/>
    <w:rsid w:val="004C0F87"/>
    <w:rsid w:val="004C1178"/>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438"/>
    <w:rsid w:val="004C6E0E"/>
    <w:rsid w:val="004C70DC"/>
    <w:rsid w:val="004C7100"/>
    <w:rsid w:val="004D0211"/>
    <w:rsid w:val="004D0794"/>
    <w:rsid w:val="004D07B9"/>
    <w:rsid w:val="004D0822"/>
    <w:rsid w:val="004D108E"/>
    <w:rsid w:val="004D122F"/>
    <w:rsid w:val="004D2A9A"/>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22B"/>
    <w:rsid w:val="004F3272"/>
    <w:rsid w:val="004F33A0"/>
    <w:rsid w:val="004F3873"/>
    <w:rsid w:val="004F3BD2"/>
    <w:rsid w:val="004F46ED"/>
    <w:rsid w:val="004F49A3"/>
    <w:rsid w:val="004F4C99"/>
    <w:rsid w:val="004F5358"/>
    <w:rsid w:val="004F55FA"/>
    <w:rsid w:val="004F6339"/>
    <w:rsid w:val="004F6484"/>
    <w:rsid w:val="004F6539"/>
    <w:rsid w:val="005021F1"/>
    <w:rsid w:val="00503D54"/>
    <w:rsid w:val="005040D3"/>
    <w:rsid w:val="005048E2"/>
    <w:rsid w:val="00504BA2"/>
    <w:rsid w:val="00505FC8"/>
    <w:rsid w:val="00506603"/>
    <w:rsid w:val="0050686E"/>
    <w:rsid w:val="0050689D"/>
    <w:rsid w:val="005077F5"/>
    <w:rsid w:val="005108C0"/>
    <w:rsid w:val="0051094F"/>
    <w:rsid w:val="00511217"/>
    <w:rsid w:val="00511873"/>
    <w:rsid w:val="0051190D"/>
    <w:rsid w:val="00511BAF"/>
    <w:rsid w:val="00512461"/>
    <w:rsid w:val="00512501"/>
    <w:rsid w:val="00512585"/>
    <w:rsid w:val="00512A2F"/>
    <w:rsid w:val="00513B7E"/>
    <w:rsid w:val="00513E9D"/>
    <w:rsid w:val="0051475D"/>
    <w:rsid w:val="00514B11"/>
    <w:rsid w:val="00514DED"/>
    <w:rsid w:val="0051500A"/>
    <w:rsid w:val="00515485"/>
    <w:rsid w:val="00515BE9"/>
    <w:rsid w:val="00515C74"/>
    <w:rsid w:val="00515CEB"/>
    <w:rsid w:val="0051630F"/>
    <w:rsid w:val="00516337"/>
    <w:rsid w:val="00517113"/>
    <w:rsid w:val="00517615"/>
    <w:rsid w:val="0052007E"/>
    <w:rsid w:val="0052032E"/>
    <w:rsid w:val="00520F4A"/>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728"/>
    <w:rsid w:val="00530A68"/>
    <w:rsid w:val="00530AD4"/>
    <w:rsid w:val="0053129F"/>
    <w:rsid w:val="00531C5A"/>
    <w:rsid w:val="00532CE7"/>
    <w:rsid w:val="00532D8B"/>
    <w:rsid w:val="0053324C"/>
    <w:rsid w:val="00533A8D"/>
    <w:rsid w:val="00534A28"/>
    <w:rsid w:val="00535018"/>
    <w:rsid w:val="0053595E"/>
    <w:rsid w:val="00537571"/>
    <w:rsid w:val="00540056"/>
    <w:rsid w:val="0054101E"/>
    <w:rsid w:val="005410E2"/>
    <w:rsid w:val="00541508"/>
    <w:rsid w:val="00541AE3"/>
    <w:rsid w:val="00542748"/>
    <w:rsid w:val="00543498"/>
    <w:rsid w:val="00544011"/>
    <w:rsid w:val="005441A8"/>
    <w:rsid w:val="00544BE5"/>
    <w:rsid w:val="005453A3"/>
    <w:rsid w:val="005455F6"/>
    <w:rsid w:val="0054582F"/>
    <w:rsid w:val="00546FC7"/>
    <w:rsid w:val="005500D6"/>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57EFC"/>
    <w:rsid w:val="00560825"/>
    <w:rsid w:val="00560C41"/>
    <w:rsid w:val="00560CAC"/>
    <w:rsid w:val="00561751"/>
    <w:rsid w:val="00561F44"/>
    <w:rsid w:val="00562015"/>
    <w:rsid w:val="005621B9"/>
    <w:rsid w:val="00562B4D"/>
    <w:rsid w:val="00562DB1"/>
    <w:rsid w:val="00563EB8"/>
    <w:rsid w:val="005647BF"/>
    <w:rsid w:val="00564AF1"/>
    <w:rsid w:val="005655DB"/>
    <w:rsid w:val="00565E88"/>
    <w:rsid w:val="005662F5"/>
    <w:rsid w:val="00567339"/>
    <w:rsid w:val="005678EE"/>
    <w:rsid w:val="00567910"/>
    <w:rsid w:val="00570270"/>
    <w:rsid w:val="00570464"/>
    <w:rsid w:val="00570BC3"/>
    <w:rsid w:val="0057182A"/>
    <w:rsid w:val="00571E59"/>
    <w:rsid w:val="00572079"/>
    <w:rsid w:val="00572900"/>
    <w:rsid w:val="00572C04"/>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4A5D"/>
    <w:rsid w:val="0058519A"/>
    <w:rsid w:val="005856BD"/>
    <w:rsid w:val="00585983"/>
    <w:rsid w:val="00586BCA"/>
    <w:rsid w:val="00587038"/>
    <w:rsid w:val="00587D30"/>
    <w:rsid w:val="00590608"/>
    <w:rsid w:val="00590B28"/>
    <w:rsid w:val="00591187"/>
    <w:rsid w:val="005911BE"/>
    <w:rsid w:val="00591273"/>
    <w:rsid w:val="005915EA"/>
    <w:rsid w:val="00591E9E"/>
    <w:rsid w:val="005927A4"/>
    <w:rsid w:val="00593152"/>
    <w:rsid w:val="00593389"/>
    <w:rsid w:val="00593FE6"/>
    <w:rsid w:val="005956A3"/>
    <w:rsid w:val="00595958"/>
    <w:rsid w:val="00595CAB"/>
    <w:rsid w:val="0059622E"/>
    <w:rsid w:val="00597671"/>
    <w:rsid w:val="00597BBF"/>
    <w:rsid w:val="005A040C"/>
    <w:rsid w:val="005A0443"/>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2756"/>
    <w:rsid w:val="005B41C9"/>
    <w:rsid w:val="005B44E6"/>
    <w:rsid w:val="005B4853"/>
    <w:rsid w:val="005B62D1"/>
    <w:rsid w:val="005B6CA1"/>
    <w:rsid w:val="005B6F04"/>
    <w:rsid w:val="005B770C"/>
    <w:rsid w:val="005C06ED"/>
    <w:rsid w:val="005C0CE1"/>
    <w:rsid w:val="005C11B8"/>
    <w:rsid w:val="005C181B"/>
    <w:rsid w:val="005C19E3"/>
    <w:rsid w:val="005C216C"/>
    <w:rsid w:val="005C230A"/>
    <w:rsid w:val="005C2609"/>
    <w:rsid w:val="005C2B30"/>
    <w:rsid w:val="005C412B"/>
    <w:rsid w:val="005C43EC"/>
    <w:rsid w:val="005C45DD"/>
    <w:rsid w:val="005C4704"/>
    <w:rsid w:val="005C4CB1"/>
    <w:rsid w:val="005C70AB"/>
    <w:rsid w:val="005C771D"/>
    <w:rsid w:val="005D015C"/>
    <w:rsid w:val="005D1117"/>
    <w:rsid w:val="005D3F06"/>
    <w:rsid w:val="005D4608"/>
    <w:rsid w:val="005D4B73"/>
    <w:rsid w:val="005D533D"/>
    <w:rsid w:val="005D5645"/>
    <w:rsid w:val="005D5802"/>
    <w:rsid w:val="005D5AA9"/>
    <w:rsid w:val="005D66E6"/>
    <w:rsid w:val="005D7119"/>
    <w:rsid w:val="005D7508"/>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CB0"/>
    <w:rsid w:val="005F6D7F"/>
    <w:rsid w:val="005F6DFE"/>
    <w:rsid w:val="005F7174"/>
    <w:rsid w:val="005F724F"/>
    <w:rsid w:val="0060120D"/>
    <w:rsid w:val="006017C1"/>
    <w:rsid w:val="00601ADE"/>
    <w:rsid w:val="00601EEF"/>
    <w:rsid w:val="0060255A"/>
    <w:rsid w:val="00602998"/>
    <w:rsid w:val="00602EB3"/>
    <w:rsid w:val="00604307"/>
    <w:rsid w:val="0060487F"/>
    <w:rsid w:val="00604EAD"/>
    <w:rsid w:val="0060513F"/>
    <w:rsid w:val="006063BB"/>
    <w:rsid w:val="006065E2"/>
    <w:rsid w:val="0060694B"/>
    <w:rsid w:val="006104FB"/>
    <w:rsid w:val="0061176D"/>
    <w:rsid w:val="0061200F"/>
    <w:rsid w:val="00612756"/>
    <w:rsid w:val="00612A2F"/>
    <w:rsid w:val="00612AAE"/>
    <w:rsid w:val="00612B07"/>
    <w:rsid w:val="00612FD9"/>
    <w:rsid w:val="006139E0"/>
    <w:rsid w:val="00613A32"/>
    <w:rsid w:val="00613BAF"/>
    <w:rsid w:val="00614D35"/>
    <w:rsid w:val="006156B4"/>
    <w:rsid w:val="00615DAF"/>
    <w:rsid w:val="00616254"/>
    <w:rsid w:val="0061672A"/>
    <w:rsid w:val="00616E05"/>
    <w:rsid w:val="00617174"/>
    <w:rsid w:val="00617985"/>
    <w:rsid w:val="00620B77"/>
    <w:rsid w:val="00621190"/>
    <w:rsid w:val="0062131B"/>
    <w:rsid w:val="00621E26"/>
    <w:rsid w:val="006224EA"/>
    <w:rsid w:val="0062263A"/>
    <w:rsid w:val="006227DF"/>
    <w:rsid w:val="006234A0"/>
    <w:rsid w:val="006235CD"/>
    <w:rsid w:val="006236C8"/>
    <w:rsid w:val="00624093"/>
    <w:rsid w:val="006240A3"/>
    <w:rsid w:val="00625A19"/>
    <w:rsid w:val="00625A84"/>
    <w:rsid w:val="00626079"/>
    <w:rsid w:val="006305F7"/>
    <w:rsid w:val="00630741"/>
    <w:rsid w:val="00631698"/>
    <w:rsid w:val="00631E44"/>
    <w:rsid w:val="00632B4B"/>
    <w:rsid w:val="0063476C"/>
    <w:rsid w:val="00634C57"/>
    <w:rsid w:val="00634CE7"/>
    <w:rsid w:val="006350D5"/>
    <w:rsid w:val="006359F7"/>
    <w:rsid w:val="00635C51"/>
    <w:rsid w:val="0063642C"/>
    <w:rsid w:val="00636492"/>
    <w:rsid w:val="0063714C"/>
    <w:rsid w:val="006376B3"/>
    <w:rsid w:val="00637858"/>
    <w:rsid w:val="006404A7"/>
    <w:rsid w:val="00640A38"/>
    <w:rsid w:val="00640E6B"/>
    <w:rsid w:val="0064123E"/>
    <w:rsid w:val="00641787"/>
    <w:rsid w:val="0064179B"/>
    <w:rsid w:val="00642489"/>
    <w:rsid w:val="0064341F"/>
    <w:rsid w:val="00644055"/>
    <w:rsid w:val="00644137"/>
    <w:rsid w:val="0064478C"/>
    <w:rsid w:val="0064513D"/>
    <w:rsid w:val="00645160"/>
    <w:rsid w:val="006451E4"/>
    <w:rsid w:val="0064574B"/>
    <w:rsid w:val="006459DF"/>
    <w:rsid w:val="00645B33"/>
    <w:rsid w:val="00646B42"/>
    <w:rsid w:val="006516CB"/>
    <w:rsid w:val="00652E30"/>
    <w:rsid w:val="00653BD0"/>
    <w:rsid w:val="00654110"/>
    <w:rsid w:val="00654604"/>
    <w:rsid w:val="00656C5D"/>
    <w:rsid w:val="00656CFB"/>
    <w:rsid w:val="00656D25"/>
    <w:rsid w:val="00657E87"/>
    <w:rsid w:val="00660D2D"/>
    <w:rsid w:val="00661C41"/>
    <w:rsid w:val="00661E03"/>
    <w:rsid w:val="00661EC9"/>
    <w:rsid w:val="00661EF8"/>
    <w:rsid w:val="00662469"/>
    <w:rsid w:val="0066411C"/>
    <w:rsid w:val="00664205"/>
    <w:rsid w:val="00664647"/>
    <w:rsid w:val="00664803"/>
    <w:rsid w:val="0066502F"/>
    <w:rsid w:val="006653CC"/>
    <w:rsid w:val="00665982"/>
    <w:rsid w:val="00665A05"/>
    <w:rsid w:val="00665BA4"/>
    <w:rsid w:val="00666BF3"/>
    <w:rsid w:val="00667856"/>
    <w:rsid w:val="00667AF2"/>
    <w:rsid w:val="00670489"/>
    <w:rsid w:val="006710C9"/>
    <w:rsid w:val="00671D85"/>
    <w:rsid w:val="00672586"/>
    <w:rsid w:val="006727BC"/>
    <w:rsid w:val="006741CD"/>
    <w:rsid w:val="00674D89"/>
    <w:rsid w:val="0067514E"/>
    <w:rsid w:val="00675E37"/>
    <w:rsid w:val="0067623E"/>
    <w:rsid w:val="0067635D"/>
    <w:rsid w:val="00676736"/>
    <w:rsid w:val="006769A4"/>
    <w:rsid w:val="006769C6"/>
    <w:rsid w:val="00676D76"/>
    <w:rsid w:val="00676F9F"/>
    <w:rsid w:val="00677519"/>
    <w:rsid w:val="00677591"/>
    <w:rsid w:val="00677594"/>
    <w:rsid w:val="0067794F"/>
    <w:rsid w:val="00677FA3"/>
    <w:rsid w:val="0068032F"/>
    <w:rsid w:val="00680D37"/>
    <w:rsid w:val="00681060"/>
    <w:rsid w:val="0068174E"/>
    <w:rsid w:val="0068177E"/>
    <w:rsid w:val="00681DCE"/>
    <w:rsid w:val="00682110"/>
    <w:rsid w:val="0068260E"/>
    <w:rsid w:val="00683CE6"/>
    <w:rsid w:val="006846B3"/>
    <w:rsid w:val="00684B9B"/>
    <w:rsid w:val="00684D59"/>
    <w:rsid w:val="00684E25"/>
    <w:rsid w:val="006858A4"/>
    <w:rsid w:val="00685C08"/>
    <w:rsid w:val="00686718"/>
    <w:rsid w:val="00686A63"/>
    <w:rsid w:val="00686BFA"/>
    <w:rsid w:val="00686DED"/>
    <w:rsid w:val="00686DFB"/>
    <w:rsid w:val="006875A0"/>
    <w:rsid w:val="006878C6"/>
    <w:rsid w:val="00687D27"/>
    <w:rsid w:val="00691943"/>
    <w:rsid w:val="00691FB9"/>
    <w:rsid w:val="0069212C"/>
    <w:rsid w:val="00693550"/>
    <w:rsid w:val="00694622"/>
    <w:rsid w:val="006948DE"/>
    <w:rsid w:val="00695065"/>
    <w:rsid w:val="00695BEF"/>
    <w:rsid w:val="00696251"/>
    <w:rsid w:val="006966C7"/>
    <w:rsid w:val="006968C1"/>
    <w:rsid w:val="00696DBC"/>
    <w:rsid w:val="0069752C"/>
    <w:rsid w:val="006977B8"/>
    <w:rsid w:val="006977F6"/>
    <w:rsid w:val="00697A13"/>
    <w:rsid w:val="006A0DD4"/>
    <w:rsid w:val="006A109C"/>
    <w:rsid w:val="006A30E5"/>
    <w:rsid w:val="006A39A7"/>
    <w:rsid w:val="006A4E91"/>
    <w:rsid w:val="006A5F4B"/>
    <w:rsid w:val="006A6114"/>
    <w:rsid w:val="006A6565"/>
    <w:rsid w:val="006A7665"/>
    <w:rsid w:val="006A7691"/>
    <w:rsid w:val="006A7E73"/>
    <w:rsid w:val="006A7EE2"/>
    <w:rsid w:val="006B0514"/>
    <w:rsid w:val="006B0F92"/>
    <w:rsid w:val="006B2785"/>
    <w:rsid w:val="006B27C7"/>
    <w:rsid w:val="006B3006"/>
    <w:rsid w:val="006B344A"/>
    <w:rsid w:val="006B3B51"/>
    <w:rsid w:val="006B3EF1"/>
    <w:rsid w:val="006B4485"/>
    <w:rsid w:val="006B58C9"/>
    <w:rsid w:val="006B60ED"/>
    <w:rsid w:val="006B6CC5"/>
    <w:rsid w:val="006B74AC"/>
    <w:rsid w:val="006B757F"/>
    <w:rsid w:val="006B78D8"/>
    <w:rsid w:val="006B79EA"/>
    <w:rsid w:val="006C0C5D"/>
    <w:rsid w:val="006C113F"/>
    <w:rsid w:val="006C123E"/>
    <w:rsid w:val="006C15A1"/>
    <w:rsid w:val="006C1752"/>
    <w:rsid w:val="006C1DDC"/>
    <w:rsid w:val="006C28CA"/>
    <w:rsid w:val="006C2BBF"/>
    <w:rsid w:val="006C2FBD"/>
    <w:rsid w:val="006C3336"/>
    <w:rsid w:val="006C3495"/>
    <w:rsid w:val="006C36E1"/>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04D"/>
    <w:rsid w:val="006D18B3"/>
    <w:rsid w:val="006D1E89"/>
    <w:rsid w:val="006D26CE"/>
    <w:rsid w:val="006D2A74"/>
    <w:rsid w:val="006D317E"/>
    <w:rsid w:val="006D3E8A"/>
    <w:rsid w:val="006D47D9"/>
    <w:rsid w:val="006D61F6"/>
    <w:rsid w:val="006E1081"/>
    <w:rsid w:val="006E1332"/>
    <w:rsid w:val="006E19CB"/>
    <w:rsid w:val="006E2364"/>
    <w:rsid w:val="006E2589"/>
    <w:rsid w:val="006E279A"/>
    <w:rsid w:val="006E313B"/>
    <w:rsid w:val="006E34B2"/>
    <w:rsid w:val="006E3A45"/>
    <w:rsid w:val="006E4078"/>
    <w:rsid w:val="006E4F68"/>
    <w:rsid w:val="006E51C4"/>
    <w:rsid w:val="006E53AD"/>
    <w:rsid w:val="006E58CB"/>
    <w:rsid w:val="006E6A93"/>
    <w:rsid w:val="006E7227"/>
    <w:rsid w:val="006E7410"/>
    <w:rsid w:val="006E761A"/>
    <w:rsid w:val="006F0646"/>
    <w:rsid w:val="006F0741"/>
    <w:rsid w:val="006F0EE2"/>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448"/>
    <w:rsid w:val="007008A9"/>
    <w:rsid w:val="00700E8A"/>
    <w:rsid w:val="0070398A"/>
    <w:rsid w:val="00705242"/>
    <w:rsid w:val="007055E0"/>
    <w:rsid w:val="007056ED"/>
    <w:rsid w:val="00705C47"/>
    <w:rsid w:val="00705F4E"/>
    <w:rsid w:val="0070658E"/>
    <w:rsid w:val="007065C5"/>
    <w:rsid w:val="007068E1"/>
    <w:rsid w:val="00706AA0"/>
    <w:rsid w:val="00706AD4"/>
    <w:rsid w:val="00707150"/>
    <w:rsid w:val="00711CF9"/>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504"/>
    <w:rsid w:val="00721601"/>
    <w:rsid w:val="00722777"/>
    <w:rsid w:val="00723435"/>
    <w:rsid w:val="00723436"/>
    <w:rsid w:val="007240E2"/>
    <w:rsid w:val="0072454C"/>
    <w:rsid w:val="0072583E"/>
    <w:rsid w:val="00725BB5"/>
    <w:rsid w:val="00726978"/>
    <w:rsid w:val="00727C02"/>
    <w:rsid w:val="0073008E"/>
    <w:rsid w:val="00730A8B"/>
    <w:rsid w:val="00730AE8"/>
    <w:rsid w:val="00730F1B"/>
    <w:rsid w:val="007310AC"/>
    <w:rsid w:val="0073186D"/>
    <w:rsid w:val="0073261D"/>
    <w:rsid w:val="0073333D"/>
    <w:rsid w:val="007335AE"/>
    <w:rsid w:val="00733EF2"/>
    <w:rsid w:val="007343D9"/>
    <w:rsid w:val="00734F71"/>
    <w:rsid w:val="00735448"/>
    <w:rsid w:val="00736F07"/>
    <w:rsid w:val="007377BD"/>
    <w:rsid w:val="00737DEC"/>
    <w:rsid w:val="0074004D"/>
    <w:rsid w:val="00741493"/>
    <w:rsid w:val="007434E5"/>
    <w:rsid w:val="00743DB7"/>
    <w:rsid w:val="0074499B"/>
    <w:rsid w:val="0074501E"/>
    <w:rsid w:val="007450BF"/>
    <w:rsid w:val="0074599A"/>
    <w:rsid w:val="00746F45"/>
    <w:rsid w:val="007471A1"/>
    <w:rsid w:val="0074744D"/>
    <w:rsid w:val="007477BD"/>
    <w:rsid w:val="007477DA"/>
    <w:rsid w:val="00747EE9"/>
    <w:rsid w:val="007511CD"/>
    <w:rsid w:val="007520B6"/>
    <w:rsid w:val="007520F6"/>
    <w:rsid w:val="00752180"/>
    <w:rsid w:val="00752323"/>
    <w:rsid w:val="0075291E"/>
    <w:rsid w:val="007532B7"/>
    <w:rsid w:val="00753CAB"/>
    <w:rsid w:val="00754A70"/>
    <w:rsid w:val="00754BC9"/>
    <w:rsid w:val="00755202"/>
    <w:rsid w:val="00755D3A"/>
    <w:rsid w:val="00757140"/>
    <w:rsid w:val="00757241"/>
    <w:rsid w:val="0075751D"/>
    <w:rsid w:val="0075763E"/>
    <w:rsid w:val="007578D3"/>
    <w:rsid w:val="0076029B"/>
    <w:rsid w:val="007602CF"/>
    <w:rsid w:val="00760391"/>
    <w:rsid w:val="007609C6"/>
    <w:rsid w:val="007615F3"/>
    <w:rsid w:val="0076175D"/>
    <w:rsid w:val="00761CB5"/>
    <w:rsid w:val="007622B7"/>
    <w:rsid w:val="007629D5"/>
    <w:rsid w:val="007635F8"/>
    <w:rsid w:val="00763B85"/>
    <w:rsid w:val="00763DB7"/>
    <w:rsid w:val="007644A2"/>
    <w:rsid w:val="00764932"/>
    <w:rsid w:val="00764974"/>
    <w:rsid w:val="00764C76"/>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0D"/>
    <w:rsid w:val="00771972"/>
    <w:rsid w:val="007721AD"/>
    <w:rsid w:val="00772279"/>
    <w:rsid w:val="00772DAB"/>
    <w:rsid w:val="00772FF9"/>
    <w:rsid w:val="0077348B"/>
    <w:rsid w:val="007734F5"/>
    <w:rsid w:val="007743DB"/>
    <w:rsid w:val="00774D2C"/>
    <w:rsid w:val="007759C8"/>
    <w:rsid w:val="00775E00"/>
    <w:rsid w:val="0077605B"/>
    <w:rsid w:val="00776169"/>
    <w:rsid w:val="00776527"/>
    <w:rsid w:val="00777040"/>
    <w:rsid w:val="00777CE6"/>
    <w:rsid w:val="00777D57"/>
    <w:rsid w:val="00780EF1"/>
    <w:rsid w:val="00781A91"/>
    <w:rsid w:val="00781AD3"/>
    <w:rsid w:val="00781F36"/>
    <w:rsid w:val="00783576"/>
    <w:rsid w:val="00784492"/>
    <w:rsid w:val="00785778"/>
    <w:rsid w:val="00785890"/>
    <w:rsid w:val="00786C87"/>
    <w:rsid w:val="0078755E"/>
    <w:rsid w:val="007877C9"/>
    <w:rsid w:val="0079058A"/>
    <w:rsid w:val="00790764"/>
    <w:rsid w:val="0079085F"/>
    <w:rsid w:val="00790E96"/>
    <w:rsid w:val="00791005"/>
    <w:rsid w:val="00792007"/>
    <w:rsid w:val="007924BF"/>
    <w:rsid w:val="007932D3"/>
    <w:rsid w:val="00793597"/>
    <w:rsid w:val="00793D78"/>
    <w:rsid w:val="0079420B"/>
    <w:rsid w:val="0079453C"/>
    <w:rsid w:val="00794677"/>
    <w:rsid w:val="00794925"/>
    <w:rsid w:val="00795759"/>
    <w:rsid w:val="007971DC"/>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A7A92"/>
    <w:rsid w:val="007A7B13"/>
    <w:rsid w:val="007B04B0"/>
    <w:rsid w:val="007B0834"/>
    <w:rsid w:val="007B0E83"/>
    <w:rsid w:val="007B11FA"/>
    <w:rsid w:val="007B12AF"/>
    <w:rsid w:val="007B1396"/>
    <w:rsid w:val="007B16D6"/>
    <w:rsid w:val="007B1D1B"/>
    <w:rsid w:val="007B2011"/>
    <w:rsid w:val="007B2CFE"/>
    <w:rsid w:val="007B309B"/>
    <w:rsid w:val="007B3D5E"/>
    <w:rsid w:val="007B3DCB"/>
    <w:rsid w:val="007B54AE"/>
    <w:rsid w:val="007B561F"/>
    <w:rsid w:val="007B5725"/>
    <w:rsid w:val="007B5C1F"/>
    <w:rsid w:val="007B60D7"/>
    <w:rsid w:val="007B6689"/>
    <w:rsid w:val="007B66AD"/>
    <w:rsid w:val="007B6747"/>
    <w:rsid w:val="007B6F72"/>
    <w:rsid w:val="007B74AA"/>
    <w:rsid w:val="007B75E8"/>
    <w:rsid w:val="007C0069"/>
    <w:rsid w:val="007C06AF"/>
    <w:rsid w:val="007C09FB"/>
    <w:rsid w:val="007C10BD"/>
    <w:rsid w:val="007C162D"/>
    <w:rsid w:val="007C1EC4"/>
    <w:rsid w:val="007C1F0C"/>
    <w:rsid w:val="007C1FFB"/>
    <w:rsid w:val="007C289D"/>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171"/>
    <w:rsid w:val="007D42E5"/>
    <w:rsid w:val="007D4458"/>
    <w:rsid w:val="007D6A9F"/>
    <w:rsid w:val="007D6AF9"/>
    <w:rsid w:val="007D7763"/>
    <w:rsid w:val="007E0535"/>
    <w:rsid w:val="007E07F2"/>
    <w:rsid w:val="007E0D4A"/>
    <w:rsid w:val="007E0D64"/>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2DE"/>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4D33"/>
    <w:rsid w:val="0080559E"/>
    <w:rsid w:val="00805AF3"/>
    <w:rsid w:val="00806C9C"/>
    <w:rsid w:val="0080734C"/>
    <w:rsid w:val="00807C82"/>
    <w:rsid w:val="00810BD0"/>
    <w:rsid w:val="008117CC"/>
    <w:rsid w:val="00811FF8"/>
    <w:rsid w:val="0081294E"/>
    <w:rsid w:val="008129AC"/>
    <w:rsid w:val="00813D58"/>
    <w:rsid w:val="00813DCA"/>
    <w:rsid w:val="0081402B"/>
    <w:rsid w:val="008161A6"/>
    <w:rsid w:val="008165B8"/>
    <w:rsid w:val="00816905"/>
    <w:rsid w:val="00816D98"/>
    <w:rsid w:val="00816E42"/>
    <w:rsid w:val="00817040"/>
    <w:rsid w:val="00817A17"/>
    <w:rsid w:val="00817EC1"/>
    <w:rsid w:val="008207D1"/>
    <w:rsid w:val="00820D2A"/>
    <w:rsid w:val="0082112D"/>
    <w:rsid w:val="00821624"/>
    <w:rsid w:val="00821FF6"/>
    <w:rsid w:val="00822490"/>
    <w:rsid w:val="00822574"/>
    <w:rsid w:val="00822980"/>
    <w:rsid w:val="00822F08"/>
    <w:rsid w:val="0082371F"/>
    <w:rsid w:val="00824BA6"/>
    <w:rsid w:val="00825120"/>
    <w:rsid w:val="00825C4D"/>
    <w:rsid w:val="00826A08"/>
    <w:rsid w:val="00826AC0"/>
    <w:rsid w:val="00827094"/>
    <w:rsid w:val="00827186"/>
    <w:rsid w:val="00827C8E"/>
    <w:rsid w:val="00830569"/>
    <w:rsid w:val="00830AEA"/>
    <w:rsid w:val="00830E86"/>
    <w:rsid w:val="0083143E"/>
    <w:rsid w:val="008315B8"/>
    <w:rsid w:val="008315D5"/>
    <w:rsid w:val="00831CDE"/>
    <w:rsid w:val="00831F2B"/>
    <w:rsid w:val="008320CF"/>
    <w:rsid w:val="008324A3"/>
    <w:rsid w:val="00832B76"/>
    <w:rsid w:val="00832F77"/>
    <w:rsid w:val="008331B4"/>
    <w:rsid w:val="00834304"/>
    <w:rsid w:val="00834336"/>
    <w:rsid w:val="00834FAA"/>
    <w:rsid w:val="008354FB"/>
    <w:rsid w:val="00835FF1"/>
    <w:rsid w:val="00836086"/>
    <w:rsid w:val="0083630F"/>
    <w:rsid w:val="008369DA"/>
    <w:rsid w:val="00836A06"/>
    <w:rsid w:val="008374BC"/>
    <w:rsid w:val="0083785E"/>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669"/>
    <w:rsid w:val="00850E83"/>
    <w:rsid w:val="0085114D"/>
    <w:rsid w:val="00851163"/>
    <w:rsid w:val="008520A8"/>
    <w:rsid w:val="00852210"/>
    <w:rsid w:val="00852217"/>
    <w:rsid w:val="00853282"/>
    <w:rsid w:val="0085334C"/>
    <w:rsid w:val="00854291"/>
    <w:rsid w:val="00855408"/>
    <w:rsid w:val="00855D03"/>
    <w:rsid w:val="00856D65"/>
    <w:rsid w:val="00856FA4"/>
    <w:rsid w:val="00860943"/>
    <w:rsid w:val="00860D79"/>
    <w:rsid w:val="00861289"/>
    <w:rsid w:val="00861B41"/>
    <w:rsid w:val="00861B9F"/>
    <w:rsid w:val="00861BE3"/>
    <w:rsid w:val="008625D3"/>
    <w:rsid w:val="008627B1"/>
    <w:rsid w:val="00862C0A"/>
    <w:rsid w:val="00863434"/>
    <w:rsid w:val="0086344F"/>
    <w:rsid w:val="00863949"/>
    <w:rsid w:val="008641AC"/>
    <w:rsid w:val="00865E4C"/>
    <w:rsid w:val="00866074"/>
    <w:rsid w:val="0086720C"/>
    <w:rsid w:val="00867546"/>
    <w:rsid w:val="0086781C"/>
    <w:rsid w:val="00867934"/>
    <w:rsid w:val="0086796D"/>
    <w:rsid w:val="00867DAB"/>
    <w:rsid w:val="0087000B"/>
    <w:rsid w:val="008701E4"/>
    <w:rsid w:val="008704E9"/>
    <w:rsid w:val="008705FB"/>
    <w:rsid w:val="00870ECD"/>
    <w:rsid w:val="008710A4"/>
    <w:rsid w:val="0087186F"/>
    <w:rsid w:val="008726F0"/>
    <w:rsid w:val="0087347C"/>
    <w:rsid w:val="008734E7"/>
    <w:rsid w:val="0087368D"/>
    <w:rsid w:val="008740CC"/>
    <w:rsid w:val="0087442A"/>
    <w:rsid w:val="00874578"/>
    <w:rsid w:val="00874FE8"/>
    <w:rsid w:val="00875A32"/>
    <w:rsid w:val="00875CC1"/>
    <w:rsid w:val="00876086"/>
    <w:rsid w:val="00876297"/>
    <w:rsid w:val="00876651"/>
    <w:rsid w:val="00876E83"/>
    <w:rsid w:val="008772BC"/>
    <w:rsid w:val="00880A0E"/>
    <w:rsid w:val="00880C61"/>
    <w:rsid w:val="00880D68"/>
    <w:rsid w:val="008817FE"/>
    <w:rsid w:val="00881CD7"/>
    <w:rsid w:val="00882911"/>
    <w:rsid w:val="00882F6E"/>
    <w:rsid w:val="00883202"/>
    <w:rsid w:val="00884E02"/>
    <w:rsid w:val="0088502B"/>
    <w:rsid w:val="008851D8"/>
    <w:rsid w:val="008854EB"/>
    <w:rsid w:val="00885D40"/>
    <w:rsid w:val="008869C4"/>
    <w:rsid w:val="008873D4"/>
    <w:rsid w:val="00890CB1"/>
    <w:rsid w:val="00891D31"/>
    <w:rsid w:val="00891EDF"/>
    <w:rsid w:val="00892872"/>
    <w:rsid w:val="0089296D"/>
    <w:rsid w:val="00893E85"/>
    <w:rsid w:val="00893EBE"/>
    <w:rsid w:val="00893F40"/>
    <w:rsid w:val="00894029"/>
    <w:rsid w:val="00894031"/>
    <w:rsid w:val="00894C5D"/>
    <w:rsid w:val="00895508"/>
    <w:rsid w:val="008964BB"/>
    <w:rsid w:val="008967E9"/>
    <w:rsid w:val="00896A5C"/>
    <w:rsid w:val="00896AA1"/>
    <w:rsid w:val="00896E33"/>
    <w:rsid w:val="008972D2"/>
    <w:rsid w:val="0089754C"/>
    <w:rsid w:val="00897CFA"/>
    <w:rsid w:val="008A0659"/>
    <w:rsid w:val="008A0ADD"/>
    <w:rsid w:val="008A0D27"/>
    <w:rsid w:val="008A1A58"/>
    <w:rsid w:val="008A1C59"/>
    <w:rsid w:val="008A29A7"/>
    <w:rsid w:val="008A37E2"/>
    <w:rsid w:val="008A388E"/>
    <w:rsid w:val="008A394E"/>
    <w:rsid w:val="008A3CBA"/>
    <w:rsid w:val="008A4B59"/>
    <w:rsid w:val="008A58DB"/>
    <w:rsid w:val="008A63E1"/>
    <w:rsid w:val="008A66B7"/>
    <w:rsid w:val="008A68BB"/>
    <w:rsid w:val="008A6AA5"/>
    <w:rsid w:val="008A7127"/>
    <w:rsid w:val="008B0CBA"/>
    <w:rsid w:val="008B0E9E"/>
    <w:rsid w:val="008B2639"/>
    <w:rsid w:val="008B3537"/>
    <w:rsid w:val="008B3690"/>
    <w:rsid w:val="008B3A80"/>
    <w:rsid w:val="008B3AEC"/>
    <w:rsid w:val="008B3C07"/>
    <w:rsid w:val="008B3F7B"/>
    <w:rsid w:val="008B43CA"/>
    <w:rsid w:val="008B5068"/>
    <w:rsid w:val="008B50AC"/>
    <w:rsid w:val="008B5324"/>
    <w:rsid w:val="008B5C99"/>
    <w:rsid w:val="008B6106"/>
    <w:rsid w:val="008B7C02"/>
    <w:rsid w:val="008B7D2B"/>
    <w:rsid w:val="008B7EF9"/>
    <w:rsid w:val="008C0049"/>
    <w:rsid w:val="008C0314"/>
    <w:rsid w:val="008C0900"/>
    <w:rsid w:val="008C0E88"/>
    <w:rsid w:val="008C0EBE"/>
    <w:rsid w:val="008C1717"/>
    <w:rsid w:val="008C17F0"/>
    <w:rsid w:val="008C1CB5"/>
    <w:rsid w:val="008C3B05"/>
    <w:rsid w:val="008C3B6A"/>
    <w:rsid w:val="008C4A3C"/>
    <w:rsid w:val="008C4B50"/>
    <w:rsid w:val="008C5A37"/>
    <w:rsid w:val="008C5AB8"/>
    <w:rsid w:val="008C7132"/>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709"/>
    <w:rsid w:val="008D3ACD"/>
    <w:rsid w:val="008D6C3A"/>
    <w:rsid w:val="008D70E2"/>
    <w:rsid w:val="008D7BFE"/>
    <w:rsid w:val="008D7F47"/>
    <w:rsid w:val="008E0001"/>
    <w:rsid w:val="008E039E"/>
    <w:rsid w:val="008E0C88"/>
    <w:rsid w:val="008E292B"/>
    <w:rsid w:val="008E2C57"/>
    <w:rsid w:val="008E31FF"/>
    <w:rsid w:val="008E3287"/>
    <w:rsid w:val="008E36AE"/>
    <w:rsid w:val="008E38E4"/>
    <w:rsid w:val="008E3DFA"/>
    <w:rsid w:val="008E51EB"/>
    <w:rsid w:val="008E5746"/>
    <w:rsid w:val="008E5925"/>
    <w:rsid w:val="008E5997"/>
    <w:rsid w:val="008E64D7"/>
    <w:rsid w:val="008E6DCB"/>
    <w:rsid w:val="008E6F06"/>
    <w:rsid w:val="008E7000"/>
    <w:rsid w:val="008E723E"/>
    <w:rsid w:val="008E7B8E"/>
    <w:rsid w:val="008E7FC9"/>
    <w:rsid w:val="008F00AE"/>
    <w:rsid w:val="008F0107"/>
    <w:rsid w:val="008F029B"/>
    <w:rsid w:val="008F04BA"/>
    <w:rsid w:val="008F0589"/>
    <w:rsid w:val="008F0FBC"/>
    <w:rsid w:val="008F2A5D"/>
    <w:rsid w:val="008F2BC7"/>
    <w:rsid w:val="008F2E83"/>
    <w:rsid w:val="008F3636"/>
    <w:rsid w:val="008F3AD4"/>
    <w:rsid w:val="008F3FC9"/>
    <w:rsid w:val="008F509F"/>
    <w:rsid w:val="008F5383"/>
    <w:rsid w:val="008F585B"/>
    <w:rsid w:val="008F7FB0"/>
    <w:rsid w:val="009003A8"/>
    <w:rsid w:val="009005E4"/>
    <w:rsid w:val="0090081B"/>
    <w:rsid w:val="00900977"/>
    <w:rsid w:val="009011BB"/>
    <w:rsid w:val="00901C7F"/>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2C6"/>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66E"/>
    <w:rsid w:val="00920EC4"/>
    <w:rsid w:val="0092180B"/>
    <w:rsid w:val="00921F14"/>
    <w:rsid w:val="00922443"/>
    <w:rsid w:val="0092276B"/>
    <w:rsid w:val="0092292F"/>
    <w:rsid w:val="00922D28"/>
    <w:rsid w:val="00923970"/>
    <w:rsid w:val="00923CB0"/>
    <w:rsid w:val="00923D8C"/>
    <w:rsid w:val="00924871"/>
    <w:rsid w:val="00924AC8"/>
    <w:rsid w:val="00924D6B"/>
    <w:rsid w:val="00925429"/>
    <w:rsid w:val="00925615"/>
    <w:rsid w:val="0092597A"/>
    <w:rsid w:val="00926520"/>
    <w:rsid w:val="009266A3"/>
    <w:rsid w:val="00926CF0"/>
    <w:rsid w:val="009273A9"/>
    <w:rsid w:val="009301B5"/>
    <w:rsid w:val="00930251"/>
    <w:rsid w:val="0093033E"/>
    <w:rsid w:val="009305FC"/>
    <w:rsid w:val="00930A99"/>
    <w:rsid w:val="00930FB1"/>
    <w:rsid w:val="0093139F"/>
    <w:rsid w:val="009318C3"/>
    <w:rsid w:val="00932239"/>
    <w:rsid w:val="00932443"/>
    <w:rsid w:val="00932B32"/>
    <w:rsid w:val="0093305E"/>
    <w:rsid w:val="00933BFC"/>
    <w:rsid w:val="00933F4A"/>
    <w:rsid w:val="009341F1"/>
    <w:rsid w:val="00934FF2"/>
    <w:rsid w:val="009358D7"/>
    <w:rsid w:val="00935BD4"/>
    <w:rsid w:val="00935DFE"/>
    <w:rsid w:val="00935F70"/>
    <w:rsid w:val="0093648B"/>
    <w:rsid w:val="00937017"/>
    <w:rsid w:val="009373B2"/>
    <w:rsid w:val="00937AE2"/>
    <w:rsid w:val="009400F5"/>
    <w:rsid w:val="0094061F"/>
    <w:rsid w:val="00940F0F"/>
    <w:rsid w:val="00941912"/>
    <w:rsid w:val="00942393"/>
    <w:rsid w:val="0094416B"/>
    <w:rsid w:val="0094427A"/>
    <w:rsid w:val="009449C6"/>
    <w:rsid w:val="00944A17"/>
    <w:rsid w:val="00944C7C"/>
    <w:rsid w:val="00945245"/>
    <w:rsid w:val="00945523"/>
    <w:rsid w:val="00946C43"/>
    <w:rsid w:val="00950921"/>
    <w:rsid w:val="009513F7"/>
    <w:rsid w:val="00951D68"/>
    <w:rsid w:val="00951E5B"/>
    <w:rsid w:val="00952050"/>
    <w:rsid w:val="00952315"/>
    <w:rsid w:val="009523D9"/>
    <w:rsid w:val="00952B7B"/>
    <w:rsid w:val="0095357B"/>
    <w:rsid w:val="009538B3"/>
    <w:rsid w:val="00953B93"/>
    <w:rsid w:val="00954F39"/>
    <w:rsid w:val="009555FD"/>
    <w:rsid w:val="00955BAD"/>
    <w:rsid w:val="0095664B"/>
    <w:rsid w:val="009568DC"/>
    <w:rsid w:val="00956F60"/>
    <w:rsid w:val="00957140"/>
    <w:rsid w:val="00957445"/>
    <w:rsid w:val="0095759C"/>
    <w:rsid w:val="00960F4F"/>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928"/>
    <w:rsid w:val="00965A10"/>
    <w:rsid w:val="00965AD0"/>
    <w:rsid w:val="009670A3"/>
    <w:rsid w:val="009674BE"/>
    <w:rsid w:val="00967675"/>
    <w:rsid w:val="00970FB5"/>
    <w:rsid w:val="009715F2"/>
    <w:rsid w:val="00971710"/>
    <w:rsid w:val="00971B87"/>
    <w:rsid w:val="00971C77"/>
    <w:rsid w:val="0097203A"/>
    <w:rsid w:val="00972FCD"/>
    <w:rsid w:val="00973324"/>
    <w:rsid w:val="009736DF"/>
    <w:rsid w:val="009741AE"/>
    <w:rsid w:val="009741FC"/>
    <w:rsid w:val="00974475"/>
    <w:rsid w:val="00974782"/>
    <w:rsid w:val="00974923"/>
    <w:rsid w:val="009757EA"/>
    <w:rsid w:val="00975909"/>
    <w:rsid w:val="0097737B"/>
    <w:rsid w:val="009774CA"/>
    <w:rsid w:val="00977C3D"/>
    <w:rsid w:val="00980C28"/>
    <w:rsid w:val="00980D3D"/>
    <w:rsid w:val="0098103E"/>
    <w:rsid w:val="0098157D"/>
    <w:rsid w:val="00983101"/>
    <w:rsid w:val="00983E41"/>
    <w:rsid w:val="009845E1"/>
    <w:rsid w:val="00984D1B"/>
    <w:rsid w:val="00986246"/>
    <w:rsid w:val="00987A30"/>
    <w:rsid w:val="00987F57"/>
    <w:rsid w:val="00990312"/>
    <w:rsid w:val="0099182E"/>
    <w:rsid w:val="00991957"/>
    <w:rsid w:val="00991D45"/>
    <w:rsid w:val="00992BB3"/>
    <w:rsid w:val="00992CF3"/>
    <w:rsid w:val="00993194"/>
    <w:rsid w:val="0099321E"/>
    <w:rsid w:val="00994171"/>
    <w:rsid w:val="00994868"/>
    <w:rsid w:val="00994976"/>
    <w:rsid w:val="00994D28"/>
    <w:rsid w:val="00994F2C"/>
    <w:rsid w:val="00995720"/>
    <w:rsid w:val="009957CC"/>
    <w:rsid w:val="009968D6"/>
    <w:rsid w:val="00996BD9"/>
    <w:rsid w:val="00997213"/>
    <w:rsid w:val="009974E8"/>
    <w:rsid w:val="00997953"/>
    <w:rsid w:val="00997D55"/>
    <w:rsid w:val="009A0349"/>
    <w:rsid w:val="009A0BFF"/>
    <w:rsid w:val="009A10A0"/>
    <w:rsid w:val="009A1CAB"/>
    <w:rsid w:val="009A2359"/>
    <w:rsid w:val="009A24F1"/>
    <w:rsid w:val="009A27E0"/>
    <w:rsid w:val="009A2DBB"/>
    <w:rsid w:val="009A4D57"/>
    <w:rsid w:val="009A5049"/>
    <w:rsid w:val="009A51A5"/>
    <w:rsid w:val="009A5309"/>
    <w:rsid w:val="009A5759"/>
    <w:rsid w:val="009A60D1"/>
    <w:rsid w:val="009A6225"/>
    <w:rsid w:val="009A64F5"/>
    <w:rsid w:val="009B00D2"/>
    <w:rsid w:val="009B05B3"/>
    <w:rsid w:val="009B0CAF"/>
    <w:rsid w:val="009B1324"/>
    <w:rsid w:val="009B2558"/>
    <w:rsid w:val="009B284F"/>
    <w:rsid w:val="009B35A0"/>
    <w:rsid w:val="009B3764"/>
    <w:rsid w:val="009B3840"/>
    <w:rsid w:val="009B52AC"/>
    <w:rsid w:val="009B553D"/>
    <w:rsid w:val="009B59EA"/>
    <w:rsid w:val="009B66CE"/>
    <w:rsid w:val="009B6A37"/>
    <w:rsid w:val="009B6FD3"/>
    <w:rsid w:val="009B72BE"/>
    <w:rsid w:val="009B78A4"/>
    <w:rsid w:val="009B7DB2"/>
    <w:rsid w:val="009C03DB"/>
    <w:rsid w:val="009C15AF"/>
    <w:rsid w:val="009C1750"/>
    <w:rsid w:val="009C1E76"/>
    <w:rsid w:val="009C243F"/>
    <w:rsid w:val="009C2E29"/>
    <w:rsid w:val="009C3032"/>
    <w:rsid w:val="009C3170"/>
    <w:rsid w:val="009C37BD"/>
    <w:rsid w:val="009C3E8F"/>
    <w:rsid w:val="009C554B"/>
    <w:rsid w:val="009C5E83"/>
    <w:rsid w:val="009C6AE5"/>
    <w:rsid w:val="009C7126"/>
    <w:rsid w:val="009C719E"/>
    <w:rsid w:val="009C7238"/>
    <w:rsid w:val="009C7799"/>
    <w:rsid w:val="009D07A9"/>
    <w:rsid w:val="009D0AE2"/>
    <w:rsid w:val="009D0D9F"/>
    <w:rsid w:val="009D0EBB"/>
    <w:rsid w:val="009D2890"/>
    <w:rsid w:val="009D2C46"/>
    <w:rsid w:val="009D3ACD"/>
    <w:rsid w:val="009D3F73"/>
    <w:rsid w:val="009D4254"/>
    <w:rsid w:val="009D4847"/>
    <w:rsid w:val="009D4F21"/>
    <w:rsid w:val="009D587D"/>
    <w:rsid w:val="009D6EA6"/>
    <w:rsid w:val="009D7731"/>
    <w:rsid w:val="009D7C31"/>
    <w:rsid w:val="009E1120"/>
    <w:rsid w:val="009E1393"/>
    <w:rsid w:val="009E1922"/>
    <w:rsid w:val="009E1A3D"/>
    <w:rsid w:val="009E3EA1"/>
    <w:rsid w:val="009E4715"/>
    <w:rsid w:val="009E4A58"/>
    <w:rsid w:val="009E5273"/>
    <w:rsid w:val="009E57A8"/>
    <w:rsid w:val="009E5B85"/>
    <w:rsid w:val="009E5DDB"/>
    <w:rsid w:val="009E74B3"/>
    <w:rsid w:val="009F1CA6"/>
    <w:rsid w:val="009F2921"/>
    <w:rsid w:val="009F42CF"/>
    <w:rsid w:val="009F4982"/>
    <w:rsid w:val="009F4CA7"/>
    <w:rsid w:val="009F4F6A"/>
    <w:rsid w:val="009F55BA"/>
    <w:rsid w:val="009F7541"/>
    <w:rsid w:val="009F7D36"/>
    <w:rsid w:val="009F7D61"/>
    <w:rsid w:val="009F7DF4"/>
    <w:rsid w:val="00A00994"/>
    <w:rsid w:val="00A009B0"/>
    <w:rsid w:val="00A00E71"/>
    <w:rsid w:val="00A0187B"/>
    <w:rsid w:val="00A02E8B"/>
    <w:rsid w:val="00A0306F"/>
    <w:rsid w:val="00A03511"/>
    <w:rsid w:val="00A03B10"/>
    <w:rsid w:val="00A03E2E"/>
    <w:rsid w:val="00A04616"/>
    <w:rsid w:val="00A04717"/>
    <w:rsid w:val="00A05D8F"/>
    <w:rsid w:val="00A05EB1"/>
    <w:rsid w:val="00A05EE4"/>
    <w:rsid w:val="00A06F99"/>
    <w:rsid w:val="00A1004C"/>
    <w:rsid w:val="00A1053B"/>
    <w:rsid w:val="00A106E6"/>
    <w:rsid w:val="00A10D66"/>
    <w:rsid w:val="00A113A4"/>
    <w:rsid w:val="00A11E70"/>
    <w:rsid w:val="00A12A8E"/>
    <w:rsid w:val="00A12CAD"/>
    <w:rsid w:val="00A12D93"/>
    <w:rsid w:val="00A133F9"/>
    <w:rsid w:val="00A14114"/>
    <w:rsid w:val="00A1576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1ED3"/>
    <w:rsid w:val="00A22073"/>
    <w:rsid w:val="00A2229E"/>
    <w:rsid w:val="00A22361"/>
    <w:rsid w:val="00A223E0"/>
    <w:rsid w:val="00A22418"/>
    <w:rsid w:val="00A22959"/>
    <w:rsid w:val="00A2312C"/>
    <w:rsid w:val="00A23158"/>
    <w:rsid w:val="00A232D7"/>
    <w:rsid w:val="00A237C6"/>
    <w:rsid w:val="00A23847"/>
    <w:rsid w:val="00A23E43"/>
    <w:rsid w:val="00A24726"/>
    <w:rsid w:val="00A24DEB"/>
    <w:rsid w:val="00A24ED9"/>
    <w:rsid w:val="00A251DB"/>
    <w:rsid w:val="00A25216"/>
    <w:rsid w:val="00A252AC"/>
    <w:rsid w:val="00A2597D"/>
    <w:rsid w:val="00A2628E"/>
    <w:rsid w:val="00A264E0"/>
    <w:rsid w:val="00A264F5"/>
    <w:rsid w:val="00A266BF"/>
    <w:rsid w:val="00A26777"/>
    <w:rsid w:val="00A2731E"/>
    <w:rsid w:val="00A309AC"/>
    <w:rsid w:val="00A30F65"/>
    <w:rsid w:val="00A315D0"/>
    <w:rsid w:val="00A3279E"/>
    <w:rsid w:val="00A33DB1"/>
    <w:rsid w:val="00A33EEB"/>
    <w:rsid w:val="00A35900"/>
    <w:rsid w:val="00A35982"/>
    <w:rsid w:val="00A35F33"/>
    <w:rsid w:val="00A36E9D"/>
    <w:rsid w:val="00A401A3"/>
    <w:rsid w:val="00A4064D"/>
    <w:rsid w:val="00A40EAC"/>
    <w:rsid w:val="00A418BC"/>
    <w:rsid w:val="00A419FF"/>
    <w:rsid w:val="00A41FCF"/>
    <w:rsid w:val="00A42593"/>
    <w:rsid w:val="00A42936"/>
    <w:rsid w:val="00A433ED"/>
    <w:rsid w:val="00A43CF8"/>
    <w:rsid w:val="00A43DF2"/>
    <w:rsid w:val="00A445A8"/>
    <w:rsid w:val="00A44ADE"/>
    <w:rsid w:val="00A44B0D"/>
    <w:rsid w:val="00A44D21"/>
    <w:rsid w:val="00A45087"/>
    <w:rsid w:val="00A45489"/>
    <w:rsid w:val="00A45858"/>
    <w:rsid w:val="00A4598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571D8"/>
    <w:rsid w:val="00A600E7"/>
    <w:rsid w:val="00A601E7"/>
    <w:rsid w:val="00A60AC1"/>
    <w:rsid w:val="00A626FF"/>
    <w:rsid w:val="00A62CB0"/>
    <w:rsid w:val="00A62CE1"/>
    <w:rsid w:val="00A65469"/>
    <w:rsid w:val="00A65528"/>
    <w:rsid w:val="00A655D3"/>
    <w:rsid w:val="00A662D9"/>
    <w:rsid w:val="00A6630C"/>
    <w:rsid w:val="00A6741E"/>
    <w:rsid w:val="00A67E29"/>
    <w:rsid w:val="00A7016A"/>
    <w:rsid w:val="00A7018D"/>
    <w:rsid w:val="00A7191D"/>
    <w:rsid w:val="00A722F9"/>
    <w:rsid w:val="00A72D42"/>
    <w:rsid w:val="00A73DB6"/>
    <w:rsid w:val="00A746C9"/>
    <w:rsid w:val="00A74C2A"/>
    <w:rsid w:val="00A75E40"/>
    <w:rsid w:val="00A76818"/>
    <w:rsid w:val="00A777FE"/>
    <w:rsid w:val="00A77D1D"/>
    <w:rsid w:val="00A77E6B"/>
    <w:rsid w:val="00A81652"/>
    <w:rsid w:val="00A82BF0"/>
    <w:rsid w:val="00A82C91"/>
    <w:rsid w:val="00A83150"/>
    <w:rsid w:val="00A83398"/>
    <w:rsid w:val="00A8394B"/>
    <w:rsid w:val="00A83D6E"/>
    <w:rsid w:val="00A83FD5"/>
    <w:rsid w:val="00A8521A"/>
    <w:rsid w:val="00A85323"/>
    <w:rsid w:val="00A853BF"/>
    <w:rsid w:val="00A857C0"/>
    <w:rsid w:val="00A85ACB"/>
    <w:rsid w:val="00A85DE3"/>
    <w:rsid w:val="00A85F12"/>
    <w:rsid w:val="00A86FEF"/>
    <w:rsid w:val="00A9036F"/>
    <w:rsid w:val="00A9092B"/>
    <w:rsid w:val="00A90F2C"/>
    <w:rsid w:val="00A90FED"/>
    <w:rsid w:val="00A91482"/>
    <w:rsid w:val="00A9189D"/>
    <w:rsid w:val="00A91E71"/>
    <w:rsid w:val="00A925B1"/>
    <w:rsid w:val="00A92A3E"/>
    <w:rsid w:val="00A934F9"/>
    <w:rsid w:val="00A938E0"/>
    <w:rsid w:val="00A940E3"/>
    <w:rsid w:val="00A942B7"/>
    <w:rsid w:val="00A94983"/>
    <w:rsid w:val="00A94DF9"/>
    <w:rsid w:val="00A9532C"/>
    <w:rsid w:val="00A95A5C"/>
    <w:rsid w:val="00A95F1A"/>
    <w:rsid w:val="00A96116"/>
    <w:rsid w:val="00A9614E"/>
    <w:rsid w:val="00A96422"/>
    <w:rsid w:val="00A96C0F"/>
    <w:rsid w:val="00A97075"/>
    <w:rsid w:val="00A970D7"/>
    <w:rsid w:val="00AA0A80"/>
    <w:rsid w:val="00AA0E80"/>
    <w:rsid w:val="00AA16F4"/>
    <w:rsid w:val="00AA17CD"/>
    <w:rsid w:val="00AA1D85"/>
    <w:rsid w:val="00AA212B"/>
    <w:rsid w:val="00AA212F"/>
    <w:rsid w:val="00AA2130"/>
    <w:rsid w:val="00AA2648"/>
    <w:rsid w:val="00AA26A9"/>
    <w:rsid w:val="00AA28FC"/>
    <w:rsid w:val="00AA2996"/>
    <w:rsid w:val="00AA2AF4"/>
    <w:rsid w:val="00AA3B9F"/>
    <w:rsid w:val="00AA4282"/>
    <w:rsid w:val="00AA43F2"/>
    <w:rsid w:val="00AA4790"/>
    <w:rsid w:val="00AA52BF"/>
    <w:rsid w:val="00AA559A"/>
    <w:rsid w:val="00AA67D6"/>
    <w:rsid w:val="00AA6C31"/>
    <w:rsid w:val="00AA7752"/>
    <w:rsid w:val="00AA7CE8"/>
    <w:rsid w:val="00AB1457"/>
    <w:rsid w:val="00AB2AF1"/>
    <w:rsid w:val="00AB32CB"/>
    <w:rsid w:val="00AB348F"/>
    <w:rsid w:val="00AB3AD7"/>
    <w:rsid w:val="00AB3BA7"/>
    <w:rsid w:val="00AB3EC7"/>
    <w:rsid w:val="00AB5A64"/>
    <w:rsid w:val="00AB5CA1"/>
    <w:rsid w:val="00AB6395"/>
    <w:rsid w:val="00AB6456"/>
    <w:rsid w:val="00AB75C5"/>
    <w:rsid w:val="00AC044E"/>
    <w:rsid w:val="00AC2118"/>
    <w:rsid w:val="00AC2395"/>
    <w:rsid w:val="00AC271D"/>
    <w:rsid w:val="00AC2960"/>
    <w:rsid w:val="00AC2AC4"/>
    <w:rsid w:val="00AC4284"/>
    <w:rsid w:val="00AC45BD"/>
    <w:rsid w:val="00AC50BB"/>
    <w:rsid w:val="00AC5256"/>
    <w:rsid w:val="00AC5AA9"/>
    <w:rsid w:val="00AC78F1"/>
    <w:rsid w:val="00AD0B22"/>
    <w:rsid w:val="00AD0EE7"/>
    <w:rsid w:val="00AD168E"/>
    <w:rsid w:val="00AD2530"/>
    <w:rsid w:val="00AD306C"/>
    <w:rsid w:val="00AD3A14"/>
    <w:rsid w:val="00AD44CD"/>
    <w:rsid w:val="00AD47A7"/>
    <w:rsid w:val="00AD5AD2"/>
    <w:rsid w:val="00AD6462"/>
    <w:rsid w:val="00AD66C5"/>
    <w:rsid w:val="00AD68C4"/>
    <w:rsid w:val="00AD71F9"/>
    <w:rsid w:val="00AE09B3"/>
    <w:rsid w:val="00AE1311"/>
    <w:rsid w:val="00AE18FB"/>
    <w:rsid w:val="00AE1A83"/>
    <w:rsid w:val="00AE2C25"/>
    <w:rsid w:val="00AE30BE"/>
    <w:rsid w:val="00AE3858"/>
    <w:rsid w:val="00AE3DAA"/>
    <w:rsid w:val="00AE3E6A"/>
    <w:rsid w:val="00AE417E"/>
    <w:rsid w:val="00AE56EE"/>
    <w:rsid w:val="00AE6414"/>
    <w:rsid w:val="00AE6A0F"/>
    <w:rsid w:val="00AE7269"/>
    <w:rsid w:val="00AE7739"/>
    <w:rsid w:val="00AE797C"/>
    <w:rsid w:val="00AE7CE7"/>
    <w:rsid w:val="00AE7FAB"/>
    <w:rsid w:val="00AF0DE4"/>
    <w:rsid w:val="00AF12A0"/>
    <w:rsid w:val="00AF1E87"/>
    <w:rsid w:val="00AF436B"/>
    <w:rsid w:val="00AF50DD"/>
    <w:rsid w:val="00AF5179"/>
    <w:rsid w:val="00AF5CC2"/>
    <w:rsid w:val="00AF660D"/>
    <w:rsid w:val="00AF6776"/>
    <w:rsid w:val="00AF6D54"/>
    <w:rsid w:val="00AF6F98"/>
    <w:rsid w:val="00AF7277"/>
    <w:rsid w:val="00B00550"/>
    <w:rsid w:val="00B00913"/>
    <w:rsid w:val="00B00D4D"/>
    <w:rsid w:val="00B01593"/>
    <w:rsid w:val="00B018DF"/>
    <w:rsid w:val="00B01D0F"/>
    <w:rsid w:val="00B01FF9"/>
    <w:rsid w:val="00B023F2"/>
    <w:rsid w:val="00B026FE"/>
    <w:rsid w:val="00B0271F"/>
    <w:rsid w:val="00B038CA"/>
    <w:rsid w:val="00B049A5"/>
    <w:rsid w:val="00B05F00"/>
    <w:rsid w:val="00B06DB4"/>
    <w:rsid w:val="00B07132"/>
    <w:rsid w:val="00B0750D"/>
    <w:rsid w:val="00B07674"/>
    <w:rsid w:val="00B07850"/>
    <w:rsid w:val="00B0799C"/>
    <w:rsid w:val="00B102CE"/>
    <w:rsid w:val="00B108C1"/>
    <w:rsid w:val="00B10A4D"/>
    <w:rsid w:val="00B10B82"/>
    <w:rsid w:val="00B10C90"/>
    <w:rsid w:val="00B11002"/>
    <w:rsid w:val="00B1114F"/>
    <w:rsid w:val="00B11A78"/>
    <w:rsid w:val="00B11B59"/>
    <w:rsid w:val="00B121B2"/>
    <w:rsid w:val="00B12B59"/>
    <w:rsid w:val="00B131B1"/>
    <w:rsid w:val="00B13671"/>
    <w:rsid w:val="00B141B6"/>
    <w:rsid w:val="00B14BC1"/>
    <w:rsid w:val="00B14E93"/>
    <w:rsid w:val="00B154DE"/>
    <w:rsid w:val="00B162C3"/>
    <w:rsid w:val="00B16DD1"/>
    <w:rsid w:val="00B16EB8"/>
    <w:rsid w:val="00B1700A"/>
    <w:rsid w:val="00B17E71"/>
    <w:rsid w:val="00B17FDE"/>
    <w:rsid w:val="00B20632"/>
    <w:rsid w:val="00B22210"/>
    <w:rsid w:val="00B22DD8"/>
    <w:rsid w:val="00B233BF"/>
    <w:rsid w:val="00B2379C"/>
    <w:rsid w:val="00B23D5D"/>
    <w:rsid w:val="00B23E6E"/>
    <w:rsid w:val="00B2450C"/>
    <w:rsid w:val="00B2464B"/>
    <w:rsid w:val="00B2501C"/>
    <w:rsid w:val="00B2687D"/>
    <w:rsid w:val="00B276F5"/>
    <w:rsid w:val="00B3108D"/>
    <w:rsid w:val="00B310AC"/>
    <w:rsid w:val="00B32DDB"/>
    <w:rsid w:val="00B32F31"/>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496"/>
    <w:rsid w:val="00B439DA"/>
    <w:rsid w:val="00B44097"/>
    <w:rsid w:val="00B4411A"/>
    <w:rsid w:val="00B44504"/>
    <w:rsid w:val="00B44566"/>
    <w:rsid w:val="00B45FE8"/>
    <w:rsid w:val="00B46604"/>
    <w:rsid w:val="00B47089"/>
    <w:rsid w:val="00B47587"/>
    <w:rsid w:val="00B5150A"/>
    <w:rsid w:val="00B51B36"/>
    <w:rsid w:val="00B52151"/>
    <w:rsid w:val="00B52188"/>
    <w:rsid w:val="00B530CD"/>
    <w:rsid w:val="00B53639"/>
    <w:rsid w:val="00B53C7D"/>
    <w:rsid w:val="00B53E56"/>
    <w:rsid w:val="00B55311"/>
    <w:rsid w:val="00B5597E"/>
    <w:rsid w:val="00B55A97"/>
    <w:rsid w:val="00B55F5E"/>
    <w:rsid w:val="00B5601B"/>
    <w:rsid w:val="00B56196"/>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67CA1"/>
    <w:rsid w:val="00B71FBF"/>
    <w:rsid w:val="00B734A0"/>
    <w:rsid w:val="00B73A14"/>
    <w:rsid w:val="00B73B91"/>
    <w:rsid w:val="00B74306"/>
    <w:rsid w:val="00B748BD"/>
    <w:rsid w:val="00B74FD7"/>
    <w:rsid w:val="00B754D6"/>
    <w:rsid w:val="00B76100"/>
    <w:rsid w:val="00B7680F"/>
    <w:rsid w:val="00B76B48"/>
    <w:rsid w:val="00B76D1E"/>
    <w:rsid w:val="00B77543"/>
    <w:rsid w:val="00B77584"/>
    <w:rsid w:val="00B77D23"/>
    <w:rsid w:val="00B77E34"/>
    <w:rsid w:val="00B80D44"/>
    <w:rsid w:val="00B80D89"/>
    <w:rsid w:val="00B80EC6"/>
    <w:rsid w:val="00B81288"/>
    <w:rsid w:val="00B8128A"/>
    <w:rsid w:val="00B81D70"/>
    <w:rsid w:val="00B81EBC"/>
    <w:rsid w:val="00B833B9"/>
    <w:rsid w:val="00B83AAF"/>
    <w:rsid w:val="00B83E07"/>
    <w:rsid w:val="00B84CF6"/>
    <w:rsid w:val="00B85016"/>
    <w:rsid w:val="00B8561A"/>
    <w:rsid w:val="00B86628"/>
    <w:rsid w:val="00B86643"/>
    <w:rsid w:val="00B868F7"/>
    <w:rsid w:val="00B86EB1"/>
    <w:rsid w:val="00B871A7"/>
    <w:rsid w:val="00B8792C"/>
    <w:rsid w:val="00B90131"/>
    <w:rsid w:val="00B9215C"/>
    <w:rsid w:val="00B9225C"/>
    <w:rsid w:val="00B92951"/>
    <w:rsid w:val="00B92D1D"/>
    <w:rsid w:val="00B92D7E"/>
    <w:rsid w:val="00B930CE"/>
    <w:rsid w:val="00B938C5"/>
    <w:rsid w:val="00B940A8"/>
    <w:rsid w:val="00B9554A"/>
    <w:rsid w:val="00B95940"/>
    <w:rsid w:val="00B95ACA"/>
    <w:rsid w:val="00B95C12"/>
    <w:rsid w:val="00B96035"/>
    <w:rsid w:val="00B96D74"/>
    <w:rsid w:val="00B9720E"/>
    <w:rsid w:val="00B973A0"/>
    <w:rsid w:val="00B97ACC"/>
    <w:rsid w:val="00B97FE2"/>
    <w:rsid w:val="00BA0E0B"/>
    <w:rsid w:val="00BA201A"/>
    <w:rsid w:val="00BA21DF"/>
    <w:rsid w:val="00BA2C4A"/>
    <w:rsid w:val="00BA361D"/>
    <w:rsid w:val="00BA3787"/>
    <w:rsid w:val="00BA403A"/>
    <w:rsid w:val="00BA4085"/>
    <w:rsid w:val="00BA4287"/>
    <w:rsid w:val="00BA46E8"/>
    <w:rsid w:val="00BA49DB"/>
    <w:rsid w:val="00BA4AE9"/>
    <w:rsid w:val="00BA4E19"/>
    <w:rsid w:val="00BA6436"/>
    <w:rsid w:val="00BA64F2"/>
    <w:rsid w:val="00BA684E"/>
    <w:rsid w:val="00BA6C2B"/>
    <w:rsid w:val="00BA7B64"/>
    <w:rsid w:val="00BB02A3"/>
    <w:rsid w:val="00BB0351"/>
    <w:rsid w:val="00BB0D48"/>
    <w:rsid w:val="00BB1209"/>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60A"/>
    <w:rsid w:val="00BC0930"/>
    <w:rsid w:val="00BC1537"/>
    <w:rsid w:val="00BC327F"/>
    <w:rsid w:val="00BC3512"/>
    <w:rsid w:val="00BC4A8C"/>
    <w:rsid w:val="00BC4B35"/>
    <w:rsid w:val="00BC50BE"/>
    <w:rsid w:val="00BC5332"/>
    <w:rsid w:val="00BC5715"/>
    <w:rsid w:val="00BC5C12"/>
    <w:rsid w:val="00BC641B"/>
    <w:rsid w:val="00BC69C7"/>
    <w:rsid w:val="00BC7154"/>
    <w:rsid w:val="00BC731E"/>
    <w:rsid w:val="00BC7614"/>
    <w:rsid w:val="00BC7BCB"/>
    <w:rsid w:val="00BC7EFA"/>
    <w:rsid w:val="00BD041B"/>
    <w:rsid w:val="00BD25BB"/>
    <w:rsid w:val="00BD2AF8"/>
    <w:rsid w:val="00BD366B"/>
    <w:rsid w:val="00BD3C09"/>
    <w:rsid w:val="00BD410B"/>
    <w:rsid w:val="00BD41DB"/>
    <w:rsid w:val="00BD4A73"/>
    <w:rsid w:val="00BD4EDD"/>
    <w:rsid w:val="00BD4EF4"/>
    <w:rsid w:val="00BD4EFA"/>
    <w:rsid w:val="00BD5822"/>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0AF"/>
    <w:rsid w:val="00BE7F5F"/>
    <w:rsid w:val="00BF02C8"/>
    <w:rsid w:val="00BF1481"/>
    <w:rsid w:val="00BF1578"/>
    <w:rsid w:val="00BF15CA"/>
    <w:rsid w:val="00BF1D12"/>
    <w:rsid w:val="00BF1D3A"/>
    <w:rsid w:val="00BF2B5B"/>
    <w:rsid w:val="00BF2D41"/>
    <w:rsid w:val="00BF3274"/>
    <w:rsid w:val="00BF32DC"/>
    <w:rsid w:val="00BF35C9"/>
    <w:rsid w:val="00BF4329"/>
    <w:rsid w:val="00BF4E43"/>
    <w:rsid w:val="00BF53D9"/>
    <w:rsid w:val="00BF5C4C"/>
    <w:rsid w:val="00BF765C"/>
    <w:rsid w:val="00BF77FC"/>
    <w:rsid w:val="00C000A4"/>
    <w:rsid w:val="00C006D6"/>
    <w:rsid w:val="00C00BD7"/>
    <w:rsid w:val="00C01410"/>
    <w:rsid w:val="00C015C0"/>
    <w:rsid w:val="00C02D23"/>
    <w:rsid w:val="00C03D4D"/>
    <w:rsid w:val="00C044F4"/>
    <w:rsid w:val="00C04B78"/>
    <w:rsid w:val="00C052AA"/>
    <w:rsid w:val="00C06EE3"/>
    <w:rsid w:val="00C07279"/>
    <w:rsid w:val="00C07749"/>
    <w:rsid w:val="00C07C67"/>
    <w:rsid w:val="00C102FB"/>
    <w:rsid w:val="00C107F8"/>
    <w:rsid w:val="00C11244"/>
    <w:rsid w:val="00C118A9"/>
    <w:rsid w:val="00C11D48"/>
    <w:rsid w:val="00C12304"/>
    <w:rsid w:val="00C12316"/>
    <w:rsid w:val="00C1234A"/>
    <w:rsid w:val="00C1246C"/>
    <w:rsid w:val="00C139F8"/>
    <w:rsid w:val="00C141AD"/>
    <w:rsid w:val="00C1493E"/>
    <w:rsid w:val="00C15708"/>
    <w:rsid w:val="00C15DBD"/>
    <w:rsid w:val="00C161C5"/>
    <w:rsid w:val="00C16DD1"/>
    <w:rsid w:val="00C172F7"/>
    <w:rsid w:val="00C2010D"/>
    <w:rsid w:val="00C20CB5"/>
    <w:rsid w:val="00C20DE9"/>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B76"/>
    <w:rsid w:val="00C31F21"/>
    <w:rsid w:val="00C32631"/>
    <w:rsid w:val="00C33301"/>
    <w:rsid w:val="00C33311"/>
    <w:rsid w:val="00C33B68"/>
    <w:rsid w:val="00C34430"/>
    <w:rsid w:val="00C34AD4"/>
    <w:rsid w:val="00C35570"/>
    <w:rsid w:val="00C3566B"/>
    <w:rsid w:val="00C35A2A"/>
    <w:rsid w:val="00C36407"/>
    <w:rsid w:val="00C36A79"/>
    <w:rsid w:val="00C37234"/>
    <w:rsid w:val="00C401A9"/>
    <w:rsid w:val="00C401D2"/>
    <w:rsid w:val="00C4031A"/>
    <w:rsid w:val="00C405D4"/>
    <w:rsid w:val="00C419D5"/>
    <w:rsid w:val="00C41D54"/>
    <w:rsid w:val="00C42EBB"/>
    <w:rsid w:val="00C44644"/>
    <w:rsid w:val="00C4513B"/>
    <w:rsid w:val="00C475E8"/>
    <w:rsid w:val="00C50E79"/>
    <w:rsid w:val="00C5197D"/>
    <w:rsid w:val="00C525FB"/>
    <w:rsid w:val="00C5390B"/>
    <w:rsid w:val="00C53E99"/>
    <w:rsid w:val="00C54257"/>
    <w:rsid w:val="00C54697"/>
    <w:rsid w:val="00C550CE"/>
    <w:rsid w:val="00C553A5"/>
    <w:rsid w:val="00C55402"/>
    <w:rsid w:val="00C5603B"/>
    <w:rsid w:val="00C60AE3"/>
    <w:rsid w:val="00C61299"/>
    <w:rsid w:val="00C61F47"/>
    <w:rsid w:val="00C62828"/>
    <w:rsid w:val="00C63D91"/>
    <w:rsid w:val="00C655DA"/>
    <w:rsid w:val="00C672C1"/>
    <w:rsid w:val="00C706D2"/>
    <w:rsid w:val="00C7109C"/>
    <w:rsid w:val="00C715CC"/>
    <w:rsid w:val="00C719A3"/>
    <w:rsid w:val="00C71D2F"/>
    <w:rsid w:val="00C71D71"/>
    <w:rsid w:val="00C723DE"/>
    <w:rsid w:val="00C72984"/>
    <w:rsid w:val="00C73885"/>
    <w:rsid w:val="00C73C93"/>
    <w:rsid w:val="00C7435A"/>
    <w:rsid w:val="00C747B1"/>
    <w:rsid w:val="00C74FD1"/>
    <w:rsid w:val="00C753DD"/>
    <w:rsid w:val="00C75510"/>
    <w:rsid w:val="00C755F9"/>
    <w:rsid w:val="00C75752"/>
    <w:rsid w:val="00C75B60"/>
    <w:rsid w:val="00C761EC"/>
    <w:rsid w:val="00C76C2F"/>
    <w:rsid w:val="00C7704F"/>
    <w:rsid w:val="00C770C9"/>
    <w:rsid w:val="00C8090B"/>
    <w:rsid w:val="00C81070"/>
    <w:rsid w:val="00C8174E"/>
    <w:rsid w:val="00C8182D"/>
    <w:rsid w:val="00C82191"/>
    <w:rsid w:val="00C83134"/>
    <w:rsid w:val="00C831E7"/>
    <w:rsid w:val="00C832F3"/>
    <w:rsid w:val="00C84307"/>
    <w:rsid w:val="00C845A4"/>
    <w:rsid w:val="00C85545"/>
    <w:rsid w:val="00C855B5"/>
    <w:rsid w:val="00C85F0E"/>
    <w:rsid w:val="00C867F9"/>
    <w:rsid w:val="00C872AA"/>
    <w:rsid w:val="00C87817"/>
    <w:rsid w:val="00C87C6B"/>
    <w:rsid w:val="00C90357"/>
    <w:rsid w:val="00C90CF4"/>
    <w:rsid w:val="00C91C20"/>
    <w:rsid w:val="00C922DE"/>
    <w:rsid w:val="00C92843"/>
    <w:rsid w:val="00C92EB6"/>
    <w:rsid w:val="00C93389"/>
    <w:rsid w:val="00C948E6"/>
    <w:rsid w:val="00C94CDD"/>
    <w:rsid w:val="00C95123"/>
    <w:rsid w:val="00C95CB1"/>
    <w:rsid w:val="00C97588"/>
    <w:rsid w:val="00CA0346"/>
    <w:rsid w:val="00CA0BD5"/>
    <w:rsid w:val="00CA0DA1"/>
    <w:rsid w:val="00CA1BD6"/>
    <w:rsid w:val="00CA37FF"/>
    <w:rsid w:val="00CA423A"/>
    <w:rsid w:val="00CA47BC"/>
    <w:rsid w:val="00CA5EAD"/>
    <w:rsid w:val="00CA5EBE"/>
    <w:rsid w:val="00CA6AB4"/>
    <w:rsid w:val="00CA7255"/>
    <w:rsid w:val="00CA79E2"/>
    <w:rsid w:val="00CB0E4A"/>
    <w:rsid w:val="00CB111E"/>
    <w:rsid w:val="00CB1BEE"/>
    <w:rsid w:val="00CB2351"/>
    <w:rsid w:val="00CB2AA2"/>
    <w:rsid w:val="00CB4022"/>
    <w:rsid w:val="00CB4930"/>
    <w:rsid w:val="00CB4BA9"/>
    <w:rsid w:val="00CB4C48"/>
    <w:rsid w:val="00CB4C63"/>
    <w:rsid w:val="00CB5A48"/>
    <w:rsid w:val="00CB5E10"/>
    <w:rsid w:val="00CB613B"/>
    <w:rsid w:val="00CB6152"/>
    <w:rsid w:val="00CB64E1"/>
    <w:rsid w:val="00CB6C6F"/>
    <w:rsid w:val="00CB6E4D"/>
    <w:rsid w:val="00CB7D69"/>
    <w:rsid w:val="00CC009B"/>
    <w:rsid w:val="00CC0834"/>
    <w:rsid w:val="00CC0AEA"/>
    <w:rsid w:val="00CC20FE"/>
    <w:rsid w:val="00CC225C"/>
    <w:rsid w:val="00CC2E7D"/>
    <w:rsid w:val="00CC469E"/>
    <w:rsid w:val="00CC5BE8"/>
    <w:rsid w:val="00CC612B"/>
    <w:rsid w:val="00CC655F"/>
    <w:rsid w:val="00CC66F9"/>
    <w:rsid w:val="00CC6C2A"/>
    <w:rsid w:val="00CC6E69"/>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AF5"/>
    <w:rsid w:val="00CD2B78"/>
    <w:rsid w:val="00CD3866"/>
    <w:rsid w:val="00CD3FAB"/>
    <w:rsid w:val="00CD5456"/>
    <w:rsid w:val="00CD5C3E"/>
    <w:rsid w:val="00CD5C57"/>
    <w:rsid w:val="00CD6331"/>
    <w:rsid w:val="00CD7E9E"/>
    <w:rsid w:val="00CE03DD"/>
    <w:rsid w:val="00CE14BE"/>
    <w:rsid w:val="00CE17A4"/>
    <w:rsid w:val="00CE1BA9"/>
    <w:rsid w:val="00CE2D8F"/>
    <w:rsid w:val="00CE3532"/>
    <w:rsid w:val="00CE3E48"/>
    <w:rsid w:val="00CE46C0"/>
    <w:rsid w:val="00CE47B8"/>
    <w:rsid w:val="00CE4DAB"/>
    <w:rsid w:val="00CE4F15"/>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2E1"/>
    <w:rsid w:val="00D03A72"/>
    <w:rsid w:val="00D03BAE"/>
    <w:rsid w:val="00D040DD"/>
    <w:rsid w:val="00D04134"/>
    <w:rsid w:val="00D05C65"/>
    <w:rsid w:val="00D060D1"/>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0B69"/>
    <w:rsid w:val="00D214EF"/>
    <w:rsid w:val="00D215B0"/>
    <w:rsid w:val="00D21D6D"/>
    <w:rsid w:val="00D21D83"/>
    <w:rsid w:val="00D22A47"/>
    <w:rsid w:val="00D23331"/>
    <w:rsid w:val="00D235B7"/>
    <w:rsid w:val="00D23A99"/>
    <w:rsid w:val="00D23FAE"/>
    <w:rsid w:val="00D2455B"/>
    <w:rsid w:val="00D25F28"/>
    <w:rsid w:val="00D26071"/>
    <w:rsid w:val="00D260C7"/>
    <w:rsid w:val="00D269B9"/>
    <w:rsid w:val="00D273F7"/>
    <w:rsid w:val="00D2793E"/>
    <w:rsid w:val="00D27973"/>
    <w:rsid w:val="00D27F3A"/>
    <w:rsid w:val="00D3008B"/>
    <w:rsid w:val="00D31537"/>
    <w:rsid w:val="00D31E1E"/>
    <w:rsid w:val="00D31F1F"/>
    <w:rsid w:val="00D322A0"/>
    <w:rsid w:val="00D32824"/>
    <w:rsid w:val="00D334E2"/>
    <w:rsid w:val="00D350B1"/>
    <w:rsid w:val="00D35123"/>
    <w:rsid w:val="00D355CB"/>
    <w:rsid w:val="00D35AD6"/>
    <w:rsid w:val="00D35BBB"/>
    <w:rsid w:val="00D35E1A"/>
    <w:rsid w:val="00D36B0A"/>
    <w:rsid w:val="00D36DFB"/>
    <w:rsid w:val="00D36E1C"/>
    <w:rsid w:val="00D373AF"/>
    <w:rsid w:val="00D40556"/>
    <w:rsid w:val="00D406C8"/>
    <w:rsid w:val="00D40824"/>
    <w:rsid w:val="00D41829"/>
    <w:rsid w:val="00D41F74"/>
    <w:rsid w:val="00D42250"/>
    <w:rsid w:val="00D428C8"/>
    <w:rsid w:val="00D43034"/>
    <w:rsid w:val="00D43ED2"/>
    <w:rsid w:val="00D45649"/>
    <w:rsid w:val="00D47ED6"/>
    <w:rsid w:val="00D50100"/>
    <w:rsid w:val="00D50C95"/>
    <w:rsid w:val="00D50F46"/>
    <w:rsid w:val="00D511D8"/>
    <w:rsid w:val="00D5130D"/>
    <w:rsid w:val="00D5133A"/>
    <w:rsid w:val="00D526FA"/>
    <w:rsid w:val="00D5302A"/>
    <w:rsid w:val="00D533C4"/>
    <w:rsid w:val="00D5384E"/>
    <w:rsid w:val="00D544E7"/>
    <w:rsid w:val="00D5499F"/>
    <w:rsid w:val="00D5560A"/>
    <w:rsid w:val="00D559D2"/>
    <w:rsid w:val="00D56FBF"/>
    <w:rsid w:val="00D57677"/>
    <w:rsid w:val="00D5781F"/>
    <w:rsid w:val="00D60415"/>
    <w:rsid w:val="00D60E3C"/>
    <w:rsid w:val="00D60FA7"/>
    <w:rsid w:val="00D61FAB"/>
    <w:rsid w:val="00D63BE5"/>
    <w:rsid w:val="00D64685"/>
    <w:rsid w:val="00D6475F"/>
    <w:rsid w:val="00D655D4"/>
    <w:rsid w:val="00D65F61"/>
    <w:rsid w:val="00D66223"/>
    <w:rsid w:val="00D667B8"/>
    <w:rsid w:val="00D67D55"/>
    <w:rsid w:val="00D70289"/>
    <w:rsid w:val="00D7041F"/>
    <w:rsid w:val="00D70700"/>
    <w:rsid w:val="00D70800"/>
    <w:rsid w:val="00D70822"/>
    <w:rsid w:val="00D72076"/>
    <w:rsid w:val="00D721B4"/>
    <w:rsid w:val="00D726A9"/>
    <w:rsid w:val="00D728D5"/>
    <w:rsid w:val="00D72DBA"/>
    <w:rsid w:val="00D73D48"/>
    <w:rsid w:val="00D743E0"/>
    <w:rsid w:val="00D7469D"/>
    <w:rsid w:val="00D7490C"/>
    <w:rsid w:val="00D75AC1"/>
    <w:rsid w:val="00D77252"/>
    <w:rsid w:val="00D8084C"/>
    <w:rsid w:val="00D81809"/>
    <w:rsid w:val="00D82119"/>
    <w:rsid w:val="00D82EF1"/>
    <w:rsid w:val="00D84CC9"/>
    <w:rsid w:val="00D84F43"/>
    <w:rsid w:val="00D85114"/>
    <w:rsid w:val="00D85821"/>
    <w:rsid w:val="00D8598C"/>
    <w:rsid w:val="00D86677"/>
    <w:rsid w:val="00D87C06"/>
    <w:rsid w:val="00D9140D"/>
    <w:rsid w:val="00D915EA"/>
    <w:rsid w:val="00D919ED"/>
    <w:rsid w:val="00D922A1"/>
    <w:rsid w:val="00D928BE"/>
    <w:rsid w:val="00D932B8"/>
    <w:rsid w:val="00D932F0"/>
    <w:rsid w:val="00D933F2"/>
    <w:rsid w:val="00D94929"/>
    <w:rsid w:val="00D95302"/>
    <w:rsid w:val="00D95889"/>
    <w:rsid w:val="00D95C5D"/>
    <w:rsid w:val="00D96424"/>
    <w:rsid w:val="00D97400"/>
    <w:rsid w:val="00D97D00"/>
    <w:rsid w:val="00DA096C"/>
    <w:rsid w:val="00DA0DFB"/>
    <w:rsid w:val="00DA1445"/>
    <w:rsid w:val="00DA1AB6"/>
    <w:rsid w:val="00DA273D"/>
    <w:rsid w:val="00DA2E65"/>
    <w:rsid w:val="00DA37DE"/>
    <w:rsid w:val="00DA3ADF"/>
    <w:rsid w:val="00DA4174"/>
    <w:rsid w:val="00DA4F0A"/>
    <w:rsid w:val="00DA5241"/>
    <w:rsid w:val="00DA544C"/>
    <w:rsid w:val="00DA5F8E"/>
    <w:rsid w:val="00DA6364"/>
    <w:rsid w:val="00DA6938"/>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5FDA"/>
    <w:rsid w:val="00DB613B"/>
    <w:rsid w:val="00DB657E"/>
    <w:rsid w:val="00DB7342"/>
    <w:rsid w:val="00DB7489"/>
    <w:rsid w:val="00DB75A6"/>
    <w:rsid w:val="00DB791E"/>
    <w:rsid w:val="00DC0B4D"/>
    <w:rsid w:val="00DC0CBB"/>
    <w:rsid w:val="00DC17D0"/>
    <w:rsid w:val="00DC1A3D"/>
    <w:rsid w:val="00DC1DD1"/>
    <w:rsid w:val="00DC1E5D"/>
    <w:rsid w:val="00DC2B41"/>
    <w:rsid w:val="00DC2EA7"/>
    <w:rsid w:val="00DC3128"/>
    <w:rsid w:val="00DC435B"/>
    <w:rsid w:val="00DC4AC4"/>
    <w:rsid w:val="00DC53D8"/>
    <w:rsid w:val="00DC56FE"/>
    <w:rsid w:val="00DC5AB0"/>
    <w:rsid w:val="00DC5B3B"/>
    <w:rsid w:val="00DC5F11"/>
    <w:rsid w:val="00DC6C2D"/>
    <w:rsid w:val="00DC6D72"/>
    <w:rsid w:val="00DC7ABB"/>
    <w:rsid w:val="00DC7B1A"/>
    <w:rsid w:val="00DD04B0"/>
    <w:rsid w:val="00DD129F"/>
    <w:rsid w:val="00DD13FC"/>
    <w:rsid w:val="00DD1A3F"/>
    <w:rsid w:val="00DD29B5"/>
    <w:rsid w:val="00DD32DD"/>
    <w:rsid w:val="00DD33E8"/>
    <w:rsid w:val="00DD3CC0"/>
    <w:rsid w:val="00DD5287"/>
    <w:rsid w:val="00DD5B36"/>
    <w:rsid w:val="00DD5C58"/>
    <w:rsid w:val="00DD6191"/>
    <w:rsid w:val="00DD68F3"/>
    <w:rsid w:val="00DD7849"/>
    <w:rsid w:val="00DE03DE"/>
    <w:rsid w:val="00DE0D8B"/>
    <w:rsid w:val="00DE1237"/>
    <w:rsid w:val="00DE140F"/>
    <w:rsid w:val="00DE17E9"/>
    <w:rsid w:val="00DE2491"/>
    <w:rsid w:val="00DE3E5D"/>
    <w:rsid w:val="00DE450F"/>
    <w:rsid w:val="00DE4865"/>
    <w:rsid w:val="00DE5A0C"/>
    <w:rsid w:val="00DE5CA6"/>
    <w:rsid w:val="00DE5E55"/>
    <w:rsid w:val="00DE622F"/>
    <w:rsid w:val="00DE6E29"/>
    <w:rsid w:val="00DE7156"/>
    <w:rsid w:val="00DE7AC8"/>
    <w:rsid w:val="00DF0830"/>
    <w:rsid w:val="00DF2C5D"/>
    <w:rsid w:val="00DF2CD3"/>
    <w:rsid w:val="00DF3643"/>
    <w:rsid w:val="00DF42FF"/>
    <w:rsid w:val="00DF4369"/>
    <w:rsid w:val="00DF4423"/>
    <w:rsid w:val="00DF4ADF"/>
    <w:rsid w:val="00DF57D6"/>
    <w:rsid w:val="00DF5D1E"/>
    <w:rsid w:val="00DF63B5"/>
    <w:rsid w:val="00DF77E4"/>
    <w:rsid w:val="00DF7F88"/>
    <w:rsid w:val="00E00B88"/>
    <w:rsid w:val="00E00CB7"/>
    <w:rsid w:val="00E010D9"/>
    <w:rsid w:val="00E01C0E"/>
    <w:rsid w:val="00E0368F"/>
    <w:rsid w:val="00E03805"/>
    <w:rsid w:val="00E03D73"/>
    <w:rsid w:val="00E03F9A"/>
    <w:rsid w:val="00E040DA"/>
    <w:rsid w:val="00E04694"/>
    <w:rsid w:val="00E05333"/>
    <w:rsid w:val="00E1168B"/>
    <w:rsid w:val="00E119E9"/>
    <w:rsid w:val="00E11C7E"/>
    <w:rsid w:val="00E12191"/>
    <w:rsid w:val="00E129E7"/>
    <w:rsid w:val="00E12ABE"/>
    <w:rsid w:val="00E12B1E"/>
    <w:rsid w:val="00E135EB"/>
    <w:rsid w:val="00E13995"/>
    <w:rsid w:val="00E1444C"/>
    <w:rsid w:val="00E156FE"/>
    <w:rsid w:val="00E1690C"/>
    <w:rsid w:val="00E16FC8"/>
    <w:rsid w:val="00E17262"/>
    <w:rsid w:val="00E17F36"/>
    <w:rsid w:val="00E20016"/>
    <w:rsid w:val="00E2009B"/>
    <w:rsid w:val="00E20BB9"/>
    <w:rsid w:val="00E20BCC"/>
    <w:rsid w:val="00E2251C"/>
    <w:rsid w:val="00E2363D"/>
    <w:rsid w:val="00E23C6A"/>
    <w:rsid w:val="00E2484B"/>
    <w:rsid w:val="00E25304"/>
    <w:rsid w:val="00E253A2"/>
    <w:rsid w:val="00E260F6"/>
    <w:rsid w:val="00E2665E"/>
    <w:rsid w:val="00E27127"/>
    <w:rsid w:val="00E27233"/>
    <w:rsid w:val="00E274BB"/>
    <w:rsid w:val="00E30601"/>
    <w:rsid w:val="00E30F15"/>
    <w:rsid w:val="00E31771"/>
    <w:rsid w:val="00E3186D"/>
    <w:rsid w:val="00E31A3E"/>
    <w:rsid w:val="00E32080"/>
    <w:rsid w:val="00E32426"/>
    <w:rsid w:val="00E32778"/>
    <w:rsid w:val="00E3309D"/>
    <w:rsid w:val="00E34E3F"/>
    <w:rsid w:val="00E350B1"/>
    <w:rsid w:val="00E35A53"/>
    <w:rsid w:val="00E35D83"/>
    <w:rsid w:val="00E3634A"/>
    <w:rsid w:val="00E3656B"/>
    <w:rsid w:val="00E3712B"/>
    <w:rsid w:val="00E3724A"/>
    <w:rsid w:val="00E378B1"/>
    <w:rsid w:val="00E41179"/>
    <w:rsid w:val="00E411F9"/>
    <w:rsid w:val="00E417BE"/>
    <w:rsid w:val="00E41CD5"/>
    <w:rsid w:val="00E42054"/>
    <w:rsid w:val="00E42D94"/>
    <w:rsid w:val="00E4372D"/>
    <w:rsid w:val="00E43A9E"/>
    <w:rsid w:val="00E44243"/>
    <w:rsid w:val="00E453F9"/>
    <w:rsid w:val="00E45D7D"/>
    <w:rsid w:val="00E4623F"/>
    <w:rsid w:val="00E4665D"/>
    <w:rsid w:val="00E467E3"/>
    <w:rsid w:val="00E47854"/>
    <w:rsid w:val="00E478E2"/>
    <w:rsid w:val="00E47EBA"/>
    <w:rsid w:val="00E50156"/>
    <w:rsid w:val="00E504EB"/>
    <w:rsid w:val="00E5076C"/>
    <w:rsid w:val="00E50D2E"/>
    <w:rsid w:val="00E50D7D"/>
    <w:rsid w:val="00E50E8A"/>
    <w:rsid w:val="00E51EF0"/>
    <w:rsid w:val="00E53470"/>
    <w:rsid w:val="00E5368D"/>
    <w:rsid w:val="00E539F6"/>
    <w:rsid w:val="00E54698"/>
    <w:rsid w:val="00E54BE9"/>
    <w:rsid w:val="00E54FB4"/>
    <w:rsid w:val="00E55046"/>
    <w:rsid w:val="00E5539A"/>
    <w:rsid w:val="00E55791"/>
    <w:rsid w:val="00E55AB2"/>
    <w:rsid w:val="00E55E1A"/>
    <w:rsid w:val="00E578A2"/>
    <w:rsid w:val="00E579ED"/>
    <w:rsid w:val="00E60043"/>
    <w:rsid w:val="00E61740"/>
    <w:rsid w:val="00E61EB5"/>
    <w:rsid w:val="00E62287"/>
    <w:rsid w:val="00E62EDE"/>
    <w:rsid w:val="00E6324D"/>
    <w:rsid w:val="00E636EC"/>
    <w:rsid w:val="00E65084"/>
    <w:rsid w:val="00E6519D"/>
    <w:rsid w:val="00E657C8"/>
    <w:rsid w:val="00E66062"/>
    <w:rsid w:val="00E6660E"/>
    <w:rsid w:val="00E66768"/>
    <w:rsid w:val="00E67305"/>
    <w:rsid w:val="00E673BD"/>
    <w:rsid w:val="00E67696"/>
    <w:rsid w:val="00E700B4"/>
    <w:rsid w:val="00E709AF"/>
    <w:rsid w:val="00E70A85"/>
    <w:rsid w:val="00E70C5F"/>
    <w:rsid w:val="00E71A58"/>
    <w:rsid w:val="00E728D7"/>
    <w:rsid w:val="00E72A26"/>
    <w:rsid w:val="00E72A7A"/>
    <w:rsid w:val="00E7335A"/>
    <w:rsid w:val="00E73986"/>
    <w:rsid w:val="00E73D21"/>
    <w:rsid w:val="00E7467D"/>
    <w:rsid w:val="00E747DC"/>
    <w:rsid w:val="00E74A2D"/>
    <w:rsid w:val="00E74FE4"/>
    <w:rsid w:val="00E75C94"/>
    <w:rsid w:val="00E76A08"/>
    <w:rsid w:val="00E76B9B"/>
    <w:rsid w:val="00E76E61"/>
    <w:rsid w:val="00E76EE4"/>
    <w:rsid w:val="00E77CC0"/>
    <w:rsid w:val="00E77E8B"/>
    <w:rsid w:val="00E77F50"/>
    <w:rsid w:val="00E80B3D"/>
    <w:rsid w:val="00E80CA3"/>
    <w:rsid w:val="00E8184F"/>
    <w:rsid w:val="00E81AAA"/>
    <w:rsid w:val="00E82618"/>
    <w:rsid w:val="00E82A0F"/>
    <w:rsid w:val="00E82A42"/>
    <w:rsid w:val="00E832F4"/>
    <w:rsid w:val="00E846B0"/>
    <w:rsid w:val="00E84E09"/>
    <w:rsid w:val="00E87CE2"/>
    <w:rsid w:val="00E90CA8"/>
    <w:rsid w:val="00E91113"/>
    <w:rsid w:val="00E911C6"/>
    <w:rsid w:val="00E920DE"/>
    <w:rsid w:val="00E930A1"/>
    <w:rsid w:val="00E93820"/>
    <w:rsid w:val="00E94A86"/>
    <w:rsid w:val="00E951AB"/>
    <w:rsid w:val="00E953F6"/>
    <w:rsid w:val="00E9580F"/>
    <w:rsid w:val="00E95882"/>
    <w:rsid w:val="00E95C3B"/>
    <w:rsid w:val="00E96143"/>
    <w:rsid w:val="00E96833"/>
    <w:rsid w:val="00E96869"/>
    <w:rsid w:val="00E97506"/>
    <w:rsid w:val="00E97BB5"/>
    <w:rsid w:val="00E97D5B"/>
    <w:rsid w:val="00E97F14"/>
    <w:rsid w:val="00EA02FE"/>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5E3D"/>
    <w:rsid w:val="00EA7419"/>
    <w:rsid w:val="00EB0203"/>
    <w:rsid w:val="00EB0E32"/>
    <w:rsid w:val="00EB1786"/>
    <w:rsid w:val="00EB1CDC"/>
    <w:rsid w:val="00EB1D89"/>
    <w:rsid w:val="00EB2693"/>
    <w:rsid w:val="00EB3E60"/>
    <w:rsid w:val="00EB4511"/>
    <w:rsid w:val="00EB48D7"/>
    <w:rsid w:val="00EB49F1"/>
    <w:rsid w:val="00EB4A8E"/>
    <w:rsid w:val="00EB4BC5"/>
    <w:rsid w:val="00EB5BF7"/>
    <w:rsid w:val="00EB5E79"/>
    <w:rsid w:val="00EB6788"/>
    <w:rsid w:val="00EB6FAC"/>
    <w:rsid w:val="00EB7BAC"/>
    <w:rsid w:val="00EB7CC9"/>
    <w:rsid w:val="00EC03D7"/>
    <w:rsid w:val="00EC0749"/>
    <w:rsid w:val="00EC0B86"/>
    <w:rsid w:val="00EC13A7"/>
    <w:rsid w:val="00EC1D31"/>
    <w:rsid w:val="00EC2EB6"/>
    <w:rsid w:val="00EC3F49"/>
    <w:rsid w:val="00EC4FFF"/>
    <w:rsid w:val="00EC5517"/>
    <w:rsid w:val="00EC6E8C"/>
    <w:rsid w:val="00EC729D"/>
    <w:rsid w:val="00ED0702"/>
    <w:rsid w:val="00ED0962"/>
    <w:rsid w:val="00ED0EF0"/>
    <w:rsid w:val="00ED112D"/>
    <w:rsid w:val="00ED12B9"/>
    <w:rsid w:val="00ED16B8"/>
    <w:rsid w:val="00ED1959"/>
    <w:rsid w:val="00ED1A00"/>
    <w:rsid w:val="00ED1DF0"/>
    <w:rsid w:val="00ED2386"/>
    <w:rsid w:val="00ED25F5"/>
    <w:rsid w:val="00ED2EA1"/>
    <w:rsid w:val="00ED3851"/>
    <w:rsid w:val="00ED39D7"/>
    <w:rsid w:val="00ED3E51"/>
    <w:rsid w:val="00ED3F10"/>
    <w:rsid w:val="00ED3F9B"/>
    <w:rsid w:val="00ED3FB3"/>
    <w:rsid w:val="00ED4D04"/>
    <w:rsid w:val="00ED566D"/>
    <w:rsid w:val="00ED5907"/>
    <w:rsid w:val="00ED5F5B"/>
    <w:rsid w:val="00ED62C6"/>
    <w:rsid w:val="00ED64C1"/>
    <w:rsid w:val="00ED72E7"/>
    <w:rsid w:val="00ED74BD"/>
    <w:rsid w:val="00ED781F"/>
    <w:rsid w:val="00EE0E7E"/>
    <w:rsid w:val="00EE2236"/>
    <w:rsid w:val="00EE249F"/>
    <w:rsid w:val="00EE2EB4"/>
    <w:rsid w:val="00EE3446"/>
    <w:rsid w:val="00EE3E78"/>
    <w:rsid w:val="00EE41FD"/>
    <w:rsid w:val="00EE460E"/>
    <w:rsid w:val="00EE4B1B"/>
    <w:rsid w:val="00EE5FBA"/>
    <w:rsid w:val="00EE601C"/>
    <w:rsid w:val="00EE6E06"/>
    <w:rsid w:val="00EE7179"/>
    <w:rsid w:val="00EE762D"/>
    <w:rsid w:val="00EF0D90"/>
    <w:rsid w:val="00EF150D"/>
    <w:rsid w:val="00EF1916"/>
    <w:rsid w:val="00EF1F5A"/>
    <w:rsid w:val="00EF22E2"/>
    <w:rsid w:val="00EF23B5"/>
    <w:rsid w:val="00EF326A"/>
    <w:rsid w:val="00EF3898"/>
    <w:rsid w:val="00EF47BF"/>
    <w:rsid w:val="00EF52F7"/>
    <w:rsid w:val="00EF59B1"/>
    <w:rsid w:val="00EF5A13"/>
    <w:rsid w:val="00EF5FF9"/>
    <w:rsid w:val="00EF600F"/>
    <w:rsid w:val="00EF77D4"/>
    <w:rsid w:val="00EF7CC7"/>
    <w:rsid w:val="00F00535"/>
    <w:rsid w:val="00F00853"/>
    <w:rsid w:val="00F00866"/>
    <w:rsid w:val="00F00EC8"/>
    <w:rsid w:val="00F0160B"/>
    <w:rsid w:val="00F0193E"/>
    <w:rsid w:val="00F028B4"/>
    <w:rsid w:val="00F02A91"/>
    <w:rsid w:val="00F03E2F"/>
    <w:rsid w:val="00F03F8D"/>
    <w:rsid w:val="00F04811"/>
    <w:rsid w:val="00F0488C"/>
    <w:rsid w:val="00F04955"/>
    <w:rsid w:val="00F06203"/>
    <w:rsid w:val="00F073ED"/>
    <w:rsid w:val="00F07C4C"/>
    <w:rsid w:val="00F07E45"/>
    <w:rsid w:val="00F10F11"/>
    <w:rsid w:val="00F11159"/>
    <w:rsid w:val="00F1146D"/>
    <w:rsid w:val="00F115E4"/>
    <w:rsid w:val="00F11AC4"/>
    <w:rsid w:val="00F11C1D"/>
    <w:rsid w:val="00F11D01"/>
    <w:rsid w:val="00F120A5"/>
    <w:rsid w:val="00F12CFB"/>
    <w:rsid w:val="00F13E60"/>
    <w:rsid w:val="00F13F81"/>
    <w:rsid w:val="00F13FDB"/>
    <w:rsid w:val="00F15653"/>
    <w:rsid w:val="00F15AAA"/>
    <w:rsid w:val="00F15BEF"/>
    <w:rsid w:val="00F16F10"/>
    <w:rsid w:val="00F17898"/>
    <w:rsid w:val="00F17FBF"/>
    <w:rsid w:val="00F204BF"/>
    <w:rsid w:val="00F207C2"/>
    <w:rsid w:val="00F21337"/>
    <w:rsid w:val="00F219A1"/>
    <w:rsid w:val="00F235B2"/>
    <w:rsid w:val="00F23E20"/>
    <w:rsid w:val="00F24407"/>
    <w:rsid w:val="00F249CE"/>
    <w:rsid w:val="00F24FAA"/>
    <w:rsid w:val="00F25040"/>
    <w:rsid w:val="00F269D7"/>
    <w:rsid w:val="00F26D1F"/>
    <w:rsid w:val="00F27071"/>
    <w:rsid w:val="00F27331"/>
    <w:rsid w:val="00F276D3"/>
    <w:rsid w:val="00F27EE5"/>
    <w:rsid w:val="00F27FB1"/>
    <w:rsid w:val="00F27FD6"/>
    <w:rsid w:val="00F307CB"/>
    <w:rsid w:val="00F30C0C"/>
    <w:rsid w:val="00F30C65"/>
    <w:rsid w:val="00F3148E"/>
    <w:rsid w:val="00F31E10"/>
    <w:rsid w:val="00F321D2"/>
    <w:rsid w:val="00F32649"/>
    <w:rsid w:val="00F33523"/>
    <w:rsid w:val="00F3364D"/>
    <w:rsid w:val="00F33914"/>
    <w:rsid w:val="00F340B2"/>
    <w:rsid w:val="00F349BF"/>
    <w:rsid w:val="00F34DDC"/>
    <w:rsid w:val="00F36191"/>
    <w:rsid w:val="00F3629F"/>
    <w:rsid w:val="00F36DF3"/>
    <w:rsid w:val="00F371A2"/>
    <w:rsid w:val="00F37362"/>
    <w:rsid w:val="00F375CB"/>
    <w:rsid w:val="00F37EDC"/>
    <w:rsid w:val="00F40205"/>
    <w:rsid w:val="00F437CC"/>
    <w:rsid w:val="00F43A4E"/>
    <w:rsid w:val="00F44537"/>
    <w:rsid w:val="00F458BE"/>
    <w:rsid w:val="00F46185"/>
    <w:rsid w:val="00F46423"/>
    <w:rsid w:val="00F4696A"/>
    <w:rsid w:val="00F47067"/>
    <w:rsid w:val="00F47234"/>
    <w:rsid w:val="00F50451"/>
    <w:rsid w:val="00F51ADD"/>
    <w:rsid w:val="00F525AB"/>
    <w:rsid w:val="00F525EB"/>
    <w:rsid w:val="00F52BFA"/>
    <w:rsid w:val="00F52CB5"/>
    <w:rsid w:val="00F53378"/>
    <w:rsid w:val="00F53A68"/>
    <w:rsid w:val="00F53D2E"/>
    <w:rsid w:val="00F54934"/>
    <w:rsid w:val="00F55A92"/>
    <w:rsid w:val="00F5615B"/>
    <w:rsid w:val="00F5635E"/>
    <w:rsid w:val="00F5657D"/>
    <w:rsid w:val="00F57427"/>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113"/>
    <w:rsid w:val="00F71393"/>
    <w:rsid w:val="00F7150B"/>
    <w:rsid w:val="00F7162D"/>
    <w:rsid w:val="00F717E4"/>
    <w:rsid w:val="00F71DE6"/>
    <w:rsid w:val="00F72C79"/>
    <w:rsid w:val="00F72D71"/>
    <w:rsid w:val="00F7381C"/>
    <w:rsid w:val="00F73A0C"/>
    <w:rsid w:val="00F73AA6"/>
    <w:rsid w:val="00F7467F"/>
    <w:rsid w:val="00F752DC"/>
    <w:rsid w:val="00F7549F"/>
    <w:rsid w:val="00F756DB"/>
    <w:rsid w:val="00F766BE"/>
    <w:rsid w:val="00F767A8"/>
    <w:rsid w:val="00F77590"/>
    <w:rsid w:val="00F77A50"/>
    <w:rsid w:val="00F77E95"/>
    <w:rsid w:val="00F809C0"/>
    <w:rsid w:val="00F81B0F"/>
    <w:rsid w:val="00F822CE"/>
    <w:rsid w:val="00F823E4"/>
    <w:rsid w:val="00F82D14"/>
    <w:rsid w:val="00F842EB"/>
    <w:rsid w:val="00F84E7D"/>
    <w:rsid w:val="00F85066"/>
    <w:rsid w:val="00F8670E"/>
    <w:rsid w:val="00F867A2"/>
    <w:rsid w:val="00F874F8"/>
    <w:rsid w:val="00F87A4D"/>
    <w:rsid w:val="00F90A3E"/>
    <w:rsid w:val="00F90C68"/>
    <w:rsid w:val="00F90EEB"/>
    <w:rsid w:val="00F91B66"/>
    <w:rsid w:val="00F93688"/>
    <w:rsid w:val="00F939F3"/>
    <w:rsid w:val="00F93C6E"/>
    <w:rsid w:val="00F93F2C"/>
    <w:rsid w:val="00F947E9"/>
    <w:rsid w:val="00F962AD"/>
    <w:rsid w:val="00F9644E"/>
    <w:rsid w:val="00F96EE8"/>
    <w:rsid w:val="00FA0105"/>
    <w:rsid w:val="00FA05A0"/>
    <w:rsid w:val="00FA0AEF"/>
    <w:rsid w:val="00FA12B0"/>
    <w:rsid w:val="00FA17CC"/>
    <w:rsid w:val="00FA1CFE"/>
    <w:rsid w:val="00FA1EE7"/>
    <w:rsid w:val="00FA1F01"/>
    <w:rsid w:val="00FA26DF"/>
    <w:rsid w:val="00FA32BC"/>
    <w:rsid w:val="00FA3E13"/>
    <w:rsid w:val="00FA3FA8"/>
    <w:rsid w:val="00FA4059"/>
    <w:rsid w:val="00FA4574"/>
    <w:rsid w:val="00FA48A4"/>
    <w:rsid w:val="00FA4CB7"/>
    <w:rsid w:val="00FA5112"/>
    <w:rsid w:val="00FA5526"/>
    <w:rsid w:val="00FA5D48"/>
    <w:rsid w:val="00FA5D4D"/>
    <w:rsid w:val="00FA6122"/>
    <w:rsid w:val="00FA6CB6"/>
    <w:rsid w:val="00FA70D3"/>
    <w:rsid w:val="00FA792A"/>
    <w:rsid w:val="00FA7AEC"/>
    <w:rsid w:val="00FB0AEA"/>
    <w:rsid w:val="00FB0EE2"/>
    <w:rsid w:val="00FB1A79"/>
    <w:rsid w:val="00FB1B48"/>
    <w:rsid w:val="00FB208B"/>
    <w:rsid w:val="00FB2B2D"/>
    <w:rsid w:val="00FB542E"/>
    <w:rsid w:val="00FB5580"/>
    <w:rsid w:val="00FB564F"/>
    <w:rsid w:val="00FB7DBB"/>
    <w:rsid w:val="00FC05F8"/>
    <w:rsid w:val="00FC077B"/>
    <w:rsid w:val="00FC0BE0"/>
    <w:rsid w:val="00FC0E5F"/>
    <w:rsid w:val="00FC1070"/>
    <w:rsid w:val="00FC1266"/>
    <w:rsid w:val="00FC1A95"/>
    <w:rsid w:val="00FC1ED4"/>
    <w:rsid w:val="00FC35BF"/>
    <w:rsid w:val="00FC3BEC"/>
    <w:rsid w:val="00FC42C5"/>
    <w:rsid w:val="00FC440B"/>
    <w:rsid w:val="00FC4F4B"/>
    <w:rsid w:val="00FC56DE"/>
    <w:rsid w:val="00FC63D9"/>
    <w:rsid w:val="00FC64DE"/>
    <w:rsid w:val="00FC6785"/>
    <w:rsid w:val="00FC684B"/>
    <w:rsid w:val="00FC7136"/>
    <w:rsid w:val="00FC7D98"/>
    <w:rsid w:val="00FC7EB2"/>
    <w:rsid w:val="00FD1135"/>
    <w:rsid w:val="00FD3265"/>
    <w:rsid w:val="00FD3BFE"/>
    <w:rsid w:val="00FD3CF7"/>
    <w:rsid w:val="00FD4124"/>
    <w:rsid w:val="00FD4916"/>
    <w:rsid w:val="00FD4D12"/>
    <w:rsid w:val="00FD4F73"/>
    <w:rsid w:val="00FD595E"/>
    <w:rsid w:val="00FD62E6"/>
    <w:rsid w:val="00FD7802"/>
    <w:rsid w:val="00FD7D3B"/>
    <w:rsid w:val="00FD7F83"/>
    <w:rsid w:val="00FD7FBE"/>
    <w:rsid w:val="00FE0292"/>
    <w:rsid w:val="00FE1209"/>
    <w:rsid w:val="00FE27C7"/>
    <w:rsid w:val="00FE2814"/>
    <w:rsid w:val="00FE2C7E"/>
    <w:rsid w:val="00FE2F78"/>
    <w:rsid w:val="00FE3137"/>
    <w:rsid w:val="00FE346B"/>
    <w:rsid w:val="00FE346F"/>
    <w:rsid w:val="00FE431E"/>
    <w:rsid w:val="00FE460E"/>
    <w:rsid w:val="00FE48E4"/>
    <w:rsid w:val="00FE5466"/>
    <w:rsid w:val="00FE5BF1"/>
    <w:rsid w:val="00FE633D"/>
    <w:rsid w:val="00FE634C"/>
    <w:rsid w:val="00FE6E69"/>
    <w:rsid w:val="00FE6F59"/>
    <w:rsid w:val="00FF01B6"/>
    <w:rsid w:val="00FF0989"/>
    <w:rsid w:val="00FF0F79"/>
    <w:rsid w:val="00FF1136"/>
    <w:rsid w:val="00FF3D76"/>
    <w:rsid w:val="00FF445B"/>
    <w:rsid w:val="00FF5B8C"/>
    <w:rsid w:val="00FF63E6"/>
    <w:rsid w:val="00FF649C"/>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A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21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384443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2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1'!$C$25:$C$46</c:f>
              <c:numCache>
                <c:formatCode>#\ ##0.0</c:formatCode>
                <c:ptCount val="22"/>
                <c:pt idx="0">
                  <c:v>3.695024939296502</c:v>
                </c:pt>
                <c:pt idx="1">
                  <c:v>5.9154748938585584</c:v>
                </c:pt>
                <c:pt idx="2">
                  <c:v>5.8516412927584582</c:v>
                </c:pt>
                <c:pt idx="3">
                  <c:v>5.8958110920111153</c:v>
                </c:pt>
                <c:pt idx="4">
                  <c:v>4.7409332982438741</c:v>
                </c:pt>
                <c:pt idx="5" formatCode="General">
                  <c:v>2.821338885097731</c:v>
                </c:pt>
                <c:pt idx="6" formatCode="General">
                  <c:v>2.6959141687858903</c:v>
                </c:pt>
                <c:pt idx="7">
                  <c:v>2.6197437017841025</c:v>
                </c:pt>
                <c:pt idx="8">
                  <c:v>2.9978799448777949</c:v>
                </c:pt>
                <c:pt idx="9" formatCode="General">
                  <c:v>3.0712313540949907</c:v>
                </c:pt>
                <c:pt idx="10" formatCode="General">
                  <c:v>3.0292239015638387</c:v>
                </c:pt>
                <c:pt idx="11" formatCode="General">
                  <c:v>2.7681270582493624</c:v>
                </c:pt>
                <c:pt idx="12" formatCode="General">
                  <c:v>-1.4629386956710846</c:v>
                </c:pt>
                <c:pt idx="13" formatCode="General">
                  <c:v>-10.78290466571336</c:v>
                </c:pt>
                <c:pt idx="14" formatCode="General">
                  <c:v>-5.2159569739525011</c:v>
                </c:pt>
                <c:pt idx="15" formatCode="General">
                  <c:v>-4.5960804470275178</c:v>
                </c:pt>
                <c:pt idx="16" formatCode="General">
                  <c:v>-1.9073894441670518</c:v>
                </c:pt>
                <c:pt idx="17" formatCode="General">
                  <c:v>9.1293353391871648</c:v>
                </c:pt>
                <c:pt idx="18" formatCode="General">
                  <c:v>3.7680361202100983</c:v>
                </c:pt>
                <c:pt idx="19" formatCode="General">
                  <c:v>3.4666809246014765</c:v>
                </c:pt>
                <c:pt idx="20" formatCode="General">
                  <c:v>4.6481213438552373</c:v>
                </c:pt>
                <c:pt idx="21" formatCode="General">
                  <c:v>3.6728342161133014</c:v>
                </c:pt>
              </c:numCache>
            </c:numRef>
          </c:val>
          <c:extLst>
            <c:ext xmlns:c16="http://schemas.microsoft.com/office/drawing/2014/chart" uri="{C3380CC4-5D6E-409C-BE32-E72D297353CC}">
              <c16:uniqueId val="{00000000-E975-4928-8AB4-A4583DEFADC3}"/>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1'!$D$25:$D$46</c:f>
              <c:numCache>
                <c:formatCode>#\ ##0.0</c:formatCode>
                <c:ptCount val="22"/>
                <c:pt idx="0">
                  <c:v>2.4</c:v>
                </c:pt>
                <c:pt idx="1">
                  <c:v>2.9</c:v>
                </c:pt>
                <c:pt idx="2">
                  <c:v>3.3</c:v>
                </c:pt>
                <c:pt idx="3">
                  <c:v>3.2</c:v>
                </c:pt>
                <c:pt idx="4">
                  <c:v>2.6</c:v>
                </c:pt>
                <c:pt idx="5">
                  <c:v>2.4</c:v>
                </c:pt>
                <c:pt idx="6">
                  <c:v>1.7</c:v>
                </c:pt>
                <c:pt idx="7">
                  <c:v>1.5</c:v>
                </c:pt>
                <c:pt idx="8">
                  <c:v>2.1</c:v>
                </c:pt>
                <c:pt idx="9">
                  <c:v>1.9</c:v>
                </c:pt>
                <c:pt idx="10">
                  <c:v>2</c:v>
                </c:pt>
                <c:pt idx="11">
                  <c:v>1.4</c:v>
                </c:pt>
                <c:pt idx="12">
                  <c:v>-2.5</c:v>
                </c:pt>
                <c:pt idx="13">
                  <c:v>-13.8</c:v>
                </c:pt>
                <c:pt idx="14">
                  <c:v>-3.8</c:v>
                </c:pt>
                <c:pt idx="15">
                  <c:v>-4</c:v>
                </c:pt>
                <c:pt idx="16">
                  <c:v>-0.9</c:v>
                </c:pt>
                <c:pt idx="17">
                  <c:v>14</c:v>
                </c:pt>
                <c:pt idx="18">
                  <c:v>4.0999999999999996</c:v>
                </c:pt>
                <c:pt idx="19">
                  <c:v>5</c:v>
                </c:pt>
                <c:pt idx="20">
                  <c:v>5.5</c:v>
                </c:pt>
                <c:pt idx="21">
                  <c:v>4</c:v>
                </c:pt>
              </c:numCache>
            </c:numRef>
          </c:val>
          <c:extLst>
            <c:ext xmlns:c16="http://schemas.microsoft.com/office/drawing/2014/chart" uri="{C3380CC4-5D6E-409C-BE32-E72D297353CC}">
              <c16:uniqueId val="{00000001-E975-4928-8AB4-A4583DEFADC3}"/>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1'!$E$25:$E$46</c:f>
              <c:numCache>
                <c:formatCode>#\ ##0.0</c:formatCode>
                <c:ptCount val="22"/>
                <c:pt idx="0">
                  <c:v>1.6501768420245781</c:v>
                </c:pt>
                <c:pt idx="1">
                  <c:v>2.4798258472657153</c:v>
                </c:pt>
                <c:pt idx="2">
                  <c:v>0.83559458693113697</c:v>
                </c:pt>
                <c:pt idx="3">
                  <c:v>0.81343215586227302</c:v>
                </c:pt>
                <c:pt idx="4">
                  <c:v>0.54160105647851253</c:v>
                </c:pt>
                <c:pt idx="5">
                  <c:v>0.60167090858045924</c:v>
                </c:pt>
                <c:pt idx="6">
                  <c:v>0.71259214422481421</c:v>
                </c:pt>
                <c:pt idx="7">
                  <c:v>0.73865794240386151</c:v>
                </c:pt>
                <c:pt idx="8">
                  <c:v>0.91207969856712623</c:v>
                </c:pt>
                <c:pt idx="9" formatCode="General">
                  <c:v>0.67331582335634721</c:v>
                </c:pt>
                <c:pt idx="10" formatCode="General">
                  <c:v>0.67154597277419725</c:v>
                </c:pt>
                <c:pt idx="11" formatCode="General">
                  <c:v>0.4833658554360909</c:v>
                </c:pt>
                <c:pt idx="12" formatCode="General">
                  <c:v>-3.2425707440500986</c:v>
                </c:pt>
                <c:pt idx="13" formatCode="General">
                  <c:v>-8.8487042688318525</c:v>
                </c:pt>
                <c:pt idx="14" formatCode="General">
                  <c:v>6.9532258277307903</c:v>
                </c:pt>
                <c:pt idx="15" formatCode="General">
                  <c:v>1.1405152853573952</c:v>
                </c:pt>
                <c:pt idx="16" formatCode="General">
                  <c:v>-0.51573487903165471</c:v>
                </c:pt>
                <c:pt idx="17" formatCode="General">
                  <c:v>1.4070301736563096</c:v>
                </c:pt>
                <c:pt idx="18" formatCode="General">
                  <c:v>1.6988343818829179</c:v>
                </c:pt>
                <c:pt idx="19" formatCode="General">
                  <c:v>0.84679073483712841</c:v>
                </c:pt>
                <c:pt idx="20" formatCode="General">
                  <c:v>0.62023208969060306</c:v>
                </c:pt>
                <c:pt idx="21" formatCode="General">
                  <c:v>0.46194898231858872</c:v>
                </c:pt>
              </c:numCache>
            </c:numRef>
          </c:val>
          <c:smooth val="0"/>
          <c:extLst>
            <c:ext xmlns:c16="http://schemas.microsoft.com/office/drawing/2014/chart" uri="{C3380CC4-5D6E-409C-BE32-E72D297353CC}">
              <c16:uniqueId val="{00000002-E975-4928-8AB4-A4583DEFADC3}"/>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1'!$F$25:$F$46</c:f>
              <c:numCache>
                <c:formatCode>#\ ##0.0</c:formatCode>
                <c:ptCount val="22"/>
                <c:pt idx="0">
                  <c:v>0.8</c:v>
                </c:pt>
                <c:pt idx="1">
                  <c:v>0.8</c:v>
                </c:pt>
                <c:pt idx="2">
                  <c:v>0.8</c:v>
                </c:pt>
                <c:pt idx="3">
                  <c:v>0.8</c:v>
                </c:pt>
                <c:pt idx="4">
                  <c:v>0.2</c:v>
                </c:pt>
                <c:pt idx="5">
                  <c:v>0.6</c:v>
                </c:pt>
                <c:pt idx="6">
                  <c:v>0.2</c:v>
                </c:pt>
                <c:pt idx="7">
                  <c:v>0.6</c:v>
                </c:pt>
                <c:pt idx="8">
                  <c:v>0.8</c:v>
                </c:pt>
                <c:pt idx="9">
                  <c:v>0.3</c:v>
                </c:pt>
                <c:pt idx="10">
                  <c:v>0.3</c:v>
                </c:pt>
                <c:pt idx="11">
                  <c:v>0</c:v>
                </c:pt>
                <c:pt idx="12">
                  <c:v>-3.1</c:v>
                </c:pt>
                <c:pt idx="13">
                  <c:v>-11.3</c:v>
                </c:pt>
                <c:pt idx="14">
                  <c:v>11.9</c:v>
                </c:pt>
                <c:pt idx="15">
                  <c:v>-0.2</c:v>
                </c:pt>
                <c:pt idx="16">
                  <c:v>0.1</c:v>
                </c:pt>
                <c:pt idx="17">
                  <c:v>2</c:v>
                </c:pt>
                <c:pt idx="18">
                  <c:v>2.2000000000000002</c:v>
                </c:pt>
                <c:pt idx="19">
                  <c:v>0.6</c:v>
                </c:pt>
                <c:pt idx="20">
                  <c:v>0.6</c:v>
                </c:pt>
                <c:pt idx="21">
                  <c:v>0.6</c:v>
                </c:pt>
              </c:numCache>
            </c:numRef>
          </c:val>
          <c:smooth val="0"/>
          <c:extLst>
            <c:ext xmlns:c16="http://schemas.microsoft.com/office/drawing/2014/chart" uri="{C3380CC4-5D6E-409C-BE32-E72D297353CC}">
              <c16:uniqueId val="{00000003-E975-4928-8AB4-A4583DEFADC3}"/>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5"/>
          <c:order val="1"/>
          <c:tx>
            <c:strRef>
              <c:f>'souhrnná výkonnost 3'!$D$5</c:f>
              <c:strCache>
                <c:ptCount val="1"/>
                <c:pt idx="0">
                  <c:v>Final consumption expenditure of households (inc. non-profit inst.)</c:v>
                </c:pt>
              </c:strCache>
            </c:strRef>
          </c:tx>
          <c:spPr>
            <a:solidFill>
              <a:srgbClr val="0071BC"/>
            </a:solidFill>
            <a:ln>
              <a:noFill/>
            </a:ln>
          </c:spPr>
          <c:invertIfNegative val="0"/>
          <c:val>
            <c:numRef>
              <c:f>'souhrnná výkonnost 3'!$D$26:$D$47</c:f>
              <c:numCache>
                <c:formatCode>#\ ##0.0</c:formatCode>
                <c:ptCount val="22"/>
                <c:pt idx="0">
                  <c:v>1.1724461062125424</c:v>
                </c:pt>
                <c:pt idx="1">
                  <c:v>1.3838280833932579</c:v>
                </c:pt>
                <c:pt idx="2">
                  <c:v>1.3029633342515592</c:v>
                </c:pt>
                <c:pt idx="3">
                  <c:v>1.0570981809373126</c:v>
                </c:pt>
                <c:pt idx="4">
                  <c:v>1.5755125159315493</c:v>
                </c:pt>
                <c:pt idx="5">
                  <c:v>1.2433932618107362</c:v>
                </c:pt>
                <c:pt idx="6">
                  <c:v>0.98503190180886591</c:v>
                </c:pt>
                <c:pt idx="7">
                  <c:v>0.86242373693181407</c:v>
                </c:pt>
                <c:pt idx="8">
                  <c:v>0.93405360633092516</c:v>
                </c:pt>
                <c:pt idx="9">
                  <c:v>1.3264749570937773</c:v>
                </c:pt>
                <c:pt idx="10">
                  <c:v>1.0320858874492613</c:v>
                </c:pt>
                <c:pt idx="11">
                  <c:v>1.1072516380596791</c:v>
                </c:pt>
                <c:pt idx="12">
                  <c:v>-1.0200898881441904</c:v>
                </c:pt>
                <c:pt idx="13">
                  <c:v>-3.319130632152298</c:v>
                </c:pt>
                <c:pt idx="14">
                  <c:v>-1.7922184957520035</c:v>
                </c:pt>
                <c:pt idx="15">
                  <c:v>-4.4205469928881964</c:v>
                </c:pt>
                <c:pt idx="16">
                  <c:v>-3.0401890570142873</c:v>
                </c:pt>
                <c:pt idx="17">
                  <c:v>1.8966230839871689</c:v>
                </c:pt>
                <c:pt idx="18">
                  <c:v>1.896331163652579</c:v>
                </c:pt>
                <c:pt idx="19">
                  <c:v>3.3087731869590207</c:v>
                </c:pt>
                <c:pt idx="20">
                  <c:v>3.2721790822666366</c:v>
                </c:pt>
                <c:pt idx="21">
                  <c:v>4.2368615981477634E-2</c:v>
                </c:pt>
              </c:numCache>
            </c:numRef>
          </c:val>
          <c:extLst>
            <c:ext xmlns:c16="http://schemas.microsoft.com/office/drawing/2014/chart" uri="{C3380CC4-5D6E-409C-BE32-E72D297353CC}">
              <c16:uniqueId val="{00000000-0F53-486D-9C2C-BEDECD254531}"/>
            </c:ext>
          </c:extLst>
        </c:ser>
        <c:ser>
          <c:idx val="4"/>
          <c:order val="2"/>
          <c:tx>
            <c:strRef>
              <c:f>'souhrnná výkonnost 3'!$E$5</c:f>
              <c:strCache>
                <c:ptCount val="1"/>
                <c:pt idx="0">
                  <c:v>Final consumption expenditure of government institutions</c:v>
                </c:pt>
              </c:strCache>
            </c:strRef>
          </c:tx>
          <c:spPr>
            <a:solidFill>
              <a:srgbClr val="A6CDE8"/>
            </a:solidFill>
            <a:ln>
              <a:noFill/>
            </a:ln>
          </c:spPr>
          <c:invertIfNegative val="0"/>
          <c:val>
            <c:numRef>
              <c:f>'souhrnná výkonnost 3'!$E$26:$E$47</c:f>
              <c:numCache>
                <c:formatCode>#\ ##0.0</c:formatCode>
                <c:ptCount val="22"/>
                <c:pt idx="0">
                  <c:v>0.43568874146674696</c:v>
                </c:pt>
                <c:pt idx="1">
                  <c:v>0.31651507948948093</c:v>
                </c:pt>
                <c:pt idx="2">
                  <c:v>0.23074272942367355</c:v>
                </c:pt>
                <c:pt idx="3">
                  <c:v>0.28553793240162256</c:v>
                </c:pt>
                <c:pt idx="4">
                  <c:v>0.57412630446352575</c:v>
                </c:pt>
                <c:pt idx="5">
                  <c:v>0.65995211680089227</c:v>
                </c:pt>
                <c:pt idx="6">
                  <c:v>0.81778085262984523</c:v>
                </c:pt>
                <c:pt idx="7">
                  <c:v>0.81086488978039961</c:v>
                </c:pt>
                <c:pt idx="8">
                  <c:v>0.45281581800869153</c:v>
                </c:pt>
                <c:pt idx="9">
                  <c:v>0.47909637272946859</c:v>
                </c:pt>
                <c:pt idx="10">
                  <c:v>0.44460153705879746</c:v>
                </c:pt>
                <c:pt idx="11">
                  <c:v>0.33726571383782183</c:v>
                </c:pt>
                <c:pt idx="12">
                  <c:v>0.80451284992688055</c:v>
                </c:pt>
                <c:pt idx="13">
                  <c:v>0.70708681585804789</c:v>
                </c:pt>
                <c:pt idx="14">
                  <c:v>0.41395179326421938</c:v>
                </c:pt>
                <c:pt idx="15">
                  <c:v>1.2239863422317085</c:v>
                </c:pt>
                <c:pt idx="16">
                  <c:v>0.23876321267224973</c:v>
                </c:pt>
                <c:pt idx="17">
                  <c:v>0.14798139922500292</c:v>
                </c:pt>
                <c:pt idx="18">
                  <c:v>0.72276006050732244</c:v>
                </c:pt>
                <c:pt idx="19">
                  <c:v>-1.5205554772728584E-2</c:v>
                </c:pt>
                <c:pt idx="20">
                  <c:v>0.44435097338040286</c:v>
                </c:pt>
                <c:pt idx="21">
                  <c:v>0.36369326503442723</c:v>
                </c:pt>
              </c:numCache>
            </c:numRef>
          </c:val>
          <c:extLst>
            <c:ext xmlns:c16="http://schemas.microsoft.com/office/drawing/2014/chart" uri="{C3380CC4-5D6E-409C-BE32-E72D297353CC}">
              <c16:uniqueId val="{00000001-0F53-486D-9C2C-BEDECD254531}"/>
            </c:ext>
          </c:extLst>
        </c:ser>
        <c:ser>
          <c:idx val="3"/>
          <c:order val="3"/>
          <c:tx>
            <c:strRef>
              <c:f>'souhrnná výkonnost 3'!$G$5</c:f>
              <c:strCache>
                <c:ptCount val="1"/>
                <c:pt idx="0">
                  <c:v>Gross capital formation</c:v>
                </c:pt>
              </c:strCache>
            </c:strRef>
          </c:tx>
          <c:spPr>
            <a:solidFill>
              <a:srgbClr val="BD1B21"/>
            </a:solidFill>
            <a:ln>
              <a:noFill/>
            </a:ln>
          </c:spPr>
          <c:invertIfNegative val="0"/>
          <c:val>
            <c:numRef>
              <c:f>'souhrnná výkonnost 3'!$G$26:$G$47</c:f>
              <c:numCache>
                <c:formatCode>#\ ##0.0</c:formatCode>
                <c:ptCount val="22"/>
                <c:pt idx="0">
                  <c:v>-0.96460420103508648</c:v>
                </c:pt>
                <c:pt idx="1">
                  <c:v>0.50244635297633955</c:v>
                </c:pt>
                <c:pt idx="2">
                  <c:v>1.4868373962562362</c:v>
                </c:pt>
                <c:pt idx="3">
                  <c:v>2.3482189542959593</c:v>
                </c:pt>
                <c:pt idx="4">
                  <c:v>2.6506947871686029</c:v>
                </c:pt>
                <c:pt idx="5">
                  <c:v>1.7081773365114346</c:v>
                </c:pt>
                <c:pt idx="6">
                  <c:v>1.9279335844788137</c:v>
                </c:pt>
                <c:pt idx="7">
                  <c:v>0.67229902849733947</c:v>
                </c:pt>
                <c:pt idx="8">
                  <c:v>1.5906650874354982</c:v>
                </c:pt>
                <c:pt idx="9">
                  <c:v>-0.19146224798983871</c:v>
                </c:pt>
                <c:pt idx="10">
                  <c:v>0.25415698160207911</c:v>
                </c:pt>
                <c:pt idx="11">
                  <c:v>2.4122891717477368</c:v>
                </c:pt>
                <c:pt idx="12">
                  <c:v>0.69791730489126869</c:v>
                </c:pt>
                <c:pt idx="13">
                  <c:v>0.95595711935685235</c:v>
                </c:pt>
                <c:pt idx="14">
                  <c:v>-2.7554209500001341</c:v>
                </c:pt>
                <c:pt idx="15">
                  <c:v>-3.4824684565401789</c:v>
                </c:pt>
                <c:pt idx="16">
                  <c:v>1.101118947318819</c:v>
                </c:pt>
                <c:pt idx="17">
                  <c:v>2.8854783221045772</c:v>
                </c:pt>
                <c:pt idx="18">
                  <c:v>6.8433224518195166</c:v>
                </c:pt>
                <c:pt idx="19">
                  <c:v>6.5998296681056834</c:v>
                </c:pt>
                <c:pt idx="20">
                  <c:v>3.8122397828583519</c:v>
                </c:pt>
                <c:pt idx="21">
                  <c:v>3.7981747011313751</c:v>
                </c:pt>
              </c:numCache>
            </c:numRef>
          </c:val>
          <c:extLst>
            <c:ext xmlns:c16="http://schemas.microsoft.com/office/drawing/2014/chart" uri="{C3380CC4-5D6E-409C-BE32-E72D297353CC}">
              <c16:uniqueId val="{00000002-0F53-486D-9C2C-BEDECD254531}"/>
            </c:ext>
          </c:extLst>
        </c:ser>
        <c:ser>
          <c:idx val="1"/>
          <c:order val="4"/>
          <c:tx>
            <c:strRef>
              <c:f>'souhrnná výkonnost 3'!$F$5</c:f>
              <c:strCache>
                <c:ptCount val="1"/>
                <c:pt idx="0">
                  <c:v>Foreign trade balance</c:v>
                </c:pt>
              </c:strCache>
            </c:strRef>
          </c:tx>
          <c:spPr>
            <a:solidFill>
              <a:srgbClr val="7DBB2D"/>
            </a:solidFill>
            <a:ln>
              <a:noFill/>
            </a:ln>
          </c:spPr>
          <c:invertIfNegative val="0"/>
          <c:val>
            <c:numRef>
              <c:f>'souhrnná výkonnost 3'!$F$26:$F$47</c:f>
              <c:numCache>
                <c:formatCode>#\ ##0.0</c:formatCode>
                <c:ptCount val="22"/>
                <c:pt idx="0">
                  <c:v>2.975467589155194</c:v>
                </c:pt>
                <c:pt idx="1">
                  <c:v>3.63036253408232</c:v>
                </c:pt>
                <c:pt idx="2">
                  <c:v>2.7474075811976926</c:v>
                </c:pt>
                <c:pt idx="3">
                  <c:v>2.1271051366721982</c:v>
                </c:pt>
                <c:pt idx="4">
                  <c:v>-0.18190275978441584</c:v>
                </c:pt>
                <c:pt idx="5">
                  <c:v>-0.9011007424628219</c:v>
                </c:pt>
                <c:pt idx="6">
                  <c:v>-1.1419594143316307</c:v>
                </c:pt>
                <c:pt idx="7">
                  <c:v>0.16780244720397519</c:v>
                </c:pt>
                <c:pt idx="8">
                  <c:v>-3.0487770722796181E-2</c:v>
                </c:pt>
                <c:pt idx="9">
                  <c:v>1.401018621045631</c:v>
                </c:pt>
                <c:pt idx="10">
                  <c:v>1.245438224612009</c:v>
                </c:pt>
                <c:pt idx="11">
                  <c:v>-1.1377389757832601</c:v>
                </c:pt>
                <c:pt idx="12">
                  <c:v>-1.982621142964861</c:v>
                </c:pt>
                <c:pt idx="13">
                  <c:v>-9.1465234127285537</c:v>
                </c:pt>
                <c:pt idx="14">
                  <c:v>-1.0987632014143376</c:v>
                </c:pt>
                <c:pt idx="15">
                  <c:v>2.0622607746427408</c:v>
                </c:pt>
                <c:pt idx="16">
                  <c:v>-0.24354289734345658</c:v>
                </c:pt>
                <c:pt idx="17">
                  <c:v>4.1602944561301314</c:v>
                </c:pt>
                <c:pt idx="18">
                  <c:v>-5.7268617561215125</c:v>
                </c:pt>
                <c:pt idx="19">
                  <c:v>-6.4551933605702825</c:v>
                </c:pt>
                <c:pt idx="20">
                  <c:v>-2.8694513113123254</c:v>
                </c:pt>
                <c:pt idx="21">
                  <c:v>-0.56413347820443671</c:v>
                </c:pt>
              </c:numCache>
            </c:numRef>
          </c:val>
          <c:extLst>
            <c:ext xmlns:c16="http://schemas.microsoft.com/office/drawing/2014/chart" uri="{C3380CC4-5D6E-409C-BE32-E72D297353CC}">
              <c16:uniqueId val="{00000003-0F53-486D-9C2C-BEDECD254531}"/>
            </c:ext>
          </c:extLst>
        </c:ser>
        <c:dLbls>
          <c:showLegendKey val="0"/>
          <c:showVal val="0"/>
          <c:showCatName val="0"/>
          <c:showSerName val="0"/>
          <c:showPercent val="0"/>
          <c:showBubbleSize val="0"/>
        </c:dLbls>
        <c:gapWidth val="40"/>
        <c:overlap val="100"/>
        <c:axId val="115206784"/>
        <c:axId val="115286400"/>
      </c:barChart>
      <c:lineChart>
        <c:grouping val="standard"/>
        <c:varyColors val="0"/>
        <c:ser>
          <c:idx val="0"/>
          <c:order val="0"/>
          <c:tx>
            <c:strRef>
              <c:f>'souhrnná výkonnost 3'!$C$5</c:f>
              <c:strCache>
                <c:ptCount val="1"/>
                <c:pt idx="0">
                  <c:v>GDP</c:v>
                </c:pt>
              </c:strCache>
            </c:strRef>
          </c:tx>
          <c:spPr>
            <a:ln>
              <a:solidFill>
                <a:prstClr val="black"/>
              </a:solidFill>
            </a:ln>
          </c:spPr>
          <c:marker>
            <c:symbol val="none"/>
          </c:marker>
          <c:cat>
            <c:multiLvlStrRef>
              <c:f>'souhrnná výkonnost 3'!$A$26:$B$47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3'!$C$26:$C$47</c:f>
              <c:numCache>
                <c:formatCode>#\ ##0.0</c:formatCode>
                <c:ptCount val="22"/>
                <c:pt idx="0">
                  <c:v>3.6950522088079936</c:v>
                </c:pt>
                <c:pt idx="1">
                  <c:v>5.9154979768352121</c:v>
                </c:pt>
                <c:pt idx="2">
                  <c:v>5.8516739490936516</c:v>
                </c:pt>
                <c:pt idx="3">
                  <c:v>5.8958373145450764</c:v>
                </c:pt>
                <c:pt idx="4">
                  <c:v>4.7409433615299719</c:v>
                </c:pt>
                <c:pt idx="5">
                  <c:v>2.8213141032059923</c:v>
                </c:pt>
                <c:pt idx="6">
                  <c:v>2.6958490566037767</c:v>
                </c:pt>
                <c:pt idx="7">
                  <c:v>2.619723260012492</c:v>
                </c:pt>
                <c:pt idx="8">
                  <c:v>2.9978163782603531</c:v>
                </c:pt>
                <c:pt idx="9">
                  <c:v>3.0711985153536432</c:v>
                </c:pt>
                <c:pt idx="10">
                  <c:v>3.0292786172026638</c:v>
                </c:pt>
                <c:pt idx="11">
                  <c:v>2.7680914244993033</c:v>
                </c:pt>
                <c:pt idx="12">
                  <c:v>-1.4628912343715541</c:v>
                </c:pt>
                <c:pt idx="13">
                  <c:v>-10.782881996253849</c:v>
                </c:pt>
                <c:pt idx="14">
                  <c:v>-5.2160051898008959</c:v>
                </c:pt>
                <c:pt idx="15">
                  <c:v>-4.5960486594733538</c:v>
                </c:pt>
                <c:pt idx="16">
                  <c:v>-1.9074265997161177</c:v>
                </c:pt>
                <c:pt idx="17">
                  <c:v>9.1293352142031097</c:v>
                </c:pt>
                <c:pt idx="18">
                  <c:v>3.7680592280892995</c:v>
                </c:pt>
                <c:pt idx="19">
                  <c:v>3.4667113627178594</c:v>
                </c:pt>
                <c:pt idx="20">
                  <c:v>4.6481344872841674</c:v>
                </c:pt>
                <c:pt idx="21">
                  <c:v>3.6728131242435182</c:v>
                </c:pt>
              </c:numCache>
            </c:numRef>
          </c:val>
          <c:smooth val="0"/>
          <c:extLst>
            <c:ext xmlns:c16="http://schemas.microsoft.com/office/drawing/2014/chart" uri="{C3380CC4-5D6E-409C-BE32-E72D297353CC}">
              <c16:uniqueId val="{00000004-0F53-486D-9C2C-BEDECD254531}"/>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3"/>
      </c:valAx>
      <c:spPr>
        <a:ln>
          <a:solidFill>
            <a:schemeClr val="tx1"/>
          </a:solidFill>
        </a:ln>
      </c:spPr>
    </c:plotArea>
    <c:legend>
      <c:legendPos val="b"/>
      <c:layout>
        <c:manualLayout>
          <c:xMode val="edge"/>
          <c:yMode val="edge"/>
          <c:x val="5.5599658512421081E-2"/>
          <c:y val="0.79301446583361457"/>
          <c:w val="0.9297882566215917"/>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0071BC"/>
            </a:solidFill>
            <a:ln>
              <a:noFill/>
            </a:ln>
          </c:spPr>
          <c:invertIfNegative val="0"/>
          <c:val>
            <c:numRef>
              <c:f>'souhrnná výkonnost 4'!$C$26:$C$47</c:f>
              <c:numCache>
                <c:formatCode>#\ ##0.0</c:formatCode>
                <c:ptCount val="22"/>
                <c:pt idx="0">
                  <c:v>-1.3480202956280747E-2</c:v>
                </c:pt>
                <c:pt idx="1">
                  <c:v>-0.10834731479250079</c:v>
                </c:pt>
                <c:pt idx="2">
                  <c:v>-0.17283036507391236</c:v>
                </c:pt>
                <c:pt idx="3">
                  <c:v>-5.7499524058591864E-2</c:v>
                </c:pt>
                <c:pt idx="4">
                  <c:v>3.3101048510961691E-2</c:v>
                </c:pt>
                <c:pt idx="5">
                  <c:v>7.1756948575291107E-2</c:v>
                </c:pt>
                <c:pt idx="6">
                  <c:v>0.13149584386693958</c:v>
                </c:pt>
                <c:pt idx="7">
                  <c:v>0.13446361914513508</c:v>
                </c:pt>
                <c:pt idx="8">
                  <c:v>7.2918853884007789E-2</c:v>
                </c:pt>
                <c:pt idx="9">
                  <c:v>8.5676115253478527E-2</c:v>
                </c:pt>
                <c:pt idx="10">
                  <c:v>0.11352421571245841</c:v>
                </c:pt>
                <c:pt idx="11">
                  <c:v>0.1297955956354544</c:v>
                </c:pt>
                <c:pt idx="12">
                  <c:v>0.21206913343969133</c:v>
                </c:pt>
                <c:pt idx="13">
                  <c:v>0.23393026126693048</c:v>
                </c:pt>
                <c:pt idx="14">
                  <c:v>0.24441243980560454</c:v>
                </c:pt>
                <c:pt idx="15">
                  <c:v>0.21978387176272138</c:v>
                </c:pt>
                <c:pt idx="16">
                  <c:v>-0.18194845399556897</c:v>
                </c:pt>
                <c:pt idx="17">
                  <c:v>-0.33768164627213537</c:v>
                </c:pt>
                <c:pt idx="18">
                  <c:v>-0.36813605985710429</c:v>
                </c:pt>
                <c:pt idx="19">
                  <c:v>-0.39400715540029935</c:v>
                </c:pt>
                <c:pt idx="20">
                  <c:v>-0.10994257097185259</c:v>
                </c:pt>
                <c:pt idx="21">
                  <c:v>-1.4477928962529531E-2</c:v>
                </c:pt>
              </c:numCache>
            </c:numRef>
          </c:val>
          <c:extLst>
            <c:ext xmlns:c16="http://schemas.microsoft.com/office/drawing/2014/chart" uri="{C3380CC4-5D6E-409C-BE32-E72D297353CC}">
              <c16:uniqueId val="{00000000-8A4C-4D47-9027-DECFDE5C5A63}"/>
            </c:ext>
          </c:extLst>
        </c:ser>
        <c:ser>
          <c:idx val="3"/>
          <c:order val="1"/>
          <c:tx>
            <c:strRef>
              <c:f>'souhrnná výkonnost 4'!$D$5</c:f>
              <c:strCache>
                <c:ptCount val="1"/>
                <c:pt idx="0">
                  <c:v>Manufacturing (CZ-NACE C)</c:v>
                </c:pt>
              </c:strCache>
            </c:strRef>
          </c:tx>
          <c:spPr>
            <a:solidFill>
              <a:srgbClr val="A6CDE8"/>
            </a:solidFill>
            <a:ln>
              <a:noFill/>
            </a:ln>
          </c:spPr>
          <c:invertIfNegative val="0"/>
          <c:val>
            <c:numRef>
              <c:f>'souhrnná výkonnost 4'!$D$26:$D$47</c:f>
              <c:numCache>
                <c:formatCode>#\ ##0.0</c:formatCode>
                <c:ptCount val="22"/>
                <c:pt idx="0">
                  <c:v>1.4029354561354304</c:v>
                </c:pt>
                <c:pt idx="1">
                  <c:v>3.0521121696167999</c:v>
                </c:pt>
                <c:pt idx="2">
                  <c:v>3.0689947409685256</c:v>
                </c:pt>
                <c:pt idx="3">
                  <c:v>2.3434131051105536</c:v>
                </c:pt>
                <c:pt idx="4">
                  <c:v>1.4988954552402802</c:v>
                </c:pt>
                <c:pt idx="5">
                  <c:v>0.14865466019918347</c:v>
                </c:pt>
                <c:pt idx="6">
                  <c:v>8.6548845664065829E-3</c:v>
                </c:pt>
                <c:pt idx="7">
                  <c:v>0.32252729120432605</c:v>
                </c:pt>
                <c:pt idx="8">
                  <c:v>0.78403714445772954</c:v>
                </c:pt>
                <c:pt idx="9">
                  <c:v>1.3396178430313301</c:v>
                </c:pt>
                <c:pt idx="10">
                  <c:v>1.4312708537266536</c:v>
                </c:pt>
                <c:pt idx="11">
                  <c:v>0.95608213895270133</c:v>
                </c:pt>
                <c:pt idx="12">
                  <c:v>-1.2099063790338642</c:v>
                </c:pt>
                <c:pt idx="13">
                  <c:v>-5.9215879942171465</c:v>
                </c:pt>
                <c:pt idx="14">
                  <c:v>-2.483013954961435</c:v>
                </c:pt>
                <c:pt idx="15">
                  <c:v>-1.8545602201995735</c:v>
                </c:pt>
                <c:pt idx="16">
                  <c:v>0.14475123724007061</c:v>
                </c:pt>
                <c:pt idx="17">
                  <c:v>4.8361073743358629</c:v>
                </c:pt>
                <c:pt idx="18">
                  <c:v>0.14490824443150022</c:v>
                </c:pt>
                <c:pt idx="19">
                  <c:v>-0.36463732746079763</c:v>
                </c:pt>
                <c:pt idx="20">
                  <c:v>-9.1950060354343693E-2</c:v>
                </c:pt>
                <c:pt idx="21">
                  <c:v>0.17225272314104773</c:v>
                </c:pt>
              </c:numCache>
            </c:numRef>
          </c:val>
          <c:extLst>
            <c:ext xmlns:c16="http://schemas.microsoft.com/office/drawing/2014/chart" uri="{C3380CC4-5D6E-409C-BE32-E72D297353CC}">
              <c16:uniqueId val="{00000001-8A4C-4D47-9027-DECFDE5C5A63}"/>
            </c:ext>
          </c:extLst>
        </c:ser>
        <c:ser>
          <c:idx val="2"/>
          <c:order val="2"/>
          <c:tx>
            <c:strRef>
              <c:f>'souhrnná výkonnost 4'!$E$5</c:f>
              <c:strCache>
                <c:ptCount val="1"/>
                <c:pt idx="0">
                  <c:v>Other industrial branches (CZ-NACE B,D,E)</c:v>
                </c:pt>
              </c:strCache>
            </c:strRef>
          </c:tx>
          <c:spPr>
            <a:solidFill>
              <a:srgbClr val="BD1B21"/>
            </a:solidFill>
            <a:ln>
              <a:noFill/>
            </a:ln>
          </c:spPr>
          <c:invertIfNegative val="0"/>
          <c:val>
            <c:numRef>
              <c:f>'souhrnná výkonnost 4'!$E$26:$E$47</c:f>
              <c:numCache>
                <c:formatCode>#\ ##0.0</c:formatCode>
                <c:ptCount val="22"/>
                <c:pt idx="0">
                  <c:v>0.20896030591717252</c:v>
                </c:pt>
                <c:pt idx="1">
                  <c:v>7.6093021703349972E-2</c:v>
                </c:pt>
                <c:pt idx="2">
                  <c:v>0.11363564757057354</c:v>
                </c:pt>
                <c:pt idx="3">
                  <c:v>-2.1455946351557564E-2</c:v>
                </c:pt>
                <c:pt idx="4">
                  <c:v>-7.5503829252544286E-2</c:v>
                </c:pt>
                <c:pt idx="5">
                  <c:v>-2.1457218474246753E-4</c:v>
                </c:pt>
                <c:pt idx="6" formatCode="General">
                  <c:v>0.11499031724354705</c:v>
                </c:pt>
                <c:pt idx="7" formatCode="General">
                  <c:v>-5.8063785050184669E-2</c:v>
                </c:pt>
                <c:pt idx="8" formatCode="General">
                  <c:v>-0.20753253585572418</c:v>
                </c:pt>
                <c:pt idx="9" formatCode="General">
                  <c:v>-0.39259990964881164</c:v>
                </c:pt>
                <c:pt idx="10" formatCode="General">
                  <c:v>-0.67997190068436764</c:v>
                </c:pt>
                <c:pt idx="11" formatCode="General">
                  <c:v>-0.47224783032630302</c:v>
                </c:pt>
                <c:pt idx="12" formatCode="General">
                  <c:v>-0.35554388462432995</c:v>
                </c:pt>
                <c:pt idx="13" formatCode="General">
                  <c:v>-0.29945450798864215</c:v>
                </c:pt>
                <c:pt idx="14" formatCode="General">
                  <c:v>8.9909890553686811E-2</c:v>
                </c:pt>
                <c:pt idx="15" formatCode="General">
                  <c:v>0.4035077805243672</c:v>
                </c:pt>
                <c:pt idx="16" formatCode="General">
                  <c:v>0.12665493966344515</c:v>
                </c:pt>
                <c:pt idx="17" formatCode="General">
                  <c:v>0.22679919998026943</c:v>
                </c:pt>
                <c:pt idx="18" formatCode="General">
                  <c:v>-5.9676233810593282E-4</c:v>
                </c:pt>
                <c:pt idx="19" formatCode="General">
                  <c:v>-0.29674507348686713</c:v>
                </c:pt>
                <c:pt idx="20" formatCode="General">
                  <c:v>-2.2529413999941683E-2</c:v>
                </c:pt>
                <c:pt idx="21" formatCode="General">
                  <c:v>1.0127475680121512E-2</c:v>
                </c:pt>
              </c:numCache>
            </c:numRef>
          </c:val>
          <c:extLst>
            <c:ext xmlns:c16="http://schemas.microsoft.com/office/drawing/2014/chart" uri="{C3380CC4-5D6E-409C-BE32-E72D297353CC}">
              <c16:uniqueId val="{00000002-8A4C-4D47-9027-DECFDE5C5A63}"/>
            </c:ext>
          </c:extLst>
        </c:ser>
        <c:ser>
          <c:idx val="1"/>
          <c:order val="3"/>
          <c:tx>
            <c:strRef>
              <c:f>'souhrnná výkonnost 4'!$F$5</c:f>
              <c:strCache>
                <c:ptCount val="1"/>
                <c:pt idx="0">
                  <c:v>Construction</c:v>
                </c:pt>
              </c:strCache>
            </c:strRef>
          </c:tx>
          <c:spPr>
            <a:solidFill>
              <a:srgbClr val="E8AFB2"/>
            </a:solidFill>
            <a:ln>
              <a:noFill/>
            </a:ln>
          </c:spPr>
          <c:invertIfNegative val="0"/>
          <c:val>
            <c:numRef>
              <c:f>'souhrnná výkonnost 4'!$F$26:$F$47</c:f>
              <c:numCache>
                <c:formatCode>#\ ##0.0</c:formatCode>
                <c:ptCount val="22"/>
                <c:pt idx="0">
                  <c:v>-0.11971252971432786</c:v>
                </c:pt>
                <c:pt idx="1">
                  <c:v>0.12513537674207531</c:v>
                </c:pt>
                <c:pt idx="2">
                  <c:v>7.5639144896938418E-2</c:v>
                </c:pt>
                <c:pt idx="3">
                  <c:v>0.16915702258933862</c:v>
                </c:pt>
                <c:pt idx="4">
                  <c:v>0.12251647468928516</c:v>
                </c:pt>
                <c:pt idx="5">
                  <c:v>4.4465884869504127E-3</c:v>
                </c:pt>
                <c:pt idx="6">
                  <c:v>-1.6359859988612897E-2</c:v>
                </c:pt>
                <c:pt idx="7">
                  <c:v>-0.12156128779443694</c:v>
                </c:pt>
                <c:pt idx="8">
                  <c:v>-0.15734451118480142</c:v>
                </c:pt>
                <c:pt idx="9">
                  <c:v>-4.5532361519053807E-2</c:v>
                </c:pt>
                <c:pt idx="10">
                  <c:v>-9.8757103245276548E-2</c:v>
                </c:pt>
                <c:pt idx="11">
                  <c:v>-0.10368709258279594</c:v>
                </c:pt>
                <c:pt idx="12">
                  <c:v>-0.34540850854541605</c:v>
                </c:pt>
                <c:pt idx="13">
                  <c:v>-0.70801073477756982</c:v>
                </c:pt>
                <c:pt idx="14">
                  <c:v>-0.63145687961935903</c:v>
                </c:pt>
                <c:pt idx="15">
                  <c:v>-0.60465596754463591</c:v>
                </c:pt>
                <c:pt idx="16">
                  <c:v>-0.56214537489451888</c:v>
                </c:pt>
                <c:pt idx="17">
                  <c:v>-0.11692747497662</c:v>
                </c:pt>
                <c:pt idx="18">
                  <c:v>-2.3744641328194094E-2</c:v>
                </c:pt>
                <c:pt idx="19">
                  <c:v>6.3997671725291819E-2</c:v>
                </c:pt>
                <c:pt idx="20">
                  <c:v>0.44573641172078676</c:v>
                </c:pt>
                <c:pt idx="21">
                  <c:v>0.28577811672487452</c:v>
                </c:pt>
              </c:numCache>
            </c:numRef>
          </c:val>
          <c:extLst>
            <c:ext xmlns:c16="http://schemas.microsoft.com/office/drawing/2014/chart" uri="{C3380CC4-5D6E-409C-BE32-E72D297353CC}">
              <c16:uniqueId val="{00000003-8A4C-4D47-9027-DECFDE5C5A63}"/>
            </c:ext>
          </c:extLst>
        </c:ser>
        <c:ser>
          <c:idx val="0"/>
          <c:order val="4"/>
          <c:tx>
            <c:strRef>
              <c:f>'souhrnná výkonnost 4'!$G$5</c:f>
              <c:strCache>
                <c:ptCount val="1"/>
                <c:pt idx="0">
                  <c:v>Services (CZ-NACE G to U)</c:v>
                </c:pt>
              </c:strCache>
            </c:strRef>
          </c:tx>
          <c:spPr>
            <a:solidFill>
              <a:srgbClr val="7DBB2D"/>
            </a:solidFill>
            <a:ln>
              <a:noFill/>
            </a:ln>
          </c:spPr>
          <c:invertIfNegative val="0"/>
          <c:val>
            <c:numRef>
              <c:f>'souhrnná výkonnost 4'!$G$26:$G$47</c:f>
              <c:numCache>
                <c:formatCode>#\ ##0.0</c:formatCode>
                <c:ptCount val="22"/>
                <c:pt idx="0">
                  <c:v>2.2567846902239754</c:v>
                </c:pt>
                <c:pt idx="1">
                  <c:v>2.9186309791713847</c:v>
                </c:pt>
                <c:pt idx="2">
                  <c:v>2.9697548900570783</c:v>
                </c:pt>
                <c:pt idx="3">
                  <c:v>3.2819135077275536</c:v>
                </c:pt>
                <c:pt idx="4">
                  <c:v>3.1084812332896234</c:v>
                </c:pt>
                <c:pt idx="5">
                  <c:v>2.7563352038547313</c:v>
                </c:pt>
                <c:pt idx="6" formatCode="General">
                  <c:v>2.6924043929265338</c:v>
                </c:pt>
                <c:pt idx="7" formatCode="General">
                  <c:v>2.6316200146897142</c:v>
                </c:pt>
                <c:pt idx="8" formatCode="General">
                  <c:v>2.4919003926236449</c:v>
                </c:pt>
                <c:pt idx="9" formatCode="General">
                  <c:v>2.2093063938623403</c:v>
                </c:pt>
                <c:pt idx="10" formatCode="General">
                  <c:v>2.1316318226048492</c:v>
                </c:pt>
                <c:pt idx="11" formatCode="General">
                  <c:v>2.1602853151609636</c:v>
                </c:pt>
                <c:pt idx="12" formatCode="General">
                  <c:v>0.60230691969475514</c:v>
                </c:pt>
                <c:pt idx="13" formatCode="General">
                  <c:v>-4.2582563012779078</c:v>
                </c:pt>
                <c:pt idx="14" formatCode="General">
                  <c:v>-2.0902678469504163</c:v>
                </c:pt>
                <c:pt idx="15" formatCode="General">
                  <c:v>-2.3497385311278536</c:v>
                </c:pt>
                <c:pt idx="16" formatCode="General">
                  <c:v>-1.3712021908072103</c:v>
                </c:pt>
                <c:pt idx="17" formatCode="General">
                  <c:v>4.7512811953342755</c:v>
                </c:pt>
                <c:pt idx="18" formatCode="General">
                  <c:v>3.6631661011885024</c:v>
                </c:pt>
                <c:pt idx="19" formatCode="General">
                  <c:v>4.0145526999127279</c:v>
                </c:pt>
                <c:pt idx="20" formatCode="General">
                  <c:v>3.7758161768203506</c:v>
                </c:pt>
                <c:pt idx="21" formatCode="General">
                  <c:v>2.9502590674859008</c:v>
                </c:pt>
              </c:numCache>
            </c:numRef>
          </c:val>
          <c:extLst>
            <c:ext xmlns:c16="http://schemas.microsoft.com/office/drawing/2014/chart" uri="{C3380CC4-5D6E-409C-BE32-E72D297353CC}">
              <c16:uniqueId val="{00000004-8A4C-4D47-9027-DECFDE5C5A63}"/>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4'!$H$26:$H$47</c:f>
              <c:numCache>
                <c:formatCode>#\ ##0.0</c:formatCode>
                <c:ptCount val="22"/>
                <c:pt idx="0">
                  <c:v>3.7354703358596737</c:v>
                </c:pt>
                <c:pt idx="1">
                  <c:v>6.0635693129024588</c:v>
                </c:pt>
                <c:pt idx="2">
                  <c:v>6.0551704530576131</c:v>
                </c:pt>
                <c:pt idx="3">
                  <c:v>5.7157111017319409</c:v>
                </c:pt>
                <c:pt idx="4">
                  <c:v>4.7985438750560263</c:v>
                </c:pt>
                <c:pt idx="5">
                  <c:v>2.9808255360502329</c:v>
                </c:pt>
                <c:pt idx="6">
                  <c:v>2.9311807438003399</c:v>
                </c:pt>
                <c:pt idx="7">
                  <c:v>2.9093096332303503</c:v>
                </c:pt>
                <c:pt idx="8">
                  <c:v>2.9841391815935907</c:v>
                </c:pt>
                <c:pt idx="9">
                  <c:v>3.1966587652537299</c:v>
                </c:pt>
                <c:pt idx="10">
                  <c:v>2.8977411942901767</c:v>
                </c:pt>
                <c:pt idx="11">
                  <c:v>2.6699223236542764</c:v>
                </c:pt>
                <c:pt idx="12">
                  <c:v>-1.0965543495417904</c:v>
                </c:pt>
                <c:pt idx="13">
                  <c:v>-10.953400191597822</c:v>
                </c:pt>
                <c:pt idx="14">
                  <c:v>-4.8704580385287244</c:v>
                </c:pt>
                <c:pt idx="15">
                  <c:v>-4.1854633683910549</c:v>
                </c:pt>
                <c:pt idx="16">
                  <c:v>-1.8438705492779803</c:v>
                </c:pt>
                <c:pt idx="17">
                  <c:v>9.3597124602441681</c:v>
                </c:pt>
                <c:pt idx="18">
                  <c:v>3.415690805020219</c:v>
                </c:pt>
                <c:pt idx="19">
                  <c:v>3.0229281746453722</c:v>
                </c:pt>
                <c:pt idx="20">
                  <c:v>3.9972524486681777</c:v>
                </c:pt>
                <c:pt idx="21">
                  <c:v>3.4039215956054534</c:v>
                </c:pt>
              </c:numCache>
            </c:numRef>
          </c:val>
          <c:smooth val="0"/>
          <c:extLst>
            <c:ext xmlns:c16="http://schemas.microsoft.com/office/drawing/2014/chart" uri="{C3380CC4-5D6E-409C-BE32-E72D297353CC}">
              <c16:uniqueId val="{00000005-8A4C-4D47-9027-DECFDE5C5A63}"/>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12"/>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4"/>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CEF0-6EDF-48A0-BA3A-BB15D59E365A}">
  <ds:schemaRefs>
    <ds:schemaRef ds:uri="http://schemas.openxmlformats.org/officeDocument/2006/bibliography"/>
  </ds:schemaRefs>
</ds:datastoreItem>
</file>

<file path=customXml/itemProps2.xml><?xml version="1.0" encoding="utf-8"?>
<ds:datastoreItem xmlns:ds="http://schemas.openxmlformats.org/officeDocument/2006/customXml" ds:itemID="{3D5165E8-D676-4179-A933-6F8142CB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4</Pages>
  <Words>1576</Words>
  <Characters>9304</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10859</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3</cp:revision>
  <cp:lastPrinted>2019-04-08T10:52:00Z</cp:lastPrinted>
  <dcterms:created xsi:type="dcterms:W3CDTF">2022-10-14T10:28:00Z</dcterms:created>
  <dcterms:modified xsi:type="dcterms:W3CDTF">2022-10-14T10:36:00Z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2022-09-16T14:37:11Z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c768a867-054a-4443-ae84-aa18391251d8</vt:lpwstr>
  </property>
  <property fmtid="{D5CDD505-2E9C-101B-9397-08002B2CF9AE}" pid="8" name="MSIP_Label_29db9e61-aac5-4f6e-805d-ceb8cb9983a1_ContentBits">
    <vt:lpwstr>0</vt:lpwstr>
  </property>
</Properties>
</file>