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849D" w14:textId="77777777" w:rsidR="00A02E8B" w:rsidRPr="00134FFF" w:rsidRDefault="00A02E8B" w:rsidP="00A02E8B">
      <w:pPr>
        <w:pStyle w:val="Nadpis11"/>
        <w:rPr>
          <w:sz w:val="2"/>
          <w:szCs w:val="2"/>
        </w:rPr>
      </w:pPr>
      <w:bookmarkStart w:id="0" w:name="_Toc90395912"/>
      <w:bookmarkStart w:id="1" w:name="_Toc98245443"/>
      <w:bookmarkStart w:id="2" w:name="_Toc90395913"/>
      <w:bookmarkStart w:id="3" w:name="_Toc50712130"/>
      <w:bookmarkStart w:id="4" w:name="_Toc58605377"/>
      <w:bookmarkStart w:id="5" w:name="_Toc26865023"/>
      <w:bookmarkStart w:id="6" w:name="_Toc74246554"/>
      <w:bookmarkStart w:id="7" w:name="_Toc66719933"/>
      <w:bookmarkStart w:id="8" w:name="_Toc50712132"/>
      <w:r>
        <w:t>4</w:t>
      </w:r>
      <w:bookmarkStart w:id="9" w:name="_Toc511215218"/>
      <w:bookmarkStart w:id="10" w:name="_Toc19090679"/>
      <w:bookmarkStart w:id="11" w:name="_Toc74643856"/>
      <w:bookmarkStart w:id="12" w:name="_Toc42852411"/>
      <w:bookmarkStart w:id="13" w:name="_Toc74643857"/>
      <w:bookmarkEnd w:id="9"/>
      <w:bookmarkEnd w:id="10"/>
      <w:r w:rsidRPr="009110F7">
        <w:t>.</w:t>
      </w:r>
      <w:r>
        <w:t> </w:t>
      </w:r>
      <w:r w:rsidRPr="009110F7">
        <w:t>Vnější vztahy</w:t>
      </w:r>
      <w:bookmarkEnd w:id="0"/>
      <w:bookmarkEnd w:id="1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0"/>
        <w:gridCol w:w="223"/>
        <w:gridCol w:w="7656"/>
      </w:tblGrid>
      <w:tr w:rsidR="00A02E8B" w:rsidRPr="009110F7" w14:paraId="165398AE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59BB3315" w14:textId="77777777" w:rsidR="00A02E8B" w:rsidRDefault="00A02E8B" w:rsidP="008E039E">
            <w:pPr>
              <w:pStyle w:val="Marginlie"/>
            </w:pPr>
            <w:r>
              <w:t>K výraznému nárůstu vývozu v roce 2021 přispěla zejména první polovina roku a nízká srovnávací základna.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DA3815F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4A70410" w14:textId="77777777" w:rsidR="00A02E8B" w:rsidRPr="00AF6F98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 roce 2021 dosáhl vývoz zboží hodnoty 3 936,4 mld. korun a meziročně tak byl vyšší o 453,3 mld. (13,0 %). Tento mimořádně vysoký přírůstek (nejvyšší od roku 2014) byl ovlivněn i srovnáním s rokem 2020 (pokles vývozu o 5,7 %), kdy byl zahraniční obchod silně ovlivněn přerušením výroby ve velkých průmyslových podnicích v ČR i Evropě, zejména v automobilkách. K silnému přírůstku nejvíce přispěl vývoj ve 2. čtvrtletí, na kterém se projevila nízká srovnávací základna stejného období roku 2020 (meziročně byl vývoz vyšší o 40,8 %). Export zboží ale meziročně rostl ve všech čtvrtletích. V samotném 4. čtvrtletí dosáhla hodnota vývozu 1 030,0 mld. korun. To představuje meziroční nárůst o 27,5 mld. korun (2,7 %). Poměrně mírná dynamika byla kromě problémů s dodávkami komponent v průmyslu ovlivněna i srovnáním s velmi silným 4. čtvrtletím 2020, kdy vrcholila snaha vývozců dohnat ztráty z jara stejného roku.</w:t>
            </w:r>
          </w:p>
        </w:tc>
      </w:tr>
      <w:tr w:rsidR="00A02E8B" w:rsidRPr="009110F7" w14:paraId="26234E33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20150DE6" w14:textId="77777777" w:rsidR="00A02E8B" w:rsidRDefault="00A02E8B" w:rsidP="008E039E">
            <w:pPr>
              <w:pStyle w:val="Marginlie"/>
            </w:pPr>
            <w:r>
              <w:t xml:space="preserve">Loni silněji rostl export </w:t>
            </w:r>
            <w:r>
              <w:br/>
              <w:t>do Evropské unie než mimo ni.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2C2FD5B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6D7E6CDD" w14:textId="77777777" w:rsidR="00A02E8B" w:rsidRPr="00AF6F98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Z teritoriálního pohledu loni k nárůstu exportu přispíval z většiny vývoz do Evropské unie, který byl meziročně vyšší o 398,4 mld. korun (14,4 %). Export mimo EU byl vyšší o 54,3 mld. korun (7,7 %). Meziroční dynamika vývozu do EU byla ve všech čtvrtletích roku 2021 vyšší než v případě exportu mimo EU. Rostl vývoz do většiny jednotlivých zemí, což bylo dáno i nízkou srovnávací základnou. Nejvíce v roce 2021 vzrostl export do Německa (+125,9 mld. korun, 11,5 %), na Slovensko (+57,5 mld., 17,7 %) a do Polska (+51,4 mld., 22,5 %). Výrazné přírůstky ale zaznamenal i vývoz do Rakouska (+36,4 mld. korun, 25,6 %), Itálie (+23,5 mld., 18,7 %) a Francie (+18,3 mld., 10,9 %). Jen u několika zemí byl zaznamenán pokles vývozu. Nejvýrazněji loni klesl export do Ruska (–4,6 mld. korun, </w:t>
            </w:r>
            <w:r>
              <w:rPr>
                <w:spacing w:val="-4"/>
              </w:rPr>
              <w:br/>
              <w:t>–5,5 %), Kazachstánu (–3,6 mld., –46,8 %), Indonésie (–2,2 mld., –52,5 %) a do Turecka (–2,1 mld., –4,9 %).</w:t>
            </w:r>
          </w:p>
        </w:tc>
      </w:tr>
      <w:tr w:rsidR="00A02E8B" w:rsidRPr="009110F7" w14:paraId="06FBD171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337BD45E" w14:textId="77777777" w:rsidR="00A02E8B" w:rsidRDefault="00A02E8B" w:rsidP="008E039E">
            <w:pPr>
              <w:pStyle w:val="Marginlie"/>
            </w:pPr>
            <w:r>
              <w:t>Ve 4. čtvrtletí export mimo EU meziročně klesal.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308EEBD2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5F9B0AD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 samotném 4. čtvrtletí meziročně rostl vývoz do EU (+30,0 mld. korun, 3,7 %), zatímco export mimo EU podruhé v řadě klesl (–2,8 mld., –1,4 %). Nejvíce se zvýšil vývoz na Slovensko (+18,7 mld. korun, 20,0 %), do Rakouska (+8,3 mld., 21,5 %) a Polska (+7,7 mld., 11,7 %). Poměrně slabý byl meziroční přírůstek vývozu do Německa (+4,0 mld. korun, 1,3 %). Růst exportu k našim nejbližším sousedům (hlavně do Německa a na Slovensko) byl výrazně podpořen prudkým zvýšením cen elektřiny. Ve 4. čtvrtletí nejvíce meziročně klesl vývoz do Francie (–7,2 mld. korun, –13,7 %), Ruska (–6,1 mld., –25,9 %) a Španělska (–4,3 mld., –15,4 %).</w:t>
            </w:r>
          </w:p>
        </w:tc>
      </w:tr>
      <w:tr w:rsidR="00A02E8B" w:rsidRPr="009110F7" w14:paraId="06A19B1F" w14:textId="77777777" w:rsidTr="008E039E">
        <w:trPr>
          <w:trHeight w:val="170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059E8172" w14:textId="77777777" w:rsidR="00A02E8B" w:rsidRDefault="00A02E8B" w:rsidP="008E039E">
            <w:pPr>
              <w:pStyle w:val="Marginlie"/>
            </w:pPr>
            <w:r>
              <w:t>Vývoz naprosté většiny druhů zboží loni rostl.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CD89808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C4D256E" w14:textId="77777777" w:rsidR="00A02E8B" w:rsidRPr="00AF6F98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K celkovému navýšení exportu zboží v roce 2021 nejvíce přispívala elektrická zařízení (+51,1 mld. korun, 17,0 %), následovaná chemickými látkami a přípravky (+48,4 mld., 29,5 %), motorovými vozidly (+47,4 mld., 5,2 %) a základními kovy (+46,7 mld., 37,3 %). U chemikálií a kovů k růstu silně přispělo zvýšení cen. To bylo i důvodem rekordního přírůstku vývozu elektřiny, plynu, páry a klimatizovaného vzduchu (+39,7 mld. korun, 191,6 %). Po propadu v roce 2020 se zotavil a výrazně rostl také export strojů a zařízení (+39,3 mld. korun, 10,3 %), kovodělných výrobků (+31,6 mld., 14,6 %) a pryžových a plastových výrobků (+24,3 mld., 13,3 %). Mimořádně silné navýšení vývozu bylo loni zaznamenáno u produktů souvisejících s odpadem (+18,5 mld. korun, 66,2 %)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>, u koksu a rafinovaných ropných výrobků (+17,3 mld., 67,7 %) a dřeva a dřevěných výrobků (+15,8 mld., 38,3 %). Solidně se zvýšil i export potravinářských výrobků (+9,7 mld., 8,1 %), počítačů, elektronických a optických přístrojů (+8,7 mld. korun, 2,3 %), ostatních nekovových minerálních výrobků (+8,6 mld., 12,2 %), ostatních výrobků zpracovatelského průmyslu (+7,8 mld., 9,2 %), oděvů (+7,2 mld., 21,1 %) nebo papíru a výrobků z něj (+6,5 mld., 10,4 %). Meziročně nižší byl loni jen vývoz u některých relativně menších položek, nejvíce klesl export ropy a zemního plynu (–2,9 mld. korun, –85,3 %) a filmů, videozáznamů a zvukových nahrávek (–1,5 mld., –14,4 %).</w:t>
            </w:r>
          </w:p>
        </w:tc>
      </w:tr>
      <w:tr w:rsidR="00A02E8B" w:rsidRPr="009110F7" w14:paraId="0139AA71" w14:textId="77777777" w:rsidTr="008E039E">
        <w:trPr>
          <w:trHeight w:val="170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00C8A38C" w14:textId="77777777" w:rsidR="00A02E8B" w:rsidRDefault="00A02E8B" w:rsidP="008E039E">
            <w:pPr>
              <w:pStyle w:val="Marginlie"/>
            </w:pPr>
            <w:r>
              <w:lastRenderedPageBreak/>
              <w:t>Ve 4. čtvrtletí se hluboce propadal export motorových vozidel.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C36D693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4ED29F64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Velké zpomalení dynamiky exportu, ke kterému došlo ve druhé polovině roku 2021, lze z většiny spojit s problémy ve výrobě motorových vozidel. V samotném 4. čtvrtletí se export motorových vozidel meziročně snížil o 50,0 mld. korun (–17,4 %). Výrazný pokles vykázali pak jen vývozci počítačů, elektronických a optických přístrojů (–13,7 mld. korun, –11,8 %). K výslednému celkovému meziročnímu přírůstku hodnoty vývozu zboží ve 4. čtvrtletí klíčově přispěla elektřina, plyn, pára a klimatizovaný vzduch (+27,4 mld. korun, 450,9 %), ale i většina ostatních odvětví si alespoň mírný růst udržela. Meziročně vyšší byl v závěru roku export základních kovů (+13,1 mld. korun, 41,0 %), chemických látek a přípravků (+11,2 mld., 24,1 %), koksu a rafinovaných ropných výrobků (+6,1 mld., 89,7 %), kovodělných výrobků (+5,2 mld., 8,8 %), produktů souvisejících s odpadem (+3,8 mld., 47,4 %), elektrických zařízení (+3,2 mld., 3,7 %), potravinářských výrobků (+3,2 mld., 10,2 %) nebo dřeva a dřevěných výrobků (+3,1 mld., 28,3 %).</w:t>
            </w:r>
          </w:p>
        </w:tc>
      </w:tr>
      <w:tr w:rsidR="00A02E8B" w:rsidRPr="009110F7" w14:paraId="47BFA65E" w14:textId="77777777" w:rsidTr="008E039E">
        <w:trPr>
          <w:trHeight w:val="150"/>
        </w:trPr>
        <w:tc>
          <w:tcPr>
            <w:tcW w:w="1760" w:type="dxa"/>
            <w:vMerge w:val="restart"/>
            <w:shd w:val="clear" w:color="auto" w:fill="auto"/>
            <w:tcMar>
              <w:left w:w="0" w:type="dxa"/>
            </w:tcMar>
          </w:tcPr>
          <w:p w14:paraId="1C4C6A73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3A9C7680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F7ADEBC" w14:textId="482D6F67" w:rsidR="00A02E8B" w:rsidRPr="00804097" w:rsidRDefault="00A02E8B" w:rsidP="00A02E8B">
            <w:pPr>
              <w:spacing w:after="0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Graf č. 9  </w:t>
            </w:r>
            <w:r w:rsidRPr="00804097">
              <w:rPr>
                <w:b/>
                <w:bCs/>
                <w:spacing w:val="-4"/>
              </w:rPr>
              <w:t>Vývoz a</w:t>
            </w:r>
            <w:r>
              <w:rPr>
                <w:b/>
                <w:bCs/>
                <w:spacing w:val="-4"/>
              </w:rPr>
              <w:t> </w:t>
            </w:r>
            <w:r w:rsidRPr="00804097">
              <w:rPr>
                <w:b/>
                <w:bCs/>
                <w:spacing w:val="-4"/>
              </w:rPr>
              <w:t xml:space="preserve">dovoz zboží </w:t>
            </w:r>
            <w:r w:rsidRPr="00804097">
              <w:rPr>
                <w:spacing w:val="-4"/>
              </w:rPr>
              <w:t>(meziročn</w:t>
            </w:r>
            <w:r>
              <w:rPr>
                <w:spacing w:val="-4"/>
              </w:rPr>
              <w:t>í změna,</w:t>
            </w:r>
            <w:r w:rsidRPr="00804097">
              <w:rPr>
                <w:spacing w:val="-4"/>
              </w:rPr>
              <w:t xml:space="preserve"> v</w:t>
            </w:r>
            <w:r>
              <w:rPr>
                <w:spacing w:val="-4"/>
              </w:rPr>
              <w:t> %</w:t>
            </w:r>
            <w:r w:rsidRPr="00804097">
              <w:rPr>
                <w:spacing w:val="-4"/>
              </w:rPr>
              <w:t>)</w:t>
            </w:r>
            <w:r w:rsidRPr="00804097">
              <w:rPr>
                <w:b/>
                <w:bCs/>
                <w:spacing w:val="-4"/>
              </w:rPr>
              <w:t xml:space="preserve"> a</w:t>
            </w:r>
            <w:r>
              <w:rPr>
                <w:b/>
                <w:bCs/>
                <w:spacing w:val="-4"/>
              </w:rPr>
              <w:t> </w:t>
            </w:r>
            <w:r w:rsidRPr="00804097">
              <w:rPr>
                <w:b/>
                <w:bCs/>
                <w:spacing w:val="-4"/>
              </w:rPr>
              <w:t xml:space="preserve">bilance zahraničního obchodu se zbožím </w:t>
            </w:r>
            <w:r w:rsidRPr="00804097">
              <w:rPr>
                <w:spacing w:val="-4"/>
              </w:rPr>
              <w:t>(v</w:t>
            </w:r>
            <w:r>
              <w:rPr>
                <w:spacing w:val="-4"/>
              </w:rPr>
              <w:t> mld</w:t>
            </w:r>
            <w:r w:rsidRPr="00804097">
              <w:rPr>
                <w:spacing w:val="-4"/>
              </w:rPr>
              <w:t>. korun, pravá osa)</w:t>
            </w:r>
          </w:p>
        </w:tc>
      </w:tr>
      <w:tr w:rsidR="00A02E8B" w:rsidRPr="009110F7" w14:paraId="319124DC" w14:textId="77777777" w:rsidTr="008E039E">
        <w:tblPrEx>
          <w:tblCellMar>
            <w:left w:w="70" w:type="dxa"/>
            <w:right w:w="70" w:type="dxa"/>
          </w:tblCellMar>
        </w:tblPrEx>
        <w:trPr>
          <w:trHeight w:val="150"/>
        </w:trPr>
        <w:tc>
          <w:tcPr>
            <w:tcW w:w="1760" w:type="dxa"/>
            <w:vMerge/>
            <w:shd w:val="clear" w:color="auto" w:fill="auto"/>
          </w:tcPr>
          <w:p w14:paraId="1E5E3659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1F57B1C7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024BD0AD" w14:textId="77777777" w:rsidR="00A02E8B" w:rsidRDefault="00A02E8B" w:rsidP="008E039E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0B83C1D" wp14:editId="36E6CA26">
                  <wp:extent cx="4770000" cy="3540625"/>
                  <wp:effectExtent l="0" t="0" r="0" b="3175"/>
                  <wp:docPr id="5" name="Graf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34A376-5955-451A-B8E8-536A257FF3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02E8B" w:rsidRPr="009110F7" w14:paraId="467E6C70" w14:textId="77777777" w:rsidTr="008E039E">
        <w:trPr>
          <w:trHeight w:val="150"/>
        </w:trPr>
        <w:tc>
          <w:tcPr>
            <w:tcW w:w="1760" w:type="dxa"/>
            <w:vMerge/>
            <w:shd w:val="clear" w:color="auto" w:fill="auto"/>
            <w:tcMar>
              <w:left w:w="0" w:type="dxa"/>
            </w:tcMar>
          </w:tcPr>
          <w:p w14:paraId="283FE59D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365892C6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F038E7E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A02E8B" w:rsidRPr="009110F7" w14:paraId="02A4992E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7B12D77B" w14:textId="77777777" w:rsidR="00A02E8B" w:rsidRDefault="00A02E8B" w:rsidP="008E039E">
            <w:pPr>
              <w:pStyle w:val="Marginlie"/>
            </w:pPr>
            <w:r>
              <w:t>Dovoz loni v průběhu celého roku velmi silně rostl.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CE17EE0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1CD0E27" w14:textId="77777777" w:rsidR="00A02E8B" w:rsidRPr="00AF6F98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Dovoz zboží v roce 2021 dosáhl hodnoty 3 940,3 mld. korun a meziročně se zvýšil o 637,1 mld. (19,3 %). K prudkému nárůstu importu přispělo srovnání se slabým rokem 2020, ale velký vliv měl i vývoj cen mnoha surovin. Navýšení cen ropy a zemního plynu, základních kovů i dalších materiálů se promítalo do velmi silné dynamiky importu po celý rok. V samotném 4. čtvrtletí činila hodnota dovozu 1 057,4 mld. korun a meziročně byla vyšší o 133,9 mld. (14,5 %). Na vývoji dovozu z teritoriálního pohledu se odrážel výrazný růst cen surovin, které Česko dováží převážně ze zemí mimo EU. Import z Evropské unie se tak loni celkově zvýšil o 366,4 mld. korun (17,3 %), zatímco dovoz z mimounijních zemí byl vyšší o 265,2 mld. (22,7 %). Nejvíce loni vzrostl dovoz z Německa (+117,1 mld. korun, 14,3 %), Ruska (+69,8 mld., 103,0 %), Polska (+60,8 mld., 21,2 %) a Číny (+60,2 mld., 14,6 %). Silný byl také přírůstek dovozu ze Slovenska (+41,5 mld., 25,8 %), z Itálie (+29,0 mld., 19,5 %), Japonska (+23,4 mld., 38,6 %) a Rakouska (+23,1 mld., 23,7 %).  V samotném 4. čtvrtletí meziroční růst dovozu ze zemí mimo EU (+75,7 mld. korun, 23,0 %) výrazně převyšoval přírůstek importu z Unie (+56,9 mld., 9,7 %). Dál sílila dynamika dovozu z Ruska (+26,4 mld. korun, 136,6 %) i Číny (+22,2 mld., 18,5 %). Výrazný byl přírůstek u Polska (+12,9 mld. korun, 16,2 %), Německa (+10,9 mld., 4,8 %), Slovenska (+9,6 mld., </w:t>
            </w:r>
            <w:r>
              <w:rPr>
                <w:spacing w:val="-4"/>
              </w:rPr>
              <w:lastRenderedPageBreak/>
              <w:t xml:space="preserve">20,9 %), Itálie (+6,3 mld., 15,6 %) nebo Rakouska (+6,2 mld., 23,6 %). Nejvýrazněji ve 4. čtvrtletí meziročně klesal dovoz z Jižní Koreje (–2,6 mld. korun, –11,2 %) a Maďarska </w:t>
            </w:r>
            <w:r>
              <w:rPr>
                <w:spacing w:val="-4"/>
              </w:rPr>
              <w:br/>
              <w:t>(–2,1 mld., –7,4 %).</w:t>
            </w:r>
          </w:p>
        </w:tc>
      </w:tr>
      <w:tr w:rsidR="00A02E8B" w:rsidRPr="009110F7" w14:paraId="1B5BF0E1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7F953739" w14:textId="77777777" w:rsidR="00A02E8B" w:rsidRDefault="00A02E8B" w:rsidP="008E039E">
            <w:pPr>
              <w:pStyle w:val="Marginlie"/>
            </w:pPr>
            <w:r>
              <w:lastRenderedPageBreak/>
              <w:t>Růst dovozu loni ovlivňovalo hlavně navýšení cen některých surovin.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A748AC9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3FCFBFE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 loňském roce byl zaznamenán prudký růst dovozu u řady artiklů. Nejvýraznější přírůstek vykázal import základních kovů (+103,1 mld. korun, 45,6 %), ropy a zemního plynu (+80,5 mld., 109,0 %) a chemických látek a přípravků (+73,9 mld., 27,3 %). Velmi silné bylo také navýšení dovozu elektrických zařízení (+70,8 mld. korun, 25,1 %), strojů a zařízení (+44,0 mld., 13,8 %) a motorových vozidel (41,8 mld., 8,6 %). Výrazný byl dále růst importu pryžových a plastových výrobků (+26,1 mld. korun, 14,8 %), koksu a rafinovaných ropných výrobků (+23,5 mld., 51,3 %), počítačů, elektronických a optických přístrojů (+22,4 mld., 5,3 %), kovodělných výrobků (+20,1 mld., 12,5 %), základních farmaceutických výrobků (+17,6 mld., 15,5 %), ostatních výrobků zpracovatelského průmyslu (+15,3 mld., 20,7 %), elektřiny, plynu, páry a klimatizovaného vzduchu (+12,7 mld., 107,8 %), potravinářských výrobků (+10,6 mld., 6,6 %) nebo rud (+10,0 mld., 70,1 %). K výraznějšímu poklesu došlo jen u dovozu textilií (–5,3 mld. korun, –9,1 %) a filmů, videozáznamů a zvukových nahrávek (–1,0 mld., –18,6 %).</w:t>
            </w:r>
          </w:p>
        </w:tc>
      </w:tr>
      <w:tr w:rsidR="00A02E8B" w:rsidRPr="009110F7" w14:paraId="075BB53A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3134A4A8" w14:textId="77777777" w:rsidR="00A02E8B" w:rsidRDefault="00A02E8B" w:rsidP="008E039E">
            <w:pPr>
              <w:pStyle w:val="Marginlie"/>
            </w:pPr>
            <w:r>
              <w:t>Ve 4. čtvrtletí silně meziročně klesal jen dovoz motorových vozidel.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B9D8E5B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66B2447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 samotném 4. čtvrtletí 2021 silně meziročně klesl pouze dovoz motorových vozidel </w:t>
            </w:r>
            <w:r>
              <w:rPr>
                <w:spacing w:val="-4"/>
              </w:rPr>
              <w:br/>
              <w:t>(–25,0 mld. korun, –16,4 %), dovoz ostatního zboží vesměs rostl. Nejvíce se opět zvyšovala hodnota dovozu surovin – ropy a zemního plynu (+35,6 mld. korun, 184,6 %) a základních kovů (+28,4 mld., 46,7 %). S navýšením cen lze spojit i nárůst dovozu chemických látek a přípravků (+15,9 mld., 21,3 %), koksu a rafinovaných ropných výrobků (+10,3 mld., 98,0 %) a elektřiny, plynu, páry a klimatizovaného vzduchu (+6,3 mld., 187,4 %). Vyšší byl také import strojů a zařízení (+7,2 mld., 8,4 %), elektrických zařízení (+6,9 mld. korun, 8,3 %), ostatních výrobků zpracovatelského průmyslu (+5,6 mld., 26,8 %) nebo potravinářských výrobků (+5,7 mld., 13,7 %).</w:t>
            </w:r>
          </w:p>
        </w:tc>
      </w:tr>
      <w:tr w:rsidR="00A02E8B" w:rsidRPr="009110F7" w14:paraId="01F69EA3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6444283E" w14:textId="77777777" w:rsidR="00A02E8B" w:rsidRDefault="00A02E8B" w:rsidP="008E039E">
            <w:pPr>
              <w:pStyle w:val="Marginlie"/>
            </w:pPr>
            <w:r>
              <w:t xml:space="preserve">Poprvé od roku 2010 skončila bilance zahraničního obchodu </w:t>
            </w:r>
            <w:r>
              <w:br/>
              <w:t>se zbožím v deficitu.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5C8B8E1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206947DD" w14:textId="550980C7" w:rsidR="00A02E8B" w:rsidRPr="00AF6F98" w:rsidRDefault="00A02E8B" w:rsidP="0093701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Bilance zahraničního obchodu se zbožím v roce 2021 spadla do deficitu 3,9 mld. korun. Jde o první schodek od roku 2010. Bilance se tak meziročně propadla o 183,8 mld. korun. Ke zhoršení přispěl zejména vývoj ve druhé polovině roku, kdy se plně projevily problémy s dodávkami komponent ve výrobě motorových vozidel, ke kterým se přidalo i zhoršení bilance v důsledku růstu cen surovin. Loňský propad bilance zahraničního obchodu se zbožím lze plně připsat na vrub obchodu se zeměmi mimo EU (prohloubení deficitu </w:t>
            </w:r>
            <w:r>
              <w:rPr>
                <w:spacing w:val="-4"/>
              </w:rPr>
              <w:br/>
              <w:t>o –210,9 mld. korun). Naopak přebytek obchodu se zeměmi EU se zlepšil o 32,0 mld. korun. Nejvíce loni ve směru zhoršení bilance působil obchod s Ruskem (–74,4 mld. korun), Čínou (–58,2 mld.), Japonskem (–21,9 mld.), Tureckem (–14,0 mld.)</w:t>
            </w:r>
            <w:r w:rsidR="00937017">
              <w:rPr>
                <w:spacing w:val="-4"/>
              </w:rPr>
              <w:t>, Ukrajinou (-13,5 mld.), Kazachstánem (-13,0 mld.)</w:t>
            </w:r>
            <w:r>
              <w:rPr>
                <w:spacing w:val="-4"/>
              </w:rPr>
              <w:t xml:space="preserve"> a Polskem (–9,3 mld.). Zhoršila se i bilance obchodu s Jižní Koreou (–7,5 mld. korun), Nizozemskem (–6,2 mld.), Itálií (–5,5 mld.), se Spojenými státy (–3,0 mld.), Rumunskem (–2,7 mld.) nebo Belgií </w:t>
            </w:r>
            <w:r>
              <w:rPr>
                <w:spacing w:val="-4"/>
              </w:rPr>
              <w:br/>
              <w:t>(–2,5</w:t>
            </w:r>
            <w:r>
              <w:t> mld</w:t>
            </w:r>
            <w:r>
              <w:rPr>
                <w:spacing w:val="-4"/>
              </w:rPr>
              <w:t>.). Naopak významně ve směru zlepšení bilance působil obchod se Slovenskem (+16,0 mld. korun), Rakouskem (+13,4 mld.) a Německem (+8,8 mld.) a zlepšila se i bilance se Švédskem (+4,8 mld.), Francií (+3,6 mld.), Španělskem (+3,0 mld.) nebo Velkou Británií (+2,4 mld.).</w:t>
            </w:r>
          </w:p>
        </w:tc>
      </w:tr>
      <w:tr w:rsidR="00A02E8B" w:rsidRPr="009110F7" w14:paraId="5EC71F5D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6D309347" w14:textId="77777777" w:rsidR="00A02E8B" w:rsidRDefault="00A02E8B" w:rsidP="008E039E">
            <w:pPr>
              <w:pStyle w:val="Marginlie"/>
            </w:pPr>
            <w:r>
              <w:t xml:space="preserve">Deficit bilance ve 4. čtvrtletí byl nejhorší </w:t>
            </w:r>
            <w:r>
              <w:br/>
              <w:t>od roku 2008.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B8EF03F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5A38F8F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Ve 4. čtvrtletí schodek bilance činil 27,4 mld. korun. Šlo o nejhorší výsledek od roku 2008 a první deficit v tomto období od roku 2010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>. Oproti 4. čtvrtletí 2020 se saldo zhoršilo o 106,4 mld. korun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 xml:space="preserve">. Ve směru deficitu působil obchod s většinou sledovaných zemí. Přebytek obchodu s EU se meziročně propadl o 26,9 mld. korun a deficit se zeměmi mimo EU se prohloubil o 78,5 mld. Nejvíce ve směru deficitu působil obchod s Ruskem </w:t>
            </w:r>
            <w:r>
              <w:rPr>
                <w:spacing w:val="-4"/>
              </w:rPr>
              <w:br/>
              <w:t xml:space="preserve">(–32,5 mld. korun) a Čínou (–21,8 mld.). Výrazně horší byla i bilance zahraničního obchodu s Francií (–10,2 mld. korun), Německem (–6,8 mld.), Polskem (–5,2 mld.), Itálií (–5,0 mld.), </w:t>
            </w:r>
            <w:r>
              <w:rPr>
                <w:spacing w:val="-4"/>
              </w:rPr>
              <w:lastRenderedPageBreak/>
              <w:t>Tureckem (–4,0 mld.) nebo Španělskem (–4,0 mld.). Naopak se zlepšilo saldo obchodu se Slovenskem (+9,2 mld. korun), Rakouskem (+2,1 mld.), Jižní Koreou (+1,7 mld.) nebo Maďarskem (+0,9 mld.).</w:t>
            </w:r>
          </w:p>
        </w:tc>
      </w:tr>
      <w:tr w:rsidR="00A02E8B" w:rsidRPr="009110F7" w14:paraId="5DEEAAB5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180B1864" w14:textId="77777777" w:rsidR="00A02E8B" w:rsidRDefault="00A02E8B" w:rsidP="008E039E">
            <w:pPr>
              <w:pStyle w:val="Marginlie"/>
            </w:pPr>
            <w:r>
              <w:lastRenderedPageBreak/>
              <w:t>K propadu bilance loni nejvíce přispíval obchod s ropou a zemním plynem.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CB3737D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B628756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Z pohledu zbožové struktury měl na loňském rekordním propadu bilance největší podíl obchod s ropou a zemním plynem (–83,4 mld. korun), základními kovy (–56,4 mld.) a chemickými látkami a přípravky (–25,5 mld.). Silně se loni zhoršila také bilance obchodu s elektrickými zařízeními (–19,7 mld. korun), základními farmaceutickými výrobky </w:t>
            </w:r>
            <w:r>
              <w:rPr>
                <w:spacing w:val="-4"/>
              </w:rPr>
              <w:br/>
              <w:t xml:space="preserve">(–13,8 mld.), počítači, elektronickými a optickými přístroji (–13,7 mld.) a rudami </w:t>
            </w:r>
            <w:r>
              <w:rPr>
                <w:spacing w:val="-4"/>
              </w:rPr>
              <w:br/>
              <w:t>(–10,0 mld.). Horší bylo také saldo obchodu s ostatními výrobky zpracovatelského průmyslu (–7,5 mld. korun), koksem a rafinovanými ropnými výrobky (–6,2 mld.), ostatními dopravními prostředky (–5,0 mld.) nebo stroji a zařízeními (–4,7 mld.). Ve směru zlepšení bilance naopak silně působil obchod s elektřinou, plynem, párou a klimatizovaným vzduchem (+27,0 mld. korun), produkty souvisejícími s odpadem (+14,0 mld.), kovodělnými výrobky (+11,5 mld.), dřevem a dřevěnými výrobky (+8,7 mld.), textiliemi (+7,0 mld.) a motorovými vozidly (+5,6 mld.).</w:t>
            </w:r>
          </w:p>
        </w:tc>
      </w:tr>
      <w:tr w:rsidR="00A02E8B" w:rsidRPr="009110F7" w14:paraId="419C5232" w14:textId="77777777" w:rsidTr="008E039E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2817D200" w14:textId="77777777" w:rsidR="00A02E8B" w:rsidRDefault="00A02E8B" w:rsidP="008E039E">
            <w:pPr>
              <w:pStyle w:val="Marginlie"/>
            </w:pPr>
            <w:r>
              <w:t>Ve 4. čtvrtletí se meziročně zhoršovalo saldo napříč většinou druhů zboží.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34E00139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09BBC87" w14:textId="77777777" w:rsidR="00A02E8B" w:rsidRDefault="00A02E8B" w:rsidP="008E039E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Ve 4. čtvrtletí 2021 ve směru deficitu působil obchod s většinou druhů zboží. Výrazně příznivě se meziročně vyvíjela jen bilance obchodu s elektřinou, plynem, párou a klimatizovaným vzduchem (+21,0 mld. korun), produkty souvisejícími s odpadem (+2,9 mld.), kovodělnými výrobky (+1,9 mld.), textiliemi (+1,7 mld.) a dřevem a výrobky z něj (+1,3 mld.). Dál se silně meziročně prohluboval deficit obchodu s ropou a zemním plynem (–35,4 mld. korun), základními kovy (–15,2 mld.) a počítači, elektronickými a optickými přístroji (–14,4 mld.). Prudce klesal přebytek obchodu s motorovými vozidly (–25,0 mld. korun). Dál se zhoršilo saldo obchodu se stroji a zařízeními (–7,9 mld. korun), chemickými látkami a přípravky (–4,8 mld.), koksem a rafinovanými ropnými produkty (–4,2 mld.), ostatními výrobky zpracovatelského průmyslu (–4,1 mld.), elektrickými zařízeními </w:t>
            </w:r>
            <w:r>
              <w:rPr>
                <w:spacing w:val="-4"/>
              </w:rPr>
              <w:br/>
              <w:t>(–3,8 mld.) nebo základními farmaceutickými výrobky (–3,5 mld.).</w:t>
            </w:r>
          </w:p>
        </w:tc>
      </w:tr>
      <w:tr w:rsidR="00A02E8B" w:rsidRPr="009110F7" w14:paraId="461570E2" w14:textId="77777777" w:rsidTr="008E039E">
        <w:trPr>
          <w:trHeight w:val="106"/>
        </w:trPr>
        <w:tc>
          <w:tcPr>
            <w:tcW w:w="1760" w:type="dxa"/>
            <w:vMerge w:val="restart"/>
            <w:shd w:val="clear" w:color="auto" w:fill="auto"/>
            <w:tcMar>
              <w:left w:w="0" w:type="dxa"/>
            </w:tcMar>
          </w:tcPr>
          <w:p w14:paraId="250A2920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11D865C1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5C44846" w14:textId="4A30EA06" w:rsidR="00A02E8B" w:rsidRPr="00D75AC1" w:rsidRDefault="00A02E8B" w:rsidP="00A02E8B">
            <w:pPr>
              <w:spacing w:after="0"/>
              <w:rPr>
                <w:spacing w:val="-4"/>
                <w:szCs w:val="20"/>
              </w:rPr>
            </w:pPr>
            <w:r w:rsidRPr="00D75AC1">
              <w:rPr>
                <w:rFonts w:cs="Arial"/>
                <w:b/>
                <w:bCs/>
                <w:color w:val="000000"/>
                <w:szCs w:val="20"/>
              </w:rPr>
              <w:t>Graf č.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 10 </w:t>
            </w:r>
            <w:r w:rsidRPr="00D75AC1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5AC1">
              <w:rPr>
                <w:b/>
                <w:spacing w:val="-4"/>
                <w:szCs w:val="20"/>
              </w:rPr>
              <w:t xml:space="preserve">Bilance zahraničního obchodu </w:t>
            </w:r>
            <w:r>
              <w:rPr>
                <w:b/>
                <w:spacing w:val="-4"/>
                <w:szCs w:val="20"/>
              </w:rPr>
              <w:t xml:space="preserve">se zbožím </w:t>
            </w:r>
            <w:r w:rsidRPr="00D75AC1">
              <w:rPr>
                <w:b/>
                <w:spacing w:val="-4"/>
                <w:szCs w:val="20"/>
              </w:rPr>
              <w:t xml:space="preserve">ve statistice zahraničního obchodu </w:t>
            </w:r>
            <w:r w:rsidRPr="00D75AC1">
              <w:rPr>
                <w:spacing w:val="-4"/>
                <w:szCs w:val="20"/>
              </w:rPr>
              <w:t xml:space="preserve">(kumulace </w:t>
            </w:r>
            <w:r>
              <w:rPr>
                <w:spacing w:val="-4"/>
                <w:szCs w:val="20"/>
              </w:rPr>
              <w:t>roku 2021</w:t>
            </w:r>
            <w:r w:rsidRPr="00D75AC1">
              <w:rPr>
                <w:spacing w:val="-4"/>
                <w:szCs w:val="20"/>
              </w:rPr>
              <w:t>, v mld.</w:t>
            </w:r>
            <w:r>
              <w:rPr>
                <w:spacing w:val="-4"/>
                <w:szCs w:val="20"/>
              </w:rPr>
              <w:t xml:space="preserve"> </w:t>
            </w:r>
            <w:r w:rsidRPr="00D75AC1">
              <w:rPr>
                <w:spacing w:val="-4"/>
                <w:szCs w:val="20"/>
              </w:rPr>
              <w:t>korun, vybrané oddíly klasifikace CPA)</w:t>
            </w:r>
          </w:p>
        </w:tc>
      </w:tr>
      <w:tr w:rsidR="00A02E8B" w:rsidRPr="009110F7" w14:paraId="08947230" w14:textId="77777777" w:rsidTr="008E039E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760" w:type="dxa"/>
            <w:vMerge/>
            <w:shd w:val="clear" w:color="auto" w:fill="auto"/>
          </w:tcPr>
          <w:p w14:paraId="3F986492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5457000B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28A97905" w14:textId="77777777" w:rsidR="00A02E8B" w:rsidRPr="00AF6F98" w:rsidRDefault="00A02E8B" w:rsidP="008E039E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EE5F4B0" wp14:editId="66E8E3EB">
                  <wp:extent cx="4771467" cy="3553200"/>
                  <wp:effectExtent l="0" t="0" r="0" b="0"/>
                  <wp:docPr id="6" name="Graf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A02E8B" w:rsidRPr="009110F7" w14:paraId="7942ADA2" w14:textId="77777777" w:rsidTr="008E039E">
        <w:trPr>
          <w:trHeight w:val="106"/>
        </w:trPr>
        <w:tc>
          <w:tcPr>
            <w:tcW w:w="1760" w:type="dxa"/>
            <w:vMerge/>
            <w:shd w:val="clear" w:color="auto" w:fill="auto"/>
            <w:tcMar>
              <w:left w:w="0" w:type="dxa"/>
            </w:tcMar>
          </w:tcPr>
          <w:p w14:paraId="41ED45D9" w14:textId="77777777" w:rsidR="00A02E8B" w:rsidRDefault="00A02E8B" w:rsidP="008E039E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469D6854" w14:textId="77777777" w:rsidR="00A02E8B" w:rsidRDefault="00A02E8B" w:rsidP="008E039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FB837D5" w14:textId="77777777" w:rsidR="00A02E8B" w:rsidRPr="00AF6F98" w:rsidRDefault="00A02E8B" w:rsidP="008E039E">
            <w:pPr>
              <w:spacing w:after="0"/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</w:tbl>
    <w:p w14:paraId="5BAB8EA3" w14:textId="0FD9E887" w:rsidR="000663F0" w:rsidRPr="00E42054" w:rsidRDefault="000663F0" w:rsidP="00AB3BA7">
      <w:pPr>
        <w:pStyle w:val="Nadpis11"/>
        <w:rPr>
          <w:b w:val="0"/>
          <w:sz w:val="2"/>
          <w:szCs w:val="2"/>
        </w:rPr>
      </w:pPr>
      <w:bookmarkStart w:id="14" w:name="_GoBack"/>
      <w:bookmarkEnd w:id="2"/>
      <w:bookmarkEnd w:id="3"/>
      <w:bookmarkEnd w:id="4"/>
      <w:bookmarkEnd w:id="5"/>
      <w:bookmarkEnd w:id="6"/>
      <w:bookmarkEnd w:id="7"/>
      <w:bookmarkEnd w:id="8"/>
      <w:bookmarkEnd w:id="11"/>
      <w:bookmarkEnd w:id="12"/>
      <w:bookmarkEnd w:id="13"/>
      <w:bookmarkEnd w:id="14"/>
    </w:p>
    <w:sectPr w:rsidR="000663F0" w:rsidRPr="00E42054" w:rsidSect="001A048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737" w:gutter="0"/>
      <w:pgNumType w:start="18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89F0" w14:textId="77777777" w:rsidR="00934B93" w:rsidRDefault="00934B93" w:rsidP="00E71A58">
      <w:r>
        <w:separator/>
      </w:r>
    </w:p>
  </w:endnote>
  <w:endnote w:type="continuationSeparator" w:id="0">
    <w:p w14:paraId="00D04FCE" w14:textId="77777777" w:rsidR="00934B93" w:rsidRDefault="00934B9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2C61735B" w:rsidR="00CD7E9E" w:rsidRPr="00932443" w:rsidRDefault="00CD7E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A0480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79DCFD82" w:rsidR="00CD7E9E" w:rsidRPr="00932443" w:rsidRDefault="00CD7E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A0480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F5BD" w14:textId="77777777" w:rsidR="00934B93" w:rsidRDefault="00934B93" w:rsidP="00A21B4D">
      <w:pPr>
        <w:spacing w:after="0"/>
      </w:pPr>
      <w:r>
        <w:separator/>
      </w:r>
    </w:p>
  </w:footnote>
  <w:footnote w:type="continuationSeparator" w:id="0">
    <w:p w14:paraId="5EED0F7D" w14:textId="77777777" w:rsidR="00934B93" w:rsidRDefault="00934B93" w:rsidP="00E71A58">
      <w:r>
        <w:continuationSeparator/>
      </w:r>
    </w:p>
  </w:footnote>
  <w:footnote w:id="1">
    <w:p w14:paraId="0F7CA25D" w14:textId="77777777" w:rsidR="00CD7E9E" w:rsidRPr="003A7B9C" w:rsidRDefault="00CD7E9E" w:rsidP="00A02E8B">
      <w:pPr>
        <w:pStyle w:val="Textpoznpodarou"/>
        <w:rPr>
          <w:sz w:val="16"/>
          <w:szCs w:val="16"/>
        </w:rPr>
      </w:pPr>
      <w:r w:rsidRPr="003A7B9C">
        <w:rPr>
          <w:rStyle w:val="Znakapoznpodarou"/>
          <w:sz w:val="16"/>
          <w:szCs w:val="16"/>
        </w:rPr>
        <w:footnoteRef/>
      </w:r>
      <w:r w:rsidRPr="003A7B9C">
        <w:rPr>
          <w:sz w:val="16"/>
          <w:szCs w:val="16"/>
        </w:rPr>
        <w:t xml:space="preserve"> Projevilo se </w:t>
      </w:r>
      <w:r>
        <w:rPr>
          <w:sz w:val="16"/>
          <w:szCs w:val="16"/>
        </w:rPr>
        <w:t xml:space="preserve">zejména </w:t>
      </w:r>
      <w:r w:rsidRPr="003A7B9C">
        <w:rPr>
          <w:sz w:val="16"/>
          <w:szCs w:val="16"/>
        </w:rPr>
        <w:t>navýšení hodnoty vývozu kovového odpadu.</w:t>
      </w:r>
    </w:p>
  </w:footnote>
  <w:footnote w:id="2">
    <w:p w14:paraId="3B6D8428" w14:textId="77777777" w:rsidR="00CD7E9E" w:rsidRPr="009A4676" w:rsidRDefault="00CD7E9E" w:rsidP="00A02E8B">
      <w:pPr>
        <w:pStyle w:val="Textpoznpodarou"/>
        <w:rPr>
          <w:sz w:val="16"/>
          <w:szCs w:val="16"/>
        </w:rPr>
      </w:pPr>
      <w:r w:rsidRPr="009A4676">
        <w:rPr>
          <w:rStyle w:val="Znakapoznpodarou"/>
          <w:sz w:val="16"/>
          <w:szCs w:val="16"/>
        </w:rPr>
        <w:footnoteRef/>
      </w:r>
      <w:r w:rsidRPr="009A4676">
        <w:rPr>
          <w:sz w:val="16"/>
          <w:szCs w:val="16"/>
        </w:rPr>
        <w:t xml:space="preserve"> V rámci </w:t>
      </w:r>
      <w:r>
        <w:rPr>
          <w:sz w:val="16"/>
          <w:szCs w:val="16"/>
        </w:rPr>
        <w:t>4</w:t>
      </w:r>
      <w:r w:rsidRPr="009A4676">
        <w:rPr>
          <w:sz w:val="16"/>
          <w:szCs w:val="16"/>
        </w:rPr>
        <w:t>.</w:t>
      </w:r>
      <w:r>
        <w:rPr>
          <w:sz w:val="16"/>
          <w:szCs w:val="16"/>
        </w:rPr>
        <w:t> čtvrtlet</w:t>
      </w:r>
      <w:r w:rsidRPr="009A4676">
        <w:rPr>
          <w:sz w:val="16"/>
          <w:szCs w:val="16"/>
        </w:rPr>
        <w:t>í roku skončil zahraniční obchod se zbožím v deficitu v letech 2005–2008</w:t>
      </w:r>
      <w:r>
        <w:rPr>
          <w:sz w:val="16"/>
          <w:szCs w:val="16"/>
        </w:rPr>
        <w:t xml:space="preserve"> a </w:t>
      </w:r>
      <w:r w:rsidRPr="009A4676">
        <w:rPr>
          <w:sz w:val="16"/>
          <w:szCs w:val="16"/>
        </w:rPr>
        <w:t>2010.</w:t>
      </w:r>
    </w:p>
  </w:footnote>
  <w:footnote w:id="3">
    <w:p w14:paraId="7373B91C" w14:textId="77777777" w:rsidR="00CD7E9E" w:rsidRPr="00C8395D" w:rsidRDefault="00CD7E9E" w:rsidP="00A02E8B">
      <w:pPr>
        <w:pStyle w:val="Textpoznpodarou"/>
        <w:rPr>
          <w:sz w:val="16"/>
          <w:szCs w:val="16"/>
        </w:rPr>
      </w:pPr>
      <w:r w:rsidRPr="00C8395D">
        <w:rPr>
          <w:rStyle w:val="Znakapoznpodarou"/>
          <w:sz w:val="16"/>
          <w:szCs w:val="16"/>
        </w:rPr>
        <w:footnoteRef/>
      </w:r>
      <w:r w:rsidRPr="00C8395D">
        <w:rPr>
          <w:sz w:val="16"/>
          <w:szCs w:val="16"/>
        </w:rPr>
        <w:t xml:space="preserve"> Přebytek ve 4.</w:t>
      </w:r>
      <w:r>
        <w:rPr>
          <w:sz w:val="16"/>
          <w:szCs w:val="16"/>
        </w:rPr>
        <w:t> čtvrt</w:t>
      </w:r>
      <w:r w:rsidRPr="00C8395D">
        <w:rPr>
          <w:sz w:val="16"/>
          <w:szCs w:val="16"/>
        </w:rPr>
        <w:t>letí 2020 dosáhl 79,0</w:t>
      </w:r>
      <w:r>
        <w:rPr>
          <w:sz w:val="16"/>
          <w:szCs w:val="16"/>
        </w:rPr>
        <w:t> mld</w:t>
      </w:r>
      <w:r w:rsidRPr="00C8395D">
        <w:rPr>
          <w:sz w:val="16"/>
          <w:szCs w:val="16"/>
        </w:rPr>
        <w:t>. korun, což byl nejvyšší zaznamenaný výsledek.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D7E9E" w:rsidRDefault="00CD7E9E" w:rsidP="00937AE2">
    <w:pPr>
      <w:pStyle w:val="Zhlav"/>
    </w:pPr>
    <w:r>
      <w:t>Vývoj ekonomiky České republiky</w:t>
    </w:r>
  </w:p>
  <w:p w14:paraId="3E881AB3" w14:textId="77777777" w:rsidR="00CD7E9E" w:rsidRPr="006F5416" w:rsidRDefault="00CD7E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D7E9E" w:rsidRDefault="00CD7E9E" w:rsidP="00937AE2">
    <w:pPr>
      <w:pStyle w:val="Zhlav"/>
    </w:pPr>
    <w:r>
      <w:t>Vývoj ekonomiky České republiky</w:t>
    </w:r>
  </w:p>
  <w:p w14:paraId="57266714" w14:textId="77777777" w:rsidR="00CD7E9E" w:rsidRPr="006F5416" w:rsidRDefault="00CD7E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0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B93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2618"/>
    <w:rsid w:val="00E82A42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A4D"/>
    <w:rsid w:val="00F91B66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Q\2021Q4\Makroanal&#253;za%20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69916774474014E-2"/>
          <c:y val="4.15424531457926E-2"/>
          <c:w val="0.88202003907252513"/>
          <c:h val="0.80321247760439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'Vnější vztahy_a'!$B$4</c:f>
              <c:strCache>
                <c:ptCount val="1"/>
                <c:pt idx="0">
                  <c:v>Vývoz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  <a:effectLst/>
          </c:spPr>
          <c:invertIfNegative val="0"/>
          <c:cat>
            <c:strRef>
              <c:f>'Vnější vztahy_a'!$A$5:$A$20</c:f>
              <c:strCach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 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strCache>
            </c:strRef>
          </c:cat>
          <c:val>
            <c:numRef>
              <c:f>'Vnější vztahy_a'!$B$5:$B$20</c:f>
              <c:numCache>
                <c:formatCode>General</c:formatCode>
                <c:ptCount val="16"/>
                <c:pt idx="0">
                  <c:v>11.002388269186975</c:v>
                </c:pt>
                <c:pt idx="1">
                  <c:v>10.669504790170311</c:v>
                </c:pt>
                <c:pt idx="2">
                  <c:v>-1.4825262579305303</c:v>
                </c:pt>
                <c:pt idx="3">
                  <c:v>-10.81189551944207</c:v>
                </c:pt>
                <c:pt idx="4">
                  <c:v>14.827022335007905</c:v>
                </c:pt>
                <c:pt idx="5">
                  <c:v>10.112037607700053</c:v>
                </c:pt>
                <c:pt idx="6">
                  <c:v>6.0251090942966021</c:v>
                </c:pt>
                <c:pt idx="7">
                  <c:v>2.2153513610284965</c:v>
                </c:pt>
                <c:pt idx="8">
                  <c:v>13.027208809035864</c:v>
                </c:pt>
                <c:pt idx="9">
                  <c:v>3.612768163576892</c:v>
                </c:pt>
                <c:pt idx="10">
                  <c:v>1.1074296541764621</c:v>
                </c:pt>
                <c:pt idx="11">
                  <c:v>6.4802705295808352</c:v>
                </c:pt>
                <c:pt idx="12">
                  <c:v>2.9418083571864679</c:v>
                </c:pt>
                <c:pt idx="13">
                  <c:v>2.0884439685547389</c:v>
                </c:pt>
                <c:pt idx="14">
                  <c:v>-5.6527823819801268</c:v>
                </c:pt>
                <c:pt idx="15">
                  <c:v>13.014676826275789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A8-437F-9173-E3C55DDC2AD0}"/>
            </c:ext>
          </c:extLst>
        </c:ser>
        <c:ser>
          <c:idx val="1"/>
          <c:order val="1"/>
          <c:tx>
            <c:strRef>
              <c:f>'Vnější vztahy_a'!$C$4</c:f>
              <c:strCache>
                <c:ptCount val="1"/>
                <c:pt idx="0">
                  <c:v>Dovoz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  <a:effectLst/>
          </c:spPr>
          <c:invertIfNegative val="0"/>
          <c:cat>
            <c:strRef>
              <c:f>'Vnější vztahy_a'!$A$5:$A$20</c:f>
              <c:strCach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 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strCache>
            </c:strRef>
          </c:cat>
          <c:val>
            <c:numRef>
              <c:f>'Vnější vztahy_a'!$C$5:$C$20</c:f>
              <c:numCache>
                <c:formatCode>General</c:formatCode>
                <c:ptCount val="16"/>
                <c:pt idx="0">
                  <c:v>11.21175795501606</c:v>
                </c:pt>
                <c:pt idx="1">
                  <c:v>11.781531485176759</c:v>
                </c:pt>
                <c:pt idx="2">
                  <c:v>-0.48030336572037585</c:v>
                </c:pt>
                <c:pt idx="3">
                  <c:v>-13.849775964188691</c:v>
                </c:pt>
                <c:pt idx="4">
                  <c:v>17.636423931022911</c:v>
                </c:pt>
                <c:pt idx="5">
                  <c:v>8.6415161627225725</c:v>
                </c:pt>
                <c:pt idx="6">
                  <c:v>4.0042767307394715</c:v>
                </c:pt>
                <c:pt idx="7">
                  <c:v>0.68681070942259659</c:v>
                </c:pt>
                <c:pt idx="8">
                  <c:v>12.071376353644107</c:v>
                </c:pt>
                <c:pt idx="9">
                  <c:v>4.2889556626306211</c:v>
                </c:pt>
                <c:pt idx="10">
                  <c:v>0.11038963287046219</c:v>
                </c:pt>
                <c:pt idx="11">
                  <c:v>6.8245079237178157</c:v>
                </c:pt>
                <c:pt idx="12">
                  <c:v>5.0260247733996772</c:v>
                </c:pt>
                <c:pt idx="13">
                  <c:v>0.80432261722678255</c:v>
                </c:pt>
                <c:pt idx="14">
                  <c:v>-6.8505122440267279</c:v>
                </c:pt>
                <c:pt idx="15">
                  <c:v>19.287984329911698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A8-437F-9173-E3C55DDC2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axId val="1603910352"/>
        <c:axId val="1603910768"/>
      </c:barChart>
      <c:lineChart>
        <c:grouping val="standard"/>
        <c:varyColors val="0"/>
        <c:ser>
          <c:idx val="2"/>
          <c:order val="2"/>
          <c:tx>
            <c:strRef>
              <c:f>'Vnější vztahy_a'!$D$4</c:f>
              <c:strCache>
                <c:ptCount val="1"/>
                <c:pt idx="0">
                  <c:v>Bilance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'Vnější vztahy_a'!$A$5:$A$20</c:f>
              <c:strCach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 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strCache>
            </c:strRef>
          </c:cat>
          <c:val>
            <c:numRef>
              <c:f>'Vnější vztahy_a'!$D$5:$D$20</c:f>
              <c:numCache>
                <c:formatCode>General</c:formatCode>
                <c:ptCount val="16"/>
                <c:pt idx="0">
                  <c:v>1.8</c:v>
                </c:pt>
                <c:pt idx="1">
                  <c:v>-21.241</c:v>
                </c:pt>
                <c:pt idx="2">
                  <c:v>-44.332000000000001</c:v>
                </c:pt>
                <c:pt idx="3">
                  <c:v>31.067</c:v>
                </c:pt>
                <c:pt idx="4">
                  <c:v>-20.579000000000001</c:v>
                </c:pt>
                <c:pt idx="5">
                  <c:v>11.977</c:v>
                </c:pt>
                <c:pt idx="6">
                  <c:v>64.41</c:v>
                </c:pt>
                <c:pt idx="7">
                  <c:v>106.518</c:v>
                </c:pt>
                <c:pt idx="8">
                  <c:v>146.00899999999999</c:v>
                </c:pt>
                <c:pt idx="9">
                  <c:v>130.97677807700001</c:v>
                </c:pt>
                <c:pt idx="10">
                  <c:v>163.65449183600001</c:v>
                </c:pt>
                <c:pt idx="11">
                  <c:v>163.466347926</c:v>
                </c:pt>
                <c:pt idx="12">
                  <c:v>98.465823833000002</c:v>
                </c:pt>
                <c:pt idx="13">
                  <c:v>145.694717411</c:v>
                </c:pt>
                <c:pt idx="14">
                  <c:v>179.93123328999999</c:v>
                </c:pt>
                <c:pt idx="15">
                  <c:v>-3.8677181819999999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A8-437F-9173-E3C55DDC2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842912"/>
        <c:axId val="1599917024"/>
      </c:lineChart>
      <c:catAx>
        <c:axId val="160391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03910768"/>
        <c:crosses val="autoZero"/>
        <c:auto val="1"/>
        <c:lblAlgn val="ctr"/>
        <c:lblOffset val="100"/>
        <c:noMultiLvlLbl val="0"/>
      </c:catAx>
      <c:valAx>
        <c:axId val="1603910768"/>
        <c:scaling>
          <c:orientation val="minMax"/>
          <c:max val="20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03910352"/>
        <c:crosses val="autoZero"/>
        <c:crossBetween val="between"/>
      </c:valAx>
      <c:valAx>
        <c:axId val="1599917024"/>
        <c:scaling>
          <c:orientation val="minMax"/>
          <c:min val="-15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171842912"/>
        <c:crosses val="max"/>
        <c:crossBetween val="between"/>
      </c:valAx>
      <c:catAx>
        <c:axId val="1171842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9917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324160543034778E-2"/>
          <c:y val="0.92127482102101654"/>
          <c:w val="0.85470865828300857"/>
          <c:h val="5.6065659081278391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481551840594413E-2"/>
          <c:y val="2.3304908251716772E-2"/>
          <c:w val="0.90781408308004052"/>
          <c:h val="0.6054052684903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'Vnější vztahy 2'!$A$6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a zemní plyn</c:v>
                </c:pt>
                <c:pt idx="1">
                  <c:v>Potrav. výrobky</c:v>
                </c:pt>
                <c:pt idx="2">
                  <c:v>Oděvy</c:v>
                </c:pt>
                <c:pt idx="3">
                  <c:v>Koks, raf. ropné prod.</c:v>
                </c:pt>
                <c:pt idx="4">
                  <c:v>Chem. látky a přípr.</c:v>
                </c:pt>
                <c:pt idx="5">
                  <c:v>Farmac. výrobky</c:v>
                </c:pt>
                <c:pt idx="6">
                  <c:v>Ostat. nekov. minerály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opt.                                          a elektron. přístr.</c:v>
                </c:pt>
                <c:pt idx="10">
                  <c:v>Elektrická zařízení</c:v>
                </c:pt>
                <c:pt idx="11">
                  <c:v>Stroje a zařízení j. n.</c:v>
                </c:pt>
                <c:pt idx="12">
                  <c:v>Motorová vozidla</c:v>
                </c:pt>
              </c:strCache>
            </c:strRef>
          </c:cat>
          <c:val>
            <c:numRef>
              <c:f>'Vnější vztahy 2'!$B$6:$N$6</c:f>
              <c:numCache>
                <c:formatCode>General</c:formatCode>
                <c:ptCount val="13"/>
                <c:pt idx="0">
                  <c:v>-126.11199999999999</c:v>
                </c:pt>
                <c:pt idx="1">
                  <c:v>-45.085000000000001</c:v>
                </c:pt>
                <c:pt idx="2">
                  <c:v>-33.119999999999997</c:v>
                </c:pt>
                <c:pt idx="3">
                  <c:v>-21.491</c:v>
                </c:pt>
                <c:pt idx="4">
                  <c:v>-111.01600000000001</c:v>
                </c:pt>
                <c:pt idx="5">
                  <c:v>-53.835999999999999</c:v>
                </c:pt>
                <c:pt idx="6">
                  <c:v>23.349</c:v>
                </c:pt>
                <c:pt idx="7">
                  <c:v>-123.27200000000001</c:v>
                </c:pt>
                <c:pt idx="8">
                  <c:v>56.374000000000002</c:v>
                </c:pt>
                <c:pt idx="9">
                  <c:v>-27.954000000000001</c:v>
                </c:pt>
                <c:pt idx="10">
                  <c:v>40.701000000000001</c:v>
                </c:pt>
                <c:pt idx="11">
                  <c:v>62.975999999999999</c:v>
                </c:pt>
                <c:pt idx="12">
                  <c:v>460.68099999999998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C5-4E60-AA37-0E780114D9C4}"/>
            </c:ext>
          </c:extLst>
        </c:ser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a zemní plyn</c:v>
                </c:pt>
                <c:pt idx="1">
                  <c:v>Potrav. výrobky</c:v>
                </c:pt>
                <c:pt idx="2">
                  <c:v>Oděvy</c:v>
                </c:pt>
                <c:pt idx="3">
                  <c:v>Koks, raf. ropné prod.</c:v>
                </c:pt>
                <c:pt idx="4">
                  <c:v>Chem. látky a přípr.</c:v>
                </c:pt>
                <c:pt idx="5">
                  <c:v>Farmac. výrobky</c:v>
                </c:pt>
                <c:pt idx="6">
                  <c:v>Ostat. nekov. minerály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opt.                                          a elektron. přístr.</c:v>
                </c:pt>
                <c:pt idx="10">
                  <c:v>Elektrická zařízení</c:v>
                </c:pt>
                <c:pt idx="11">
                  <c:v>Stroje a zařízení j. n.</c:v>
                </c:pt>
                <c:pt idx="12">
                  <c:v>Motorová vozidla</c:v>
                </c:pt>
              </c:strCache>
            </c:strRef>
          </c:cat>
          <c:val>
            <c:numRef>
              <c:f>'Vnější vztahy 2'!$B$7:$N$7</c:f>
              <c:numCache>
                <c:formatCode>General</c:formatCode>
                <c:ptCount val="13"/>
                <c:pt idx="0">
                  <c:v>-70.386606572000005</c:v>
                </c:pt>
                <c:pt idx="1">
                  <c:v>-41.686416247000004</c:v>
                </c:pt>
                <c:pt idx="2">
                  <c:v>-30.733766071999998</c:v>
                </c:pt>
                <c:pt idx="3">
                  <c:v>-20.266417795999999</c:v>
                </c:pt>
                <c:pt idx="4">
                  <c:v>-106.387413786</c:v>
                </c:pt>
                <c:pt idx="5">
                  <c:v>-60.132257740000007</c:v>
                </c:pt>
                <c:pt idx="6">
                  <c:v>24.783674908999998</c:v>
                </c:pt>
                <c:pt idx="7">
                  <c:v>-101.06324926800002</c:v>
                </c:pt>
                <c:pt idx="8">
                  <c:v>56.627028986000006</c:v>
                </c:pt>
                <c:pt idx="9">
                  <c:v>-37.592877434999998</c:v>
                </c:pt>
                <c:pt idx="10">
                  <c:v>19.191334680000001</c:v>
                </c:pt>
                <c:pt idx="11">
                  <c:v>61.933452646000006</c:v>
                </c:pt>
                <c:pt idx="12">
                  <c:v>426.22775747700007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5-4E60-AA37-0E780114D9C4}"/>
            </c:ext>
          </c:extLst>
        </c:ser>
        <c:ser>
          <c:idx val="2"/>
          <c:order val="2"/>
          <c:tx>
            <c:strRef>
              <c:f>'Vnější vztahy 2'!$A$8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a zemní plyn</c:v>
                </c:pt>
                <c:pt idx="1">
                  <c:v>Potrav. výrobky</c:v>
                </c:pt>
                <c:pt idx="2">
                  <c:v>Oděvy</c:v>
                </c:pt>
                <c:pt idx="3">
                  <c:v>Koks, raf. ropné prod.</c:v>
                </c:pt>
                <c:pt idx="4">
                  <c:v>Chem. látky a přípr.</c:v>
                </c:pt>
                <c:pt idx="5">
                  <c:v>Farmac. výrobky</c:v>
                </c:pt>
                <c:pt idx="6">
                  <c:v>Ostat. nekov. minerály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opt.                                          a elektron. přístr.</c:v>
                </c:pt>
                <c:pt idx="10">
                  <c:v>Elektrická zařízení</c:v>
                </c:pt>
                <c:pt idx="11">
                  <c:v>Stroje a zařízení j. n.</c:v>
                </c:pt>
                <c:pt idx="12">
                  <c:v>Motorová vozidla</c:v>
                </c:pt>
              </c:strCache>
            </c:strRef>
          </c:cat>
          <c:val>
            <c:numRef>
              <c:f>'Vnější vztahy 2'!$B$8:$N$8</c:f>
              <c:numCache>
                <c:formatCode>General</c:formatCode>
                <c:ptCount val="13"/>
                <c:pt idx="0">
                  <c:v>-153.80449207699999</c:v>
                </c:pt>
                <c:pt idx="1">
                  <c:v>-42.672799470999998</c:v>
                </c:pt>
                <c:pt idx="2">
                  <c:v>-33.627816335000006</c:v>
                </c:pt>
                <c:pt idx="3">
                  <c:v>-26.458938961000001</c:v>
                </c:pt>
                <c:pt idx="4">
                  <c:v>-131.88186591199997</c:v>
                </c:pt>
                <c:pt idx="5">
                  <c:v>-73.902618015000002</c:v>
                </c:pt>
                <c:pt idx="6">
                  <c:v>26.168679770999997</c:v>
                </c:pt>
                <c:pt idx="7">
                  <c:v>-157.50628654999997</c:v>
                </c:pt>
                <c:pt idx="8">
                  <c:v>68.142095011999984</c:v>
                </c:pt>
                <c:pt idx="9">
                  <c:v>-51.280550011000003</c:v>
                </c:pt>
                <c:pt idx="10">
                  <c:v>-0.46595886500000006</c:v>
                </c:pt>
                <c:pt idx="11">
                  <c:v>57.198855986999995</c:v>
                </c:pt>
                <c:pt idx="12">
                  <c:v>431.87557210600005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C5-4E60-AA37-0E780114D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269967744"/>
        <c:axId val="269969280"/>
      </c:barChart>
      <c:catAx>
        <c:axId val="26996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269969280"/>
        <c:crosses val="autoZero"/>
        <c:auto val="1"/>
        <c:lblAlgn val="ctr"/>
        <c:lblOffset val="100"/>
        <c:noMultiLvlLbl val="0"/>
      </c:catAx>
      <c:valAx>
        <c:axId val="269969280"/>
        <c:scaling>
          <c:orientation val="minMax"/>
          <c:max val="480"/>
          <c:min val="-16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69967744"/>
        <c:crosses val="autoZero"/>
        <c:crossBetween val="between"/>
        <c:majorUnit val="4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9999155690645057E-2"/>
          <c:y val="0.93271781816746591"/>
          <c:w val="0.89870767208491664"/>
          <c:h val="4.7602442868400312E-2"/>
        </c:manualLayout>
      </c:layout>
      <c:overlay val="1"/>
      <c:spPr>
        <a:ln w="6350"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C77B-EF8F-46E3-86D1-B92BAC374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14774-7D2F-40A2-B9D6-AFF27348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4</Pages>
  <Words>1944</Words>
  <Characters>11476</Characters>
  <Application>Microsoft Office Word</Application>
  <DocSecurity>0</DocSecurity>
  <Lines>95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13394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3</cp:revision>
  <cp:lastPrinted>2019-04-08T10:52:00Z</cp:lastPrinted>
  <dcterms:created xsi:type="dcterms:W3CDTF">2022-03-21T10:52:00Z</dcterms:created>
  <dcterms:modified xsi:type="dcterms:W3CDTF">2022-03-21T10:59:00Z</dcterms:modified>
</cp:coreProperties>
</file>