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530" w:rsidRDefault="007C7530" w:rsidP="007C7530">
      <w:pPr>
        <w:pStyle w:val="Nadpis1"/>
        <w:spacing w:after="240" w:line="240" w:lineRule="auto"/>
        <w:ind w:firstLine="709"/>
        <w:rPr>
          <w:rFonts w:ascii="Arial" w:hAnsi="Arial" w:cs="Arial"/>
          <w:sz w:val="24"/>
        </w:rPr>
      </w:pPr>
      <w:r>
        <w:rPr>
          <w:rFonts w:ascii="Arial" w:hAnsi="Arial" w:cs="Arial"/>
          <w:sz w:val="24"/>
        </w:rPr>
        <w:t>NOTES ON METHODOLOGY</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This publication presents the results of food, drink, and cigarette consumption statistics for 2013. For its data to be easy to use, it brings the results in time series consisting of data for 2013 and for all the years since 2005.</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Totals and indices are calculated from non-rounded figures.</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The data food and drink consumption were obtained by applying the balance method to the following statistical information:</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Animal products statistics in 2013</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Definitive data on produce of agricultural plants in 2013</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 xml:space="preserve">Industrial production of selected commodities in 2013 </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Initial and final surplus stores of agricultural enterprises</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Initial and final surplus stores of food processing enterprises</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Import and export of food products based on external trade statistics of the Czech Statistical Office (as at 8 September 2014)</w:t>
      </w:r>
    </w:p>
    <w:p w:rsidR="007C7530" w:rsidRDefault="007C7530" w:rsidP="007C7530">
      <w:pPr>
        <w:numPr>
          <w:ilvl w:val="0"/>
          <w:numId w:val="1"/>
        </w:numPr>
        <w:jc w:val="both"/>
        <w:rPr>
          <w:rFonts w:ascii="Arial" w:hAnsi="Arial" w:cs="Arial"/>
          <w:sz w:val="20"/>
          <w:lang w:val="en-US"/>
        </w:rPr>
      </w:pPr>
      <w:r>
        <w:rPr>
          <w:rFonts w:ascii="Arial" w:hAnsi="Arial" w:cs="Arial"/>
          <w:sz w:val="20"/>
          <w:lang w:val="en-US"/>
        </w:rPr>
        <w:t xml:space="preserve">Private home production of food </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Our calculations were further based on data received from the Ministry of Agriculture, the Agricultural Economics Institute and Information, and other food-production related institutions and organizations.</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There is no binding classification standard for food consumption statistics either in the Czech Republic or internationally (</w:t>
      </w:r>
      <w:proofErr w:type="spellStart"/>
      <w:r>
        <w:rPr>
          <w:rFonts w:ascii="Arial" w:hAnsi="Arial" w:cs="Arial"/>
          <w:sz w:val="20"/>
          <w:lang w:val="en-US"/>
        </w:rPr>
        <w:t>Eurostat</w:t>
      </w:r>
      <w:proofErr w:type="spellEnd"/>
      <w:r>
        <w:rPr>
          <w:rFonts w:ascii="Arial" w:hAnsi="Arial" w:cs="Arial"/>
          <w:sz w:val="20"/>
          <w:lang w:val="en-US"/>
        </w:rPr>
        <w:t>). Since "Food consumption in 2001" the Czech Statistical Office has changed for better orientation the order of published food commodities. Individual food consumption items have been reshuffled so that now they correspond with first two divisions of the CZ-COICOP classification (the Czech version of the international COICOP standard designed to enable international comparisons and already used by the Household Budget Surveys statistics).</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Food consumption items constitute two basic divisions: 01 – Food and non-alcoholic beverages, 02 – Alcoholic beverages and cigarettes. Further, the divisions break down into groups and subgroups.</w:t>
      </w:r>
    </w:p>
    <w:p w:rsidR="007C7530" w:rsidRDefault="007C7530" w:rsidP="007C7530">
      <w:pPr>
        <w:spacing w:before="120" w:after="120"/>
        <w:ind w:firstLine="567"/>
        <w:jc w:val="both"/>
        <w:rPr>
          <w:rFonts w:ascii="Arial" w:hAnsi="Arial" w:cs="Arial"/>
          <w:sz w:val="20"/>
          <w:lang w:val="en-US"/>
        </w:rPr>
      </w:pPr>
      <w:r>
        <w:rPr>
          <w:rFonts w:ascii="Arial" w:hAnsi="Arial" w:cs="Arial"/>
          <w:sz w:val="20"/>
          <w:lang w:val="en-US"/>
        </w:rPr>
        <w:t>The food, beverage, and cigarette consumption data were calculated as average per capita figures. The populations used are mid-year populations (as at 1 July of the given year). The following table shows the mid-year populations in 2005 – 2013.</w:t>
      </w:r>
    </w:p>
    <w:p w:rsidR="007C7530" w:rsidRDefault="007C7530" w:rsidP="007C7530">
      <w:pPr>
        <w:spacing w:before="120" w:after="120"/>
        <w:ind w:firstLine="567"/>
        <w:jc w:val="both"/>
        <w:rPr>
          <w:rFonts w:ascii="Arial" w:hAnsi="Arial" w:cs="Arial"/>
          <w:sz w:val="20"/>
          <w:lang w:val="en-US"/>
        </w:rPr>
      </w:pPr>
    </w:p>
    <w:tbl>
      <w:tblPr>
        <w:tblW w:w="0" w:type="auto"/>
        <w:jc w:val="center"/>
        <w:tblInd w:w="70" w:type="dxa"/>
        <w:tblBorders>
          <w:top w:val="single" w:sz="12" w:space="0" w:color="auto"/>
          <w:left w:val="single" w:sz="12" w:space="0" w:color="auto"/>
          <w:bottom w:val="single" w:sz="12" w:space="0" w:color="auto"/>
          <w:right w:val="single" w:sz="12" w:space="0" w:color="auto"/>
        </w:tblBorders>
        <w:tblCellMar>
          <w:left w:w="70" w:type="dxa"/>
          <w:right w:w="70" w:type="dxa"/>
        </w:tblCellMar>
        <w:tblLook w:val="0000"/>
      </w:tblPr>
      <w:tblGrid>
        <w:gridCol w:w="1134"/>
        <w:gridCol w:w="3402"/>
        <w:gridCol w:w="1134"/>
        <w:gridCol w:w="3402"/>
      </w:tblGrid>
      <w:tr w:rsidR="007C7530" w:rsidTr="00B46CEF">
        <w:trPr>
          <w:jc w:val="center"/>
        </w:trPr>
        <w:tc>
          <w:tcPr>
            <w:tcW w:w="1134" w:type="dxa"/>
            <w:tcBorders>
              <w:top w:val="single" w:sz="12" w:space="0" w:color="auto"/>
              <w:bottom w:val="double" w:sz="4" w:space="0" w:color="auto"/>
              <w:right w:val="single" w:sz="6" w:space="0" w:color="auto"/>
            </w:tcBorders>
          </w:tcPr>
          <w:p w:rsidR="007C7530" w:rsidRDefault="007C7530" w:rsidP="00B46CEF">
            <w:pPr>
              <w:spacing w:before="120"/>
              <w:jc w:val="center"/>
              <w:rPr>
                <w:rFonts w:ascii="Arial" w:hAnsi="Arial" w:cs="Arial"/>
                <w:b/>
                <w:bCs/>
                <w:sz w:val="20"/>
                <w:lang w:val="en-GB"/>
              </w:rPr>
            </w:pPr>
            <w:r>
              <w:rPr>
                <w:b/>
                <w:bCs/>
              </w:rPr>
              <w:t xml:space="preserve">                                                                  </w:t>
            </w:r>
            <w:r>
              <w:rPr>
                <w:rFonts w:ascii="Arial" w:hAnsi="Arial" w:cs="Arial"/>
                <w:b/>
                <w:bCs/>
                <w:sz w:val="20"/>
                <w:lang w:val="en-GB"/>
              </w:rPr>
              <w:t>Year</w:t>
            </w:r>
          </w:p>
        </w:tc>
        <w:tc>
          <w:tcPr>
            <w:tcW w:w="3402" w:type="dxa"/>
            <w:tcBorders>
              <w:top w:val="single" w:sz="12" w:space="0" w:color="auto"/>
              <w:left w:val="single" w:sz="6" w:space="0" w:color="auto"/>
              <w:bottom w:val="double" w:sz="4" w:space="0" w:color="auto"/>
              <w:right w:val="single" w:sz="12" w:space="0" w:color="auto"/>
            </w:tcBorders>
          </w:tcPr>
          <w:p w:rsidR="007C7530" w:rsidRDefault="007C7530" w:rsidP="00B46CEF">
            <w:pPr>
              <w:spacing w:before="120"/>
              <w:jc w:val="center"/>
              <w:rPr>
                <w:rFonts w:ascii="Arial" w:hAnsi="Arial" w:cs="Arial"/>
                <w:b/>
                <w:bCs/>
                <w:sz w:val="20"/>
                <w:lang w:val="en-GB"/>
              </w:rPr>
            </w:pPr>
            <w:r>
              <w:rPr>
                <w:rFonts w:ascii="Arial" w:hAnsi="Arial" w:cs="Arial"/>
                <w:b/>
                <w:bCs/>
                <w:sz w:val="20"/>
                <w:lang w:val="en-GB"/>
              </w:rPr>
              <w:t>Mid-year population</w:t>
            </w:r>
          </w:p>
        </w:tc>
        <w:tc>
          <w:tcPr>
            <w:tcW w:w="1134" w:type="dxa"/>
            <w:tcBorders>
              <w:top w:val="single" w:sz="12" w:space="0" w:color="auto"/>
              <w:left w:val="single" w:sz="12" w:space="0" w:color="auto"/>
              <w:bottom w:val="double" w:sz="4" w:space="0" w:color="auto"/>
              <w:right w:val="single" w:sz="6" w:space="0" w:color="auto"/>
            </w:tcBorders>
          </w:tcPr>
          <w:p w:rsidR="007C7530" w:rsidRDefault="007C7530" w:rsidP="00B46CEF">
            <w:pPr>
              <w:spacing w:before="120"/>
              <w:jc w:val="center"/>
              <w:rPr>
                <w:rFonts w:ascii="Arial" w:hAnsi="Arial" w:cs="Arial"/>
                <w:b/>
                <w:bCs/>
                <w:sz w:val="20"/>
                <w:lang w:val="en-GB"/>
              </w:rPr>
            </w:pPr>
            <w:r>
              <w:rPr>
                <w:rFonts w:ascii="Arial" w:hAnsi="Arial" w:cs="Arial"/>
                <w:b/>
                <w:bCs/>
                <w:sz w:val="20"/>
                <w:lang w:val="en-GB"/>
              </w:rPr>
              <w:t>Year</w:t>
            </w:r>
          </w:p>
        </w:tc>
        <w:tc>
          <w:tcPr>
            <w:tcW w:w="3402" w:type="dxa"/>
            <w:tcBorders>
              <w:top w:val="single" w:sz="12" w:space="0" w:color="auto"/>
              <w:left w:val="single" w:sz="6" w:space="0" w:color="auto"/>
              <w:bottom w:val="double" w:sz="4" w:space="0" w:color="auto"/>
            </w:tcBorders>
          </w:tcPr>
          <w:p w:rsidR="007C7530" w:rsidRDefault="007C7530" w:rsidP="00B46CEF">
            <w:pPr>
              <w:spacing w:before="120"/>
              <w:jc w:val="center"/>
              <w:rPr>
                <w:rFonts w:ascii="Arial" w:hAnsi="Arial" w:cs="Arial"/>
                <w:b/>
                <w:bCs/>
                <w:sz w:val="20"/>
                <w:lang w:val="en-GB"/>
              </w:rPr>
            </w:pPr>
            <w:r>
              <w:rPr>
                <w:rFonts w:ascii="Arial" w:hAnsi="Arial" w:cs="Arial"/>
                <w:b/>
                <w:bCs/>
                <w:sz w:val="20"/>
                <w:lang w:val="en-GB"/>
              </w:rPr>
              <w:t>Mid-year population</w:t>
            </w:r>
          </w:p>
        </w:tc>
      </w:tr>
      <w:tr w:rsidR="007C7530" w:rsidTr="00B46CEF">
        <w:trPr>
          <w:jc w:val="center"/>
        </w:trPr>
        <w:tc>
          <w:tcPr>
            <w:tcW w:w="1134" w:type="dxa"/>
            <w:tcBorders>
              <w:top w:val="double" w:sz="4"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2005</w:t>
            </w:r>
          </w:p>
        </w:tc>
        <w:tc>
          <w:tcPr>
            <w:tcW w:w="3402" w:type="dxa"/>
            <w:tcBorders>
              <w:top w:val="double" w:sz="4" w:space="0" w:color="auto"/>
              <w:left w:val="single" w:sz="6" w:space="0" w:color="auto"/>
              <w:bottom w:val="dotted" w:sz="6" w:space="0" w:color="auto"/>
              <w:right w:val="single" w:sz="12" w:space="0" w:color="auto"/>
            </w:tcBorders>
          </w:tcPr>
          <w:p w:rsidR="007C7530" w:rsidRDefault="007C7530" w:rsidP="00B46CEF">
            <w:pPr>
              <w:spacing w:before="120"/>
              <w:jc w:val="center"/>
              <w:rPr>
                <w:rFonts w:ascii="Arial" w:hAnsi="Arial" w:cs="Arial"/>
                <w:sz w:val="20"/>
              </w:rPr>
            </w:pPr>
            <w:r>
              <w:rPr>
                <w:rFonts w:ascii="Arial" w:hAnsi="Arial" w:cs="Arial"/>
                <w:sz w:val="20"/>
              </w:rPr>
              <w:t>10 234 092</w:t>
            </w:r>
          </w:p>
        </w:tc>
        <w:tc>
          <w:tcPr>
            <w:tcW w:w="1134" w:type="dxa"/>
            <w:tcBorders>
              <w:top w:val="double" w:sz="4" w:space="0" w:color="auto"/>
              <w:left w:val="single" w:sz="12"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2010</w:t>
            </w:r>
          </w:p>
        </w:tc>
        <w:tc>
          <w:tcPr>
            <w:tcW w:w="3402" w:type="dxa"/>
            <w:tcBorders>
              <w:top w:val="double" w:sz="4" w:space="0" w:color="auto"/>
              <w:left w:val="single" w:sz="6" w:space="0" w:color="auto"/>
              <w:bottom w:val="dotted" w:sz="6" w:space="0" w:color="auto"/>
            </w:tcBorders>
          </w:tcPr>
          <w:p w:rsidR="007C7530" w:rsidRDefault="007C7530" w:rsidP="00B46CEF">
            <w:pPr>
              <w:spacing w:before="120"/>
              <w:jc w:val="center"/>
              <w:rPr>
                <w:rFonts w:ascii="Arial" w:hAnsi="Arial" w:cs="Arial"/>
                <w:sz w:val="20"/>
              </w:rPr>
            </w:pPr>
            <w:r>
              <w:rPr>
                <w:rFonts w:ascii="Arial" w:hAnsi="Arial" w:cs="Arial"/>
                <w:sz w:val="20"/>
              </w:rPr>
              <w:t>10 517 247</w:t>
            </w:r>
          </w:p>
        </w:tc>
      </w:tr>
      <w:tr w:rsidR="007C7530" w:rsidTr="00B46CEF">
        <w:trPr>
          <w:jc w:val="center"/>
        </w:trPr>
        <w:tc>
          <w:tcPr>
            <w:tcW w:w="1134" w:type="dxa"/>
            <w:tcBorders>
              <w:top w:val="dotted" w:sz="6"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2006</w:t>
            </w:r>
          </w:p>
        </w:tc>
        <w:tc>
          <w:tcPr>
            <w:tcW w:w="3402" w:type="dxa"/>
            <w:tcBorders>
              <w:top w:val="dotted" w:sz="6" w:space="0" w:color="auto"/>
              <w:left w:val="single" w:sz="6" w:space="0" w:color="auto"/>
              <w:bottom w:val="dotted" w:sz="6" w:space="0" w:color="auto"/>
              <w:right w:val="single" w:sz="12" w:space="0" w:color="auto"/>
            </w:tcBorders>
          </w:tcPr>
          <w:p w:rsidR="007C7530" w:rsidRDefault="007C7530" w:rsidP="00B46CEF">
            <w:pPr>
              <w:spacing w:before="120"/>
              <w:jc w:val="center"/>
              <w:rPr>
                <w:rFonts w:ascii="Arial" w:hAnsi="Arial" w:cs="Arial"/>
                <w:sz w:val="20"/>
              </w:rPr>
            </w:pPr>
            <w:r>
              <w:rPr>
                <w:rFonts w:ascii="Arial" w:hAnsi="Arial" w:cs="Arial"/>
                <w:sz w:val="20"/>
              </w:rPr>
              <w:t>10 266 646</w:t>
            </w:r>
          </w:p>
        </w:tc>
        <w:tc>
          <w:tcPr>
            <w:tcW w:w="1134" w:type="dxa"/>
            <w:tcBorders>
              <w:top w:val="dotted" w:sz="6" w:space="0" w:color="auto"/>
              <w:left w:val="single" w:sz="12"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2011</w:t>
            </w:r>
          </w:p>
        </w:tc>
        <w:tc>
          <w:tcPr>
            <w:tcW w:w="3402" w:type="dxa"/>
            <w:tcBorders>
              <w:top w:val="dotted" w:sz="6" w:space="0" w:color="auto"/>
              <w:left w:val="single" w:sz="6" w:space="0" w:color="auto"/>
              <w:bottom w:val="dotted" w:sz="6" w:space="0" w:color="auto"/>
            </w:tcBorders>
          </w:tcPr>
          <w:p w:rsidR="007C7530" w:rsidRDefault="007C7530" w:rsidP="00B46CEF">
            <w:pPr>
              <w:spacing w:before="120"/>
              <w:jc w:val="center"/>
              <w:rPr>
                <w:rFonts w:ascii="Arial" w:hAnsi="Arial" w:cs="Arial"/>
                <w:sz w:val="20"/>
              </w:rPr>
            </w:pPr>
            <w:r>
              <w:rPr>
                <w:rFonts w:ascii="Arial" w:hAnsi="Arial" w:cs="Arial"/>
                <w:sz w:val="20"/>
              </w:rPr>
              <w:t>10 496 672</w:t>
            </w:r>
          </w:p>
        </w:tc>
      </w:tr>
      <w:tr w:rsidR="007C7530" w:rsidTr="00B46CEF">
        <w:trPr>
          <w:jc w:val="center"/>
        </w:trPr>
        <w:tc>
          <w:tcPr>
            <w:tcW w:w="1134" w:type="dxa"/>
            <w:tcBorders>
              <w:top w:val="dotted" w:sz="6"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2007</w:t>
            </w:r>
          </w:p>
        </w:tc>
        <w:tc>
          <w:tcPr>
            <w:tcW w:w="3402" w:type="dxa"/>
            <w:tcBorders>
              <w:top w:val="dotted" w:sz="6" w:space="0" w:color="auto"/>
              <w:left w:val="single" w:sz="6" w:space="0" w:color="auto"/>
              <w:bottom w:val="dotted" w:sz="6" w:space="0" w:color="auto"/>
              <w:right w:val="single" w:sz="12" w:space="0" w:color="auto"/>
            </w:tcBorders>
          </w:tcPr>
          <w:p w:rsidR="007C7530" w:rsidRDefault="007C7530" w:rsidP="00B46CEF">
            <w:pPr>
              <w:spacing w:before="120"/>
              <w:jc w:val="center"/>
              <w:rPr>
                <w:rFonts w:ascii="Arial" w:hAnsi="Arial" w:cs="Arial"/>
                <w:sz w:val="20"/>
              </w:rPr>
            </w:pPr>
            <w:r>
              <w:rPr>
                <w:rFonts w:ascii="Arial" w:hAnsi="Arial" w:cs="Arial"/>
                <w:sz w:val="20"/>
              </w:rPr>
              <w:t>10 324 102</w:t>
            </w:r>
          </w:p>
        </w:tc>
        <w:tc>
          <w:tcPr>
            <w:tcW w:w="1134" w:type="dxa"/>
            <w:tcBorders>
              <w:top w:val="dotted" w:sz="6" w:space="0" w:color="auto"/>
              <w:left w:val="single" w:sz="12"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2012</w:t>
            </w:r>
          </w:p>
        </w:tc>
        <w:tc>
          <w:tcPr>
            <w:tcW w:w="3402" w:type="dxa"/>
            <w:tcBorders>
              <w:top w:val="dotted" w:sz="6" w:space="0" w:color="auto"/>
              <w:left w:val="single" w:sz="6" w:space="0" w:color="auto"/>
              <w:bottom w:val="dotted" w:sz="6" w:space="0" w:color="auto"/>
            </w:tcBorders>
          </w:tcPr>
          <w:p w:rsidR="007C7530" w:rsidRDefault="007C7530" w:rsidP="00B46CEF">
            <w:pPr>
              <w:spacing w:before="120"/>
              <w:jc w:val="center"/>
              <w:rPr>
                <w:rFonts w:ascii="Arial" w:hAnsi="Arial" w:cs="Arial"/>
                <w:sz w:val="20"/>
              </w:rPr>
            </w:pPr>
            <w:r>
              <w:rPr>
                <w:rFonts w:ascii="Arial" w:hAnsi="Arial" w:cs="Arial"/>
                <w:sz w:val="20"/>
              </w:rPr>
              <w:t>10 509 286</w:t>
            </w:r>
          </w:p>
        </w:tc>
      </w:tr>
      <w:tr w:rsidR="007C7530" w:rsidTr="00B46CEF">
        <w:trPr>
          <w:jc w:val="center"/>
        </w:trPr>
        <w:tc>
          <w:tcPr>
            <w:tcW w:w="1134" w:type="dxa"/>
            <w:tcBorders>
              <w:top w:val="dotted" w:sz="6"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2008</w:t>
            </w:r>
          </w:p>
        </w:tc>
        <w:tc>
          <w:tcPr>
            <w:tcW w:w="3402" w:type="dxa"/>
            <w:tcBorders>
              <w:top w:val="dotted" w:sz="6" w:space="0" w:color="auto"/>
              <w:left w:val="single" w:sz="6" w:space="0" w:color="auto"/>
              <w:bottom w:val="dotted" w:sz="6" w:space="0" w:color="auto"/>
              <w:right w:val="single" w:sz="12" w:space="0" w:color="auto"/>
            </w:tcBorders>
          </w:tcPr>
          <w:p w:rsidR="007C7530" w:rsidRDefault="007C7530" w:rsidP="00B46CEF">
            <w:pPr>
              <w:spacing w:before="120"/>
              <w:jc w:val="center"/>
              <w:rPr>
                <w:rFonts w:ascii="Arial" w:hAnsi="Arial" w:cs="Arial"/>
                <w:sz w:val="20"/>
              </w:rPr>
            </w:pPr>
            <w:r>
              <w:rPr>
                <w:rFonts w:ascii="Arial" w:hAnsi="Arial" w:cs="Arial"/>
                <w:sz w:val="20"/>
              </w:rPr>
              <w:t>10 429 692</w:t>
            </w:r>
          </w:p>
        </w:tc>
        <w:tc>
          <w:tcPr>
            <w:tcW w:w="1134" w:type="dxa"/>
            <w:tcBorders>
              <w:top w:val="dotted" w:sz="6" w:space="0" w:color="auto"/>
              <w:left w:val="single" w:sz="12" w:space="0" w:color="auto"/>
              <w:bottom w:val="dotted" w:sz="6"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2013</w:t>
            </w:r>
          </w:p>
        </w:tc>
        <w:tc>
          <w:tcPr>
            <w:tcW w:w="3402" w:type="dxa"/>
            <w:tcBorders>
              <w:top w:val="dotted" w:sz="6" w:space="0" w:color="auto"/>
              <w:left w:val="single" w:sz="6" w:space="0" w:color="auto"/>
              <w:bottom w:val="dotted" w:sz="6" w:space="0" w:color="auto"/>
            </w:tcBorders>
          </w:tcPr>
          <w:p w:rsidR="007C7530" w:rsidRDefault="007C7530" w:rsidP="00B46CEF">
            <w:pPr>
              <w:spacing w:before="120"/>
              <w:jc w:val="center"/>
              <w:rPr>
                <w:rFonts w:ascii="Arial" w:hAnsi="Arial" w:cs="Arial"/>
                <w:sz w:val="20"/>
              </w:rPr>
            </w:pPr>
            <w:r>
              <w:rPr>
                <w:rFonts w:ascii="Arial" w:hAnsi="Arial" w:cs="Arial"/>
                <w:sz w:val="20"/>
              </w:rPr>
              <w:t>10 510 719</w:t>
            </w:r>
          </w:p>
        </w:tc>
      </w:tr>
      <w:tr w:rsidR="007C7530" w:rsidTr="00B46CEF">
        <w:trPr>
          <w:jc w:val="center"/>
        </w:trPr>
        <w:tc>
          <w:tcPr>
            <w:tcW w:w="1134" w:type="dxa"/>
            <w:tcBorders>
              <w:top w:val="dotted" w:sz="6" w:space="0" w:color="auto"/>
              <w:bottom w:val="single" w:sz="12" w:space="0" w:color="auto"/>
              <w:right w:val="single" w:sz="6" w:space="0" w:color="auto"/>
            </w:tcBorders>
          </w:tcPr>
          <w:p w:rsidR="007C7530" w:rsidRDefault="007C7530" w:rsidP="00B46CEF">
            <w:pPr>
              <w:spacing w:before="120"/>
              <w:jc w:val="center"/>
              <w:rPr>
                <w:rFonts w:ascii="Arial" w:hAnsi="Arial" w:cs="Arial"/>
                <w:sz w:val="20"/>
              </w:rPr>
            </w:pPr>
            <w:r>
              <w:rPr>
                <w:rFonts w:ascii="Arial" w:hAnsi="Arial" w:cs="Arial"/>
                <w:sz w:val="20"/>
              </w:rPr>
              <w:t>2009</w:t>
            </w:r>
          </w:p>
        </w:tc>
        <w:tc>
          <w:tcPr>
            <w:tcW w:w="3402" w:type="dxa"/>
            <w:tcBorders>
              <w:top w:val="dotted" w:sz="6" w:space="0" w:color="auto"/>
              <w:left w:val="single" w:sz="6" w:space="0" w:color="auto"/>
              <w:bottom w:val="single" w:sz="12" w:space="0" w:color="auto"/>
              <w:right w:val="single" w:sz="12" w:space="0" w:color="auto"/>
            </w:tcBorders>
          </w:tcPr>
          <w:p w:rsidR="007C7530" w:rsidRDefault="007C7530" w:rsidP="00B46CEF">
            <w:pPr>
              <w:spacing w:before="120"/>
              <w:jc w:val="center"/>
              <w:rPr>
                <w:rFonts w:ascii="Arial" w:hAnsi="Arial" w:cs="Arial"/>
                <w:sz w:val="20"/>
              </w:rPr>
            </w:pPr>
            <w:r>
              <w:rPr>
                <w:rFonts w:ascii="Arial" w:hAnsi="Arial" w:cs="Arial"/>
                <w:sz w:val="20"/>
              </w:rPr>
              <w:t>10 491 492</w:t>
            </w:r>
          </w:p>
        </w:tc>
        <w:tc>
          <w:tcPr>
            <w:tcW w:w="1134" w:type="dxa"/>
            <w:tcBorders>
              <w:top w:val="dotted" w:sz="6" w:space="0" w:color="auto"/>
              <w:left w:val="single" w:sz="12" w:space="0" w:color="auto"/>
              <w:bottom w:val="single" w:sz="12" w:space="0" w:color="auto"/>
              <w:right w:val="single" w:sz="6" w:space="0" w:color="auto"/>
            </w:tcBorders>
          </w:tcPr>
          <w:p w:rsidR="007C7530" w:rsidRDefault="007C7530" w:rsidP="00B46CEF">
            <w:pPr>
              <w:spacing w:before="120"/>
              <w:jc w:val="center"/>
              <w:rPr>
                <w:rFonts w:ascii="Arial" w:hAnsi="Arial" w:cs="Arial"/>
                <w:sz w:val="20"/>
              </w:rPr>
            </w:pPr>
          </w:p>
        </w:tc>
        <w:tc>
          <w:tcPr>
            <w:tcW w:w="3402" w:type="dxa"/>
            <w:tcBorders>
              <w:top w:val="dotted" w:sz="6" w:space="0" w:color="auto"/>
              <w:left w:val="single" w:sz="6" w:space="0" w:color="auto"/>
              <w:bottom w:val="single" w:sz="12" w:space="0" w:color="auto"/>
            </w:tcBorders>
          </w:tcPr>
          <w:p w:rsidR="007C7530" w:rsidRDefault="007C7530" w:rsidP="00B46CEF">
            <w:pPr>
              <w:spacing w:before="120"/>
              <w:jc w:val="center"/>
              <w:rPr>
                <w:rFonts w:ascii="Arial" w:hAnsi="Arial" w:cs="Arial"/>
                <w:sz w:val="20"/>
              </w:rPr>
            </w:pPr>
          </w:p>
        </w:tc>
      </w:tr>
    </w:tbl>
    <w:p w:rsidR="007C7530" w:rsidRDefault="007C7530" w:rsidP="007C7530">
      <w:pPr>
        <w:ind w:firstLine="567"/>
        <w:jc w:val="both"/>
        <w:rPr>
          <w:rFonts w:ascii="Arial" w:hAnsi="Arial" w:cs="Arial"/>
          <w:sz w:val="20"/>
          <w:lang w:val="en-US"/>
        </w:rPr>
      </w:pPr>
    </w:p>
    <w:p w:rsidR="007C7530" w:rsidRDefault="007C7530" w:rsidP="007C7530">
      <w:pPr>
        <w:ind w:firstLine="567"/>
        <w:jc w:val="both"/>
        <w:rPr>
          <w:rFonts w:ascii="Arial" w:hAnsi="Arial" w:cs="Arial"/>
          <w:sz w:val="20"/>
          <w:lang w:val="en-US"/>
        </w:rPr>
      </w:pPr>
    </w:p>
    <w:p w:rsidR="007C7530" w:rsidRDefault="007C7530" w:rsidP="007C7530">
      <w:pPr>
        <w:ind w:firstLine="567"/>
        <w:jc w:val="both"/>
        <w:rPr>
          <w:rFonts w:ascii="Arial" w:hAnsi="Arial" w:cs="Arial"/>
          <w:sz w:val="20"/>
          <w:lang w:val="en-US"/>
        </w:rPr>
      </w:pPr>
      <w:r>
        <w:rPr>
          <w:rFonts w:ascii="Arial" w:hAnsi="Arial" w:cs="Arial"/>
          <w:sz w:val="20"/>
          <w:lang w:val="en-US"/>
        </w:rPr>
        <w:t>Although till 1992 the methodology utilized in calculations had been different from what is the current state, it is possible to make long-term comparisons. However, there are some items published until 1992 that cannot be found in present publications. This problem mainly concerns vegetable and fruit products consumption.</w:t>
      </w:r>
    </w:p>
    <w:p w:rsidR="007C7530" w:rsidRDefault="007C7530" w:rsidP="007C7530">
      <w:pPr>
        <w:ind w:firstLine="567"/>
        <w:jc w:val="both"/>
        <w:rPr>
          <w:rFonts w:ascii="Arial" w:hAnsi="Arial" w:cs="Arial"/>
          <w:sz w:val="20"/>
          <w:lang w:val="en-US"/>
        </w:rPr>
      </w:pPr>
    </w:p>
    <w:p w:rsidR="007C7530" w:rsidRDefault="007C7530" w:rsidP="007C7530">
      <w:pPr>
        <w:ind w:firstLine="567"/>
        <w:jc w:val="both"/>
        <w:rPr>
          <w:rFonts w:ascii="Arial" w:hAnsi="Arial" w:cs="Arial"/>
          <w:b/>
          <w:sz w:val="20"/>
          <w:lang w:val="en-US"/>
        </w:rPr>
      </w:pPr>
      <w:r w:rsidRPr="006A5F97">
        <w:rPr>
          <w:rFonts w:ascii="Arial" w:hAnsi="Arial" w:cs="Arial"/>
          <w:b/>
          <w:sz w:val="20"/>
          <w:lang w:val="en-US"/>
        </w:rPr>
        <w:t>Symbols used in the tables</w:t>
      </w:r>
    </w:p>
    <w:p w:rsidR="007C7530" w:rsidRDefault="007C7530" w:rsidP="007C7530">
      <w:pPr>
        <w:jc w:val="both"/>
        <w:rPr>
          <w:rFonts w:ascii="Arial" w:hAnsi="Arial" w:cs="Arial"/>
          <w:b/>
          <w:sz w:val="20"/>
          <w:lang w:val="en-US"/>
        </w:rPr>
      </w:pPr>
    </w:p>
    <w:p w:rsidR="007C7530" w:rsidRDefault="007C7530" w:rsidP="007C7530">
      <w:pPr>
        <w:jc w:val="both"/>
        <w:rPr>
          <w:rFonts w:ascii="Arial" w:hAnsi="Arial" w:cs="Arial"/>
          <w:sz w:val="20"/>
          <w:lang w:val="en-US"/>
        </w:rPr>
      </w:pPr>
      <w:r>
        <w:rPr>
          <w:rFonts w:ascii="Arial" w:hAnsi="Arial" w:cs="Arial"/>
          <w:b/>
          <w:sz w:val="20"/>
          <w:lang w:val="en-US"/>
        </w:rPr>
        <w:t xml:space="preserve">.         </w:t>
      </w:r>
      <w:proofErr w:type="gramStart"/>
      <w:r w:rsidRPr="006A5F97">
        <w:rPr>
          <w:rFonts w:ascii="Arial" w:hAnsi="Arial" w:cs="Arial"/>
          <w:sz w:val="20"/>
          <w:lang w:val="en-US"/>
        </w:rPr>
        <w:t>data</w:t>
      </w:r>
      <w:proofErr w:type="gramEnd"/>
      <w:r w:rsidRPr="006A5F97">
        <w:rPr>
          <w:rFonts w:ascii="Arial" w:hAnsi="Arial" w:cs="Arial"/>
          <w:sz w:val="20"/>
          <w:lang w:val="en-US"/>
        </w:rPr>
        <w:t xml:space="preserve"> unavailabl</w:t>
      </w:r>
      <w:r>
        <w:rPr>
          <w:rFonts w:ascii="Arial" w:hAnsi="Arial" w:cs="Arial"/>
          <w:sz w:val="20"/>
          <w:lang w:val="en-US"/>
        </w:rPr>
        <w:t>e</w:t>
      </w:r>
    </w:p>
    <w:p w:rsidR="007C7530" w:rsidRDefault="007C7530" w:rsidP="007C7530">
      <w:pPr>
        <w:jc w:val="both"/>
        <w:rPr>
          <w:rFonts w:ascii="Arial" w:hAnsi="Arial" w:cs="Arial"/>
          <w:sz w:val="20"/>
          <w:lang w:val="en-US"/>
        </w:rPr>
      </w:pPr>
      <w:proofErr w:type="gramStart"/>
      <w:r>
        <w:rPr>
          <w:rFonts w:ascii="Arial" w:hAnsi="Arial" w:cs="Arial"/>
          <w:sz w:val="20"/>
          <w:lang w:val="en-US"/>
        </w:rPr>
        <w:t>x</w:t>
      </w:r>
      <w:proofErr w:type="gramEnd"/>
      <w:r>
        <w:rPr>
          <w:rFonts w:ascii="Arial" w:hAnsi="Arial" w:cs="Arial"/>
          <w:sz w:val="20"/>
          <w:lang w:val="en-US"/>
        </w:rPr>
        <w:t xml:space="preserve">        not applicable</w:t>
      </w:r>
    </w:p>
    <w:p w:rsidR="00C26D00" w:rsidRDefault="007C7530" w:rsidP="007C7530">
      <w:r>
        <w:rPr>
          <w:rFonts w:ascii="Arial" w:hAnsi="Arial" w:cs="Arial"/>
          <w:sz w:val="20"/>
          <w:lang w:val="en-US"/>
        </w:rPr>
        <w:t>0        less than half the final digit shown and greater than real zero</w:t>
      </w:r>
    </w:p>
    <w:sectPr w:rsidR="00C26D00" w:rsidSect="00C26D0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EE2765"/>
    <w:multiLevelType w:val="hybridMultilevel"/>
    <w:tmpl w:val="255C8D66"/>
    <w:lvl w:ilvl="0" w:tplc="158631CE">
      <w:start w:val="1"/>
      <w:numFmt w:val="bullet"/>
      <w:lvlText w:val=""/>
      <w:lvlJc w:val="left"/>
      <w:pPr>
        <w:tabs>
          <w:tab w:val="num" w:pos="397"/>
        </w:tabs>
        <w:ind w:left="397" w:hanging="397"/>
      </w:pPr>
      <w:rPr>
        <w:rFonts w:ascii="Wingdings" w:hAnsi="Wingdings" w:hint="default"/>
        <w:sz w:val="14"/>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E610E8"/>
    <w:rsid w:val="00512A42"/>
    <w:rsid w:val="00724E11"/>
    <w:rsid w:val="007C7530"/>
    <w:rsid w:val="00C26D00"/>
    <w:rsid w:val="00E610E8"/>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7C7530"/>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C753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C7530"/>
    <w:rPr>
      <w:rFonts w:ascii="Arial Narrow" w:eastAsia="Times New Roman" w:hAnsi="Arial Narrow" w:cs="Times New Roman"/>
      <w:b/>
      <w:bCs/>
      <w:sz w:val="30"/>
      <w:szCs w:val="30"/>
      <w:lang w:eastAsia="cs-CZ"/>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412</Words>
  <Characters>2431</Characters>
  <Application>Microsoft Office Word</Application>
  <DocSecurity>0</DocSecurity>
  <Lines>20</Lines>
  <Paragraphs>5</Paragraphs>
  <ScaleCrop>false</ScaleCrop>
  <Company>ČSÚ</Company>
  <LinksUpToDate>false</LinksUpToDate>
  <CharactersWithSpaces>2838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hnidkova2727</dc:creator>
  <cp:lastModifiedBy>hnidkova2727</cp:lastModifiedBy>
  <cp:revision>3</cp:revision>
  <dcterms:created xsi:type="dcterms:W3CDTF">2014-11-13T13:39:00Z</dcterms:created>
  <dcterms:modified xsi:type="dcterms:W3CDTF">2014-11-13T13:46:00Z</dcterms:modified>
</cp:coreProperties>
</file>