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AC" w:rsidRPr="00B112AC" w:rsidRDefault="00262CD7" w:rsidP="00B112AC">
      <w:pPr>
        <w:pStyle w:val="Nadpis1"/>
        <w:spacing w:after="120"/>
        <w:rPr>
          <w:b w:val="0"/>
        </w:rPr>
      </w:pPr>
      <w:r>
        <w:rPr>
          <w:sz w:val="30"/>
          <w:szCs w:val="30"/>
        </w:rPr>
        <w:t>3</w:t>
      </w:r>
      <w:r w:rsidR="006D0540">
        <w:rPr>
          <w:sz w:val="30"/>
          <w:szCs w:val="30"/>
        </w:rPr>
        <w:t xml:space="preserve">.  </w:t>
      </w:r>
      <w:r w:rsidR="00B112AC" w:rsidRPr="00B112AC">
        <w:rPr>
          <w:sz w:val="30"/>
          <w:szCs w:val="30"/>
        </w:rPr>
        <w:t>Webové stránky a jejich využití</w:t>
      </w:r>
    </w:p>
    <w:p w:rsidR="00C16BD2" w:rsidRPr="00C16BD2" w:rsidRDefault="00C16BD2" w:rsidP="00C16BD2">
      <w:pPr>
        <w:spacing w:after="80" w:line="264" w:lineRule="auto"/>
        <w:jc w:val="both"/>
        <w:rPr>
          <w:rFonts w:ascii="Arial" w:hAnsi="Arial" w:cs="Arial"/>
          <w:i/>
          <w:sz w:val="20"/>
          <w:szCs w:val="20"/>
        </w:rPr>
      </w:pPr>
      <w:r w:rsidRPr="00C16BD2">
        <w:rPr>
          <w:rFonts w:ascii="Arial" w:hAnsi="Arial" w:cs="Arial"/>
          <w:i/>
          <w:sz w:val="20"/>
          <w:szCs w:val="20"/>
        </w:rPr>
        <w:t xml:space="preserve">Ekonomické subjekty se mohou díky internetu velmi efektivně nejen prezentovat a zvyšovat povědomí o své existenci – budovat své dobré jméno – ale i komunikovat se svými zákazníky či dodavateli. Zřejmě nejznámější prostředí pro sebepropagaci firem na internetu jsou jejich webové stránky. Na nich představují nejen samy sebe a své produkty, ale v mnoha případech přes vlastní webové stránky i tyto produkty prodávají. </w:t>
      </w:r>
    </w:p>
    <w:p w:rsidR="00B112AC" w:rsidRPr="00B112AC" w:rsidRDefault="00B112AC" w:rsidP="006C7086">
      <w:pPr>
        <w:pStyle w:val="Nadpis2"/>
        <w:spacing w:before="240" w:after="120" w:line="240" w:lineRule="auto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:rsidR="006C7086" w:rsidRDefault="006C7086" w:rsidP="006C708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roce</w:t>
      </w:r>
      <w:r w:rsidRPr="00DF4018">
        <w:rPr>
          <w:rFonts w:ascii="Arial" w:hAnsi="Arial" w:cs="Arial"/>
          <w:sz w:val="20"/>
        </w:rPr>
        <w:t xml:space="preserve"> 201</w:t>
      </w:r>
      <w:r>
        <w:rPr>
          <w:rFonts w:ascii="Arial" w:hAnsi="Arial" w:cs="Arial"/>
          <w:sz w:val="20"/>
        </w:rPr>
        <w:t>8</w:t>
      </w:r>
      <w:r w:rsidRPr="00DF4018">
        <w:rPr>
          <w:rFonts w:ascii="Arial" w:hAnsi="Arial" w:cs="Arial"/>
          <w:sz w:val="20"/>
        </w:rPr>
        <w:t xml:space="preserve"> mělo v České republice </w:t>
      </w:r>
      <w:r w:rsidRPr="00ED5BCB">
        <w:rPr>
          <w:rFonts w:ascii="Arial" w:hAnsi="Arial" w:cs="Arial"/>
          <w:b/>
          <w:sz w:val="20"/>
        </w:rPr>
        <w:t>webové stránky</w:t>
      </w:r>
      <w:r w:rsidRPr="00DF4018">
        <w:rPr>
          <w:rFonts w:ascii="Arial" w:hAnsi="Arial" w:cs="Arial"/>
          <w:sz w:val="20"/>
        </w:rPr>
        <w:t xml:space="preserve"> 83 % firem s deseti a více zaměstnanci. Oproti roku 2001, kdy měla webové stránky necelá polovina subjektů (45 %), se jejich podíl téměř zdvojnásobil. Nejvyšší nárůst podílu firem s webovými stránkami zaznamenal ČSÚ před rokem 2004, v následujících letech tento podíl narůstal už jen pozvolna a od roku 2014 stagnuje.</w:t>
      </w:r>
      <w:r>
        <w:rPr>
          <w:rFonts w:ascii="Arial" w:hAnsi="Arial" w:cs="Arial"/>
          <w:sz w:val="20"/>
        </w:rPr>
        <w:t xml:space="preserve"> </w:t>
      </w:r>
      <w:r w:rsidRPr="00B11A56">
        <w:rPr>
          <w:rFonts w:ascii="Arial" w:hAnsi="Arial" w:cs="Arial"/>
          <w:sz w:val="20"/>
        </w:rPr>
        <w:t>Webovou prezentaci měly v</w:t>
      </w:r>
      <w:r>
        <w:rPr>
          <w:rFonts w:ascii="Arial" w:hAnsi="Arial" w:cs="Arial"/>
          <w:sz w:val="20"/>
        </w:rPr>
        <w:t> posledním šetření</w:t>
      </w:r>
      <w:r w:rsidRPr="00B11A56">
        <w:rPr>
          <w:rFonts w:ascii="Arial" w:hAnsi="Arial" w:cs="Arial"/>
          <w:sz w:val="20"/>
        </w:rPr>
        <w:t xml:space="preserve"> nejčastěji subjekty působící v ubytování, v cestovním ruchu a v sektoru informačních a</w:t>
      </w:r>
      <w:r>
        <w:rPr>
          <w:rFonts w:ascii="Arial" w:hAnsi="Arial" w:cs="Arial"/>
          <w:sz w:val="20"/>
        </w:rPr>
        <w:t> </w:t>
      </w:r>
      <w:r w:rsidRPr="00B11A56">
        <w:rPr>
          <w:rFonts w:ascii="Arial" w:hAnsi="Arial" w:cs="Arial"/>
          <w:sz w:val="20"/>
        </w:rPr>
        <w:t>komunikačních činností (více než 9</w:t>
      </w:r>
      <w:r>
        <w:rPr>
          <w:rFonts w:ascii="Arial" w:hAnsi="Arial" w:cs="Arial"/>
          <w:sz w:val="20"/>
        </w:rPr>
        <w:t>5</w:t>
      </w:r>
      <w:r w:rsidRPr="00B11A56">
        <w:rPr>
          <w:rFonts w:ascii="Arial" w:hAnsi="Arial" w:cs="Arial"/>
          <w:sz w:val="20"/>
        </w:rPr>
        <w:t xml:space="preserve"> %). </w:t>
      </w:r>
    </w:p>
    <w:p w:rsidR="007D22B8" w:rsidRPr="00F71C9A" w:rsidRDefault="007D22B8" w:rsidP="00953E93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</w:rPr>
      </w:pPr>
      <w:r w:rsidRPr="00F71C9A">
        <w:rPr>
          <w:rFonts w:ascii="Arial" w:hAnsi="Arial" w:cs="Arial"/>
          <w:sz w:val="20"/>
        </w:rPr>
        <w:t xml:space="preserve">Mezi </w:t>
      </w:r>
      <w:r w:rsidRPr="00F71C9A">
        <w:rPr>
          <w:rFonts w:ascii="Arial" w:hAnsi="Arial" w:cs="Arial"/>
          <w:b/>
          <w:sz w:val="20"/>
        </w:rPr>
        <w:t>zeměmi EU28</w:t>
      </w:r>
      <w:r w:rsidRPr="00F71C9A">
        <w:rPr>
          <w:rFonts w:ascii="Arial" w:hAnsi="Arial" w:cs="Arial"/>
          <w:sz w:val="20"/>
        </w:rPr>
        <w:t xml:space="preserve"> se firmy v České republice v tomto ukazateli v roce 201</w:t>
      </w:r>
      <w:r w:rsidR="00C16BD2" w:rsidRPr="00F71C9A">
        <w:rPr>
          <w:rFonts w:ascii="Arial" w:hAnsi="Arial" w:cs="Arial"/>
          <w:sz w:val="20"/>
        </w:rPr>
        <w:t>8</w:t>
      </w:r>
      <w:r w:rsidR="00161DA1" w:rsidRPr="00F71C9A">
        <w:rPr>
          <w:rStyle w:val="Znakapoznpodarou"/>
          <w:rFonts w:ascii="Arial" w:hAnsi="Arial" w:cs="Arial"/>
          <w:sz w:val="20"/>
        </w:rPr>
        <w:footnoteReference w:id="1"/>
      </w:r>
      <w:r w:rsidRPr="00F71C9A">
        <w:rPr>
          <w:rFonts w:ascii="Arial" w:hAnsi="Arial" w:cs="Arial"/>
          <w:sz w:val="20"/>
        </w:rPr>
        <w:t xml:space="preserve"> umístil</w:t>
      </w:r>
      <w:r w:rsidR="00161DA1" w:rsidRPr="00F71C9A">
        <w:rPr>
          <w:rFonts w:ascii="Arial" w:hAnsi="Arial" w:cs="Arial"/>
          <w:sz w:val="20"/>
        </w:rPr>
        <w:t>y</w:t>
      </w:r>
      <w:r w:rsidRPr="00F71C9A">
        <w:rPr>
          <w:rFonts w:ascii="Arial" w:hAnsi="Arial" w:cs="Arial"/>
          <w:sz w:val="20"/>
        </w:rPr>
        <w:t xml:space="preserve"> na</w:t>
      </w:r>
      <w:r w:rsidR="002C05D3" w:rsidRPr="00F71C9A">
        <w:rPr>
          <w:rFonts w:ascii="Arial" w:hAnsi="Arial" w:cs="Arial"/>
          <w:sz w:val="20"/>
        </w:rPr>
        <w:t xml:space="preserve"> nadprůměrném</w:t>
      </w:r>
      <w:r w:rsidRPr="00F71C9A">
        <w:rPr>
          <w:rFonts w:ascii="Arial" w:hAnsi="Arial" w:cs="Arial"/>
          <w:sz w:val="20"/>
        </w:rPr>
        <w:t xml:space="preserve"> </w:t>
      </w:r>
      <w:r w:rsidR="002C05D3" w:rsidRPr="00F71C9A">
        <w:rPr>
          <w:rFonts w:ascii="Arial" w:hAnsi="Arial" w:cs="Arial"/>
          <w:sz w:val="20"/>
        </w:rPr>
        <w:t>10.</w:t>
      </w:r>
      <w:r w:rsidRPr="00F71C9A">
        <w:rPr>
          <w:rFonts w:ascii="Arial" w:hAnsi="Arial" w:cs="Arial"/>
          <w:sz w:val="20"/>
        </w:rPr>
        <w:t xml:space="preserve"> místě. Průměr evropské osmadvacítky dosáhl v roce 201</w:t>
      </w:r>
      <w:r w:rsidR="00C16BD2" w:rsidRPr="00F71C9A">
        <w:rPr>
          <w:rFonts w:ascii="Arial" w:hAnsi="Arial" w:cs="Arial"/>
          <w:sz w:val="20"/>
        </w:rPr>
        <w:t>8</w:t>
      </w:r>
      <w:r w:rsidRPr="00F71C9A">
        <w:rPr>
          <w:rFonts w:ascii="Arial" w:hAnsi="Arial" w:cs="Arial"/>
          <w:sz w:val="20"/>
        </w:rPr>
        <w:t xml:space="preserve"> hranice 77 % firem s webovými stránkami. </w:t>
      </w:r>
    </w:p>
    <w:p w:rsidR="00A34E5A" w:rsidRPr="00B11A56" w:rsidRDefault="00AD4F59" w:rsidP="00953E93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Téměř polovina </w:t>
      </w:r>
      <w:r w:rsidR="00C45250" w:rsidRPr="00B11A56">
        <w:rPr>
          <w:rFonts w:ascii="Arial" w:hAnsi="Arial" w:cs="Arial"/>
          <w:sz w:val="20"/>
        </w:rPr>
        <w:t xml:space="preserve"> firem</w:t>
      </w:r>
      <w:r w:rsidR="000B5B64" w:rsidRPr="00B11A56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 </w:t>
      </w:r>
      <w:r w:rsidR="000B5B64" w:rsidRPr="00B11A56">
        <w:rPr>
          <w:rFonts w:ascii="Arial" w:hAnsi="Arial" w:cs="Arial"/>
          <w:sz w:val="20"/>
        </w:rPr>
        <w:t>ČR</w:t>
      </w:r>
      <w:r>
        <w:rPr>
          <w:rFonts w:ascii="Arial" w:hAnsi="Arial" w:cs="Arial"/>
          <w:sz w:val="20"/>
        </w:rPr>
        <w:t xml:space="preserve"> (48 %)</w:t>
      </w:r>
      <w:r w:rsidR="00DF4018" w:rsidRPr="00B11A56">
        <w:rPr>
          <w:rFonts w:ascii="Arial" w:hAnsi="Arial" w:cs="Arial"/>
          <w:sz w:val="20"/>
        </w:rPr>
        <w:t xml:space="preserve">, resp. více než </w:t>
      </w:r>
      <w:r>
        <w:rPr>
          <w:rFonts w:ascii="Arial" w:hAnsi="Arial" w:cs="Arial"/>
          <w:sz w:val="20"/>
        </w:rPr>
        <w:t>57%</w:t>
      </w:r>
      <w:r w:rsidR="00DF4018" w:rsidRPr="00B11A56">
        <w:rPr>
          <w:rFonts w:ascii="Arial" w:hAnsi="Arial" w:cs="Arial"/>
          <w:sz w:val="20"/>
        </w:rPr>
        <w:t xml:space="preserve"> firem s webovými stránkami</w:t>
      </w:r>
      <w:r w:rsidR="00C45250" w:rsidRPr="00B11A56">
        <w:rPr>
          <w:rFonts w:ascii="Arial" w:hAnsi="Arial" w:cs="Arial"/>
          <w:sz w:val="20"/>
        </w:rPr>
        <w:t xml:space="preserve"> měl</w:t>
      </w:r>
      <w:r w:rsidR="00DF4018" w:rsidRPr="00B11A56">
        <w:rPr>
          <w:rFonts w:ascii="Arial" w:hAnsi="Arial" w:cs="Arial"/>
          <w:sz w:val="20"/>
        </w:rPr>
        <w:t>a</w:t>
      </w:r>
      <w:r w:rsidR="00C45250" w:rsidRPr="00B11A56">
        <w:rPr>
          <w:rFonts w:ascii="Arial" w:hAnsi="Arial" w:cs="Arial"/>
          <w:sz w:val="20"/>
        </w:rPr>
        <w:t xml:space="preserve"> v </w:t>
      </w:r>
      <w:r w:rsidR="006C7086">
        <w:rPr>
          <w:rFonts w:ascii="Arial" w:hAnsi="Arial" w:cs="Arial"/>
          <w:sz w:val="20"/>
        </w:rPr>
        <w:t>roce</w:t>
      </w:r>
      <w:r w:rsidR="00C45250" w:rsidRPr="00B11A56">
        <w:rPr>
          <w:rFonts w:ascii="Arial" w:hAnsi="Arial" w:cs="Arial"/>
          <w:sz w:val="20"/>
        </w:rPr>
        <w:t xml:space="preserve"> 201</w:t>
      </w:r>
      <w:r>
        <w:rPr>
          <w:rFonts w:ascii="Arial" w:hAnsi="Arial" w:cs="Arial"/>
          <w:sz w:val="20"/>
        </w:rPr>
        <w:t>8</w:t>
      </w:r>
      <w:r w:rsidR="00C45250" w:rsidRPr="00B11A56">
        <w:rPr>
          <w:rFonts w:ascii="Arial" w:hAnsi="Arial" w:cs="Arial"/>
          <w:sz w:val="20"/>
        </w:rPr>
        <w:t xml:space="preserve"> </w:t>
      </w:r>
      <w:r w:rsidR="00911872" w:rsidRPr="00B11A56">
        <w:rPr>
          <w:rFonts w:ascii="Arial" w:hAnsi="Arial" w:cs="Arial"/>
          <w:sz w:val="20"/>
        </w:rPr>
        <w:t>sv</w:t>
      </w:r>
      <w:r w:rsidR="00817313" w:rsidRPr="00B11A56">
        <w:rPr>
          <w:rFonts w:ascii="Arial" w:hAnsi="Arial" w:cs="Arial"/>
          <w:sz w:val="20"/>
        </w:rPr>
        <w:t>ůj</w:t>
      </w:r>
      <w:r w:rsidR="00911872" w:rsidRPr="00B11A56">
        <w:rPr>
          <w:rFonts w:ascii="Arial" w:hAnsi="Arial" w:cs="Arial"/>
          <w:sz w:val="20"/>
        </w:rPr>
        <w:t xml:space="preserve"> </w:t>
      </w:r>
      <w:r w:rsidR="00C45250" w:rsidRPr="00B11A56">
        <w:rPr>
          <w:rFonts w:ascii="Arial" w:hAnsi="Arial" w:cs="Arial"/>
          <w:sz w:val="20"/>
        </w:rPr>
        <w:t xml:space="preserve">web </w:t>
      </w:r>
      <w:r w:rsidR="00C45250" w:rsidRPr="00B11A56">
        <w:rPr>
          <w:rFonts w:ascii="Arial" w:hAnsi="Arial" w:cs="Arial"/>
          <w:b/>
          <w:sz w:val="20"/>
        </w:rPr>
        <w:t>p</w:t>
      </w:r>
      <w:r w:rsidR="009C3EFC" w:rsidRPr="00B11A56">
        <w:rPr>
          <w:rFonts w:ascii="Arial" w:hAnsi="Arial" w:cs="Arial"/>
          <w:b/>
          <w:sz w:val="20"/>
        </w:rPr>
        <w:t>řizpůsoben pro mobilní</w:t>
      </w:r>
      <w:r w:rsidR="00C45250" w:rsidRPr="00B11A56">
        <w:rPr>
          <w:rFonts w:ascii="Arial" w:hAnsi="Arial" w:cs="Arial"/>
          <w:b/>
          <w:sz w:val="20"/>
        </w:rPr>
        <w:t xml:space="preserve"> zařízení</w:t>
      </w:r>
      <w:r w:rsidR="00C45250" w:rsidRPr="00B11A56">
        <w:rPr>
          <w:rFonts w:ascii="Arial" w:hAnsi="Arial" w:cs="Arial"/>
          <w:sz w:val="20"/>
        </w:rPr>
        <w:t xml:space="preserve">. Webové stránky </w:t>
      </w:r>
      <w:r w:rsidR="00B358C9">
        <w:rPr>
          <w:rFonts w:ascii="Arial" w:hAnsi="Arial" w:cs="Arial"/>
          <w:sz w:val="20"/>
        </w:rPr>
        <w:t>mající mobilní verzi pro přenosná zařízení</w:t>
      </w:r>
      <w:r w:rsidR="00C45250" w:rsidRPr="00B11A56">
        <w:rPr>
          <w:rFonts w:ascii="Arial" w:hAnsi="Arial" w:cs="Arial"/>
          <w:sz w:val="20"/>
        </w:rPr>
        <w:t xml:space="preserve"> </w:t>
      </w:r>
      <w:r w:rsidR="00817313" w:rsidRPr="00B11A56">
        <w:rPr>
          <w:rFonts w:ascii="Arial" w:hAnsi="Arial" w:cs="Arial"/>
          <w:sz w:val="20"/>
        </w:rPr>
        <w:t xml:space="preserve">měly </w:t>
      </w:r>
      <w:r w:rsidR="00C45250" w:rsidRPr="00B11A56">
        <w:rPr>
          <w:rFonts w:ascii="Arial" w:hAnsi="Arial" w:cs="Arial"/>
          <w:sz w:val="20"/>
        </w:rPr>
        <w:t>častěji velké firmy</w:t>
      </w:r>
      <w:r w:rsidR="00643526" w:rsidRPr="00B11A56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64</w:t>
      </w:r>
      <w:r w:rsidR="00643526" w:rsidRPr="00B11A56">
        <w:rPr>
          <w:rFonts w:ascii="Arial" w:hAnsi="Arial" w:cs="Arial"/>
          <w:sz w:val="20"/>
        </w:rPr>
        <w:t xml:space="preserve"> %)</w:t>
      </w:r>
      <w:r w:rsidR="00C45250" w:rsidRPr="00B11A56">
        <w:rPr>
          <w:rFonts w:ascii="Arial" w:hAnsi="Arial" w:cs="Arial"/>
          <w:sz w:val="20"/>
        </w:rPr>
        <w:t xml:space="preserve"> </w:t>
      </w:r>
      <w:r w:rsidR="00FF199B" w:rsidRPr="00B11A56">
        <w:rPr>
          <w:rFonts w:ascii="Arial" w:hAnsi="Arial" w:cs="Arial"/>
          <w:sz w:val="20"/>
        </w:rPr>
        <w:t xml:space="preserve">a z hlediska odvětvového firmy </w:t>
      </w:r>
      <w:r w:rsidRPr="00B11A56">
        <w:rPr>
          <w:rFonts w:ascii="Arial" w:hAnsi="Arial" w:cs="Arial"/>
          <w:sz w:val="20"/>
        </w:rPr>
        <w:t>působící v oblasti IT či</w:t>
      </w:r>
      <w:r w:rsidR="006C7076">
        <w:rPr>
          <w:rFonts w:ascii="Arial" w:hAnsi="Arial" w:cs="Arial"/>
          <w:sz w:val="20"/>
        </w:rPr>
        <w:t> </w:t>
      </w:r>
      <w:r w:rsidRPr="00B11A56">
        <w:rPr>
          <w:rFonts w:ascii="Arial" w:hAnsi="Arial" w:cs="Arial"/>
          <w:sz w:val="20"/>
        </w:rPr>
        <w:t>v telekomunikačním sektoru</w:t>
      </w:r>
      <w:r>
        <w:rPr>
          <w:rFonts w:ascii="Arial" w:hAnsi="Arial" w:cs="Arial"/>
          <w:sz w:val="20"/>
        </w:rPr>
        <w:t>, firmy</w:t>
      </w:r>
      <w:r w:rsidRPr="00B11A56">
        <w:rPr>
          <w:rFonts w:ascii="Arial" w:hAnsi="Arial" w:cs="Arial"/>
          <w:sz w:val="20"/>
        </w:rPr>
        <w:t xml:space="preserve"> </w:t>
      </w:r>
      <w:r w:rsidR="00FF199B" w:rsidRPr="00B11A56">
        <w:rPr>
          <w:rFonts w:ascii="Arial" w:hAnsi="Arial" w:cs="Arial"/>
          <w:sz w:val="20"/>
        </w:rPr>
        <w:t>poskytující ubytování</w:t>
      </w:r>
      <w:r w:rsidR="00643526" w:rsidRPr="00B11A5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nebo</w:t>
      </w:r>
      <w:r w:rsidR="00FF199B" w:rsidRPr="00B11A56">
        <w:rPr>
          <w:rFonts w:ascii="Arial" w:hAnsi="Arial" w:cs="Arial"/>
          <w:sz w:val="20"/>
        </w:rPr>
        <w:t xml:space="preserve"> subjekty </w:t>
      </w:r>
      <w:r>
        <w:rPr>
          <w:rFonts w:ascii="Arial" w:hAnsi="Arial" w:cs="Arial"/>
          <w:sz w:val="20"/>
        </w:rPr>
        <w:t>působící v cestovním ruchu</w:t>
      </w:r>
      <w:r w:rsidR="00FF199B" w:rsidRPr="00B11A56">
        <w:rPr>
          <w:rFonts w:ascii="Arial" w:hAnsi="Arial" w:cs="Arial"/>
          <w:sz w:val="20"/>
        </w:rPr>
        <w:t>.</w:t>
      </w:r>
    </w:p>
    <w:p w:rsidR="007D22B8" w:rsidRPr="00161DA1" w:rsidRDefault="007D22B8" w:rsidP="00953E93">
      <w:pPr>
        <w:numPr>
          <w:ilvl w:val="0"/>
          <w:numId w:val="2"/>
        </w:numPr>
        <w:spacing w:after="60"/>
        <w:ind w:left="357" w:hanging="357"/>
        <w:jc w:val="both"/>
        <w:rPr>
          <w:rFonts w:ascii="Arial" w:hAnsi="Arial" w:cs="Arial"/>
          <w:sz w:val="20"/>
        </w:rPr>
      </w:pPr>
      <w:r w:rsidRPr="00161DA1">
        <w:rPr>
          <w:rFonts w:ascii="Arial" w:hAnsi="Arial" w:cs="Arial"/>
          <w:sz w:val="20"/>
        </w:rPr>
        <w:t xml:space="preserve">V českých </w:t>
      </w:r>
      <w:r w:rsidR="00161DA1">
        <w:rPr>
          <w:rFonts w:ascii="Arial" w:hAnsi="Arial" w:cs="Arial"/>
          <w:sz w:val="20"/>
        </w:rPr>
        <w:t>firmách</w:t>
      </w:r>
      <w:r w:rsidR="00643526">
        <w:rPr>
          <w:rFonts w:ascii="Arial" w:hAnsi="Arial" w:cs="Arial"/>
          <w:sz w:val="20"/>
        </w:rPr>
        <w:t xml:space="preserve"> s deseti a více zaměstnanci</w:t>
      </w:r>
      <w:r w:rsidRPr="00161DA1">
        <w:rPr>
          <w:rFonts w:ascii="Arial" w:hAnsi="Arial" w:cs="Arial"/>
          <w:sz w:val="20"/>
        </w:rPr>
        <w:t xml:space="preserve">, které mají webové stránky, provádí vývoj </w:t>
      </w:r>
      <w:r w:rsidR="00161DA1" w:rsidRPr="00161DA1">
        <w:rPr>
          <w:rFonts w:ascii="Arial" w:hAnsi="Arial" w:cs="Arial"/>
          <w:sz w:val="20"/>
        </w:rPr>
        <w:t xml:space="preserve">webových stránek </w:t>
      </w:r>
      <w:r w:rsidRPr="00161DA1">
        <w:rPr>
          <w:rFonts w:ascii="Arial" w:hAnsi="Arial" w:cs="Arial"/>
          <w:sz w:val="20"/>
        </w:rPr>
        <w:t xml:space="preserve">i </w:t>
      </w:r>
      <w:r w:rsidR="00161DA1" w:rsidRPr="00161DA1">
        <w:rPr>
          <w:rFonts w:ascii="Arial" w:hAnsi="Arial" w:cs="Arial"/>
          <w:sz w:val="20"/>
        </w:rPr>
        <w:t xml:space="preserve">jejich následnou </w:t>
      </w:r>
      <w:r w:rsidRPr="00161DA1">
        <w:rPr>
          <w:rFonts w:ascii="Arial" w:hAnsi="Arial" w:cs="Arial"/>
          <w:sz w:val="20"/>
        </w:rPr>
        <w:t>podporu</w:t>
      </w:r>
      <w:r w:rsidR="00161DA1" w:rsidRPr="00161DA1">
        <w:rPr>
          <w:rFonts w:ascii="Arial" w:hAnsi="Arial" w:cs="Arial"/>
          <w:sz w:val="20"/>
        </w:rPr>
        <w:t xml:space="preserve"> (správu jejich obsahu a aktualizace)</w:t>
      </w:r>
      <w:r w:rsidRPr="00161DA1">
        <w:rPr>
          <w:rFonts w:ascii="Arial" w:hAnsi="Arial" w:cs="Arial"/>
          <w:sz w:val="20"/>
        </w:rPr>
        <w:t xml:space="preserve"> </w:t>
      </w:r>
      <w:r w:rsidRPr="00953E93">
        <w:rPr>
          <w:rFonts w:ascii="Arial" w:hAnsi="Arial" w:cs="Arial"/>
          <w:b/>
          <w:sz w:val="20"/>
        </w:rPr>
        <w:t>častěji externisté než vlastní zaměstnanci</w:t>
      </w:r>
      <w:r w:rsidRPr="00161DA1">
        <w:rPr>
          <w:rFonts w:ascii="Arial" w:hAnsi="Arial" w:cs="Arial"/>
          <w:sz w:val="20"/>
        </w:rPr>
        <w:t xml:space="preserve"> firem. Z</w:t>
      </w:r>
      <w:r w:rsidR="00161DA1">
        <w:rPr>
          <w:rFonts w:ascii="Arial" w:hAnsi="Arial" w:cs="Arial"/>
          <w:sz w:val="20"/>
        </w:rPr>
        <w:t> </w:t>
      </w:r>
      <w:r w:rsidRPr="00161DA1">
        <w:rPr>
          <w:rFonts w:ascii="Arial" w:hAnsi="Arial" w:cs="Arial"/>
          <w:sz w:val="20"/>
        </w:rPr>
        <w:t>mezinárodního srovnání firem s webovými stránkami</w:t>
      </w:r>
      <w:r w:rsidR="00817313">
        <w:rPr>
          <w:rFonts w:ascii="Arial" w:hAnsi="Arial" w:cs="Arial"/>
          <w:sz w:val="20"/>
        </w:rPr>
        <w:t xml:space="preserve"> navíc</w:t>
      </w:r>
      <w:r w:rsidR="00161DA1" w:rsidRPr="00161DA1">
        <w:rPr>
          <w:rFonts w:ascii="Arial" w:hAnsi="Arial" w:cs="Arial"/>
          <w:sz w:val="20"/>
        </w:rPr>
        <w:t xml:space="preserve"> vyplývá, že</w:t>
      </w:r>
      <w:r w:rsidRPr="00161DA1">
        <w:rPr>
          <w:rFonts w:ascii="Arial" w:hAnsi="Arial" w:cs="Arial"/>
          <w:sz w:val="20"/>
        </w:rPr>
        <w:t xml:space="preserve"> české podniky</w:t>
      </w:r>
      <w:r w:rsidR="00161DA1" w:rsidRPr="00161DA1">
        <w:rPr>
          <w:rFonts w:ascii="Arial" w:hAnsi="Arial" w:cs="Arial"/>
          <w:sz w:val="20"/>
        </w:rPr>
        <w:t xml:space="preserve"> jsou</w:t>
      </w:r>
      <w:r w:rsidR="00B358C9">
        <w:rPr>
          <w:rFonts w:ascii="Arial" w:hAnsi="Arial" w:cs="Arial"/>
          <w:sz w:val="20"/>
        </w:rPr>
        <w:t xml:space="preserve"> právě</w:t>
      </w:r>
      <w:r w:rsidR="00161DA1" w:rsidRPr="00161DA1">
        <w:rPr>
          <w:rFonts w:ascii="Arial" w:hAnsi="Arial" w:cs="Arial"/>
          <w:sz w:val="20"/>
        </w:rPr>
        <w:t xml:space="preserve"> </w:t>
      </w:r>
      <w:r w:rsidRPr="00161DA1">
        <w:rPr>
          <w:rFonts w:ascii="Arial" w:hAnsi="Arial" w:cs="Arial"/>
          <w:sz w:val="20"/>
        </w:rPr>
        <w:t xml:space="preserve">jedny z těch, </w:t>
      </w:r>
      <w:r w:rsidR="00161DA1" w:rsidRPr="00161DA1">
        <w:rPr>
          <w:rFonts w:ascii="Arial" w:hAnsi="Arial" w:cs="Arial"/>
          <w:sz w:val="20"/>
        </w:rPr>
        <w:t>které</w:t>
      </w:r>
      <w:r w:rsidRPr="00161DA1">
        <w:rPr>
          <w:rFonts w:ascii="Arial" w:hAnsi="Arial" w:cs="Arial"/>
          <w:sz w:val="20"/>
        </w:rPr>
        <w:t xml:space="preserve"> vývoj a</w:t>
      </w:r>
      <w:r w:rsidR="006C7076">
        <w:rPr>
          <w:rFonts w:ascii="Arial" w:hAnsi="Arial" w:cs="Arial"/>
          <w:sz w:val="20"/>
        </w:rPr>
        <w:t xml:space="preserve"> následnou správu</w:t>
      </w:r>
      <w:r w:rsidRPr="00161DA1">
        <w:rPr>
          <w:rFonts w:ascii="Arial" w:hAnsi="Arial" w:cs="Arial"/>
          <w:sz w:val="20"/>
        </w:rPr>
        <w:t xml:space="preserve"> </w:t>
      </w:r>
      <w:r w:rsidR="00161DA1" w:rsidRPr="00161DA1">
        <w:rPr>
          <w:rFonts w:ascii="Arial" w:hAnsi="Arial" w:cs="Arial"/>
          <w:sz w:val="20"/>
        </w:rPr>
        <w:t>vlastních</w:t>
      </w:r>
      <w:r w:rsidRPr="00161DA1">
        <w:rPr>
          <w:rFonts w:ascii="Arial" w:hAnsi="Arial" w:cs="Arial"/>
          <w:sz w:val="20"/>
        </w:rPr>
        <w:t xml:space="preserve"> webových stránek nejčastěji zajišťují externě.</w:t>
      </w:r>
      <w:r w:rsidR="00AD76F0">
        <w:rPr>
          <w:rFonts w:ascii="Arial" w:hAnsi="Arial" w:cs="Arial"/>
          <w:sz w:val="20"/>
        </w:rPr>
        <w:t xml:space="preserve"> Na externí pracovníky se v záležitostech spojených s webovými stránkami obrací naprostá většina firem, výjimkou jsou jen firmy působící v IT odvětví</w:t>
      </w:r>
      <w:r w:rsidR="006C7076">
        <w:rPr>
          <w:rFonts w:ascii="Arial" w:hAnsi="Arial" w:cs="Arial"/>
          <w:sz w:val="20"/>
        </w:rPr>
        <w:t xml:space="preserve"> či v telekomunikacích</w:t>
      </w:r>
      <w:r w:rsidR="00AD76F0">
        <w:rPr>
          <w:rFonts w:ascii="Arial" w:hAnsi="Arial" w:cs="Arial"/>
          <w:sz w:val="20"/>
        </w:rPr>
        <w:t xml:space="preserve">, kde více než 60 % firem provádí </w:t>
      </w:r>
      <w:r w:rsidR="006C7076">
        <w:rPr>
          <w:rFonts w:ascii="Arial" w:hAnsi="Arial" w:cs="Arial"/>
          <w:sz w:val="20"/>
        </w:rPr>
        <w:t>správu</w:t>
      </w:r>
      <w:r w:rsidR="00AD76F0">
        <w:rPr>
          <w:rFonts w:ascii="Arial" w:hAnsi="Arial" w:cs="Arial"/>
          <w:sz w:val="20"/>
        </w:rPr>
        <w:t xml:space="preserve"> webových stránek díky svým vlastním zaměstnancům. </w:t>
      </w:r>
    </w:p>
    <w:p w:rsidR="00B112AC" w:rsidRPr="00FE7C69" w:rsidRDefault="00B112AC" w:rsidP="00FE7C6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</w:rPr>
      </w:pPr>
      <w:r w:rsidRPr="00F0027D">
        <w:rPr>
          <w:rFonts w:ascii="Arial" w:hAnsi="Arial" w:cs="Arial"/>
          <w:sz w:val="20"/>
        </w:rPr>
        <w:t xml:space="preserve">Nejčastější službou, kterou </w:t>
      </w:r>
      <w:r w:rsidR="009C3EFC" w:rsidRPr="00F0027D">
        <w:rPr>
          <w:rFonts w:ascii="Arial" w:hAnsi="Arial" w:cs="Arial"/>
          <w:sz w:val="20"/>
        </w:rPr>
        <w:t>firemní</w:t>
      </w:r>
      <w:r w:rsidRPr="00F0027D">
        <w:rPr>
          <w:rFonts w:ascii="Arial" w:hAnsi="Arial" w:cs="Arial"/>
          <w:sz w:val="20"/>
        </w:rPr>
        <w:t xml:space="preserve"> webové stránky ve vztahu ke svým zákazníkům nabízejí, je </w:t>
      </w:r>
      <w:r w:rsidR="0006111E" w:rsidRPr="00F0027D">
        <w:rPr>
          <w:rFonts w:ascii="Arial" w:hAnsi="Arial" w:cs="Arial"/>
          <w:sz w:val="20"/>
        </w:rPr>
        <w:t xml:space="preserve">možnost </w:t>
      </w:r>
      <w:r w:rsidR="0006111E" w:rsidRPr="00953E93">
        <w:rPr>
          <w:rFonts w:ascii="Arial" w:hAnsi="Arial" w:cs="Arial"/>
          <w:b/>
          <w:sz w:val="20"/>
        </w:rPr>
        <w:t>na</w:t>
      </w:r>
      <w:r w:rsidRPr="00953E93">
        <w:rPr>
          <w:rFonts w:ascii="Arial" w:hAnsi="Arial" w:cs="Arial"/>
          <w:b/>
          <w:sz w:val="20"/>
        </w:rPr>
        <w:t>hlížení</w:t>
      </w:r>
      <w:r w:rsidR="0006111E" w:rsidRPr="00953E93">
        <w:rPr>
          <w:rFonts w:ascii="Arial" w:hAnsi="Arial" w:cs="Arial"/>
          <w:b/>
          <w:sz w:val="20"/>
        </w:rPr>
        <w:t xml:space="preserve"> do</w:t>
      </w:r>
      <w:r w:rsidRPr="00953E93">
        <w:rPr>
          <w:rFonts w:ascii="Arial" w:hAnsi="Arial" w:cs="Arial"/>
          <w:b/>
          <w:sz w:val="20"/>
        </w:rPr>
        <w:t xml:space="preserve"> katalogů a ceníků</w:t>
      </w:r>
      <w:r w:rsidRPr="00F0027D">
        <w:rPr>
          <w:rFonts w:ascii="Arial" w:hAnsi="Arial" w:cs="Arial"/>
          <w:sz w:val="20"/>
        </w:rPr>
        <w:t xml:space="preserve"> nabízených výrobků a služeb. T</w:t>
      </w:r>
      <w:r w:rsidR="009C3EFC" w:rsidRPr="00F0027D">
        <w:rPr>
          <w:rFonts w:ascii="Arial" w:hAnsi="Arial" w:cs="Arial"/>
          <w:sz w:val="20"/>
        </w:rPr>
        <w:t>uto</w:t>
      </w:r>
      <w:r w:rsidRPr="00F0027D">
        <w:rPr>
          <w:rFonts w:ascii="Arial" w:hAnsi="Arial" w:cs="Arial"/>
          <w:sz w:val="20"/>
        </w:rPr>
        <w:t xml:space="preserve"> možnost</w:t>
      </w:r>
      <w:r w:rsidR="005E4081">
        <w:rPr>
          <w:rFonts w:ascii="Arial" w:hAnsi="Arial" w:cs="Arial"/>
          <w:sz w:val="20"/>
        </w:rPr>
        <w:t xml:space="preserve"> v roce 2018 </w:t>
      </w:r>
      <w:r w:rsidR="00582BA6">
        <w:rPr>
          <w:rFonts w:ascii="Arial" w:hAnsi="Arial" w:cs="Arial"/>
          <w:sz w:val="20"/>
        </w:rPr>
        <w:t>poskytovala</w:t>
      </w:r>
      <w:r w:rsidRPr="00F0027D">
        <w:rPr>
          <w:rFonts w:ascii="Arial" w:hAnsi="Arial" w:cs="Arial"/>
          <w:sz w:val="20"/>
        </w:rPr>
        <w:t xml:space="preserve"> </w:t>
      </w:r>
      <w:r w:rsidR="00DA4974">
        <w:rPr>
          <w:rFonts w:ascii="Arial" w:hAnsi="Arial" w:cs="Arial"/>
          <w:sz w:val="20"/>
        </w:rPr>
        <w:t>bezmála polovina</w:t>
      </w:r>
      <w:r w:rsidR="002F6063" w:rsidRPr="00F0027D">
        <w:rPr>
          <w:rFonts w:ascii="Arial" w:hAnsi="Arial" w:cs="Arial"/>
          <w:sz w:val="20"/>
        </w:rPr>
        <w:t xml:space="preserve"> webových stránek</w:t>
      </w:r>
      <w:r w:rsidRPr="00F0027D">
        <w:rPr>
          <w:rFonts w:ascii="Arial" w:hAnsi="Arial" w:cs="Arial"/>
          <w:sz w:val="20"/>
        </w:rPr>
        <w:t xml:space="preserve"> </w:t>
      </w:r>
      <w:r w:rsidR="0006111E" w:rsidRPr="00F0027D">
        <w:rPr>
          <w:rFonts w:ascii="Arial" w:hAnsi="Arial" w:cs="Arial"/>
          <w:sz w:val="20"/>
        </w:rPr>
        <w:t xml:space="preserve">českých </w:t>
      </w:r>
      <w:r w:rsidR="009C3EFC" w:rsidRPr="00F0027D">
        <w:rPr>
          <w:rFonts w:ascii="Arial" w:hAnsi="Arial" w:cs="Arial"/>
          <w:sz w:val="20"/>
        </w:rPr>
        <w:t>firem</w:t>
      </w:r>
      <w:r w:rsidR="00F0027D" w:rsidRPr="00F0027D">
        <w:rPr>
          <w:rFonts w:ascii="Arial" w:hAnsi="Arial" w:cs="Arial"/>
          <w:sz w:val="20"/>
        </w:rPr>
        <w:t xml:space="preserve"> (</w:t>
      </w:r>
      <w:r w:rsidR="00DA4974">
        <w:rPr>
          <w:rFonts w:ascii="Arial" w:hAnsi="Arial" w:cs="Arial"/>
          <w:sz w:val="20"/>
        </w:rPr>
        <w:t>47</w:t>
      </w:r>
      <w:r w:rsidR="00F0027D" w:rsidRPr="00F0027D">
        <w:rPr>
          <w:rFonts w:ascii="Arial" w:hAnsi="Arial" w:cs="Arial"/>
          <w:sz w:val="20"/>
        </w:rPr>
        <w:t xml:space="preserve"> %)</w:t>
      </w:r>
      <w:r w:rsidRPr="00F0027D">
        <w:rPr>
          <w:rFonts w:ascii="Arial" w:hAnsi="Arial" w:cs="Arial"/>
          <w:sz w:val="20"/>
        </w:rPr>
        <w:t xml:space="preserve">. </w:t>
      </w:r>
      <w:r w:rsidR="00DA4974">
        <w:rPr>
          <w:rFonts w:ascii="Arial" w:hAnsi="Arial" w:cs="Arial"/>
          <w:sz w:val="20"/>
        </w:rPr>
        <w:t>Na t</w:t>
      </w:r>
      <w:r w:rsidR="002F6063" w:rsidRPr="00F0027D">
        <w:rPr>
          <w:rFonts w:ascii="Arial" w:hAnsi="Arial" w:cs="Arial"/>
          <w:sz w:val="20"/>
        </w:rPr>
        <w:t>éměř 40 %</w:t>
      </w:r>
      <w:r w:rsidRPr="00F0027D">
        <w:rPr>
          <w:rFonts w:ascii="Arial" w:hAnsi="Arial" w:cs="Arial"/>
          <w:sz w:val="20"/>
        </w:rPr>
        <w:t xml:space="preserve"> stránek</w:t>
      </w:r>
      <w:r w:rsidR="00DA4974">
        <w:rPr>
          <w:rFonts w:ascii="Arial" w:hAnsi="Arial" w:cs="Arial"/>
          <w:sz w:val="20"/>
        </w:rPr>
        <w:t xml:space="preserve"> byl </w:t>
      </w:r>
      <w:r w:rsidR="00DA4974" w:rsidRPr="00FE7C69">
        <w:rPr>
          <w:rFonts w:ascii="Arial" w:hAnsi="Arial" w:cs="Arial"/>
          <w:b/>
          <w:sz w:val="20"/>
        </w:rPr>
        <w:t>odkaz na profil firmy</w:t>
      </w:r>
      <w:r w:rsidR="00DA4974">
        <w:rPr>
          <w:rFonts w:ascii="Arial" w:hAnsi="Arial" w:cs="Arial"/>
          <w:sz w:val="20"/>
        </w:rPr>
        <w:t xml:space="preserve"> na sociálních médiích</w:t>
      </w:r>
      <w:r w:rsidR="00FE7C69">
        <w:rPr>
          <w:rFonts w:ascii="Arial" w:hAnsi="Arial" w:cs="Arial"/>
          <w:sz w:val="20"/>
        </w:rPr>
        <w:t xml:space="preserve"> a na více než třetině webů (35 %)</w:t>
      </w:r>
      <w:r w:rsidRPr="00FE7C69">
        <w:rPr>
          <w:rFonts w:ascii="Arial" w:hAnsi="Arial" w:cs="Arial"/>
          <w:sz w:val="20"/>
        </w:rPr>
        <w:t xml:space="preserve"> mohl zákazník </w:t>
      </w:r>
      <w:r w:rsidRPr="00FE7C69">
        <w:rPr>
          <w:rFonts w:ascii="Arial" w:hAnsi="Arial" w:cs="Arial"/>
          <w:b/>
          <w:sz w:val="20"/>
        </w:rPr>
        <w:t>objedn</w:t>
      </w:r>
      <w:r w:rsidR="001E09D8" w:rsidRPr="00FE7C69">
        <w:rPr>
          <w:rFonts w:ascii="Arial" w:hAnsi="Arial" w:cs="Arial"/>
          <w:b/>
          <w:sz w:val="20"/>
        </w:rPr>
        <w:t>ávat</w:t>
      </w:r>
      <w:r w:rsidRPr="00FE7C69">
        <w:rPr>
          <w:rFonts w:ascii="Arial" w:hAnsi="Arial" w:cs="Arial"/>
          <w:b/>
          <w:sz w:val="20"/>
        </w:rPr>
        <w:t xml:space="preserve"> či rezervovat</w:t>
      </w:r>
      <w:r w:rsidRPr="00FE7C69">
        <w:rPr>
          <w:rFonts w:ascii="Arial" w:hAnsi="Arial" w:cs="Arial"/>
          <w:sz w:val="20"/>
        </w:rPr>
        <w:t xml:space="preserve"> </w:t>
      </w:r>
      <w:r w:rsidR="00FE7C69">
        <w:rPr>
          <w:rFonts w:ascii="Arial" w:hAnsi="Arial" w:cs="Arial"/>
          <w:sz w:val="20"/>
        </w:rPr>
        <w:t>nabízené zboží/služby.</w:t>
      </w:r>
      <w:r w:rsidR="009E46BC">
        <w:rPr>
          <w:rFonts w:ascii="Arial" w:hAnsi="Arial" w:cs="Arial"/>
          <w:sz w:val="20"/>
        </w:rPr>
        <w:t xml:space="preserve"> V nabídce této možnosti jsou české podniky na nadprůměrném šestém místě. </w:t>
      </w:r>
    </w:p>
    <w:p w:rsidR="001E09D8" w:rsidRPr="00914466" w:rsidRDefault="00A34E5A" w:rsidP="00953E93">
      <w:pPr>
        <w:numPr>
          <w:ilvl w:val="0"/>
          <w:numId w:val="2"/>
        </w:numPr>
        <w:spacing w:after="60"/>
        <w:ind w:left="357" w:hanging="357"/>
        <w:jc w:val="both"/>
        <w:rPr>
          <w:rFonts w:ascii="Arial" w:hAnsi="Arial" w:cs="Arial"/>
          <w:sz w:val="20"/>
        </w:rPr>
      </w:pPr>
      <w:r w:rsidRPr="00A34E5A">
        <w:rPr>
          <w:rFonts w:ascii="Arial" w:hAnsi="Arial" w:cs="Arial"/>
          <w:sz w:val="20"/>
        </w:rPr>
        <w:t xml:space="preserve">Mezi méně často vyskytující se </w:t>
      </w:r>
      <w:r w:rsidRPr="00953E93">
        <w:rPr>
          <w:rFonts w:ascii="Arial" w:hAnsi="Arial" w:cs="Arial"/>
          <w:b/>
          <w:sz w:val="20"/>
        </w:rPr>
        <w:t>funkcionality</w:t>
      </w:r>
      <w:r w:rsidRPr="00A34E5A">
        <w:rPr>
          <w:rFonts w:ascii="Arial" w:hAnsi="Arial" w:cs="Arial"/>
          <w:sz w:val="20"/>
        </w:rPr>
        <w:t xml:space="preserve"> webových stránek podniků patřila v </w:t>
      </w:r>
      <w:r w:rsidR="006C7086">
        <w:rPr>
          <w:rFonts w:ascii="Arial" w:hAnsi="Arial" w:cs="Arial"/>
          <w:sz w:val="20"/>
        </w:rPr>
        <w:t>roce</w:t>
      </w:r>
      <w:r w:rsidRPr="00A34E5A">
        <w:rPr>
          <w:rFonts w:ascii="Arial" w:hAnsi="Arial" w:cs="Arial"/>
          <w:sz w:val="20"/>
        </w:rPr>
        <w:t xml:space="preserve"> 201</w:t>
      </w:r>
      <w:r w:rsidR="00FE7C69">
        <w:rPr>
          <w:rFonts w:ascii="Arial" w:hAnsi="Arial" w:cs="Arial"/>
          <w:sz w:val="20"/>
        </w:rPr>
        <w:t>8</w:t>
      </w:r>
      <w:r w:rsidRPr="00A34E5A">
        <w:rPr>
          <w:rFonts w:ascii="Arial" w:hAnsi="Arial" w:cs="Arial"/>
          <w:sz w:val="20"/>
        </w:rPr>
        <w:t xml:space="preserve"> možnost </w:t>
      </w:r>
      <w:r w:rsidR="00FE7C69">
        <w:rPr>
          <w:rFonts w:ascii="Arial" w:hAnsi="Arial" w:cs="Arial"/>
          <w:sz w:val="20"/>
        </w:rPr>
        <w:t>přizpůsobit</w:t>
      </w:r>
      <w:r w:rsidRPr="00A34E5A">
        <w:rPr>
          <w:rFonts w:ascii="Arial" w:hAnsi="Arial" w:cs="Arial"/>
          <w:sz w:val="20"/>
        </w:rPr>
        <w:t xml:space="preserve"> nabízený produkt podle vlastních požadavků. </w:t>
      </w:r>
      <w:r w:rsidR="00643526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 xml:space="preserve">ožnost </w:t>
      </w:r>
      <w:r w:rsidR="00FE7C69">
        <w:rPr>
          <w:rFonts w:ascii="Arial" w:hAnsi="Arial" w:cs="Arial"/>
          <w:b/>
          <w:sz w:val="20"/>
        </w:rPr>
        <w:t>upravit</w:t>
      </w:r>
      <w:r w:rsidRPr="00817313">
        <w:rPr>
          <w:rFonts w:ascii="Arial" w:hAnsi="Arial" w:cs="Arial"/>
          <w:b/>
          <w:sz w:val="20"/>
        </w:rPr>
        <w:t xml:space="preserve"> si na míru</w:t>
      </w:r>
      <w:r w:rsidRPr="00F0027D">
        <w:rPr>
          <w:rFonts w:ascii="Arial" w:hAnsi="Arial" w:cs="Arial"/>
          <w:sz w:val="20"/>
        </w:rPr>
        <w:t xml:space="preserve"> </w:t>
      </w:r>
      <w:r w:rsidR="00643526">
        <w:rPr>
          <w:rFonts w:ascii="Arial" w:hAnsi="Arial" w:cs="Arial"/>
          <w:sz w:val="20"/>
        </w:rPr>
        <w:t>prodávaný</w:t>
      </w:r>
      <w:r w:rsidRPr="00F0027D">
        <w:rPr>
          <w:rFonts w:ascii="Arial" w:hAnsi="Arial" w:cs="Arial"/>
          <w:sz w:val="20"/>
        </w:rPr>
        <w:t xml:space="preserve"> výrobek</w:t>
      </w:r>
      <w:r w:rsidR="00817313">
        <w:rPr>
          <w:rFonts w:ascii="Arial" w:hAnsi="Arial" w:cs="Arial"/>
          <w:sz w:val="20"/>
        </w:rPr>
        <w:t>/</w:t>
      </w:r>
      <w:r w:rsidRPr="00F0027D">
        <w:rPr>
          <w:rFonts w:ascii="Arial" w:hAnsi="Arial" w:cs="Arial"/>
          <w:sz w:val="20"/>
        </w:rPr>
        <w:t>službu</w:t>
      </w:r>
      <w:r>
        <w:rPr>
          <w:rFonts w:ascii="Arial" w:hAnsi="Arial" w:cs="Arial"/>
          <w:sz w:val="20"/>
        </w:rPr>
        <w:t xml:space="preserve"> nabízelo svým</w:t>
      </w:r>
      <w:r w:rsidRPr="00F002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zákazníkům </w:t>
      </w:r>
      <w:r w:rsidR="007D22B8">
        <w:rPr>
          <w:rFonts w:ascii="Arial" w:hAnsi="Arial" w:cs="Arial"/>
          <w:sz w:val="20"/>
        </w:rPr>
        <w:t>1</w:t>
      </w:r>
      <w:r w:rsidR="00FE7C69">
        <w:rPr>
          <w:rFonts w:ascii="Arial" w:hAnsi="Arial" w:cs="Arial"/>
          <w:sz w:val="20"/>
        </w:rPr>
        <w:t>5</w:t>
      </w:r>
      <w:r w:rsidR="007D22B8">
        <w:rPr>
          <w:rFonts w:ascii="Arial" w:hAnsi="Arial" w:cs="Arial"/>
          <w:sz w:val="20"/>
        </w:rPr>
        <w:t xml:space="preserve"> </w:t>
      </w:r>
      <w:r w:rsidRPr="00F0027D">
        <w:rPr>
          <w:rFonts w:ascii="Arial" w:hAnsi="Arial" w:cs="Arial"/>
          <w:sz w:val="20"/>
        </w:rPr>
        <w:t xml:space="preserve">% </w:t>
      </w:r>
      <w:r w:rsidR="007D22B8">
        <w:rPr>
          <w:rFonts w:ascii="Arial" w:hAnsi="Arial" w:cs="Arial"/>
          <w:sz w:val="20"/>
        </w:rPr>
        <w:t>firem s webovými stránkami.</w:t>
      </w:r>
      <w:r w:rsidR="009E46BC">
        <w:rPr>
          <w:rFonts w:ascii="Arial" w:hAnsi="Arial" w:cs="Arial"/>
          <w:sz w:val="20"/>
        </w:rPr>
        <w:t xml:space="preserve"> Potěšující je, že v nabídce této možnosti jsou české podniky v evropském žebříčku na třetí příčce.</w:t>
      </w:r>
      <w:r w:rsidR="007D22B8">
        <w:rPr>
          <w:rFonts w:ascii="Arial" w:hAnsi="Arial" w:cs="Arial"/>
          <w:sz w:val="20"/>
        </w:rPr>
        <w:t xml:space="preserve"> </w:t>
      </w:r>
      <w:r w:rsidR="00F0027D" w:rsidRPr="007D22B8">
        <w:rPr>
          <w:rFonts w:ascii="Arial" w:hAnsi="Arial" w:cs="Arial"/>
          <w:sz w:val="20"/>
        </w:rPr>
        <w:t>D</w:t>
      </w:r>
      <w:r w:rsidR="002F6063" w:rsidRPr="007D22B8">
        <w:rPr>
          <w:rFonts w:ascii="Arial" w:hAnsi="Arial" w:cs="Arial"/>
          <w:sz w:val="20"/>
        </w:rPr>
        <w:t xml:space="preserve">esetina firem s webovými stránkami nabízela </w:t>
      </w:r>
      <w:r w:rsidR="006D44A5" w:rsidRPr="007D22B8">
        <w:rPr>
          <w:rFonts w:ascii="Arial" w:hAnsi="Arial" w:cs="Arial"/>
          <w:sz w:val="20"/>
        </w:rPr>
        <w:t>svým</w:t>
      </w:r>
      <w:r w:rsidR="002F6063" w:rsidRPr="007D22B8">
        <w:rPr>
          <w:rFonts w:ascii="Arial" w:hAnsi="Arial" w:cs="Arial"/>
          <w:sz w:val="20"/>
        </w:rPr>
        <w:t xml:space="preserve"> návštěvníkům</w:t>
      </w:r>
      <w:r w:rsidR="006D44A5" w:rsidRPr="007D22B8">
        <w:rPr>
          <w:rFonts w:ascii="Arial" w:hAnsi="Arial" w:cs="Arial"/>
          <w:sz w:val="20"/>
        </w:rPr>
        <w:t xml:space="preserve"> možnost</w:t>
      </w:r>
      <w:r w:rsidR="002F6063" w:rsidRPr="007D22B8">
        <w:rPr>
          <w:rFonts w:ascii="Arial" w:hAnsi="Arial" w:cs="Arial"/>
          <w:sz w:val="20"/>
        </w:rPr>
        <w:t xml:space="preserve"> </w:t>
      </w:r>
      <w:r w:rsidR="002F6063" w:rsidRPr="00817313">
        <w:rPr>
          <w:rFonts w:ascii="Arial" w:hAnsi="Arial" w:cs="Arial"/>
          <w:b/>
          <w:sz w:val="20"/>
        </w:rPr>
        <w:t>sledovat stav vyřizované zakázky</w:t>
      </w:r>
      <w:r w:rsidR="002F6063" w:rsidRPr="007D22B8">
        <w:rPr>
          <w:rFonts w:ascii="Arial" w:hAnsi="Arial" w:cs="Arial"/>
          <w:sz w:val="20"/>
        </w:rPr>
        <w:t xml:space="preserve">. </w:t>
      </w:r>
      <w:r w:rsidR="00F0027D" w:rsidRPr="007D22B8">
        <w:rPr>
          <w:rFonts w:ascii="Arial" w:hAnsi="Arial" w:cs="Arial"/>
          <w:sz w:val="20"/>
        </w:rPr>
        <w:t>7</w:t>
      </w:r>
      <w:r w:rsidR="006D44A5" w:rsidRPr="007D22B8">
        <w:rPr>
          <w:rFonts w:ascii="Arial" w:hAnsi="Arial" w:cs="Arial"/>
          <w:sz w:val="20"/>
        </w:rPr>
        <w:t xml:space="preserve"> </w:t>
      </w:r>
      <w:r w:rsidR="00D90E42" w:rsidRPr="007D22B8">
        <w:rPr>
          <w:rFonts w:ascii="Arial" w:hAnsi="Arial" w:cs="Arial"/>
          <w:sz w:val="20"/>
        </w:rPr>
        <w:t xml:space="preserve">% firemních stránek </w:t>
      </w:r>
      <w:r w:rsidR="0073322F">
        <w:rPr>
          <w:rFonts w:ascii="Arial" w:hAnsi="Arial" w:cs="Arial"/>
          <w:sz w:val="20"/>
        </w:rPr>
        <w:t>poskytovalo</w:t>
      </w:r>
      <w:r w:rsidR="00D90E42" w:rsidRPr="007D22B8">
        <w:rPr>
          <w:rFonts w:ascii="Arial" w:hAnsi="Arial" w:cs="Arial"/>
          <w:sz w:val="20"/>
        </w:rPr>
        <w:t xml:space="preserve"> </w:t>
      </w:r>
      <w:r w:rsidR="001E09D8" w:rsidRPr="007D22B8">
        <w:rPr>
          <w:rFonts w:ascii="Arial" w:hAnsi="Arial" w:cs="Arial"/>
          <w:sz w:val="20"/>
        </w:rPr>
        <w:t xml:space="preserve">registrovaným uživatelům možnost </w:t>
      </w:r>
      <w:r w:rsidR="001E09D8" w:rsidRPr="00817313">
        <w:rPr>
          <w:rFonts w:ascii="Arial" w:hAnsi="Arial" w:cs="Arial"/>
          <w:b/>
          <w:sz w:val="20"/>
        </w:rPr>
        <w:t>přizpůsobovat zobrazovaný obsah</w:t>
      </w:r>
      <w:r w:rsidR="001E09D8" w:rsidRPr="007D22B8">
        <w:rPr>
          <w:rFonts w:ascii="Arial" w:hAnsi="Arial" w:cs="Arial"/>
          <w:sz w:val="20"/>
        </w:rPr>
        <w:t xml:space="preserve"> stránek </w:t>
      </w:r>
      <w:r w:rsidR="00B358C9">
        <w:rPr>
          <w:rFonts w:ascii="Arial" w:hAnsi="Arial" w:cs="Arial"/>
          <w:sz w:val="20"/>
        </w:rPr>
        <w:t>svým</w:t>
      </w:r>
      <w:r w:rsidR="001E09D8" w:rsidRPr="007D22B8">
        <w:rPr>
          <w:rFonts w:ascii="Arial" w:hAnsi="Arial" w:cs="Arial"/>
          <w:sz w:val="20"/>
        </w:rPr>
        <w:t xml:space="preserve"> </w:t>
      </w:r>
      <w:r w:rsidR="00FE7C69">
        <w:rPr>
          <w:rFonts w:ascii="Arial" w:hAnsi="Arial" w:cs="Arial"/>
          <w:sz w:val="20"/>
        </w:rPr>
        <w:t>potřebám</w:t>
      </w:r>
      <w:r w:rsidR="00D90E42" w:rsidRPr="00914466">
        <w:rPr>
          <w:rFonts w:ascii="Arial" w:hAnsi="Arial" w:cs="Arial"/>
          <w:sz w:val="20"/>
        </w:rPr>
        <w:t>.</w:t>
      </w:r>
    </w:p>
    <w:p w:rsidR="009C45AC" w:rsidRDefault="009C45AC" w:rsidP="003F2A5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</w:rPr>
      </w:pPr>
      <w:r w:rsidRPr="009C45AC">
        <w:rPr>
          <w:rFonts w:ascii="Arial" w:hAnsi="Arial" w:cs="Arial"/>
          <w:sz w:val="20"/>
        </w:rPr>
        <w:t>Zveřejněnou nabídku zboží či služeb např. v podobě</w:t>
      </w:r>
      <w:r w:rsidR="00FE7C69" w:rsidRPr="009C45AC">
        <w:rPr>
          <w:rFonts w:ascii="Arial" w:hAnsi="Arial" w:cs="Arial"/>
          <w:sz w:val="20"/>
        </w:rPr>
        <w:t xml:space="preserve"> katalogů </w:t>
      </w:r>
      <w:r w:rsidRPr="009C45AC">
        <w:rPr>
          <w:rFonts w:ascii="Arial" w:hAnsi="Arial" w:cs="Arial"/>
          <w:sz w:val="20"/>
        </w:rPr>
        <w:t xml:space="preserve">či ceníků </w:t>
      </w:r>
      <w:r w:rsidR="00FE7C69" w:rsidRPr="009C45AC">
        <w:rPr>
          <w:rFonts w:ascii="Arial" w:hAnsi="Arial" w:cs="Arial"/>
          <w:sz w:val="20"/>
        </w:rPr>
        <w:t xml:space="preserve">mají na svých webových stránkách nejčastěji cestovní agentury či kanceláře, firmy působící v telekomunikacích, v ubytování či v obchodě. </w:t>
      </w:r>
      <w:r w:rsidRPr="009C45AC">
        <w:rPr>
          <w:rFonts w:ascii="Arial" w:hAnsi="Arial" w:cs="Arial"/>
          <w:sz w:val="20"/>
        </w:rPr>
        <w:t>Odkaz na profil firmy na sociálních médiích nacházíme nejčastěji v mediálním sektoru či u</w:t>
      </w:r>
      <w:r w:rsidR="002C6BA4">
        <w:rPr>
          <w:rFonts w:ascii="Arial" w:hAnsi="Arial" w:cs="Arial"/>
          <w:sz w:val="20"/>
        </w:rPr>
        <w:t> </w:t>
      </w:r>
      <w:r w:rsidRPr="009C45AC">
        <w:rPr>
          <w:rFonts w:ascii="Arial" w:hAnsi="Arial" w:cs="Arial"/>
          <w:sz w:val="20"/>
        </w:rPr>
        <w:t xml:space="preserve">cestovních kanceláří. Weby, na kterých je možné objednat či zarezervovat nabízené produkty/služby mají nejčastěji subjekty působící v cestovním ruchu a firmy nabízející ubytování. </w:t>
      </w:r>
      <w:r w:rsidR="003B3AAA">
        <w:rPr>
          <w:rFonts w:ascii="Arial" w:hAnsi="Arial" w:cs="Arial"/>
          <w:sz w:val="20"/>
        </w:rPr>
        <w:t>Tyto odvětví nabízí rovněž na svých webech nejčastěji pro zákazníky možnost konfigurace, tj. přizpůsobení nabídky, složení či podoby nabízených produktů/služeb. Možnost sledovat stav vyřizování zakázky na webových stránkách nabízí nejčastěji firmy působící v maloobchodě.</w:t>
      </w:r>
    </w:p>
    <w:p w:rsidR="003B3AAA" w:rsidRDefault="003B3AAA" w:rsidP="003B3AAA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 w:type="page"/>
      </w:r>
      <w:r w:rsidRPr="00D54933">
        <w:rPr>
          <w:rFonts w:ascii="Arial" w:hAnsi="Arial" w:cs="Arial"/>
          <w:b/>
          <w:sz w:val="20"/>
        </w:rPr>
        <w:lastRenderedPageBreak/>
        <w:t xml:space="preserve">Tab. </w:t>
      </w:r>
      <w:r>
        <w:rPr>
          <w:rFonts w:ascii="Arial" w:hAnsi="Arial" w:cs="Arial"/>
          <w:b/>
          <w:sz w:val="20"/>
        </w:rPr>
        <w:t>3</w:t>
      </w:r>
      <w:r w:rsidRPr="00D54933">
        <w:rPr>
          <w:rFonts w:ascii="Arial" w:hAnsi="Arial" w:cs="Arial"/>
          <w:b/>
          <w:sz w:val="20"/>
        </w:rPr>
        <w:t xml:space="preserve">.1: </w:t>
      </w:r>
      <w:r w:rsidR="006F4B7B">
        <w:rPr>
          <w:rFonts w:ascii="Arial" w:hAnsi="Arial" w:cs="Arial"/>
          <w:b/>
          <w:sz w:val="20"/>
        </w:rPr>
        <w:t>Firmy s webovými stránkami</w:t>
      </w:r>
      <w:r w:rsidR="006C7086">
        <w:rPr>
          <w:rFonts w:ascii="Arial" w:hAnsi="Arial" w:cs="Arial"/>
          <w:b/>
          <w:sz w:val="20"/>
        </w:rPr>
        <w:t xml:space="preserve"> v roce</w:t>
      </w:r>
      <w:r w:rsidRPr="00D54933">
        <w:rPr>
          <w:rFonts w:ascii="Arial" w:hAnsi="Arial" w:cs="Arial"/>
          <w:b/>
          <w:sz w:val="20"/>
        </w:rPr>
        <w:t xml:space="preserve"> 20</w:t>
      </w:r>
      <w:r>
        <w:rPr>
          <w:rFonts w:ascii="Arial" w:hAnsi="Arial" w:cs="Arial"/>
          <w:b/>
          <w:sz w:val="20"/>
        </w:rPr>
        <w:t>18</w:t>
      </w:r>
    </w:p>
    <w:tbl>
      <w:tblPr>
        <w:tblW w:w="99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946"/>
        <w:gridCol w:w="900"/>
        <w:gridCol w:w="946"/>
        <w:gridCol w:w="916"/>
        <w:gridCol w:w="898"/>
        <w:gridCol w:w="1027"/>
        <w:gridCol w:w="914"/>
      </w:tblGrid>
      <w:tr w:rsidR="00EB41D6" w:rsidRPr="00EB41D6" w:rsidTr="00EB41D6">
        <w:trPr>
          <w:trHeight w:val="360"/>
        </w:trPr>
        <w:tc>
          <w:tcPr>
            <w:tcW w:w="3402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6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 s webovými stránkami celkem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přizpůsobenými pro mobilní zařízení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31311" w:rsidRDefault="00EB41D6" w:rsidP="00EB4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jejichž </w:t>
            </w:r>
            <w:r w:rsidRPr="005313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provoz </w:t>
            </w:r>
          </w:p>
          <w:p w:rsidR="00EB41D6" w:rsidRPr="00EB41D6" w:rsidRDefault="00EB41D6" w:rsidP="00EB41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313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a správu</w:t>
            </w: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ve firmě prováděli převážně vlastní zaměstnanci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jejichž </w:t>
            </w:r>
            <w:r w:rsidRPr="005313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vývoj</w:t>
            </w: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ve firmě prováděli převážně vlastní zaměstnanci</w:t>
            </w:r>
          </w:p>
        </w:tc>
      </w:tr>
      <w:tr w:rsidR="00EB41D6" w:rsidRPr="00EB41D6" w:rsidTr="00EB41D6">
        <w:trPr>
          <w:trHeight w:val="315"/>
        </w:trPr>
        <w:tc>
          <w:tcPr>
            <w:tcW w:w="3402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FFFFFF" w:themeColor="background1"/>
            </w:tcBorders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EB41D6" w:rsidRPr="00EB41D6" w:rsidTr="00EB41D6">
        <w:trPr>
          <w:trHeight w:val="817"/>
        </w:trPr>
        <w:tc>
          <w:tcPr>
            <w:tcW w:w="3402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% z celkového počtu firem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% z firem s webovými stránkami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% z celkového počtu firem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% z firem s webovými stránkami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% z celkového počtu firem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% z firem s webovými stránkami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82,8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47,5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57,4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24,4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28,8</w:t>
            </w:r>
          </w:p>
        </w:tc>
        <w:tc>
          <w:tcPr>
            <w:tcW w:w="102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15,0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17,5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B41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44,6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27,8</w:t>
            </w:r>
          </w:p>
        </w:tc>
        <w:tc>
          <w:tcPr>
            <w:tcW w:w="102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56,7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30,2</w:t>
            </w:r>
          </w:p>
        </w:tc>
        <w:tc>
          <w:tcPr>
            <w:tcW w:w="102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18,0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64,2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38,1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39,4</w:t>
            </w:r>
          </w:p>
        </w:tc>
        <w:tc>
          <w:tcPr>
            <w:tcW w:w="102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B41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44,6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52,8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26,0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29,9</w:t>
            </w:r>
          </w:p>
        </w:tc>
        <w:tc>
          <w:tcPr>
            <w:tcW w:w="102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18,4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43,6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23,2</w:t>
            </w:r>
          </w:p>
        </w:tc>
        <w:tc>
          <w:tcPr>
            <w:tcW w:w="102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14,1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29,3</w:t>
            </w:r>
          </w:p>
        </w:tc>
        <w:tc>
          <w:tcPr>
            <w:tcW w:w="102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16,3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68,1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23,4</w:t>
            </w:r>
          </w:p>
        </w:tc>
        <w:tc>
          <w:tcPr>
            <w:tcW w:w="102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12,3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56,7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24,6</w:t>
            </w:r>
          </w:p>
        </w:tc>
        <w:tc>
          <w:tcPr>
            <w:tcW w:w="102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9,5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41,8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65,8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21,5</w:t>
            </w:r>
          </w:p>
        </w:tc>
        <w:tc>
          <w:tcPr>
            <w:tcW w:w="102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19,3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37,3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54,6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18,9</w:t>
            </w:r>
          </w:p>
        </w:tc>
        <w:tc>
          <w:tcPr>
            <w:tcW w:w="102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12,6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68,8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22,4</w:t>
            </w:r>
          </w:p>
        </w:tc>
        <w:tc>
          <w:tcPr>
            <w:tcW w:w="102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9,8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56,1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21,2</w:t>
            </w:r>
          </w:p>
        </w:tc>
        <w:tc>
          <w:tcPr>
            <w:tcW w:w="102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10,1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71,6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74,7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23,5</w:t>
            </w:r>
          </w:p>
        </w:tc>
        <w:tc>
          <w:tcPr>
            <w:tcW w:w="102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10,2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70,9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71,8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47,7</w:t>
            </w:r>
          </w:p>
        </w:tc>
        <w:tc>
          <w:tcPr>
            <w:tcW w:w="102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36,1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95,1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68,6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72,2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62,6</w:t>
            </w:r>
          </w:p>
        </w:tc>
        <w:tc>
          <w:tcPr>
            <w:tcW w:w="102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44,3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45,9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74,0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65,3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66,5</w:t>
            </w:r>
          </w:p>
        </w:tc>
        <w:tc>
          <w:tcPr>
            <w:tcW w:w="102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56,8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26,6</w:t>
            </w:r>
          </w:p>
        </w:tc>
        <w:tc>
          <w:tcPr>
            <w:tcW w:w="102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13,8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51,3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58,3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36,5</w:t>
            </w:r>
          </w:p>
        </w:tc>
        <w:tc>
          <w:tcPr>
            <w:tcW w:w="102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22,9</w:t>
            </w:r>
          </w:p>
        </w:tc>
      </w:tr>
      <w:tr w:rsidR="00EB41D6" w:rsidRPr="00EB41D6" w:rsidTr="00EB41D6">
        <w:trPr>
          <w:trHeight w:val="240"/>
        </w:trPr>
        <w:tc>
          <w:tcPr>
            <w:tcW w:w="3402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24,8</w:t>
            </w:r>
          </w:p>
        </w:tc>
        <w:tc>
          <w:tcPr>
            <w:tcW w:w="1027" w:type="dxa"/>
            <w:tcBorders>
              <w:top w:val="nil"/>
              <w:left w:val="single" w:sz="4" w:space="0" w:color="969696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16,5</w:t>
            </w:r>
          </w:p>
        </w:tc>
      </w:tr>
    </w:tbl>
    <w:p w:rsidR="00E92958" w:rsidRDefault="00E92958" w:rsidP="00A53E51">
      <w:pPr>
        <w:autoSpaceDE w:val="0"/>
        <w:autoSpaceDN w:val="0"/>
        <w:adjustRightInd w:val="0"/>
        <w:spacing w:before="360" w:after="120" w:line="288" w:lineRule="auto"/>
        <w:rPr>
          <w:rFonts w:ascii="Arial" w:hAnsi="Arial" w:cs="Arial"/>
          <w:b/>
          <w:sz w:val="20"/>
        </w:rPr>
      </w:pPr>
      <w:r w:rsidRPr="00655177">
        <w:rPr>
          <w:rFonts w:ascii="Arial" w:hAnsi="Arial" w:cs="Arial"/>
          <w:b/>
          <w:sz w:val="20"/>
        </w:rPr>
        <w:t xml:space="preserve">Tab. </w:t>
      </w:r>
      <w:r>
        <w:rPr>
          <w:rFonts w:ascii="Arial" w:hAnsi="Arial" w:cs="Arial"/>
          <w:b/>
          <w:sz w:val="20"/>
        </w:rPr>
        <w:t>3</w:t>
      </w:r>
      <w:r w:rsidRPr="00655177">
        <w:rPr>
          <w:rFonts w:ascii="Arial" w:hAnsi="Arial" w:cs="Arial"/>
          <w:b/>
          <w:sz w:val="20"/>
        </w:rPr>
        <w:t xml:space="preserve">.2: </w:t>
      </w:r>
      <w:r>
        <w:rPr>
          <w:rFonts w:ascii="Arial" w:hAnsi="Arial" w:cs="Arial"/>
          <w:b/>
          <w:sz w:val="20"/>
        </w:rPr>
        <w:t>Funkcionality</w:t>
      </w:r>
      <w:r w:rsidRPr="00655177">
        <w:rPr>
          <w:rFonts w:ascii="Arial" w:hAnsi="Arial" w:cs="Arial"/>
          <w:b/>
          <w:sz w:val="20"/>
        </w:rPr>
        <w:t xml:space="preserve"> webových stránek firem v</w:t>
      </w:r>
      <w:r w:rsidR="006C7086">
        <w:rPr>
          <w:rFonts w:ascii="Arial" w:hAnsi="Arial" w:cs="Arial"/>
          <w:b/>
          <w:sz w:val="20"/>
        </w:rPr>
        <w:t> </w:t>
      </w:r>
      <w:r w:rsidRPr="00655177">
        <w:rPr>
          <w:rFonts w:ascii="Arial" w:hAnsi="Arial" w:cs="Arial"/>
          <w:b/>
          <w:sz w:val="20"/>
        </w:rPr>
        <w:t>ČR</w:t>
      </w:r>
      <w:r w:rsidR="006C7086">
        <w:rPr>
          <w:rFonts w:ascii="Arial" w:hAnsi="Arial" w:cs="Arial"/>
          <w:b/>
          <w:sz w:val="20"/>
        </w:rPr>
        <w:t xml:space="preserve"> v roce</w:t>
      </w:r>
      <w:r w:rsidRPr="00655177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2018</w:t>
      </w:r>
    </w:p>
    <w:tbl>
      <w:tblPr>
        <w:tblW w:w="99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1046"/>
        <w:gridCol w:w="1134"/>
        <w:gridCol w:w="1134"/>
        <w:gridCol w:w="992"/>
        <w:gridCol w:w="1134"/>
      </w:tblGrid>
      <w:tr w:rsidR="00EB41D6" w:rsidRPr="00EB41D6" w:rsidTr="00EB41D6">
        <w:trPr>
          <w:trHeight w:val="782"/>
        </w:trPr>
        <w:tc>
          <w:tcPr>
            <w:tcW w:w="3402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zveřejněné katalogy/</w:t>
            </w: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ceníky</w:t>
            </w:r>
          </w:p>
        </w:tc>
        <w:tc>
          <w:tcPr>
            <w:tcW w:w="1046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odkaz na profil firmy na sociálních médiích</w:t>
            </w:r>
          </w:p>
        </w:tc>
        <w:tc>
          <w:tcPr>
            <w:tcW w:w="1134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možnost online objednávky/</w:t>
            </w: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rezervace</w:t>
            </w:r>
          </w:p>
        </w:tc>
        <w:tc>
          <w:tcPr>
            <w:tcW w:w="1134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možnost přizpůsobení produktu/</w:t>
            </w: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služby</w:t>
            </w:r>
          </w:p>
        </w:tc>
        <w:tc>
          <w:tcPr>
            <w:tcW w:w="992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možnost sledovat stav vyřizování zakázky</w:t>
            </w:r>
          </w:p>
        </w:tc>
        <w:tc>
          <w:tcPr>
            <w:tcW w:w="1134" w:type="dxa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možnost nastavení vlastní podoby webu</w:t>
            </w:r>
          </w:p>
        </w:tc>
      </w:tr>
      <w:tr w:rsidR="00EB41D6" w:rsidRPr="00EB41D6" w:rsidTr="00EB41D6">
        <w:trPr>
          <w:trHeight w:val="24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47,3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38,3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6,6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B41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45,7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6,4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46,2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6,6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61,6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60,1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11,1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B41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46,6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32,3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3,4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25,7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2,8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2,8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72,4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55,4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9,2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62,0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40,1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11,8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62,4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59,1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14,3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31,2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27,4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5,1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68,2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16,6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61,7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56,0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7,4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86,3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76,5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17,5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79,0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77,4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11,7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84,7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60,1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10,8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41,6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61,3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10,8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43,9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27,2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3,4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34,7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41,9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6,9</w:t>
            </w:r>
          </w:p>
        </w:tc>
      </w:tr>
      <w:tr w:rsidR="00EB41D6" w:rsidRPr="00EB41D6" w:rsidTr="00EB41D6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34,2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B41D6" w:rsidRPr="00EB41D6" w:rsidRDefault="00EB41D6" w:rsidP="00EB4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B4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6,8</w:t>
            </w:r>
          </w:p>
        </w:tc>
      </w:tr>
    </w:tbl>
    <w:p w:rsidR="00E92958" w:rsidRPr="006C7086" w:rsidRDefault="00E92958" w:rsidP="00E9295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6C7086">
        <w:rPr>
          <w:rFonts w:ascii="Arial" w:hAnsi="Arial" w:cs="Arial"/>
          <w:i/>
          <w:sz w:val="18"/>
          <w:szCs w:val="18"/>
        </w:rPr>
        <w:t xml:space="preserve">podíl na celkovém počtu </w:t>
      </w:r>
      <w:r w:rsidRPr="006C7086">
        <w:rPr>
          <w:rFonts w:ascii="Arial" w:hAnsi="Arial" w:cs="Arial"/>
          <w:i/>
          <w:sz w:val="18"/>
          <w:szCs w:val="18"/>
          <w:u w:val="single"/>
        </w:rPr>
        <w:t xml:space="preserve">firem </w:t>
      </w:r>
      <w:r w:rsidR="006C7086">
        <w:rPr>
          <w:rFonts w:ascii="Arial" w:hAnsi="Arial" w:cs="Arial"/>
          <w:i/>
          <w:sz w:val="18"/>
          <w:szCs w:val="18"/>
          <w:u w:val="single"/>
        </w:rPr>
        <w:t>s 10 a více zaměstnanci</w:t>
      </w:r>
      <w:r w:rsidR="00F671B0" w:rsidRPr="006C7086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Pr="006C7086">
        <w:rPr>
          <w:rFonts w:ascii="Arial" w:hAnsi="Arial" w:cs="Arial"/>
          <w:i/>
          <w:sz w:val="18"/>
          <w:szCs w:val="18"/>
          <w:u w:val="single"/>
        </w:rPr>
        <w:t>s webovými stránkami</w:t>
      </w:r>
      <w:r w:rsidRPr="006C7086">
        <w:rPr>
          <w:rFonts w:ascii="Arial" w:hAnsi="Arial" w:cs="Arial"/>
          <w:i/>
          <w:sz w:val="18"/>
          <w:szCs w:val="18"/>
        </w:rPr>
        <w:t xml:space="preserve"> v dané velikostní a odvětvové skupině (v %)</w:t>
      </w:r>
    </w:p>
    <w:p w:rsidR="006F4B7B" w:rsidRDefault="006F4B7B" w:rsidP="00E9295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</w:rPr>
        <w:lastRenderedPageBreak/>
        <w:t>Graf</w:t>
      </w:r>
      <w:r w:rsidRPr="00D54933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>3</w:t>
      </w:r>
      <w:r w:rsidRPr="00D54933">
        <w:rPr>
          <w:rFonts w:ascii="Arial" w:hAnsi="Arial" w:cs="Arial"/>
          <w:b/>
          <w:sz w:val="20"/>
        </w:rPr>
        <w:t xml:space="preserve">.1: </w:t>
      </w:r>
      <w:r>
        <w:rPr>
          <w:rFonts w:ascii="Arial" w:hAnsi="Arial" w:cs="Arial"/>
          <w:b/>
          <w:sz w:val="20"/>
        </w:rPr>
        <w:t>Firmy s webovými stránkami</w:t>
      </w:r>
    </w:p>
    <w:p w:rsidR="00E92958" w:rsidRDefault="006F4B7B" w:rsidP="003B3AAA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b/>
          <w:sz w:val="20"/>
        </w:rPr>
      </w:pPr>
      <w:r>
        <w:rPr>
          <w:noProof/>
          <w:lang w:eastAsia="cs-CZ"/>
        </w:rPr>
        <w:drawing>
          <wp:inline distT="0" distB="0" distL="0" distR="0" wp14:anchorId="39C164A6" wp14:editId="57A56097">
            <wp:extent cx="6210935" cy="222631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671B0" w:rsidRPr="006C7086" w:rsidRDefault="00F671B0" w:rsidP="00F671B0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6C7086">
        <w:rPr>
          <w:rFonts w:ascii="Arial" w:hAnsi="Arial" w:cs="Arial"/>
          <w:i/>
          <w:sz w:val="18"/>
          <w:szCs w:val="18"/>
        </w:rPr>
        <w:t>podíl na celkovém počtu firem s 10 a více zaměstnanci v daném roce</w:t>
      </w:r>
    </w:p>
    <w:p w:rsidR="006F4B7B" w:rsidRDefault="006F4B7B">
      <w:pPr>
        <w:spacing w:after="0" w:line="240" w:lineRule="auto"/>
        <w:rPr>
          <w:rFonts w:cs="Arial"/>
          <w:sz w:val="20"/>
        </w:rPr>
      </w:pPr>
    </w:p>
    <w:p w:rsidR="009E46BC" w:rsidRDefault="009E46BC" w:rsidP="009E46BC">
      <w:pPr>
        <w:autoSpaceDE w:val="0"/>
        <w:autoSpaceDN w:val="0"/>
        <w:adjustRightInd w:val="0"/>
        <w:spacing w:after="80"/>
        <w:rPr>
          <w:rFonts w:cs="Arial"/>
          <w:b/>
          <w:bCs/>
          <w:color w:val="000000"/>
          <w:szCs w:val="20"/>
        </w:rPr>
      </w:pPr>
      <w:r w:rsidRPr="003E3AFB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3</w:t>
      </w:r>
      <w:r w:rsidRPr="003E3AFB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2</w:t>
      </w:r>
      <w:r w:rsidRPr="003E3AFB">
        <w:rPr>
          <w:rFonts w:ascii="Arial" w:hAnsi="Arial" w:cs="Arial"/>
          <w:b/>
          <w:sz w:val="20"/>
        </w:rPr>
        <w:t>: Firmy</w:t>
      </w:r>
      <w:r>
        <w:rPr>
          <w:rFonts w:ascii="Arial" w:hAnsi="Arial" w:cs="Arial"/>
          <w:b/>
          <w:sz w:val="20"/>
        </w:rPr>
        <w:t xml:space="preserve"> s vybranými pokročilými funkcionalitami webových stránek</w:t>
      </w:r>
      <w:r w:rsidRPr="003E3AFB">
        <w:rPr>
          <w:rFonts w:ascii="Arial" w:hAnsi="Arial" w:cs="Arial"/>
          <w:b/>
          <w:sz w:val="20"/>
        </w:rPr>
        <w:t> – top 5 odvětví</w:t>
      </w:r>
      <w:r w:rsidR="006C7086">
        <w:rPr>
          <w:rFonts w:ascii="Arial" w:hAnsi="Arial" w:cs="Arial"/>
          <w:b/>
          <w:sz w:val="20"/>
        </w:rPr>
        <w:t xml:space="preserve"> v roce</w:t>
      </w:r>
      <w:r w:rsidRPr="003E3AFB">
        <w:rPr>
          <w:rFonts w:ascii="Arial" w:hAnsi="Arial" w:cs="Arial"/>
          <w:b/>
          <w:sz w:val="20"/>
        </w:rPr>
        <w:t xml:space="preserve"> 2018</w:t>
      </w:r>
      <w:r w:rsidR="00F94198"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27B380C3">
            <wp:extent cx="6212205" cy="247523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46BC" w:rsidRPr="006C7086" w:rsidRDefault="009E46BC" w:rsidP="009E46B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6C7086">
        <w:rPr>
          <w:rFonts w:ascii="Arial" w:hAnsi="Arial" w:cs="Arial"/>
          <w:i/>
          <w:sz w:val="18"/>
          <w:szCs w:val="18"/>
        </w:rPr>
        <w:t>podíl na celkovém počtu firem s 10 a více zaměstnanci</w:t>
      </w:r>
      <w:r w:rsidRPr="00B358C9">
        <w:rPr>
          <w:rFonts w:ascii="Arial" w:hAnsi="Arial" w:cs="Arial"/>
          <w:i/>
          <w:sz w:val="18"/>
          <w:szCs w:val="18"/>
        </w:rPr>
        <w:t xml:space="preserve"> </w:t>
      </w:r>
      <w:r w:rsidRPr="006C7086">
        <w:rPr>
          <w:rFonts w:ascii="Arial" w:hAnsi="Arial" w:cs="Arial"/>
          <w:i/>
          <w:sz w:val="18"/>
          <w:szCs w:val="18"/>
          <w:u w:val="single"/>
        </w:rPr>
        <w:t>s webovými stránkami</w:t>
      </w:r>
      <w:r w:rsidRPr="006C7086">
        <w:rPr>
          <w:rFonts w:ascii="Arial" w:hAnsi="Arial" w:cs="Arial"/>
          <w:i/>
          <w:sz w:val="18"/>
          <w:szCs w:val="18"/>
        </w:rPr>
        <w:t xml:space="preserve"> v dané odvětvové skupině </w:t>
      </w:r>
    </w:p>
    <w:p w:rsidR="009E46BC" w:rsidRDefault="009E46BC" w:rsidP="00021F2B">
      <w:pPr>
        <w:spacing w:after="120" w:line="240" w:lineRule="auto"/>
        <w:rPr>
          <w:rFonts w:ascii="Arial" w:hAnsi="Arial" w:cs="Arial"/>
          <w:b/>
          <w:sz w:val="20"/>
        </w:rPr>
      </w:pPr>
    </w:p>
    <w:p w:rsidR="00531311" w:rsidRDefault="00531311" w:rsidP="009E46BC">
      <w:pPr>
        <w:spacing w:after="120" w:line="240" w:lineRule="auto"/>
        <w:rPr>
          <w:noProof/>
          <w:lang w:eastAsia="cs-CZ"/>
        </w:rPr>
      </w:pPr>
      <w:r>
        <w:rPr>
          <w:rFonts w:ascii="Arial" w:hAnsi="Arial" w:cs="Arial"/>
          <w:b/>
          <w:sz w:val="20"/>
        </w:rPr>
        <w:t>Graf</w:t>
      </w:r>
      <w:r w:rsidRPr="00D54933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>3</w:t>
      </w:r>
      <w:r w:rsidRPr="00D54933">
        <w:rPr>
          <w:rFonts w:ascii="Arial" w:hAnsi="Arial" w:cs="Arial"/>
          <w:b/>
          <w:sz w:val="20"/>
        </w:rPr>
        <w:t>.</w:t>
      </w:r>
      <w:r w:rsidR="009E46BC">
        <w:rPr>
          <w:rFonts w:ascii="Arial" w:hAnsi="Arial" w:cs="Arial"/>
          <w:b/>
          <w:sz w:val="20"/>
        </w:rPr>
        <w:t>3</w:t>
      </w:r>
      <w:r w:rsidR="00B358C9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 w:rsidR="000621E4">
        <w:rPr>
          <w:rFonts w:ascii="Arial" w:hAnsi="Arial" w:cs="Arial"/>
          <w:b/>
          <w:sz w:val="20"/>
        </w:rPr>
        <w:t>O</w:t>
      </w:r>
      <w:r w:rsidR="00021F2B">
        <w:rPr>
          <w:rFonts w:ascii="Arial" w:hAnsi="Arial" w:cs="Arial"/>
          <w:b/>
          <w:sz w:val="20"/>
        </w:rPr>
        <w:t>dvětví, v nichž činnosti spojené s</w:t>
      </w:r>
      <w:r w:rsidR="009E46BC">
        <w:rPr>
          <w:rFonts w:ascii="Arial" w:hAnsi="Arial" w:cs="Arial"/>
          <w:b/>
          <w:sz w:val="20"/>
        </w:rPr>
        <w:t xml:space="preserve"> webem</w:t>
      </w:r>
      <w:r w:rsidR="00021F2B">
        <w:rPr>
          <w:rFonts w:ascii="Arial" w:hAnsi="Arial" w:cs="Arial"/>
          <w:b/>
          <w:sz w:val="20"/>
        </w:rPr>
        <w:t xml:space="preserve"> </w:t>
      </w:r>
      <w:r w:rsidR="009E46BC">
        <w:rPr>
          <w:rFonts w:ascii="Arial" w:hAnsi="Arial" w:cs="Arial"/>
          <w:b/>
          <w:sz w:val="20"/>
        </w:rPr>
        <w:t xml:space="preserve">firmy </w:t>
      </w:r>
      <w:r w:rsidR="00021F2B">
        <w:rPr>
          <w:rFonts w:ascii="Arial" w:hAnsi="Arial" w:cs="Arial"/>
          <w:b/>
          <w:sz w:val="20"/>
        </w:rPr>
        <w:t>provádějí čast</w:t>
      </w:r>
      <w:r w:rsidR="00CA5C7D">
        <w:rPr>
          <w:rFonts w:ascii="Arial" w:hAnsi="Arial" w:cs="Arial"/>
          <w:b/>
          <w:sz w:val="20"/>
        </w:rPr>
        <w:t>o</w:t>
      </w:r>
      <w:r w:rsidR="00021F2B">
        <w:rPr>
          <w:rFonts w:ascii="Arial" w:hAnsi="Arial" w:cs="Arial"/>
          <w:b/>
          <w:sz w:val="20"/>
        </w:rPr>
        <w:t xml:space="preserve"> vlastní</w:t>
      </w:r>
      <w:r w:rsidR="000621E4">
        <w:rPr>
          <w:rFonts w:ascii="Arial" w:hAnsi="Arial" w:cs="Arial"/>
          <w:b/>
          <w:sz w:val="20"/>
        </w:rPr>
        <w:t xml:space="preserve"> </w:t>
      </w:r>
      <w:r w:rsidR="00021F2B">
        <w:rPr>
          <w:rFonts w:ascii="Arial" w:hAnsi="Arial" w:cs="Arial"/>
          <w:b/>
          <w:sz w:val="20"/>
        </w:rPr>
        <w:t>zaměstnanci; 2018</w:t>
      </w:r>
      <w:r w:rsidR="00F94198"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3E77399A">
            <wp:extent cx="6212205" cy="260921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4198" w:rsidRDefault="00F94198" w:rsidP="00CA5C7D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A5C7D" w:rsidRPr="006C7086" w:rsidRDefault="00CA5C7D" w:rsidP="00CA5C7D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6C7086">
        <w:rPr>
          <w:rFonts w:ascii="Arial" w:hAnsi="Arial" w:cs="Arial"/>
          <w:i/>
          <w:sz w:val="18"/>
          <w:szCs w:val="18"/>
        </w:rPr>
        <w:t xml:space="preserve">podíl na celkovém počtu </w:t>
      </w:r>
      <w:r w:rsidR="00F671B0" w:rsidRPr="006C7086">
        <w:rPr>
          <w:rFonts w:ascii="Arial" w:hAnsi="Arial" w:cs="Arial"/>
          <w:i/>
          <w:sz w:val="18"/>
          <w:szCs w:val="18"/>
        </w:rPr>
        <w:t xml:space="preserve">firem s 10 a více zaměstnanci </w:t>
      </w:r>
      <w:r w:rsidRPr="006C7086">
        <w:rPr>
          <w:rFonts w:ascii="Arial" w:hAnsi="Arial" w:cs="Arial"/>
          <w:i/>
          <w:sz w:val="18"/>
          <w:szCs w:val="18"/>
          <w:u w:val="single"/>
        </w:rPr>
        <w:t>s webovými stránkami</w:t>
      </w:r>
      <w:r w:rsidRPr="006C7086">
        <w:rPr>
          <w:rFonts w:ascii="Arial" w:hAnsi="Arial" w:cs="Arial"/>
          <w:i/>
          <w:sz w:val="18"/>
          <w:szCs w:val="18"/>
        </w:rPr>
        <w:t xml:space="preserve"> v dané odvětvové skupině </w:t>
      </w:r>
    </w:p>
    <w:p w:rsidR="00CA5C7D" w:rsidRDefault="00CA5C7D" w:rsidP="00CA5C7D">
      <w:pPr>
        <w:spacing w:after="0" w:line="240" w:lineRule="auto"/>
        <w:rPr>
          <w:rFonts w:ascii="Arial" w:hAnsi="Arial" w:cs="Arial"/>
          <w:b/>
          <w:sz w:val="20"/>
        </w:rPr>
      </w:pPr>
      <w:r w:rsidRPr="00D51846">
        <w:rPr>
          <w:rFonts w:ascii="Arial" w:hAnsi="Arial" w:cs="Arial"/>
          <w:b/>
          <w:sz w:val="20"/>
        </w:rPr>
        <w:lastRenderedPageBreak/>
        <w:t xml:space="preserve">Graf </w:t>
      </w:r>
      <w:r>
        <w:rPr>
          <w:rFonts w:ascii="Arial" w:hAnsi="Arial" w:cs="Arial"/>
          <w:b/>
          <w:sz w:val="20"/>
        </w:rPr>
        <w:t>3</w:t>
      </w:r>
      <w:r w:rsidRPr="00D51846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4</w:t>
      </w:r>
      <w:r w:rsidRPr="00D51846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Firmy</w:t>
      </w:r>
      <w:r w:rsidRPr="00D51846">
        <w:rPr>
          <w:rFonts w:ascii="Arial" w:hAnsi="Arial" w:cs="Arial"/>
          <w:b/>
          <w:sz w:val="20"/>
        </w:rPr>
        <w:t xml:space="preserve"> v</w:t>
      </w:r>
      <w:r>
        <w:rPr>
          <w:rFonts w:ascii="Arial" w:hAnsi="Arial" w:cs="Arial"/>
          <w:b/>
          <w:sz w:val="20"/>
        </w:rPr>
        <w:t> zemích EU</w:t>
      </w:r>
      <w:r w:rsidRPr="00D51846">
        <w:rPr>
          <w:rFonts w:ascii="Arial" w:hAnsi="Arial" w:cs="Arial"/>
          <w:b/>
          <w:sz w:val="20"/>
        </w:rPr>
        <w:t xml:space="preserve"> s webovými stránkami</w:t>
      </w:r>
      <w:r w:rsidR="006C7086">
        <w:rPr>
          <w:rFonts w:ascii="Arial" w:hAnsi="Arial" w:cs="Arial"/>
          <w:b/>
          <w:sz w:val="20"/>
        </w:rPr>
        <w:t xml:space="preserve"> v roce</w:t>
      </w:r>
      <w:r>
        <w:rPr>
          <w:rFonts w:ascii="Arial" w:hAnsi="Arial" w:cs="Arial"/>
          <w:b/>
          <w:sz w:val="20"/>
        </w:rPr>
        <w:t xml:space="preserve"> 2018</w:t>
      </w:r>
    </w:p>
    <w:p w:rsidR="00CA5C7D" w:rsidRDefault="00F71C9A" w:rsidP="00CA5C7D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noProof/>
          <w:lang w:eastAsia="cs-CZ"/>
        </w:rPr>
        <w:drawing>
          <wp:inline distT="0" distB="0" distL="0" distR="0" wp14:anchorId="43A183CE" wp14:editId="51136055">
            <wp:extent cx="6210935" cy="307467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5C7D" w:rsidRPr="006C7086" w:rsidRDefault="00CA5C7D" w:rsidP="00CA5C7D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sz w:val="18"/>
          <w:szCs w:val="18"/>
        </w:rPr>
      </w:pPr>
      <w:r w:rsidRPr="006C7086">
        <w:rPr>
          <w:rFonts w:ascii="Arial" w:hAnsi="Arial" w:cs="Arial"/>
          <w:i/>
          <w:sz w:val="18"/>
          <w:szCs w:val="18"/>
        </w:rPr>
        <w:t xml:space="preserve">podíl na celkovém počtu firem s 10 a více zaměstnanci v dané zemi          </w:t>
      </w:r>
      <w:r w:rsidR="006C7086">
        <w:rPr>
          <w:rFonts w:ascii="Arial" w:hAnsi="Arial" w:cs="Arial"/>
          <w:i/>
          <w:sz w:val="18"/>
          <w:szCs w:val="18"/>
        </w:rPr>
        <w:t xml:space="preserve">                    </w:t>
      </w:r>
      <w:r w:rsidRPr="006C7086">
        <w:rPr>
          <w:rFonts w:ascii="Arial" w:hAnsi="Arial" w:cs="Arial"/>
          <w:i/>
          <w:sz w:val="18"/>
          <w:szCs w:val="18"/>
        </w:rPr>
        <w:t xml:space="preserve">   z</w:t>
      </w:r>
      <w:r w:rsidRPr="006C7086">
        <w:rPr>
          <w:rFonts w:ascii="Arial" w:hAnsi="Arial" w:cs="Arial"/>
          <w:sz w:val="18"/>
          <w:szCs w:val="18"/>
        </w:rPr>
        <w:t xml:space="preserve">droj dat: </w:t>
      </w:r>
      <w:proofErr w:type="spellStart"/>
      <w:r w:rsidRPr="006C7086">
        <w:rPr>
          <w:rFonts w:ascii="Arial" w:hAnsi="Arial" w:cs="Arial"/>
          <w:sz w:val="18"/>
          <w:szCs w:val="18"/>
        </w:rPr>
        <w:t>Eurostat</w:t>
      </w:r>
      <w:proofErr w:type="spellEnd"/>
      <w:r w:rsidRPr="006C7086">
        <w:rPr>
          <w:rFonts w:ascii="Arial" w:hAnsi="Arial" w:cs="Arial"/>
          <w:sz w:val="18"/>
          <w:szCs w:val="18"/>
        </w:rPr>
        <w:t>, prosinec 201</w:t>
      </w:r>
      <w:r w:rsidR="002C6BA4" w:rsidRPr="006C7086">
        <w:rPr>
          <w:rFonts w:ascii="Arial" w:hAnsi="Arial" w:cs="Arial"/>
          <w:sz w:val="18"/>
          <w:szCs w:val="18"/>
        </w:rPr>
        <w:t>8</w:t>
      </w:r>
    </w:p>
    <w:p w:rsidR="00CA5C7D" w:rsidRDefault="00CA5C7D" w:rsidP="003B3AAA">
      <w:pPr>
        <w:pStyle w:val="Nadpis2"/>
        <w:spacing w:before="120" w:after="120" w:line="240" w:lineRule="auto"/>
        <w:rPr>
          <w:sz w:val="24"/>
          <w:szCs w:val="24"/>
        </w:rPr>
      </w:pPr>
    </w:p>
    <w:p w:rsidR="003B3AAA" w:rsidRPr="00B112AC" w:rsidRDefault="003B3AAA" w:rsidP="003B3AAA">
      <w:pPr>
        <w:pStyle w:val="Nadpis2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Prodej prostřednictvím webových stránek v podnikatelském sektoru ČR</w:t>
      </w:r>
    </w:p>
    <w:p w:rsidR="00012B4B" w:rsidRPr="00012B4B" w:rsidRDefault="00012B4B" w:rsidP="00012B4B">
      <w:pPr>
        <w:pStyle w:val="Zkladntext"/>
        <w:numPr>
          <w:ilvl w:val="0"/>
          <w:numId w:val="5"/>
        </w:numPr>
        <w:tabs>
          <w:tab w:val="clear" w:pos="360"/>
        </w:tabs>
        <w:spacing w:before="0" w:after="80" w:line="264" w:lineRule="auto"/>
        <w:ind w:left="284" w:right="0" w:hanging="284"/>
        <w:rPr>
          <w:rFonts w:ascii="Arial" w:eastAsia="Calibri" w:hAnsi="Arial" w:cs="Arial"/>
          <w:sz w:val="20"/>
          <w:szCs w:val="22"/>
          <w:lang w:eastAsia="en-US"/>
        </w:rPr>
      </w:pPr>
      <w:r w:rsidRPr="00012B4B">
        <w:rPr>
          <w:rFonts w:ascii="Arial" w:eastAsia="Calibri" w:hAnsi="Arial" w:cs="Arial"/>
          <w:sz w:val="20"/>
          <w:szCs w:val="22"/>
          <w:lang w:eastAsia="en-US"/>
        </w:rPr>
        <w:t>Online se neodehrává jen prezentace a komunikace podniků, rok od roku roste také podíl těch, kteří přes web prodávají své zboží a služby. V roce 201</w:t>
      </w:r>
      <w:r>
        <w:rPr>
          <w:rFonts w:ascii="Arial" w:eastAsia="Calibri" w:hAnsi="Arial" w:cs="Arial"/>
          <w:sz w:val="20"/>
          <w:szCs w:val="22"/>
          <w:lang w:eastAsia="en-US"/>
        </w:rPr>
        <w:t>7</w:t>
      </w:r>
      <w:r w:rsidRPr="00012B4B">
        <w:rPr>
          <w:rFonts w:ascii="Arial" w:eastAsia="Calibri" w:hAnsi="Arial" w:cs="Arial"/>
          <w:sz w:val="20"/>
          <w:szCs w:val="22"/>
          <w:lang w:eastAsia="en-US"/>
        </w:rPr>
        <w:t xml:space="preserve"> přes webové stránky prodávala v Česku pětina firem s deseti a více zaměstnanci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(19 %)</w:t>
      </w:r>
      <w:r w:rsidRPr="00012B4B">
        <w:rPr>
          <w:rFonts w:ascii="Arial" w:eastAsia="Calibri" w:hAnsi="Arial" w:cs="Arial"/>
          <w:sz w:val="20"/>
          <w:szCs w:val="22"/>
          <w:lang w:eastAsia="en-US"/>
        </w:rPr>
        <w:t>. I když v porovnání s rokem 2007 se tento podíl téměř zdvojnásobil, největší nárůst firem prodávajících přes web se odehrál mezi roky 2007 až 2012. Od té doby se podíl firem prodávají</w:t>
      </w:r>
      <w:r>
        <w:rPr>
          <w:rFonts w:ascii="Arial" w:eastAsia="Calibri" w:hAnsi="Arial" w:cs="Arial"/>
          <w:sz w:val="20"/>
          <w:szCs w:val="22"/>
          <w:lang w:eastAsia="en-US"/>
        </w:rPr>
        <w:t>cí</w:t>
      </w:r>
      <w:r w:rsidRPr="00012B4B">
        <w:rPr>
          <w:rFonts w:ascii="Arial" w:eastAsia="Calibri" w:hAnsi="Arial" w:cs="Arial"/>
          <w:sz w:val="20"/>
          <w:szCs w:val="22"/>
          <w:lang w:eastAsia="en-US"/>
        </w:rPr>
        <w:t>ch své výrobky nebo služby online již příliš nemění.</w:t>
      </w:r>
    </w:p>
    <w:p w:rsidR="00012B4B" w:rsidRPr="00012B4B" w:rsidRDefault="00012B4B" w:rsidP="00012B4B">
      <w:pPr>
        <w:pStyle w:val="Zkladntext"/>
        <w:numPr>
          <w:ilvl w:val="0"/>
          <w:numId w:val="5"/>
        </w:numPr>
        <w:tabs>
          <w:tab w:val="clear" w:pos="360"/>
        </w:tabs>
        <w:spacing w:before="0" w:after="80" w:line="264" w:lineRule="auto"/>
        <w:ind w:left="284" w:right="0" w:hanging="284"/>
        <w:rPr>
          <w:rFonts w:ascii="Arial" w:eastAsia="Calibri" w:hAnsi="Arial" w:cs="Arial"/>
          <w:sz w:val="20"/>
          <w:szCs w:val="22"/>
          <w:lang w:eastAsia="en-US"/>
        </w:rPr>
      </w:pPr>
      <w:r w:rsidRPr="00012B4B">
        <w:rPr>
          <w:rFonts w:ascii="Arial" w:eastAsia="Calibri" w:hAnsi="Arial" w:cs="Arial"/>
          <w:sz w:val="20"/>
          <w:szCs w:val="22"/>
          <w:lang w:eastAsia="en-US"/>
        </w:rPr>
        <w:t>Na rozdíl od většiny jiných aspektů fungování ICT v podnicích se v případě prodejů přes webové stránky</w:t>
      </w:r>
      <w:r w:rsidR="009E46BC">
        <w:rPr>
          <w:rFonts w:ascii="Arial" w:eastAsia="Calibri" w:hAnsi="Arial" w:cs="Arial"/>
          <w:sz w:val="20"/>
          <w:szCs w:val="22"/>
          <w:lang w:eastAsia="en-US"/>
        </w:rPr>
        <w:t xml:space="preserve"> či </w:t>
      </w:r>
      <w:r w:rsidRPr="00012B4B">
        <w:rPr>
          <w:rFonts w:ascii="Arial" w:eastAsia="Calibri" w:hAnsi="Arial" w:cs="Arial"/>
          <w:sz w:val="20"/>
          <w:szCs w:val="22"/>
          <w:lang w:eastAsia="en-US"/>
        </w:rPr>
        <w:t xml:space="preserve"> aplikace jejich relativní četnost příliš nelišila v závislosti na velikosti </w:t>
      </w:r>
      <w:r>
        <w:rPr>
          <w:rFonts w:ascii="Arial" w:eastAsia="Calibri" w:hAnsi="Arial" w:cs="Arial"/>
          <w:sz w:val="20"/>
          <w:szCs w:val="22"/>
          <w:lang w:eastAsia="en-US"/>
        </w:rPr>
        <w:t>subjektu</w:t>
      </w:r>
      <w:r w:rsidRPr="00012B4B">
        <w:rPr>
          <w:rFonts w:ascii="Arial" w:eastAsia="Calibri" w:hAnsi="Arial" w:cs="Arial"/>
          <w:sz w:val="20"/>
          <w:szCs w:val="22"/>
          <w:lang w:eastAsia="en-US"/>
        </w:rPr>
        <w:t>.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Opět platí, že velké firmy prodávaly přes web častěji, ale rozdíl mezi nimi a firmami s maximálně 50 zaměstnanci</w:t>
      </w:r>
      <w:r w:rsidR="003F2A50">
        <w:rPr>
          <w:rFonts w:ascii="Arial" w:eastAsia="Calibri" w:hAnsi="Arial" w:cs="Arial"/>
          <w:sz w:val="20"/>
          <w:szCs w:val="22"/>
          <w:lang w:eastAsia="en-US"/>
        </w:rPr>
        <w:t>,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není tolik výrazný.</w:t>
      </w:r>
    </w:p>
    <w:p w:rsidR="003F2A50" w:rsidRPr="000B2228" w:rsidRDefault="00012B4B" w:rsidP="003F2A50">
      <w:pPr>
        <w:pStyle w:val="Zkladntext"/>
        <w:numPr>
          <w:ilvl w:val="0"/>
          <w:numId w:val="5"/>
        </w:numPr>
        <w:tabs>
          <w:tab w:val="clear" w:pos="360"/>
        </w:tabs>
        <w:spacing w:before="0" w:after="80" w:line="264" w:lineRule="auto"/>
        <w:ind w:left="284" w:right="0" w:hanging="284"/>
        <w:rPr>
          <w:rFonts w:ascii="Arial" w:eastAsia="Calibri" w:hAnsi="Arial" w:cs="Arial"/>
          <w:sz w:val="20"/>
          <w:szCs w:val="22"/>
          <w:lang w:eastAsia="en-US"/>
        </w:rPr>
      </w:pPr>
      <w:r w:rsidRPr="003F2A50">
        <w:rPr>
          <w:rFonts w:ascii="Arial" w:eastAsia="Calibri" w:hAnsi="Arial" w:cs="Arial"/>
          <w:sz w:val="20"/>
          <w:szCs w:val="22"/>
          <w:lang w:eastAsia="en-US"/>
        </w:rPr>
        <w:t>Tržby z prodejů uskutečněných přes webové stránky v roce 201</w:t>
      </w:r>
      <w:r w:rsidR="003F2A50" w:rsidRPr="003F2A50">
        <w:rPr>
          <w:rFonts w:ascii="Arial" w:eastAsia="Calibri" w:hAnsi="Arial" w:cs="Arial"/>
          <w:sz w:val="20"/>
          <w:szCs w:val="22"/>
          <w:lang w:eastAsia="en-US"/>
        </w:rPr>
        <w:t>7 tvořily 7</w:t>
      </w:r>
      <w:r w:rsidRPr="003F2A50">
        <w:rPr>
          <w:rFonts w:ascii="Arial" w:eastAsia="Calibri" w:hAnsi="Arial" w:cs="Arial"/>
          <w:sz w:val="20"/>
          <w:szCs w:val="22"/>
          <w:lang w:eastAsia="en-US"/>
        </w:rPr>
        <w:t xml:space="preserve"> % celkových tržeb firem s 10 a</w:t>
      </w:r>
      <w:r w:rsidR="000B2228">
        <w:rPr>
          <w:rFonts w:ascii="Arial" w:eastAsia="Calibri" w:hAnsi="Arial" w:cs="Arial"/>
          <w:sz w:val="20"/>
          <w:szCs w:val="22"/>
          <w:lang w:eastAsia="en-US"/>
        </w:rPr>
        <w:t> </w:t>
      </w:r>
      <w:r w:rsidRPr="003F2A50">
        <w:rPr>
          <w:rFonts w:ascii="Arial" w:eastAsia="Calibri" w:hAnsi="Arial" w:cs="Arial"/>
          <w:sz w:val="20"/>
          <w:szCs w:val="22"/>
          <w:lang w:eastAsia="en-US"/>
        </w:rPr>
        <w:t xml:space="preserve">více zaměstnanci v Česku. </w:t>
      </w:r>
      <w:r w:rsidR="000B2228" w:rsidRPr="000B2228">
        <w:rPr>
          <w:rFonts w:ascii="Arial" w:eastAsia="Calibri" w:hAnsi="Arial" w:cs="Arial"/>
          <w:sz w:val="20"/>
          <w:szCs w:val="22"/>
          <w:lang w:eastAsia="en-US"/>
        </w:rPr>
        <w:t xml:space="preserve">Jde o devátý nejvyšší podíl v rámci zemí EU. </w:t>
      </w:r>
      <w:r w:rsidRPr="003F2A50">
        <w:rPr>
          <w:rFonts w:ascii="Arial" w:eastAsia="Calibri" w:hAnsi="Arial" w:cs="Arial"/>
          <w:sz w:val="20"/>
          <w:szCs w:val="22"/>
          <w:lang w:eastAsia="en-US"/>
        </w:rPr>
        <w:t xml:space="preserve">Pro více než 12 % firem v Česku tvořily prodeje přes webové stránky </w:t>
      </w:r>
      <w:r w:rsidR="003F2A50" w:rsidRPr="003F2A50">
        <w:rPr>
          <w:rFonts w:ascii="Arial" w:eastAsia="Calibri" w:hAnsi="Arial" w:cs="Arial"/>
          <w:sz w:val="20"/>
          <w:szCs w:val="22"/>
          <w:lang w:eastAsia="en-US"/>
        </w:rPr>
        <w:t>větší</w:t>
      </w:r>
      <w:r w:rsidRPr="003F2A50">
        <w:rPr>
          <w:rFonts w:ascii="Arial" w:eastAsia="Calibri" w:hAnsi="Arial" w:cs="Arial"/>
          <w:sz w:val="20"/>
          <w:szCs w:val="22"/>
          <w:lang w:eastAsia="en-US"/>
        </w:rPr>
        <w:t xml:space="preserve"> než </w:t>
      </w:r>
      <w:r w:rsidR="000B2228">
        <w:rPr>
          <w:rFonts w:ascii="Arial" w:eastAsia="Calibri" w:hAnsi="Arial" w:cs="Arial"/>
          <w:sz w:val="20"/>
          <w:szCs w:val="22"/>
          <w:lang w:eastAsia="en-US"/>
        </w:rPr>
        <w:t xml:space="preserve"> desetinový</w:t>
      </w:r>
      <w:r w:rsidR="003F2A50" w:rsidRPr="003F2A50">
        <w:rPr>
          <w:rFonts w:ascii="Arial" w:eastAsia="Calibri" w:hAnsi="Arial" w:cs="Arial"/>
          <w:sz w:val="20"/>
          <w:szCs w:val="22"/>
          <w:lang w:eastAsia="en-US"/>
        </w:rPr>
        <w:t xml:space="preserve"> podíl</w:t>
      </w:r>
      <w:r w:rsidRPr="003F2A50">
        <w:rPr>
          <w:rFonts w:ascii="Arial" w:eastAsia="Calibri" w:hAnsi="Arial" w:cs="Arial"/>
          <w:sz w:val="20"/>
          <w:szCs w:val="22"/>
          <w:lang w:eastAsia="en-US"/>
        </w:rPr>
        <w:t xml:space="preserve"> z jejich celkových tržeb. </w:t>
      </w:r>
    </w:p>
    <w:p w:rsidR="00012B4B" w:rsidRPr="003F2A50" w:rsidRDefault="00012B4B" w:rsidP="003F2A50">
      <w:pPr>
        <w:pStyle w:val="Zkladntext"/>
        <w:numPr>
          <w:ilvl w:val="0"/>
          <w:numId w:val="5"/>
        </w:numPr>
        <w:tabs>
          <w:tab w:val="clear" w:pos="360"/>
        </w:tabs>
        <w:spacing w:before="0" w:after="80" w:line="264" w:lineRule="auto"/>
        <w:ind w:left="284" w:right="0" w:hanging="284"/>
        <w:rPr>
          <w:rFonts w:ascii="Arial" w:eastAsia="Calibri" w:hAnsi="Arial" w:cs="Arial"/>
          <w:sz w:val="20"/>
          <w:szCs w:val="22"/>
          <w:lang w:eastAsia="en-US"/>
        </w:rPr>
      </w:pPr>
      <w:r w:rsidRPr="003F2A50">
        <w:rPr>
          <w:rFonts w:ascii="Arial" w:eastAsia="Calibri" w:hAnsi="Arial" w:cs="Arial"/>
          <w:sz w:val="20"/>
          <w:szCs w:val="22"/>
          <w:lang w:eastAsia="en-US"/>
        </w:rPr>
        <w:t>Nejčastěji prodávají své produkty</w:t>
      </w:r>
      <w:r w:rsidR="0051204D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Pr="003F2A50">
        <w:rPr>
          <w:rFonts w:ascii="Arial" w:eastAsia="Calibri" w:hAnsi="Arial" w:cs="Arial"/>
          <w:sz w:val="20"/>
          <w:szCs w:val="22"/>
          <w:lang w:eastAsia="en-US"/>
        </w:rPr>
        <w:t>přes webové stránky firmy působící v cestovním ruchu a</w:t>
      </w:r>
      <w:r w:rsidR="002C6BA4">
        <w:rPr>
          <w:rFonts w:ascii="Arial" w:eastAsia="Calibri" w:hAnsi="Arial" w:cs="Arial"/>
          <w:sz w:val="20"/>
          <w:szCs w:val="22"/>
          <w:lang w:eastAsia="en-US"/>
        </w:rPr>
        <w:t> </w:t>
      </w:r>
      <w:r w:rsidRPr="003F2A50">
        <w:rPr>
          <w:rFonts w:ascii="Arial" w:eastAsia="Calibri" w:hAnsi="Arial" w:cs="Arial"/>
          <w:sz w:val="20"/>
          <w:szCs w:val="22"/>
          <w:lang w:eastAsia="en-US"/>
        </w:rPr>
        <w:t>ubytování – v roce 201</w:t>
      </w:r>
      <w:r w:rsidR="003F2A50">
        <w:rPr>
          <w:rFonts w:ascii="Arial" w:eastAsia="Calibri" w:hAnsi="Arial" w:cs="Arial"/>
          <w:sz w:val="20"/>
          <w:szCs w:val="22"/>
          <w:lang w:eastAsia="en-US"/>
        </w:rPr>
        <w:t>7</w:t>
      </w:r>
      <w:r w:rsidRPr="003F2A50">
        <w:rPr>
          <w:rFonts w:ascii="Arial" w:eastAsia="Calibri" w:hAnsi="Arial" w:cs="Arial"/>
          <w:sz w:val="20"/>
          <w:szCs w:val="22"/>
          <w:lang w:eastAsia="en-US"/>
        </w:rPr>
        <w:t xml:space="preserve"> dosáhl podíl</w:t>
      </w:r>
      <w:r w:rsidR="0051204D">
        <w:rPr>
          <w:rFonts w:ascii="Arial" w:eastAsia="Calibri" w:hAnsi="Arial" w:cs="Arial"/>
          <w:sz w:val="20"/>
          <w:szCs w:val="22"/>
          <w:lang w:eastAsia="en-US"/>
        </w:rPr>
        <w:t xml:space="preserve"> prodávajících</w:t>
      </w:r>
      <w:r w:rsidRPr="003F2A50">
        <w:rPr>
          <w:rFonts w:ascii="Arial" w:eastAsia="Calibri" w:hAnsi="Arial" w:cs="Arial"/>
          <w:sz w:val="20"/>
          <w:szCs w:val="22"/>
          <w:lang w:eastAsia="en-US"/>
        </w:rPr>
        <w:t xml:space="preserve"> firem v těchto dvou odvětvích 6</w:t>
      </w:r>
      <w:r w:rsidR="003F2A50">
        <w:rPr>
          <w:rFonts w:ascii="Arial" w:eastAsia="Calibri" w:hAnsi="Arial" w:cs="Arial"/>
          <w:sz w:val="20"/>
          <w:szCs w:val="22"/>
          <w:lang w:eastAsia="en-US"/>
        </w:rPr>
        <w:t>6</w:t>
      </w:r>
      <w:r w:rsidRPr="003F2A50">
        <w:rPr>
          <w:rFonts w:ascii="Arial" w:eastAsia="Calibri" w:hAnsi="Arial" w:cs="Arial"/>
          <w:sz w:val="20"/>
          <w:szCs w:val="22"/>
          <w:lang w:eastAsia="en-US"/>
        </w:rPr>
        <w:t> % resp. 6</w:t>
      </w:r>
      <w:r w:rsidR="003F2A50">
        <w:rPr>
          <w:rFonts w:ascii="Arial" w:eastAsia="Calibri" w:hAnsi="Arial" w:cs="Arial"/>
          <w:sz w:val="20"/>
          <w:szCs w:val="22"/>
          <w:lang w:eastAsia="en-US"/>
        </w:rPr>
        <w:t>3</w:t>
      </w:r>
      <w:r w:rsidRPr="003F2A50">
        <w:rPr>
          <w:rFonts w:ascii="Arial" w:eastAsia="Calibri" w:hAnsi="Arial" w:cs="Arial"/>
          <w:sz w:val="20"/>
          <w:szCs w:val="22"/>
          <w:lang w:eastAsia="en-US"/>
        </w:rPr>
        <w:t> %. V případě cestovních agentur</w:t>
      </w:r>
      <w:r w:rsidR="00D63C8D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Pr="003F2A50">
        <w:rPr>
          <w:rFonts w:ascii="Arial" w:eastAsia="Calibri" w:hAnsi="Arial" w:cs="Arial"/>
          <w:sz w:val="20"/>
          <w:szCs w:val="22"/>
          <w:lang w:eastAsia="en-US"/>
        </w:rPr>
        <w:t xml:space="preserve">se tyto prodeje přes webové stránky podílely již </w:t>
      </w:r>
      <w:r w:rsidR="003F2A50">
        <w:rPr>
          <w:rFonts w:ascii="Arial" w:eastAsia="Calibri" w:hAnsi="Arial" w:cs="Arial"/>
          <w:sz w:val="20"/>
          <w:szCs w:val="22"/>
          <w:lang w:eastAsia="en-US"/>
        </w:rPr>
        <w:t>ze</w:t>
      </w:r>
      <w:r w:rsidRPr="003F2A50">
        <w:rPr>
          <w:rFonts w:ascii="Arial" w:eastAsia="Calibri" w:hAnsi="Arial" w:cs="Arial"/>
          <w:sz w:val="20"/>
          <w:szCs w:val="22"/>
          <w:lang w:eastAsia="en-US"/>
        </w:rPr>
        <w:t> dvou pětin (</w:t>
      </w:r>
      <w:r w:rsidR="003F2A50">
        <w:rPr>
          <w:rFonts w:ascii="Arial" w:eastAsia="Calibri" w:hAnsi="Arial" w:cs="Arial"/>
          <w:sz w:val="20"/>
          <w:szCs w:val="22"/>
          <w:lang w:eastAsia="en-US"/>
        </w:rPr>
        <w:t>39</w:t>
      </w:r>
      <w:r w:rsidRPr="003F2A50">
        <w:rPr>
          <w:rFonts w:ascii="Arial" w:eastAsia="Calibri" w:hAnsi="Arial" w:cs="Arial"/>
          <w:sz w:val="20"/>
          <w:szCs w:val="22"/>
          <w:lang w:eastAsia="en-US"/>
        </w:rPr>
        <w:t> %) na</w:t>
      </w:r>
      <w:r w:rsidR="00D63C8D">
        <w:rPr>
          <w:rFonts w:ascii="Arial" w:eastAsia="Calibri" w:hAnsi="Arial" w:cs="Arial"/>
          <w:sz w:val="20"/>
          <w:szCs w:val="22"/>
          <w:lang w:eastAsia="en-US"/>
        </w:rPr>
        <w:t> </w:t>
      </w:r>
      <w:r w:rsidRPr="003F2A50">
        <w:rPr>
          <w:rFonts w:ascii="Arial" w:eastAsia="Calibri" w:hAnsi="Arial" w:cs="Arial"/>
          <w:sz w:val="20"/>
          <w:szCs w:val="22"/>
          <w:lang w:eastAsia="en-US"/>
        </w:rPr>
        <w:t>jejich celkových tržbách, u firem působících v ubytování byl tento podíl nižší (2</w:t>
      </w:r>
      <w:r w:rsidR="003F2A50">
        <w:rPr>
          <w:rFonts w:ascii="Arial" w:eastAsia="Calibri" w:hAnsi="Arial" w:cs="Arial"/>
          <w:sz w:val="20"/>
          <w:szCs w:val="22"/>
          <w:lang w:eastAsia="en-US"/>
        </w:rPr>
        <w:t>6</w:t>
      </w:r>
      <w:r w:rsidRPr="003F2A50">
        <w:rPr>
          <w:rFonts w:ascii="Arial" w:eastAsia="Calibri" w:hAnsi="Arial" w:cs="Arial"/>
          <w:sz w:val="20"/>
          <w:szCs w:val="22"/>
          <w:lang w:eastAsia="en-US"/>
        </w:rPr>
        <w:t xml:space="preserve"> %), přesto nadprůměrný. </w:t>
      </w:r>
    </w:p>
    <w:p w:rsidR="00976772" w:rsidRDefault="00012B4B" w:rsidP="00012B4B">
      <w:pPr>
        <w:pStyle w:val="Zkladntext"/>
        <w:numPr>
          <w:ilvl w:val="0"/>
          <w:numId w:val="5"/>
        </w:numPr>
        <w:tabs>
          <w:tab w:val="clear" w:pos="360"/>
        </w:tabs>
        <w:spacing w:before="0" w:after="80" w:line="264" w:lineRule="auto"/>
        <w:ind w:left="284" w:right="0" w:hanging="284"/>
        <w:rPr>
          <w:rFonts w:ascii="Arial" w:eastAsia="Calibri" w:hAnsi="Arial" w:cs="Arial"/>
          <w:sz w:val="20"/>
          <w:szCs w:val="22"/>
          <w:lang w:eastAsia="en-US"/>
        </w:rPr>
      </w:pPr>
      <w:r w:rsidRPr="00012B4B">
        <w:rPr>
          <w:rFonts w:ascii="Arial" w:eastAsia="Calibri" w:hAnsi="Arial" w:cs="Arial"/>
          <w:sz w:val="20"/>
          <w:szCs w:val="22"/>
          <w:lang w:eastAsia="en-US"/>
        </w:rPr>
        <w:t>Firmy prodávající online prodávají téměř výhradně přes své vlastní webové stránky. Prodej přes tzv. on-line tržiště</w:t>
      </w:r>
      <w:r w:rsidRPr="00625C7D">
        <w:rPr>
          <w:rStyle w:val="Znakapoznpodarou"/>
          <w:rFonts w:ascii="Arial" w:hAnsi="Arial" w:cs="Arial"/>
          <w:sz w:val="20"/>
          <w:lang w:eastAsia="en-US"/>
        </w:rPr>
        <w:footnoteReference w:id="2"/>
      </w:r>
      <w:r w:rsidRPr="00012B4B">
        <w:rPr>
          <w:rFonts w:ascii="Arial" w:eastAsia="Calibri" w:hAnsi="Arial" w:cs="Arial"/>
          <w:sz w:val="20"/>
          <w:szCs w:val="22"/>
          <w:lang w:eastAsia="en-US"/>
        </w:rPr>
        <w:t xml:space="preserve"> není v českém podnikatelském prostředí – kromě podniků působcích v oblasti ubytování a</w:t>
      </w:r>
      <w:r w:rsidR="002C6BA4">
        <w:rPr>
          <w:rFonts w:ascii="Arial" w:eastAsia="Calibri" w:hAnsi="Arial" w:cs="Arial"/>
          <w:sz w:val="20"/>
          <w:szCs w:val="22"/>
          <w:lang w:eastAsia="en-US"/>
        </w:rPr>
        <w:t> </w:t>
      </w:r>
      <w:r w:rsidRPr="00012B4B">
        <w:rPr>
          <w:rFonts w:ascii="Arial" w:eastAsia="Calibri" w:hAnsi="Arial" w:cs="Arial"/>
          <w:sz w:val="20"/>
          <w:szCs w:val="22"/>
          <w:lang w:eastAsia="en-US"/>
        </w:rPr>
        <w:t>cestovního ruchu – příliš rozšířen. V roce 201</w:t>
      </w:r>
      <w:r w:rsidR="003F2A50">
        <w:rPr>
          <w:rFonts w:ascii="Arial" w:eastAsia="Calibri" w:hAnsi="Arial" w:cs="Arial"/>
          <w:sz w:val="20"/>
          <w:szCs w:val="22"/>
          <w:lang w:eastAsia="en-US"/>
        </w:rPr>
        <w:t>7</w:t>
      </w:r>
      <w:r w:rsidRPr="00012B4B">
        <w:rPr>
          <w:rFonts w:ascii="Arial" w:eastAsia="Calibri" w:hAnsi="Arial" w:cs="Arial"/>
          <w:sz w:val="20"/>
          <w:szCs w:val="22"/>
          <w:lang w:eastAsia="en-US"/>
        </w:rPr>
        <w:t xml:space="preserve"> tak prodávala 3 % podniků s více než 10 zaměstnanci.</w:t>
      </w:r>
    </w:p>
    <w:p w:rsidR="00012B4B" w:rsidRDefault="00012B4B" w:rsidP="00012B4B">
      <w:pPr>
        <w:pStyle w:val="Zkladntext"/>
        <w:numPr>
          <w:ilvl w:val="0"/>
          <w:numId w:val="5"/>
        </w:numPr>
        <w:tabs>
          <w:tab w:val="clear" w:pos="360"/>
        </w:tabs>
        <w:spacing w:before="0" w:after="80" w:line="264" w:lineRule="auto"/>
        <w:ind w:left="284" w:right="0" w:hanging="284"/>
        <w:rPr>
          <w:rFonts w:ascii="Arial" w:eastAsia="Calibri" w:hAnsi="Arial" w:cs="Arial"/>
          <w:sz w:val="20"/>
          <w:szCs w:val="22"/>
          <w:lang w:eastAsia="en-US"/>
        </w:rPr>
      </w:pPr>
      <w:r w:rsidRPr="00012B4B">
        <w:rPr>
          <w:rFonts w:ascii="Arial" w:eastAsia="Calibri" w:hAnsi="Arial" w:cs="Arial"/>
          <w:sz w:val="20"/>
          <w:szCs w:val="22"/>
          <w:lang w:eastAsia="en-US"/>
        </w:rPr>
        <w:t>Firmy, které prodávají přes své vlastní webové stránky, prodávají přibližně stejně často jak koncovým zákazníkům (tzv. B2C prodej), tak dalším firmám nebo organizacím veřejné správy (tzv. B2B nebo B2G prodej).</w:t>
      </w:r>
      <w:r w:rsidR="003F2A50">
        <w:rPr>
          <w:rFonts w:ascii="Arial" w:eastAsia="Calibri" w:hAnsi="Arial" w:cs="Arial"/>
          <w:sz w:val="20"/>
          <w:szCs w:val="22"/>
          <w:lang w:eastAsia="en-US"/>
        </w:rPr>
        <w:t xml:space="preserve"> R</w:t>
      </w:r>
      <w:r w:rsidR="003F2A50" w:rsidRPr="00F80861">
        <w:rPr>
          <w:rFonts w:ascii="Arial" w:eastAsia="Calibri" w:hAnsi="Arial" w:cs="Arial"/>
          <w:sz w:val="20"/>
          <w:szCs w:val="22"/>
          <w:lang w:eastAsia="en-US"/>
        </w:rPr>
        <w:t>o</w:t>
      </w:r>
      <w:r w:rsidR="003F2A50">
        <w:rPr>
          <w:rFonts w:ascii="Arial" w:eastAsia="Calibri" w:hAnsi="Arial" w:cs="Arial"/>
          <w:sz w:val="20"/>
          <w:szCs w:val="22"/>
          <w:lang w:eastAsia="en-US"/>
        </w:rPr>
        <w:t>zdíly ale najdeme v tržbách z těchto p</w:t>
      </w:r>
      <w:r w:rsidR="00976772">
        <w:rPr>
          <w:rFonts w:ascii="Arial" w:eastAsia="Calibri" w:hAnsi="Arial" w:cs="Arial"/>
          <w:sz w:val="20"/>
          <w:szCs w:val="22"/>
          <w:lang w:eastAsia="en-US"/>
        </w:rPr>
        <w:t xml:space="preserve">rodejů. Zatímco tržby z prodeje dalším firmám činily v roce 2017 dvoutřetinový podíl, tržby z webových prodejů soukromým osobám (B2C) tvořily třetinu z webových tržeb firem. </w:t>
      </w:r>
    </w:p>
    <w:p w:rsidR="00513057" w:rsidRDefault="002C6BA4" w:rsidP="0051204D">
      <w:pPr>
        <w:autoSpaceDE w:val="0"/>
        <w:autoSpaceDN w:val="0"/>
        <w:adjustRightInd w:val="0"/>
        <w:spacing w:before="240" w:after="0" w:line="288" w:lineRule="auto"/>
        <w:rPr>
          <w:noProof/>
          <w:lang w:eastAsia="cs-CZ"/>
        </w:rPr>
      </w:pPr>
      <w:r w:rsidRPr="002C6BA4">
        <w:rPr>
          <w:rFonts w:ascii="Arial" w:hAnsi="Arial" w:cs="Arial"/>
          <w:b/>
          <w:sz w:val="20"/>
        </w:rPr>
        <w:lastRenderedPageBreak/>
        <w:t>Graf 3.</w:t>
      </w:r>
      <w:r>
        <w:rPr>
          <w:rFonts w:ascii="Arial" w:hAnsi="Arial" w:cs="Arial"/>
          <w:b/>
          <w:sz w:val="20"/>
        </w:rPr>
        <w:t>5</w:t>
      </w:r>
      <w:r w:rsidRPr="002C6BA4">
        <w:rPr>
          <w:rFonts w:ascii="Arial" w:hAnsi="Arial" w:cs="Arial"/>
          <w:b/>
          <w:sz w:val="20"/>
        </w:rPr>
        <w:t>: Firmy v ČR prodávající přes webové stránky</w:t>
      </w:r>
      <w:r w:rsidR="000B2228" w:rsidRPr="000B2228">
        <w:rPr>
          <w:noProof/>
          <w:lang w:eastAsia="cs-CZ"/>
        </w:rPr>
        <w:t xml:space="preserve"> </w:t>
      </w:r>
    </w:p>
    <w:p w:rsidR="00EC3A17" w:rsidRDefault="000B2228" w:rsidP="0051204D">
      <w:pPr>
        <w:autoSpaceDE w:val="0"/>
        <w:autoSpaceDN w:val="0"/>
        <w:adjustRightInd w:val="0"/>
        <w:spacing w:before="240" w:after="0" w:line="288" w:lineRule="auto"/>
        <w:rPr>
          <w:rFonts w:ascii="Arial" w:hAnsi="Arial" w:cs="Arial"/>
          <w:b/>
          <w:sz w:val="20"/>
        </w:rPr>
      </w:pPr>
      <w:r>
        <w:rPr>
          <w:noProof/>
          <w:lang w:eastAsia="cs-CZ"/>
        </w:rPr>
        <w:drawing>
          <wp:inline distT="0" distB="0" distL="0" distR="0" wp14:anchorId="297D0511">
            <wp:extent cx="6124575" cy="223622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978" cy="2241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6BA4" w:rsidRPr="00F94198" w:rsidRDefault="002C6BA4" w:rsidP="00EC3A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F94198">
        <w:rPr>
          <w:rFonts w:ascii="Arial" w:hAnsi="Arial" w:cs="Arial"/>
          <w:i/>
          <w:sz w:val="18"/>
          <w:szCs w:val="18"/>
        </w:rPr>
        <w:t xml:space="preserve">podíl na celkovém počtu </w:t>
      </w:r>
      <w:r w:rsidR="0051204D" w:rsidRPr="00F94198">
        <w:rPr>
          <w:rFonts w:ascii="Arial" w:hAnsi="Arial" w:cs="Arial"/>
          <w:i/>
          <w:sz w:val="18"/>
          <w:szCs w:val="18"/>
        </w:rPr>
        <w:t>firem s 10 a více zaměstnanci</w:t>
      </w:r>
      <w:r w:rsidRPr="00F94198">
        <w:rPr>
          <w:rFonts w:ascii="Arial" w:hAnsi="Arial" w:cs="Arial"/>
          <w:i/>
          <w:sz w:val="18"/>
          <w:szCs w:val="18"/>
        </w:rPr>
        <w:t xml:space="preserve"> v dané velikostní skupině v daných letech </w:t>
      </w:r>
    </w:p>
    <w:p w:rsidR="00F71C9A" w:rsidRDefault="00CA5C7D" w:rsidP="00513057">
      <w:pPr>
        <w:autoSpaceDE w:val="0"/>
        <w:autoSpaceDN w:val="0"/>
        <w:adjustRightInd w:val="0"/>
        <w:spacing w:before="360" w:after="0" w:line="288" w:lineRule="auto"/>
        <w:rPr>
          <w:rFonts w:ascii="Arial" w:hAnsi="Arial" w:cs="Arial"/>
          <w:b/>
          <w:sz w:val="20"/>
        </w:rPr>
      </w:pPr>
      <w:r w:rsidRPr="00D51846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3</w:t>
      </w:r>
      <w:r w:rsidRPr="00D51846">
        <w:rPr>
          <w:rFonts w:ascii="Arial" w:hAnsi="Arial" w:cs="Arial"/>
          <w:b/>
          <w:sz w:val="20"/>
        </w:rPr>
        <w:t>.</w:t>
      </w:r>
      <w:r w:rsidR="00EC3A17">
        <w:rPr>
          <w:rFonts w:ascii="Arial" w:hAnsi="Arial" w:cs="Arial"/>
          <w:b/>
          <w:sz w:val="20"/>
        </w:rPr>
        <w:t>6</w:t>
      </w:r>
      <w:r w:rsidRPr="00D51846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Firmy</w:t>
      </w:r>
      <w:r w:rsidRPr="00D51846">
        <w:rPr>
          <w:rFonts w:ascii="Arial" w:hAnsi="Arial" w:cs="Arial"/>
          <w:b/>
          <w:sz w:val="20"/>
        </w:rPr>
        <w:t xml:space="preserve"> v</w:t>
      </w:r>
      <w:r>
        <w:rPr>
          <w:rFonts w:ascii="Arial" w:hAnsi="Arial" w:cs="Arial"/>
          <w:b/>
          <w:sz w:val="20"/>
        </w:rPr>
        <w:t> zemích EU</w:t>
      </w:r>
      <w:r w:rsidRPr="00D51846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prodávající přes</w:t>
      </w:r>
      <w:r w:rsidRPr="00D51846">
        <w:rPr>
          <w:rFonts w:ascii="Arial" w:hAnsi="Arial" w:cs="Arial"/>
          <w:b/>
          <w:sz w:val="20"/>
        </w:rPr>
        <w:t> webov</w:t>
      </w:r>
      <w:r>
        <w:rPr>
          <w:rFonts w:ascii="Arial" w:hAnsi="Arial" w:cs="Arial"/>
          <w:b/>
          <w:sz w:val="20"/>
        </w:rPr>
        <w:t>é</w:t>
      </w:r>
      <w:r w:rsidRPr="00D51846">
        <w:rPr>
          <w:rFonts w:ascii="Arial" w:hAnsi="Arial" w:cs="Arial"/>
          <w:b/>
          <w:sz w:val="20"/>
        </w:rPr>
        <w:t xml:space="preserve"> stránk</w:t>
      </w:r>
      <w:r>
        <w:rPr>
          <w:rFonts w:ascii="Arial" w:hAnsi="Arial" w:cs="Arial"/>
          <w:b/>
          <w:sz w:val="20"/>
        </w:rPr>
        <w:t>y v roce 2017</w:t>
      </w:r>
      <w:r w:rsidR="00513057"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1AE15DB6">
            <wp:extent cx="6212205" cy="295656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295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057" w:rsidRDefault="00513057" w:rsidP="00F71C9A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6"/>
          <w:szCs w:val="16"/>
        </w:rPr>
      </w:pPr>
    </w:p>
    <w:p w:rsidR="00CA5C7D" w:rsidRPr="00B358C9" w:rsidRDefault="00F71C9A" w:rsidP="00F71C9A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6"/>
          <w:szCs w:val="16"/>
        </w:rPr>
      </w:pPr>
      <w:r w:rsidRPr="00B358C9">
        <w:rPr>
          <w:rFonts w:ascii="Arial" w:hAnsi="Arial" w:cs="Arial"/>
          <w:i/>
          <w:sz w:val="16"/>
          <w:szCs w:val="16"/>
        </w:rPr>
        <w:t xml:space="preserve">* </w:t>
      </w:r>
      <w:r w:rsidR="00CA5C7D" w:rsidRPr="00B358C9">
        <w:rPr>
          <w:rFonts w:ascii="Arial" w:hAnsi="Arial" w:cs="Arial"/>
          <w:i/>
          <w:sz w:val="16"/>
          <w:szCs w:val="16"/>
        </w:rPr>
        <w:t>firmy dané země, které v průběhu roku 2017 obdržely alespoň 1 elektronickou objednávku prostřednictvím webových stránek</w:t>
      </w:r>
    </w:p>
    <w:p w:rsidR="00CA5C7D" w:rsidRPr="00F94198" w:rsidRDefault="00CA5C7D" w:rsidP="00CA5C7D">
      <w:pPr>
        <w:autoSpaceDE w:val="0"/>
        <w:autoSpaceDN w:val="0"/>
        <w:adjustRightInd w:val="0"/>
        <w:spacing w:before="120" w:after="40"/>
        <w:jc w:val="both"/>
        <w:rPr>
          <w:rFonts w:ascii="Arial" w:hAnsi="Arial" w:cs="Arial"/>
          <w:sz w:val="18"/>
          <w:szCs w:val="18"/>
        </w:rPr>
      </w:pPr>
      <w:r w:rsidRPr="00F94198">
        <w:rPr>
          <w:rFonts w:ascii="Arial" w:hAnsi="Arial" w:cs="Arial"/>
          <w:i/>
          <w:sz w:val="18"/>
          <w:szCs w:val="18"/>
        </w:rPr>
        <w:t xml:space="preserve">podíl na celkovém počtu firem s 10 a více zaměstnanci v dané zemi  </w:t>
      </w:r>
      <w:r w:rsidR="0051204D" w:rsidRPr="00F94198">
        <w:rPr>
          <w:rFonts w:ascii="Arial" w:hAnsi="Arial" w:cs="Arial"/>
          <w:i/>
          <w:sz w:val="18"/>
          <w:szCs w:val="18"/>
        </w:rPr>
        <w:t xml:space="preserve"> </w:t>
      </w:r>
      <w:r w:rsidR="00F94198">
        <w:rPr>
          <w:rFonts w:ascii="Arial" w:hAnsi="Arial" w:cs="Arial"/>
          <w:i/>
          <w:sz w:val="18"/>
          <w:szCs w:val="18"/>
        </w:rPr>
        <w:t xml:space="preserve">                   </w:t>
      </w:r>
      <w:r w:rsidR="0051204D" w:rsidRPr="00F94198">
        <w:rPr>
          <w:rFonts w:ascii="Arial" w:hAnsi="Arial" w:cs="Arial"/>
          <w:i/>
          <w:sz w:val="18"/>
          <w:szCs w:val="18"/>
        </w:rPr>
        <w:t xml:space="preserve"> </w:t>
      </w:r>
      <w:r w:rsidR="00F71C9A" w:rsidRPr="00F94198">
        <w:rPr>
          <w:rFonts w:ascii="Arial" w:hAnsi="Arial" w:cs="Arial"/>
          <w:i/>
          <w:sz w:val="18"/>
          <w:szCs w:val="18"/>
        </w:rPr>
        <w:t xml:space="preserve">    </w:t>
      </w:r>
      <w:r w:rsidRPr="00F94198">
        <w:rPr>
          <w:rFonts w:ascii="Arial" w:hAnsi="Arial" w:cs="Arial"/>
          <w:i/>
          <w:sz w:val="18"/>
          <w:szCs w:val="18"/>
        </w:rPr>
        <w:t xml:space="preserve">      z</w:t>
      </w:r>
      <w:r w:rsidRPr="00F94198">
        <w:rPr>
          <w:rFonts w:ascii="Arial" w:hAnsi="Arial" w:cs="Arial"/>
          <w:sz w:val="18"/>
          <w:szCs w:val="18"/>
        </w:rPr>
        <w:t xml:space="preserve">droj dat: </w:t>
      </w:r>
      <w:proofErr w:type="spellStart"/>
      <w:r w:rsidRPr="00F94198">
        <w:rPr>
          <w:rFonts w:ascii="Arial" w:hAnsi="Arial" w:cs="Arial"/>
          <w:sz w:val="18"/>
          <w:szCs w:val="18"/>
        </w:rPr>
        <w:t>Eurostat</w:t>
      </w:r>
      <w:proofErr w:type="spellEnd"/>
      <w:r w:rsidRPr="00F94198">
        <w:rPr>
          <w:rFonts w:ascii="Arial" w:hAnsi="Arial" w:cs="Arial"/>
          <w:sz w:val="18"/>
          <w:szCs w:val="18"/>
        </w:rPr>
        <w:t>, prosinec 201</w:t>
      </w:r>
      <w:r w:rsidR="0051204D" w:rsidRPr="00F94198">
        <w:rPr>
          <w:rFonts w:ascii="Arial" w:hAnsi="Arial" w:cs="Arial"/>
          <w:sz w:val="18"/>
          <w:szCs w:val="18"/>
        </w:rPr>
        <w:t>8</w:t>
      </w:r>
    </w:p>
    <w:p w:rsidR="000621E4" w:rsidRDefault="000621E4" w:rsidP="000621E4">
      <w:pPr>
        <w:autoSpaceDE w:val="0"/>
        <w:autoSpaceDN w:val="0"/>
        <w:adjustRightInd w:val="0"/>
        <w:spacing w:before="240" w:after="0" w:line="288" w:lineRule="auto"/>
        <w:jc w:val="both"/>
        <w:rPr>
          <w:rFonts w:ascii="Arial" w:hAnsi="Arial" w:cs="Arial"/>
          <w:b/>
          <w:sz w:val="20"/>
        </w:rPr>
      </w:pPr>
      <w:r w:rsidRPr="00D51846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3</w:t>
      </w:r>
      <w:r w:rsidRPr="00D51846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7</w:t>
      </w:r>
      <w:r w:rsidRPr="00D51846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Top 5 odvětví, kter</w:t>
      </w:r>
      <w:r w:rsidR="00B358C9">
        <w:rPr>
          <w:rFonts w:ascii="Arial" w:hAnsi="Arial" w:cs="Arial"/>
          <w:b/>
          <w:sz w:val="20"/>
        </w:rPr>
        <w:t>á</w:t>
      </w:r>
      <w:r>
        <w:rPr>
          <w:rFonts w:ascii="Arial" w:hAnsi="Arial" w:cs="Arial"/>
          <w:b/>
          <w:sz w:val="20"/>
        </w:rPr>
        <w:t xml:space="preserve"> v roce 2017 prodával</w:t>
      </w:r>
      <w:r w:rsidR="00B358C9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 xml:space="preserve"> přes</w:t>
      </w:r>
      <w:r w:rsidRPr="00D51846">
        <w:rPr>
          <w:rFonts w:ascii="Arial" w:hAnsi="Arial" w:cs="Arial"/>
          <w:b/>
          <w:sz w:val="20"/>
        </w:rPr>
        <w:t> webov</w:t>
      </w:r>
      <w:r>
        <w:rPr>
          <w:rFonts w:ascii="Arial" w:hAnsi="Arial" w:cs="Arial"/>
          <w:b/>
          <w:sz w:val="20"/>
        </w:rPr>
        <w:t>é</w:t>
      </w:r>
      <w:r w:rsidRPr="00D51846">
        <w:rPr>
          <w:rFonts w:ascii="Arial" w:hAnsi="Arial" w:cs="Arial"/>
          <w:b/>
          <w:sz w:val="20"/>
        </w:rPr>
        <w:t xml:space="preserve"> stránk</w:t>
      </w:r>
      <w:r>
        <w:rPr>
          <w:rFonts w:ascii="Arial" w:hAnsi="Arial" w:cs="Arial"/>
          <w:b/>
          <w:sz w:val="20"/>
        </w:rPr>
        <w:t xml:space="preserve">y koncovým zákazníkům (B2C) </w:t>
      </w:r>
      <w:r w:rsidR="00F94198"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7E364F3B">
            <wp:extent cx="6200775" cy="1813392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12" cy="1818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4198" w:rsidRDefault="00051D5A" w:rsidP="00F9419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F94198">
        <w:rPr>
          <w:rFonts w:ascii="Arial" w:hAnsi="Arial" w:cs="Arial"/>
          <w:i/>
          <w:sz w:val="18"/>
          <w:szCs w:val="18"/>
        </w:rPr>
        <w:t>podíl na celkovém počtu firem</w:t>
      </w:r>
      <w:r w:rsidR="00513057" w:rsidRPr="00F94198">
        <w:rPr>
          <w:rFonts w:ascii="Arial" w:hAnsi="Arial" w:cs="Arial"/>
          <w:i/>
          <w:sz w:val="18"/>
          <w:szCs w:val="18"/>
        </w:rPr>
        <w:t xml:space="preserve"> s 10 a více zaměstnanci</w:t>
      </w:r>
      <w:r w:rsidRPr="00F94198">
        <w:rPr>
          <w:rFonts w:ascii="Arial" w:hAnsi="Arial" w:cs="Arial"/>
          <w:i/>
          <w:sz w:val="18"/>
          <w:szCs w:val="18"/>
        </w:rPr>
        <w:t xml:space="preserve"> v dané odvětvové skupině </w:t>
      </w:r>
    </w:p>
    <w:p w:rsidR="00914466" w:rsidRDefault="00D54933" w:rsidP="00F94198">
      <w:pPr>
        <w:spacing w:after="0" w:line="240" w:lineRule="auto"/>
        <w:jc w:val="right"/>
        <w:rPr>
          <w:rFonts w:ascii="Arial" w:hAnsi="Arial" w:cs="Arial"/>
          <w:sz w:val="20"/>
        </w:rPr>
      </w:pPr>
      <w:r w:rsidRPr="00D54933">
        <w:rPr>
          <w:rFonts w:ascii="Arial" w:hAnsi="Arial" w:cs="Arial"/>
          <w:sz w:val="20"/>
        </w:rPr>
        <w:t>Zdroj: Český statistický úřad</w:t>
      </w:r>
      <w:r w:rsidR="00F94198">
        <w:rPr>
          <w:rFonts w:ascii="Arial" w:hAnsi="Arial" w:cs="Arial"/>
          <w:sz w:val="20"/>
        </w:rPr>
        <w:t>,</w:t>
      </w:r>
      <w:r w:rsidRPr="00D54933">
        <w:rPr>
          <w:rFonts w:ascii="Arial" w:hAnsi="Arial" w:cs="Arial"/>
          <w:sz w:val="20"/>
        </w:rPr>
        <w:t xml:space="preserve"> 201</w:t>
      </w:r>
      <w:r w:rsidR="003B76FF">
        <w:rPr>
          <w:rFonts w:ascii="Arial" w:hAnsi="Arial" w:cs="Arial"/>
          <w:sz w:val="20"/>
        </w:rPr>
        <w:t>8</w:t>
      </w:r>
    </w:p>
    <w:sectPr w:rsidR="00914466" w:rsidSect="00161DA1">
      <w:pgSz w:w="11906" w:h="16838" w:code="9"/>
      <w:pgMar w:top="1134" w:right="991" w:bottom="1418" w:left="1134" w:header="680" w:footer="680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EC4" w:rsidRDefault="00496EC4" w:rsidP="00E71A58">
      <w:r>
        <w:separator/>
      </w:r>
    </w:p>
  </w:endnote>
  <w:endnote w:type="continuationSeparator" w:id="0">
    <w:p w:rsidR="00496EC4" w:rsidRDefault="00496EC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EC4" w:rsidRDefault="00496EC4" w:rsidP="00E71A58">
      <w:r>
        <w:separator/>
      </w:r>
    </w:p>
  </w:footnote>
  <w:footnote w:type="continuationSeparator" w:id="0">
    <w:p w:rsidR="00496EC4" w:rsidRDefault="00496EC4" w:rsidP="00E71A58">
      <w:r>
        <w:continuationSeparator/>
      </w:r>
    </w:p>
  </w:footnote>
  <w:footnote w:id="1">
    <w:p w:rsidR="003F2A50" w:rsidRDefault="003F2A50" w:rsidP="00C16BD2">
      <w:pPr>
        <w:pStyle w:val="Textpoznpodarou"/>
        <w:spacing w:after="0"/>
        <w:jc w:val="both"/>
        <w:rPr>
          <w:rFonts w:ascii="Arial" w:hAnsi="Arial" w:cs="Arial"/>
          <w:sz w:val="16"/>
          <w:szCs w:val="16"/>
        </w:rPr>
      </w:pPr>
      <w:r w:rsidRPr="002C05D3">
        <w:rPr>
          <w:rStyle w:val="Znakapoznpodarou"/>
          <w:rFonts w:ascii="Arial" w:hAnsi="Arial" w:cs="Arial"/>
          <w:sz w:val="16"/>
          <w:szCs w:val="16"/>
        </w:rPr>
        <w:footnoteRef/>
      </w:r>
      <w:r w:rsidRPr="002C05D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22756F">
        <w:rPr>
          <w:rFonts w:ascii="Arial" w:hAnsi="Arial" w:cs="Arial"/>
          <w:sz w:val="16"/>
          <w:szCs w:val="16"/>
        </w:rPr>
        <w:t xml:space="preserve">drojem </w:t>
      </w:r>
      <w:r>
        <w:rPr>
          <w:rFonts w:ascii="Arial" w:hAnsi="Arial" w:cs="Arial"/>
          <w:sz w:val="16"/>
          <w:szCs w:val="16"/>
        </w:rPr>
        <w:t xml:space="preserve">dat pro mezinárodní srovnání </w:t>
      </w:r>
      <w:r w:rsidRPr="0022756F">
        <w:rPr>
          <w:rFonts w:ascii="Arial" w:hAnsi="Arial" w:cs="Arial"/>
          <w:sz w:val="16"/>
          <w:szCs w:val="16"/>
        </w:rPr>
        <w:t>je</w:t>
      </w:r>
      <w:r>
        <w:rPr>
          <w:rFonts w:ascii="Arial" w:hAnsi="Arial" w:cs="Arial"/>
          <w:sz w:val="16"/>
          <w:szCs w:val="16"/>
        </w:rPr>
        <w:t xml:space="preserve"> databáze </w:t>
      </w:r>
      <w:r w:rsidRPr="0022756F">
        <w:rPr>
          <w:rFonts w:ascii="Arial" w:hAnsi="Arial" w:cs="Arial"/>
          <w:sz w:val="16"/>
          <w:szCs w:val="16"/>
        </w:rPr>
        <w:t>Eurostat</w:t>
      </w:r>
      <w:r>
        <w:rPr>
          <w:rFonts w:ascii="Arial" w:hAnsi="Arial" w:cs="Arial"/>
          <w:sz w:val="16"/>
          <w:szCs w:val="16"/>
        </w:rPr>
        <w:t>u, která byla aktualizována v polovině prosince 2018</w:t>
      </w:r>
      <w:r w:rsidRPr="0022756F">
        <w:rPr>
          <w:rFonts w:ascii="Arial" w:hAnsi="Arial" w:cs="Arial"/>
          <w:sz w:val="16"/>
          <w:szCs w:val="16"/>
        </w:rPr>
        <w:t xml:space="preserve">: </w:t>
      </w:r>
    </w:p>
    <w:p w:rsidR="003F2A50" w:rsidRPr="002C05D3" w:rsidRDefault="00496EC4" w:rsidP="00C16BD2">
      <w:pPr>
        <w:pStyle w:val="Textpoznpodarou"/>
        <w:spacing w:after="0"/>
        <w:jc w:val="both"/>
        <w:rPr>
          <w:rFonts w:ascii="Arial" w:hAnsi="Arial" w:cs="Arial"/>
          <w:sz w:val="16"/>
          <w:szCs w:val="16"/>
        </w:rPr>
      </w:pPr>
      <w:hyperlink r:id="rId1" w:history="1">
        <w:r w:rsidR="003F2A50" w:rsidRPr="0022756F">
          <w:rPr>
            <w:rStyle w:val="Hypertextovodkaz"/>
            <w:rFonts w:ascii="Arial" w:hAnsi="Arial" w:cs="Arial"/>
            <w:sz w:val="16"/>
            <w:szCs w:val="16"/>
          </w:rPr>
          <w:t xml:space="preserve">http://ec.europa.eu/eurostat/web/digital-economy-and-society/data/comprehensive-database </w:t>
        </w:r>
      </w:hyperlink>
    </w:p>
  </w:footnote>
  <w:footnote w:id="2">
    <w:p w:rsidR="003F2A50" w:rsidRPr="0051204D" w:rsidRDefault="003F2A50" w:rsidP="00012B4B">
      <w:pPr>
        <w:pStyle w:val="Textpoznpodarou"/>
        <w:jc w:val="both"/>
        <w:rPr>
          <w:sz w:val="16"/>
          <w:szCs w:val="16"/>
        </w:rPr>
      </w:pPr>
      <w:r w:rsidRPr="0051204D">
        <w:rPr>
          <w:rStyle w:val="Znakapoznpodarou"/>
          <w:rFonts w:ascii="Arial" w:hAnsi="Arial" w:cs="Arial"/>
          <w:sz w:val="16"/>
          <w:szCs w:val="16"/>
        </w:rPr>
        <w:footnoteRef/>
      </w:r>
      <w:r w:rsidRPr="00625C7D">
        <w:rPr>
          <w:rFonts w:ascii="Arial" w:hAnsi="Arial" w:cs="Arial"/>
          <w:sz w:val="16"/>
          <w:szCs w:val="16"/>
        </w:rPr>
        <w:t xml:space="preserve"> </w:t>
      </w:r>
      <w:r w:rsidRPr="0051204D">
        <w:rPr>
          <w:rFonts w:ascii="Arial" w:hAnsi="Arial" w:cs="Arial"/>
          <w:b/>
          <w:sz w:val="16"/>
          <w:szCs w:val="16"/>
        </w:rPr>
        <w:t>On-line tržiště</w:t>
      </w:r>
      <w:r w:rsidRPr="0051204D">
        <w:rPr>
          <w:rFonts w:ascii="Arial" w:hAnsi="Arial" w:cs="Arial"/>
          <w:sz w:val="16"/>
          <w:szCs w:val="16"/>
        </w:rPr>
        <w:t xml:space="preserve"> představují obchodní portály, jejichž provozovatelem je obvykle společnost nezávislá na účastnících obchodování. Provozovatel on-line tržiště umožňuje prodejci a zákazníkovi vyjednat podmínky a uzavřít obchod. Je to alternativa pro firmy, které chtějí prodávat na internetu a nechtějí kvůli tomu vytvářet celý e-</w:t>
      </w:r>
      <w:proofErr w:type="spellStart"/>
      <w:r w:rsidRPr="0051204D">
        <w:rPr>
          <w:rFonts w:ascii="Arial" w:hAnsi="Arial" w:cs="Arial"/>
          <w:sz w:val="16"/>
          <w:szCs w:val="16"/>
        </w:rPr>
        <w:t>shop</w:t>
      </w:r>
      <w:proofErr w:type="spellEnd"/>
      <w:r w:rsidRPr="0051204D">
        <w:rPr>
          <w:rFonts w:ascii="Arial" w:hAnsi="Arial" w:cs="Arial"/>
          <w:sz w:val="16"/>
          <w:szCs w:val="16"/>
        </w:rPr>
        <w:t xml:space="preserve">. Nejznámější on-line tržiště v ČR jsou </w:t>
      </w:r>
      <w:proofErr w:type="spellStart"/>
      <w:r w:rsidRPr="0051204D">
        <w:rPr>
          <w:rFonts w:ascii="Arial" w:hAnsi="Arial" w:cs="Arial"/>
          <w:sz w:val="16"/>
          <w:szCs w:val="16"/>
        </w:rPr>
        <w:t>Aukro</w:t>
      </w:r>
      <w:proofErr w:type="spellEnd"/>
      <w:r w:rsidRPr="0051204D">
        <w:rPr>
          <w:rFonts w:ascii="Arial" w:hAnsi="Arial" w:cs="Arial"/>
          <w:sz w:val="16"/>
          <w:szCs w:val="16"/>
        </w:rPr>
        <w:t xml:space="preserve">, Mall.cz, </w:t>
      </w:r>
      <w:proofErr w:type="spellStart"/>
      <w:r w:rsidRPr="0051204D">
        <w:rPr>
          <w:rFonts w:ascii="Arial" w:hAnsi="Arial" w:cs="Arial"/>
          <w:sz w:val="16"/>
          <w:szCs w:val="16"/>
        </w:rPr>
        <w:t>Czechia.cz,Tendermarket</w:t>
      </w:r>
      <w:proofErr w:type="spellEnd"/>
      <w:r w:rsidRPr="0051204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1204D">
        <w:rPr>
          <w:rFonts w:ascii="Arial" w:hAnsi="Arial" w:cs="Arial"/>
          <w:sz w:val="16"/>
          <w:szCs w:val="16"/>
        </w:rPr>
        <w:t>Fler</w:t>
      </w:r>
      <w:proofErr w:type="spellEnd"/>
      <w:r w:rsidRPr="0051204D">
        <w:rPr>
          <w:rFonts w:ascii="Arial" w:hAnsi="Arial" w:cs="Arial"/>
          <w:sz w:val="16"/>
          <w:szCs w:val="16"/>
        </w:rPr>
        <w:t xml:space="preserve"> apod. Ze zahraničních jsou to např. </w:t>
      </w:r>
      <w:proofErr w:type="spellStart"/>
      <w:r w:rsidRPr="0051204D">
        <w:rPr>
          <w:rFonts w:ascii="Arial" w:hAnsi="Arial" w:cs="Arial"/>
          <w:sz w:val="16"/>
          <w:szCs w:val="16"/>
        </w:rPr>
        <w:t>Booking</w:t>
      </w:r>
      <w:proofErr w:type="spellEnd"/>
      <w:r w:rsidRPr="0051204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1204D">
        <w:rPr>
          <w:rFonts w:ascii="Arial" w:hAnsi="Arial" w:cs="Arial"/>
          <w:sz w:val="16"/>
          <w:szCs w:val="16"/>
        </w:rPr>
        <w:t>eBa</w:t>
      </w:r>
      <w:bookmarkStart w:id="0" w:name="_GoBack"/>
      <w:bookmarkEnd w:id="0"/>
      <w:r w:rsidRPr="0051204D">
        <w:rPr>
          <w:rFonts w:ascii="Arial" w:hAnsi="Arial" w:cs="Arial"/>
          <w:sz w:val="16"/>
          <w:szCs w:val="16"/>
        </w:rPr>
        <w:t>y</w:t>
      </w:r>
      <w:proofErr w:type="spellEnd"/>
      <w:r w:rsidRPr="0051204D">
        <w:rPr>
          <w:rFonts w:ascii="Arial" w:hAnsi="Arial" w:cs="Arial"/>
          <w:sz w:val="16"/>
          <w:szCs w:val="16"/>
        </w:rPr>
        <w:t xml:space="preserve">, Amazon, </w:t>
      </w:r>
      <w:proofErr w:type="spellStart"/>
      <w:r w:rsidRPr="0051204D">
        <w:rPr>
          <w:rFonts w:ascii="Arial" w:hAnsi="Arial" w:cs="Arial"/>
          <w:sz w:val="16"/>
          <w:szCs w:val="16"/>
        </w:rPr>
        <w:t>Aliexpress</w:t>
      </w:r>
      <w:proofErr w:type="spellEnd"/>
      <w:r w:rsidRPr="0051204D">
        <w:rPr>
          <w:rFonts w:ascii="Arial" w:hAnsi="Arial" w:cs="Arial"/>
          <w:sz w:val="16"/>
          <w:szCs w:val="16"/>
        </w:rPr>
        <w:t xml:space="preserve"> apod.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B4673"/>
    <w:multiLevelType w:val="hybridMultilevel"/>
    <w:tmpl w:val="7A40518A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16F"/>
    <w:rsid w:val="0000767A"/>
    <w:rsid w:val="00010702"/>
    <w:rsid w:val="00012B4B"/>
    <w:rsid w:val="00021F2B"/>
    <w:rsid w:val="0004694F"/>
    <w:rsid w:val="00051D5A"/>
    <w:rsid w:val="0006111E"/>
    <w:rsid w:val="000621E4"/>
    <w:rsid w:val="00062EC5"/>
    <w:rsid w:val="000750E8"/>
    <w:rsid w:val="00087634"/>
    <w:rsid w:val="00087A54"/>
    <w:rsid w:val="000A1183"/>
    <w:rsid w:val="000B21D5"/>
    <w:rsid w:val="000B2228"/>
    <w:rsid w:val="000B5152"/>
    <w:rsid w:val="000B5B64"/>
    <w:rsid w:val="000C3408"/>
    <w:rsid w:val="000F4280"/>
    <w:rsid w:val="000F4CA8"/>
    <w:rsid w:val="00104DB3"/>
    <w:rsid w:val="00127898"/>
    <w:rsid w:val="001405FA"/>
    <w:rsid w:val="00140F26"/>
    <w:rsid w:val="001425C3"/>
    <w:rsid w:val="00143453"/>
    <w:rsid w:val="00160923"/>
    <w:rsid w:val="00161DA1"/>
    <w:rsid w:val="00163793"/>
    <w:rsid w:val="0016380A"/>
    <w:rsid w:val="001714F2"/>
    <w:rsid w:val="00185010"/>
    <w:rsid w:val="00194F66"/>
    <w:rsid w:val="001A552F"/>
    <w:rsid w:val="001B3110"/>
    <w:rsid w:val="001E09D8"/>
    <w:rsid w:val="001E0F9E"/>
    <w:rsid w:val="001F3765"/>
    <w:rsid w:val="001F4597"/>
    <w:rsid w:val="0021142B"/>
    <w:rsid w:val="0022139E"/>
    <w:rsid w:val="002252E0"/>
    <w:rsid w:val="002255F6"/>
    <w:rsid w:val="00236443"/>
    <w:rsid w:val="002436BA"/>
    <w:rsid w:val="00244A15"/>
    <w:rsid w:val="002474FB"/>
    <w:rsid w:val="0024799E"/>
    <w:rsid w:val="00254AF6"/>
    <w:rsid w:val="0025703C"/>
    <w:rsid w:val="00262559"/>
    <w:rsid w:val="00262CD7"/>
    <w:rsid w:val="00267D0C"/>
    <w:rsid w:val="0028698F"/>
    <w:rsid w:val="002951F4"/>
    <w:rsid w:val="002A3D56"/>
    <w:rsid w:val="002A4233"/>
    <w:rsid w:val="002B4A34"/>
    <w:rsid w:val="002B7FC1"/>
    <w:rsid w:val="002C05D3"/>
    <w:rsid w:val="002C31D3"/>
    <w:rsid w:val="002C43BD"/>
    <w:rsid w:val="002C458A"/>
    <w:rsid w:val="002C6BA4"/>
    <w:rsid w:val="002E02A1"/>
    <w:rsid w:val="002F44D7"/>
    <w:rsid w:val="002F6063"/>
    <w:rsid w:val="00302A41"/>
    <w:rsid w:val="00304771"/>
    <w:rsid w:val="00306C5B"/>
    <w:rsid w:val="003209D6"/>
    <w:rsid w:val="003259A3"/>
    <w:rsid w:val="00343E00"/>
    <w:rsid w:val="003645AE"/>
    <w:rsid w:val="003657F3"/>
    <w:rsid w:val="00377AEE"/>
    <w:rsid w:val="00384975"/>
    <w:rsid w:val="00385D98"/>
    <w:rsid w:val="003940A0"/>
    <w:rsid w:val="003A2B4D"/>
    <w:rsid w:val="003A327C"/>
    <w:rsid w:val="003A478C"/>
    <w:rsid w:val="003A5525"/>
    <w:rsid w:val="003A6B38"/>
    <w:rsid w:val="003B3AAA"/>
    <w:rsid w:val="003B5A32"/>
    <w:rsid w:val="003B76FF"/>
    <w:rsid w:val="003E1594"/>
    <w:rsid w:val="003E3AFB"/>
    <w:rsid w:val="003F2A50"/>
    <w:rsid w:val="003F313C"/>
    <w:rsid w:val="00413550"/>
    <w:rsid w:val="00414240"/>
    <w:rsid w:val="00427CE8"/>
    <w:rsid w:val="0043194A"/>
    <w:rsid w:val="00452C4B"/>
    <w:rsid w:val="004772F5"/>
    <w:rsid w:val="0048139F"/>
    <w:rsid w:val="00496EC4"/>
    <w:rsid w:val="004A6474"/>
    <w:rsid w:val="004A77DF"/>
    <w:rsid w:val="004B1FF3"/>
    <w:rsid w:val="004B2CB9"/>
    <w:rsid w:val="004B55B7"/>
    <w:rsid w:val="004C2505"/>
    <w:rsid w:val="004C3867"/>
    <w:rsid w:val="004C4CD0"/>
    <w:rsid w:val="004C70DC"/>
    <w:rsid w:val="004D0211"/>
    <w:rsid w:val="004D50D5"/>
    <w:rsid w:val="004F06F5"/>
    <w:rsid w:val="004F0DF9"/>
    <w:rsid w:val="004F33A0"/>
    <w:rsid w:val="004F4666"/>
    <w:rsid w:val="005068F4"/>
    <w:rsid w:val="005108C0"/>
    <w:rsid w:val="00511873"/>
    <w:rsid w:val="0051204D"/>
    <w:rsid w:val="00513057"/>
    <w:rsid w:val="00513B7E"/>
    <w:rsid w:val="005175F2"/>
    <w:rsid w:val="00525137"/>
    <w:rsid w:val="005251DD"/>
    <w:rsid w:val="00531311"/>
    <w:rsid w:val="005354C5"/>
    <w:rsid w:val="00553139"/>
    <w:rsid w:val="00576FCA"/>
    <w:rsid w:val="00582BA6"/>
    <w:rsid w:val="00583FFD"/>
    <w:rsid w:val="00585475"/>
    <w:rsid w:val="0059163A"/>
    <w:rsid w:val="00593152"/>
    <w:rsid w:val="005A21E0"/>
    <w:rsid w:val="005B4204"/>
    <w:rsid w:val="005B4655"/>
    <w:rsid w:val="005D5802"/>
    <w:rsid w:val="005E4081"/>
    <w:rsid w:val="005E7B2C"/>
    <w:rsid w:val="005F2537"/>
    <w:rsid w:val="005F419A"/>
    <w:rsid w:val="005F7FA5"/>
    <w:rsid w:val="0060098E"/>
    <w:rsid w:val="00604307"/>
    <w:rsid w:val="0060487F"/>
    <w:rsid w:val="006122D9"/>
    <w:rsid w:val="006123F0"/>
    <w:rsid w:val="00624093"/>
    <w:rsid w:val="00625C7D"/>
    <w:rsid w:val="00640061"/>
    <w:rsid w:val="0064036A"/>
    <w:rsid w:val="006404A7"/>
    <w:rsid w:val="00643526"/>
    <w:rsid w:val="006451E4"/>
    <w:rsid w:val="00655177"/>
    <w:rsid w:val="00657968"/>
    <w:rsid w:val="00657E87"/>
    <w:rsid w:val="006710C9"/>
    <w:rsid w:val="006724E5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A5103"/>
    <w:rsid w:val="006B78D8"/>
    <w:rsid w:val="006C113F"/>
    <w:rsid w:val="006C7076"/>
    <w:rsid w:val="006C7086"/>
    <w:rsid w:val="006D0540"/>
    <w:rsid w:val="006D44A5"/>
    <w:rsid w:val="006D61F6"/>
    <w:rsid w:val="006E279A"/>
    <w:rsid w:val="006E313B"/>
    <w:rsid w:val="006E7DE3"/>
    <w:rsid w:val="006F4B7B"/>
    <w:rsid w:val="00713776"/>
    <w:rsid w:val="007211F5"/>
    <w:rsid w:val="0073035F"/>
    <w:rsid w:val="00730AE8"/>
    <w:rsid w:val="0073322F"/>
    <w:rsid w:val="00741493"/>
    <w:rsid w:val="0075144C"/>
    <w:rsid w:val="00752180"/>
    <w:rsid w:val="00755D3A"/>
    <w:rsid w:val="0075639A"/>
    <w:rsid w:val="007609C6"/>
    <w:rsid w:val="00761B3D"/>
    <w:rsid w:val="00776527"/>
    <w:rsid w:val="00785B2D"/>
    <w:rsid w:val="0079553A"/>
    <w:rsid w:val="007A5C36"/>
    <w:rsid w:val="007B39E7"/>
    <w:rsid w:val="007C3252"/>
    <w:rsid w:val="007C3F6A"/>
    <w:rsid w:val="007D22B8"/>
    <w:rsid w:val="007D7174"/>
    <w:rsid w:val="007E3D24"/>
    <w:rsid w:val="007E7E61"/>
    <w:rsid w:val="007F0845"/>
    <w:rsid w:val="00817313"/>
    <w:rsid w:val="0082034C"/>
    <w:rsid w:val="00821FF6"/>
    <w:rsid w:val="0083143E"/>
    <w:rsid w:val="00834FAA"/>
    <w:rsid w:val="00836086"/>
    <w:rsid w:val="00862335"/>
    <w:rsid w:val="00876086"/>
    <w:rsid w:val="00880C90"/>
    <w:rsid w:val="00884009"/>
    <w:rsid w:val="00886322"/>
    <w:rsid w:val="008B7C02"/>
    <w:rsid w:val="008C0E88"/>
    <w:rsid w:val="008D2A16"/>
    <w:rsid w:val="008E31FF"/>
    <w:rsid w:val="008F41A9"/>
    <w:rsid w:val="009003A8"/>
    <w:rsid w:val="00902EFF"/>
    <w:rsid w:val="00905613"/>
    <w:rsid w:val="00911872"/>
    <w:rsid w:val="00914466"/>
    <w:rsid w:val="00921F14"/>
    <w:rsid w:val="0093217F"/>
    <w:rsid w:val="009354AF"/>
    <w:rsid w:val="0094427A"/>
    <w:rsid w:val="00953E93"/>
    <w:rsid w:val="00974923"/>
    <w:rsid w:val="00976772"/>
    <w:rsid w:val="0098620F"/>
    <w:rsid w:val="009865D1"/>
    <w:rsid w:val="00986F8B"/>
    <w:rsid w:val="00987E97"/>
    <w:rsid w:val="00995D9E"/>
    <w:rsid w:val="009A342B"/>
    <w:rsid w:val="009B3CF6"/>
    <w:rsid w:val="009B6FD3"/>
    <w:rsid w:val="009C1BA7"/>
    <w:rsid w:val="009C3EFC"/>
    <w:rsid w:val="009C45AC"/>
    <w:rsid w:val="009C7745"/>
    <w:rsid w:val="009D3FF2"/>
    <w:rsid w:val="009E46BC"/>
    <w:rsid w:val="009F4A9E"/>
    <w:rsid w:val="009F4B8A"/>
    <w:rsid w:val="00A01E07"/>
    <w:rsid w:val="00A042F6"/>
    <w:rsid w:val="00A07F12"/>
    <w:rsid w:val="00A10D66"/>
    <w:rsid w:val="00A23E43"/>
    <w:rsid w:val="00A34E5A"/>
    <w:rsid w:val="00A42547"/>
    <w:rsid w:val="00A46DE0"/>
    <w:rsid w:val="00A53E51"/>
    <w:rsid w:val="00A62CE1"/>
    <w:rsid w:val="00A63582"/>
    <w:rsid w:val="00A75E40"/>
    <w:rsid w:val="00A857C0"/>
    <w:rsid w:val="00AA559A"/>
    <w:rsid w:val="00AA7371"/>
    <w:rsid w:val="00AB1F86"/>
    <w:rsid w:val="00AB2AF1"/>
    <w:rsid w:val="00AB76F3"/>
    <w:rsid w:val="00AC77ED"/>
    <w:rsid w:val="00AD306C"/>
    <w:rsid w:val="00AD4F59"/>
    <w:rsid w:val="00AD76F0"/>
    <w:rsid w:val="00AF2A1B"/>
    <w:rsid w:val="00B112AC"/>
    <w:rsid w:val="00B11A56"/>
    <w:rsid w:val="00B14740"/>
    <w:rsid w:val="00B17E71"/>
    <w:rsid w:val="00B17FDE"/>
    <w:rsid w:val="00B21D75"/>
    <w:rsid w:val="00B2336B"/>
    <w:rsid w:val="00B32DDB"/>
    <w:rsid w:val="00B358C9"/>
    <w:rsid w:val="00B6608F"/>
    <w:rsid w:val="00B76D1E"/>
    <w:rsid w:val="00B849FC"/>
    <w:rsid w:val="00B95940"/>
    <w:rsid w:val="00BB02B4"/>
    <w:rsid w:val="00BD258B"/>
    <w:rsid w:val="00BD366B"/>
    <w:rsid w:val="00BD4C80"/>
    <w:rsid w:val="00BD6D50"/>
    <w:rsid w:val="00C0475C"/>
    <w:rsid w:val="00C16BD2"/>
    <w:rsid w:val="00C21F94"/>
    <w:rsid w:val="00C2237E"/>
    <w:rsid w:val="00C25284"/>
    <w:rsid w:val="00C45250"/>
    <w:rsid w:val="00C54084"/>
    <w:rsid w:val="00C67870"/>
    <w:rsid w:val="00C847A8"/>
    <w:rsid w:val="00C90CF4"/>
    <w:rsid w:val="00C93389"/>
    <w:rsid w:val="00CA0C7F"/>
    <w:rsid w:val="00CA5C7D"/>
    <w:rsid w:val="00CB35AC"/>
    <w:rsid w:val="00CC0868"/>
    <w:rsid w:val="00CC61F7"/>
    <w:rsid w:val="00CD534D"/>
    <w:rsid w:val="00CD57C7"/>
    <w:rsid w:val="00CF51EC"/>
    <w:rsid w:val="00D040DD"/>
    <w:rsid w:val="00D1416F"/>
    <w:rsid w:val="00D54933"/>
    <w:rsid w:val="00D57B0B"/>
    <w:rsid w:val="00D63C8D"/>
    <w:rsid w:val="00D90E42"/>
    <w:rsid w:val="00D960FF"/>
    <w:rsid w:val="00DA4974"/>
    <w:rsid w:val="00DB6B38"/>
    <w:rsid w:val="00DC5B3B"/>
    <w:rsid w:val="00DD0B3A"/>
    <w:rsid w:val="00DE2403"/>
    <w:rsid w:val="00DF4018"/>
    <w:rsid w:val="00E01C0E"/>
    <w:rsid w:val="00E04694"/>
    <w:rsid w:val="00E06380"/>
    <w:rsid w:val="00E20E07"/>
    <w:rsid w:val="00E357B8"/>
    <w:rsid w:val="00E47E88"/>
    <w:rsid w:val="00E66B7A"/>
    <w:rsid w:val="00E71A58"/>
    <w:rsid w:val="00E730CE"/>
    <w:rsid w:val="00E8598E"/>
    <w:rsid w:val="00E92958"/>
    <w:rsid w:val="00E956B1"/>
    <w:rsid w:val="00EA0C68"/>
    <w:rsid w:val="00EB41D6"/>
    <w:rsid w:val="00EC3A17"/>
    <w:rsid w:val="00EC5284"/>
    <w:rsid w:val="00EC7132"/>
    <w:rsid w:val="00ED5BCB"/>
    <w:rsid w:val="00EE01F9"/>
    <w:rsid w:val="00EE3E78"/>
    <w:rsid w:val="00EE5652"/>
    <w:rsid w:val="00EF1F5A"/>
    <w:rsid w:val="00EF3A91"/>
    <w:rsid w:val="00F0027D"/>
    <w:rsid w:val="00F04811"/>
    <w:rsid w:val="00F0488C"/>
    <w:rsid w:val="00F15BEF"/>
    <w:rsid w:val="00F226D7"/>
    <w:rsid w:val="00F24FAA"/>
    <w:rsid w:val="00F3364D"/>
    <w:rsid w:val="00F4274E"/>
    <w:rsid w:val="00F42C99"/>
    <w:rsid w:val="00F63DDE"/>
    <w:rsid w:val="00F63FB7"/>
    <w:rsid w:val="00F65315"/>
    <w:rsid w:val="00F66522"/>
    <w:rsid w:val="00F671B0"/>
    <w:rsid w:val="00F71C9A"/>
    <w:rsid w:val="00F73A0C"/>
    <w:rsid w:val="00F770F6"/>
    <w:rsid w:val="00F80861"/>
    <w:rsid w:val="00F8162E"/>
    <w:rsid w:val="00F94198"/>
    <w:rsid w:val="00FA3FCC"/>
    <w:rsid w:val="00FB5C09"/>
    <w:rsid w:val="00FC0E5F"/>
    <w:rsid w:val="00FC2CAB"/>
    <w:rsid w:val="00FC4D25"/>
    <w:rsid w:val="00FC56DE"/>
    <w:rsid w:val="00FD18A2"/>
    <w:rsid w:val="00FE2F78"/>
    <w:rsid w:val="00FE4465"/>
    <w:rsid w:val="00FE75FB"/>
    <w:rsid w:val="00FE7C69"/>
    <w:rsid w:val="00FF199B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676EE48D-481B-4C83-AA41-B0CC62AE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34E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4E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4E5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4E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4E5A"/>
    <w:rPr>
      <w:rFonts w:ascii="Times New Roman" w:hAnsi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61DA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1DA1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61D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publikace\062005-18\pomocny_analyza_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publikace\062005-18\pomocny_analyza_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726445409277112E-2"/>
          <c:y val="0.12852378746774298"/>
          <c:w val="0.94969779478499772"/>
          <c:h val="0.757717638236396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Web_grafy!$A$65</c:f>
              <c:strCache>
                <c:ptCount val="1"/>
                <c:pt idx="0">
                  <c:v> Celkem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Pt>
            <c:idx val="4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1-4BD2-4008-A41D-5278711D74B8}"/>
              </c:ext>
            </c:extLst>
          </c:dPt>
          <c:dPt>
            <c:idx val="6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3-4BD2-4008-A41D-5278711D74B8}"/>
              </c:ext>
            </c:extLst>
          </c:dPt>
          <c:dPt>
            <c:idx val="10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5-4BD2-4008-A41D-5278711D74B8}"/>
              </c:ext>
            </c:extLst>
          </c:dPt>
          <c:dPt>
            <c:idx val="12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7-4BD2-4008-A41D-5278711D74B8}"/>
              </c:ext>
            </c:extLst>
          </c:dPt>
          <c:dPt>
            <c:idx val="13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9-4BD2-4008-A41D-5278711D74B8}"/>
              </c:ext>
            </c:extLst>
          </c:dPt>
          <c:dPt>
            <c:idx val="16"/>
            <c:invertIfNegative val="0"/>
            <c:bubble3D val="0"/>
            <c:spPr>
              <a:solidFill>
                <a:srgbClr val="009BB4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4BD2-4008-A41D-5278711D74B8}"/>
              </c:ext>
            </c:extLst>
          </c:dPt>
          <c:dPt>
            <c:idx val="18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D-4BD2-4008-A41D-5278711D74B8}"/>
              </c:ext>
            </c:extLst>
          </c:dPt>
          <c:dPt>
            <c:idx val="21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F-4BD2-4008-A41D-5278711D74B8}"/>
              </c:ext>
            </c:extLst>
          </c:dPt>
          <c:dPt>
            <c:idx val="22"/>
            <c:invertIfNegative val="0"/>
            <c:bubble3D val="0"/>
            <c:spPr>
              <a:solidFill>
                <a:srgbClr val="009BB4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1-4BD2-4008-A41D-5278711D74B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Web_grafy!$B$64:$I$64</c:f>
              <c:numCache>
                <c:formatCode>General</c:formatCode>
                <c:ptCount val="8"/>
                <c:pt idx="0">
                  <c:v>2002</c:v>
                </c:pt>
                <c:pt idx="1">
                  <c:v>2004</c:v>
                </c:pt>
                <c:pt idx="2">
                  <c:v>2006</c:v>
                </c:pt>
                <c:pt idx="3">
                  <c:v>2010</c:v>
                </c:pt>
                <c:pt idx="4">
                  <c:v>2012</c:v>
                </c:pt>
                <c:pt idx="5">
                  <c:v>2014</c:v>
                </c:pt>
                <c:pt idx="6">
                  <c:v>2016</c:v>
                </c:pt>
                <c:pt idx="7">
                  <c:v>2018</c:v>
                </c:pt>
              </c:numCache>
            </c:numRef>
          </c:cat>
          <c:val>
            <c:numRef>
              <c:f>Web_grafy!$B$65:$I$65</c:f>
              <c:numCache>
                <c:formatCode>0%</c:formatCode>
                <c:ptCount val="8"/>
                <c:pt idx="0">
                  <c:v>0.55914160902999865</c:v>
                </c:pt>
                <c:pt idx="1">
                  <c:v>0.66952743094624378</c:v>
                </c:pt>
                <c:pt idx="2">
                  <c:v>0.70066923158241101</c:v>
                </c:pt>
                <c:pt idx="3">
                  <c:v>0.73998625975556453</c:v>
                </c:pt>
                <c:pt idx="4">
                  <c:v>0.79821356039779767</c:v>
                </c:pt>
                <c:pt idx="5">
                  <c:v>0.82815300782522394</c:v>
                </c:pt>
                <c:pt idx="6">
                  <c:v>0.82200000000000006</c:v>
                </c:pt>
                <c:pt idx="7">
                  <c:v>0.82799999999999996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4BD2-4008-A41D-5278711D74B8}"/>
            </c:ext>
          </c:extLst>
        </c:ser>
        <c:ser>
          <c:idx val="1"/>
          <c:order val="1"/>
          <c:tx>
            <c:strRef>
              <c:f>Web_grafy!$A$66</c:f>
              <c:strCache>
                <c:ptCount val="1"/>
                <c:pt idx="0">
                  <c:v> s webem přizpůsobeným pro mobilní zařízení </c:v>
                </c:pt>
              </c:strCache>
            </c:strRef>
          </c:tx>
          <c:spPr>
            <a:solidFill>
              <a:srgbClr val="47E5FF"/>
            </a:solidFill>
            <a:ln w="25400">
              <a:noFill/>
            </a:ln>
          </c:spPr>
          <c:invertIfNegative val="0"/>
          <c:dPt>
            <c:idx val="16"/>
            <c:invertIfNegative val="0"/>
            <c:bubble3D val="0"/>
            <c:spPr>
              <a:solidFill>
                <a:srgbClr val="47E5FF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4-4BD2-4008-A41D-5278711D74B8}"/>
              </c:ext>
            </c:extLst>
          </c:dPt>
          <c:dPt>
            <c:idx val="22"/>
            <c:invertIfNegative val="0"/>
            <c:bubble3D val="0"/>
            <c:spPr>
              <a:solidFill>
                <a:srgbClr val="47E5FF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6-4BD2-4008-A41D-5278711D74B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Web_grafy!$B$64:$I$64</c:f>
              <c:numCache>
                <c:formatCode>General</c:formatCode>
                <c:ptCount val="8"/>
                <c:pt idx="0">
                  <c:v>2002</c:v>
                </c:pt>
                <c:pt idx="1">
                  <c:v>2004</c:v>
                </c:pt>
                <c:pt idx="2">
                  <c:v>2006</c:v>
                </c:pt>
                <c:pt idx="3">
                  <c:v>2010</c:v>
                </c:pt>
                <c:pt idx="4">
                  <c:v>2012</c:v>
                </c:pt>
                <c:pt idx="5">
                  <c:v>2014</c:v>
                </c:pt>
                <c:pt idx="6">
                  <c:v>2016</c:v>
                </c:pt>
                <c:pt idx="7">
                  <c:v>2018</c:v>
                </c:pt>
              </c:numCache>
            </c:numRef>
          </c:cat>
          <c:val>
            <c:numRef>
              <c:f>Web_grafy!$B$66:$I$66</c:f>
              <c:numCache>
                <c:formatCode>General</c:formatCode>
                <c:ptCount val="8"/>
                <c:pt idx="5" formatCode="0%">
                  <c:v>0.311</c:v>
                </c:pt>
                <c:pt idx="6" formatCode="0%">
                  <c:v>0.32799999999999996</c:v>
                </c:pt>
                <c:pt idx="7" formatCode="0%">
                  <c:v>0.47499999999999998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4BD2-4008-A41D-5278711D74B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176426368"/>
        <c:axId val="176432256"/>
      </c:barChart>
      <c:catAx>
        <c:axId val="17642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76432256"/>
        <c:crosses val="autoZero"/>
        <c:auto val="1"/>
        <c:lblAlgn val="ctr"/>
        <c:lblOffset val="100"/>
        <c:tickLblSkip val="1"/>
        <c:noMultiLvlLbl val="0"/>
      </c:catAx>
      <c:valAx>
        <c:axId val="176432256"/>
        <c:scaling>
          <c:orientation val="minMax"/>
          <c:max val="1"/>
          <c:min val="0"/>
        </c:scaling>
        <c:delete val="1"/>
        <c:axPos val="l"/>
        <c:numFmt formatCode="0%" sourceLinked="1"/>
        <c:majorTickMark val="out"/>
        <c:minorTickMark val="none"/>
        <c:tickLblPos val="nextTo"/>
        <c:crossAx val="176426368"/>
        <c:crosses val="autoZero"/>
        <c:crossBetween val="between"/>
        <c:majorUnit val="5.000000000000001E-2"/>
      </c:valAx>
      <c:spPr>
        <a:noFill/>
        <a:ln w="12700">
          <a:noFill/>
          <a:prstDash val="solid"/>
        </a:ln>
      </c:spPr>
    </c:plotArea>
    <c:legend>
      <c:legendPos val="t"/>
      <c:layout>
        <c:manualLayout>
          <c:xMode val="edge"/>
          <c:yMode val="edge"/>
          <c:x val="0.19348603036769937"/>
          <c:y val="3.3184601924759402E-2"/>
          <c:w val="0.56772934256711882"/>
          <c:h val="8.2918254169841679E-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2407866824866071E-2"/>
          <c:y val="8.0431418756740924E-2"/>
          <c:w val="0.94081556586248649"/>
          <c:h val="0.709548693586698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Web_grafy!$B$74</c:f>
              <c:strCache>
                <c:ptCount val="1"/>
                <c:pt idx="0">
                  <c:v> Celkem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Pt>
            <c:idx val="6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1-DDF9-4652-B240-FF9A222786C2}"/>
              </c:ext>
            </c:extLst>
          </c:dPt>
          <c:dPt>
            <c:idx val="9"/>
            <c:invertIfNegative val="0"/>
            <c:bubble3D val="0"/>
            <c:spPr>
              <a:solidFill>
                <a:srgbClr val="009BB4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DDF9-4652-B240-FF9A222786C2}"/>
              </c:ext>
            </c:extLst>
          </c:dPt>
          <c:dPt>
            <c:idx val="12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5-DDF9-4652-B240-FF9A222786C2}"/>
              </c:ext>
            </c:extLst>
          </c:dPt>
          <c:dPt>
            <c:idx val="13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7-DDF9-4652-B240-FF9A222786C2}"/>
              </c:ext>
            </c:extLst>
          </c:dPt>
          <c:dPt>
            <c:idx val="15"/>
            <c:invertIfNegative val="0"/>
            <c:bubble3D val="0"/>
            <c:spPr>
              <a:solidFill>
                <a:srgbClr val="009BB4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DDF9-4652-B240-FF9A222786C2}"/>
              </c:ext>
            </c:extLst>
          </c:dPt>
          <c:dPt>
            <c:idx val="19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B-DDF9-4652-B240-FF9A222786C2}"/>
              </c:ext>
            </c:extLst>
          </c:dPt>
          <c:dPt>
            <c:idx val="20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D-DDF9-4652-B240-FF9A222786C2}"/>
              </c:ext>
            </c:extLst>
          </c:dPt>
          <c:dPt>
            <c:idx val="21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F-DDF9-4652-B240-FF9A222786C2}"/>
              </c:ext>
            </c:extLst>
          </c:dPt>
          <c:cat>
            <c:strRef>
              <c:f>Web_grafy!$A$75:$A$103</c:f>
              <c:strCache>
                <c:ptCount val="29"/>
                <c:pt idx="0">
                  <c:v>Finsko</c:v>
                </c:pt>
                <c:pt idx="1">
                  <c:v>Dánsko</c:v>
                </c:pt>
                <c:pt idx="2">
                  <c:v>Nizozemsko</c:v>
                </c:pt>
                <c:pt idx="3">
                  <c:v>Švédsko</c:v>
                </c:pt>
                <c:pt idx="4">
                  <c:v>Rakousko</c:v>
                </c:pt>
                <c:pt idx="5">
                  <c:v>Německo</c:v>
                </c:pt>
                <c:pt idx="6">
                  <c:v>Slovinsko</c:v>
                </c:pt>
                <c:pt idx="7">
                  <c:v>Belgie</c:v>
                </c:pt>
                <c:pt idx="8">
                  <c:v>Lucembursko</c:v>
                </c:pt>
                <c:pt idx="9">
                  <c:v>Česká republika</c:v>
                </c:pt>
                <c:pt idx="10">
                  <c:v>Malta</c:v>
                </c:pt>
                <c:pt idx="11">
                  <c:v>Velká Británie</c:v>
                </c:pt>
                <c:pt idx="12">
                  <c:v>Irsko</c:v>
                </c:pt>
                <c:pt idx="13">
                  <c:v>Estonsko</c:v>
                </c:pt>
                <c:pt idx="14">
                  <c:v>Litva</c:v>
                </c:pt>
                <c:pt idx="15">
                  <c:v>EU28</c:v>
                </c:pt>
                <c:pt idx="16">
                  <c:v>Slovensko</c:v>
                </c:pt>
                <c:pt idx="17">
                  <c:v>Španělsko</c:v>
                </c:pt>
                <c:pt idx="18">
                  <c:v>Chorvatsko</c:v>
                </c:pt>
                <c:pt idx="19">
                  <c:v>Itálie</c:v>
                </c:pt>
                <c:pt idx="20">
                  <c:v>Kypr</c:v>
                </c:pt>
                <c:pt idx="21">
                  <c:v>Francie</c:v>
                </c:pt>
                <c:pt idx="22">
                  <c:v>Polsko</c:v>
                </c:pt>
                <c:pt idx="23">
                  <c:v>Maďarsko</c:v>
                </c:pt>
                <c:pt idx="24">
                  <c:v>Řecko</c:v>
                </c:pt>
                <c:pt idx="25">
                  <c:v>Lotyšsko</c:v>
                </c:pt>
                <c:pt idx="26">
                  <c:v>Portugalsko</c:v>
                </c:pt>
                <c:pt idx="27">
                  <c:v>Bulharsko</c:v>
                </c:pt>
                <c:pt idx="28">
                  <c:v>Rumunsko</c:v>
                </c:pt>
              </c:strCache>
            </c:strRef>
          </c:cat>
          <c:val>
            <c:numRef>
              <c:f>Web_grafy!$B$75:$B$103</c:f>
              <c:numCache>
                <c:formatCode>0.0%</c:formatCode>
                <c:ptCount val="29"/>
                <c:pt idx="0">
                  <c:v>0.95635599999999998</c:v>
                </c:pt>
                <c:pt idx="1">
                  <c:v>0.955789</c:v>
                </c:pt>
                <c:pt idx="2">
                  <c:v>0.93635400000000002</c:v>
                </c:pt>
                <c:pt idx="3">
                  <c:v>0.92440800000000001</c:v>
                </c:pt>
                <c:pt idx="4">
                  <c:v>0.87922199999999995</c:v>
                </c:pt>
                <c:pt idx="5">
                  <c:v>0.87394099999999997</c:v>
                </c:pt>
                <c:pt idx="6">
                  <c:v>0.84032799999999996</c:v>
                </c:pt>
                <c:pt idx="7">
                  <c:v>0.84025499999999997</c:v>
                </c:pt>
                <c:pt idx="8">
                  <c:v>0.83382400000000001</c:v>
                </c:pt>
                <c:pt idx="9">
                  <c:v>0.82790299999999994</c:v>
                </c:pt>
                <c:pt idx="10">
                  <c:v>0.82073099999999999</c:v>
                </c:pt>
                <c:pt idx="11">
                  <c:v>0.81985200000000003</c:v>
                </c:pt>
                <c:pt idx="12">
                  <c:v>0.78846300000000002</c:v>
                </c:pt>
                <c:pt idx="13">
                  <c:v>0.783609</c:v>
                </c:pt>
                <c:pt idx="14">
                  <c:v>0.78146000000000004</c:v>
                </c:pt>
                <c:pt idx="15">
                  <c:v>0.77078500000000005</c:v>
                </c:pt>
                <c:pt idx="16">
                  <c:v>0.76047399999999998</c:v>
                </c:pt>
                <c:pt idx="17">
                  <c:v>0.75533499999999998</c:v>
                </c:pt>
                <c:pt idx="18">
                  <c:v>0.72910699999999995</c:v>
                </c:pt>
                <c:pt idx="19">
                  <c:v>0.71379599999999999</c:v>
                </c:pt>
                <c:pt idx="20">
                  <c:v>0.70855100000000004</c:v>
                </c:pt>
                <c:pt idx="21">
                  <c:v>0.694075</c:v>
                </c:pt>
                <c:pt idx="22">
                  <c:v>0.66823500000000002</c:v>
                </c:pt>
                <c:pt idx="23">
                  <c:v>0.65716300000000005</c:v>
                </c:pt>
                <c:pt idx="24">
                  <c:v>0.64802300000000002</c:v>
                </c:pt>
                <c:pt idx="25">
                  <c:v>0.63001099999999999</c:v>
                </c:pt>
                <c:pt idx="26">
                  <c:v>0.62678199999999995</c:v>
                </c:pt>
                <c:pt idx="27">
                  <c:v>0.51134599999999997</c:v>
                </c:pt>
                <c:pt idx="28">
                  <c:v>0.44432700000000003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DF9-4652-B240-FF9A222786C2}"/>
            </c:ext>
          </c:extLst>
        </c:ser>
        <c:ser>
          <c:idx val="1"/>
          <c:order val="1"/>
          <c:tx>
            <c:strRef>
              <c:f>Web_grafy!$C$74</c:f>
              <c:strCache>
                <c:ptCount val="1"/>
                <c:pt idx="0">
                  <c:v>  z toho s možností on-line objednávky či rezervace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Pt>
            <c:idx val="9"/>
            <c:invertIfNegative val="0"/>
            <c:bubble3D val="0"/>
            <c:spPr>
              <a:solidFill>
                <a:srgbClr val="47E5FF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2-DDF9-4652-B240-FF9A222786C2}"/>
              </c:ext>
            </c:extLst>
          </c:dPt>
          <c:dPt>
            <c:idx val="15"/>
            <c:invertIfNegative val="0"/>
            <c:bubble3D val="0"/>
            <c:spPr>
              <a:solidFill>
                <a:srgbClr val="47E5FF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4-DDF9-4652-B240-FF9A222786C2}"/>
              </c:ext>
            </c:extLst>
          </c:dPt>
          <c:cat>
            <c:strRef>
              <c:f>Web_grafy!$A$75:$A$103</c:f>
              <c:strCache>
                <c:ptCount val="29"/>
                <c:pt idx="0">
                  <c:v>Finsko</c:v>
                </c:pt>
                <c:pt idx="1">
                  <c:v>Dánsko</c:v>
                </c:pt>
                <c:pt idx="2">
                  <c:v>Nizozemsko</c:v>
                </c:pt>
                <c:pt idx="3">
                  <c:v>Švédsko</c:v>
                </c:pt>
                <c:pt idx="4">
                  <c:v>Rakousko</c:v>
                </c:pt>
                <c:pt idx="5">
                  <c:v>Německo</c:v>
                </c:pt>
                <c:pt idx="6">
                  <c:v>Slovinsko</c:v>
                </c:pt>
                <c:pt idx="7">
                  <c:v>Belgie</c:v>
                </c:pt>
                <c:pt idx="8">
                  <c:v>Lucembursko</c:v>
                </c:pt>
                <c:pt idx="9">
                  <c:v>Česká republika</c:v>
                </c:pt>
                <c:pt idx="10">
                  <c:v>Malta</c:v>
                </c:pt>
                <c:pt idx="11">
                  <c:v>Velká Británie</c:v>
                </c:pt>
                <c:pt idx="12">
                  <c:v>Irsko</c:v>
                </c:pt>
                <c:pt idx="13">
                  <c:v>Estonsko</c:v>
                </c:pt>
                <c:pt idx="14">
                  <c:v>Litva</c:v>
                </c:pt>
                <c:pt idx="15">
                  <c:v>EU28</c:v>
                </c:pt>
                <c:pt idx="16">
                  <c:v>Slovensko</c:v>
                </c:pt>
                <c:pt idx="17">
                  <c:v>Španělsko</c:v>
                </c:pt>
                <c:pt idx="18">
                  <c:v>Chorvatsko</c:v>
                </c:pt>
                <c:pt idx="19">
                  <c:v>Itálie</c:v>
                </c:pt>
                <c:pt idx="20">
                  <c:v>Kypr</c:v>
                </c:pt>
                <c:pt idx="21">
                  <c:v>Francie</c:v>
                </c:pt>
                <c:pt idx="22">
                  <c:v>Polsko</c:v>
                </c:pt>
                <c:pt idx="23">
                  <c:v>Maďarsko</c:v>
                </c:pt>
                <c:pt idx="24">
                  <c:v>Řecko</c:v>
                </c:pt>
                <c:pt idx="25">
                  <c:v>Lotyšsko</c:v>
                </c:pt>
                <c:pt idx="26">
                  <c:v>Portugalsko</c:v>
                </c:pt>
                <c:pt idx="27">
                  <c:v>Bulharsko</c:v>
                </c:pt>
                <c:pt idx="28">
                  <c:v>Rumunsko</c:v>
                </c:pt>
              </c:strCache>
            </c:strRef>
          </c:cat>
          <c:val>
            <c:numRef>
              <c:f>Web_grafy!$C$75:$C$103</c:f>
              <c:numCache>
                <c:formatCode>0.0%</c:formatCode>
                <c:ptCount val="29"/>
                <c:pt idx="0">
                  <c:v>0.25794699999999998</c:v>
                </c:pt>
                <c:pt idx="1">
                  <c:v>0.32576100000000002</c:v>
                </c:pt>
                <c:pt idx="2">
                  <c:v>0.35968600000000001</c:v>
                </c:pt>
                <c:pt idx="3">
                  <c:v>0.36466500000000002</c:v>
                </c:pt>
                <c:pt idx="4">
                  <c:v>0.21723400000000001</c:v>
                </c:pt>
                <c:pt idx="5">
                  <c:v>0.16468099999999999</c:v>
                </c:pt>
                <c:pt idx="6">
                  <c:v>0.157997</c:v>
                </c:pt>
                <c:pt idx="7">
                  <c:v>0.233017</c:v>
                </c:pt>
                <c:pt idx="8">
                  <c:v>0.19053800000000001</c:v>
                </c:pt>
                <c:pt idx="9">
                  <c:v>0.284997</c:v>
                </c:pt>
                <c:pt idx="10">
                  <c:v>0.36728899999999998</c:v>
                </c:pt>
                <c:pt idx="11">
                  <c:v>0.2051</c:v>
                </c:pt>
                <c:pt idx="12">
                  <c:v>0.28707300000000002</c:v>
                </c:pt>
                <c:pt idx="13">
                  <c:v>0.16897000000000001</c:v>
                </c:pt>
                <c:pt idx="14">
                  <c:v>0.19675599999999999</c:v>
                </c:pt>
                <c:pt idx="15">
                  <c:v>0.18640499999999999</c:v>
                </c:pt>
                <c:pt idx="16">
                  <c:v>0.23383100000000001</c:v>
                </c:pt>
                <c:pt idx="17">
                  <c:v>0.146763</c:v>
                </c:pt>
                <c:pt idx="18">
                  <c:v>0.143287</c:v>
                </c:pt>
                <c:pt idx="19">
                  <c:v>0.14774000000000001</c:v>
                </c:pt>
                <c:pt idx="20">
                  <c:v>0.115485</c:v>
                </c:pt>
                <c:pt idx="21">
                  <c:v>0.18431</c:v>
                </c:pt>
                <c:pt idx="22">
                  <c:v>0.141154</c:v>
                </c:pt>
                <c:pt idx="23">
                  <c:v>0.19532099999999999</c:v>
                </c:pt>
                <c:pt idx="24">
                  <c:v>0.13889199999999999</c:v>
                </c:pt>
                <c:pt idx="25">
                  <c:v>9.1335E-2</c:v>
                </c:pt>
                <c:pt idx="26">
                  <c:v>9.8697999999999994E-2</c:v>
                </c:pt>
                <c:pt idx="27">
                  <c:v>0.14471999999999999</c:v>
                </c:pt>
                <c:pt idx="28">
                  <c:v>0.186413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DDF9-4652-B240-FF9A222786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76599424"/>
        <c:axId val="176600960"/>
      </c:barChart>
      <c:catAx>
        <c:axId val="17659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76600960"/>
        <c:crosses val="autoZero"/>
        <c:auto val="1"/>
        <c:lblAlgn val="ctr"/>
        <c:lblOffset val="100"/>
        <c:tickLblSkip val="1"/>
        <c:noMultiLvlLbl val="0"/>
      </c:catAx>
      <c:valAx>
        <c:axId val="176600960"/>
        <c:scaling>
          <c:orientation val="minMax"/>
          <c:max val="1"/>
          <c:min val="0"/>
        </c:scaling>
        <c:delete val="0"/>
        <c:axPos val="l"/>
        <c:majorGridlines>
          <c:spPr>
            <a:ln>
              <a:solidFill>
                <a:schemeClr val="bg1">
                  <a:lumMod val="50000"/>
                  <a:alpha val="33000"/>
                </a:schemeClr>
              </a:solidFill>
              <a:prstDash val="sysDash"/>
            </a:ln>
          </c:spPr>
        </c:majorGridlines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76599424"/>
        <c:crosses val="autoZero"/>
        <c:crossBetween val="between"/>
        <c:majorUnit val="0.25"/>
        <c:minorUnit val="5.0000000000000024E-2"/>
      </c:valAx>
      <c:spPr>
        <a:noFill/>
        <a:ln w="12700">
          <a:noFill/>
          <a:prstDash val="solid"/>
        </a:ln>
      </c:spPr>
    </c:plotArea>
    <c:legend>
      <c:legendPos val="t"/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5A40F-33F1-4410-8080-DA7913E2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1579</TotalTime>
  <Pages>5</Pages>
  <Words>1624</Words>
  <Characters>9582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26</cp:revision>
  <cp:lastPrinted>2015-11-16T07:25:00Z</cp:lastPrinted>
  <dcterms:created xsi:type="dcterms:W3CDTF">2017-11-13T07:05:00Z</dcterms:created>
  <dcterms:modified xsi:type="dcterms:W3CDTF">2019-01-18T09:21:00Z</dcterms:modified>
</cp:coreProperties>
</file>