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drawings/drawing7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96" w:rsidRPr="00456552" w:rsidRDefault="00456552" w:rsidP="00456552">
      <w:pPr>
        <w:spacing w:after="120" w:line="288" w:lineRule="auto"/>
        <w:jc w:val="both"/>
        <w:rPr>
          <w:rFonts w:ascii="Arial" w:hAnsi="Arial" w:cs="Arial"/>
          <w:b/>
          <w:color w:val="009BB4"/>
          <w:sz w:val="32"/>
          <w:szCs w:val="32"/>
        </w:rPr>
      </w:pPr>
      <w:bookmarkStart w:id="0" w:name="_GoBack"/>
      <w:bookmarkEnd w:id="0"/>
      <w:r w:rsidRPr="00456552">
        <w:rPr>
          <w:rFonts w:ascii="Arial" w:hAnsi="Arial" w:cs="Arial"/>
          <w:b/>
          <w:color w:val="009BB4"/>
          <w:sz w:val="32"/>
          <w:szCs w:val="32"/>
        </w:rPr>
        <w:t>Shrnutí základních údaj</w:t>
      </w:r>
      <w:r w:rsidR="009D1918">
        <w:rPr>
          <w:rFonts w:ascii="Arial" w:hAnsi="Arial" w:cs="Arial"/>
          <w:b/>
          <w:color w:val="009BB4"/>
          <w:sz w:val="32"/>
          <w:szCs w:val="32"/>
        </w:rPr>
        <w:t>ů o výzkumu a vývoji za rok 2017</w:t>
      </w:r>
    </w:p>
    <w:p w:rsidR="00016DBC" w:rsidRDefault="00726C95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rokem jsme konstatovali, že rok 2016 byl charakterizován</w:t>
      </w:r>
      <w:r w:rsidR="009D1918">
        <w:rPr>
          <w:rFonts w:ascii="Arial" w:hAnsi="Arial" w:cs="Arial"/>
          <w:sz w:val="20"/>
          <w:szCs w:val="20"/>
        </w:rPr>
        <w:t xml:space="preserve"> výrazným desetiprocentním poklesem výdajů </w:t>
      </w: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D1918">
        <w:rPr>
          <w:rFonts w:ascii="Arial" w:hAnsi="Arial" w:cs="Arial"/>
          <w:sz w:val="20"/>
          <w:szCs w:val="20"/>
        </w:rPr>
        <w:t xml:space="preserve">zapříčiněným dočasným </w:t>
      </w:r>
      <w:r>
        <w:rPr>
          <w:rFonts w:ascii="Arial" w:hAnsi="Arial" w:cs="Arial"/>
          <w:sz w:val="20"/>
          <w:szCs w:val="20"/>
        </w:rPr>
        <w:t>oslabením přísunu peněz z Evropské u</w:t>
      </w:r>
      <w:r w:rsidR="009D1918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(EU)</w:t>
      </w:r>
      <w:r w:rsidR="009D1918">
        <w:rPr>
          <w:rFonts w:ascii="Arial" w:hAnsi="Arial" w:cs="Arial"/>
          <w:sz w:val="20"/>
          <w:szCs w:val="20"/>
        </w:rPr>
        <w:t>.</w:t>
      </w:r>
      <w:r w:rsidR="003B6E79">
        <w:rPr>
          <w:rFonts w:ascii="Arial" w:hAnsi="Arial" w:cs="Arial"/>
          <w:sz w:val="20"/>
          <w:szCs w:val="20"/>
        </w:rPr>
        <w:t xml:space="preserve"> Mezi lety 2012</w:t>
      </w:r>
      <w:r w:rsidR="00DC41F1">
        <w:rPr>
          <w:rFonts w:ascii="Arial" w:hAnsi="Arial" w:cs="Arial"/>
          <w:sz w:val="20"/>
          <w:szCs w:val="20"/>
        </w:rPr>
        <w:t>–</w:t>
      </w:r>
      <w:r w:rsidR="003B6E79">
        <w:rPr>
          <w:rFonts w:ascii="Arial" w:hAnsi="Arial" w:cs="Arial"/>
          <w:sz w:val="20"/>
          <w:szCs w:val="20"/>
        </w:rPr>
        <w:t>2015 každoročně přitékalo z </w:t>
      </w:r>
      <w:r w:rsidR="006368F3">
        <w:rPr>
          <w:rFonts w:ascii="Arial" w:hAnsi="Arial" w:cs="Arial"/>
          <w:sz w:val="20"/>
          <w:szCs w:val="20"/>
        </w:rPr>
        <w:t>EU</w:t>
      </w:r>
      <w:r w:rsidR="003B6E79">
        <w:rPr>
          <w:rFonts w:ascii="Arial" w:hAnsi="Arial" w:cs="Arial"/>
          <w:sz w:val="20"/>
          <w:szCs w:val="20"/>
        </w:rPr>
        <w:t xml:space="preserve"> do českého výzkumu více než 10 mld. Kč. Jednalo se o prostředky financované ze strukturálních fondů EU v rámci programového období 2007</w:t>
      </w:r>
      <w:r w:rsidR="00DC41F1">
        <w:rPr>
          <w:rFonts w:ascii="Arial" w:hAnsi="Arial" w:cs="Arial"/>
          <w:sz w:val="20"/>
          <w:szCs w:val="20"/>
        </w:rPr>
        <w:t>–</w:t>
      </w:r>
      <w:r w:rsidR="003B6E79">
        <w:rPr>
          <w:rFonts w:ascii="Arial" w:hAnsi="Arial" w:cs="Arial"/>
          <w:sz w:val="20"/>
          <w:szCs w:val="20"/>
        </w:rPr>
        <w:t xml:space="preserve">2013, které </w:t>
      </w:r>
      <w:r w:rsidR="006D7976">
        <w:rPr>
          <w:rFonts w:ascii="Arial" w:hAnsi="Arial" w:cs="Arial"/>
          <w:sz w:val="20"/>
          <w:szCs w:val="20"/>
        </w:rPr>
        <w:t>se mohly</w:t>
      </w:r>
      <w:r w:rsidR="003B6E79">
        <w:rPr>
          <w:rFonts w:ascii="Arial" w:hAnsi="Arial" w:cs="Arial"/>
          <w:sz w:val="20"/>
          <w:szCs w:val="20"/>
        </w:rPr>
        <w:t xml:space="preserve"> čerpat až do roku 2015. Toho se v Česku využilo, jelikož nejvíce </w:t>
      </w:r>
      <w:r>
        <w:rPr>
          <w:rFonts w:ascii="Arial" w:hAnsi="Arial" w:cs="Arial"/>
          <w:sz w:val="20"/>
          <w:szCs w:val="20"/>
        </w:rPr>
        <w:t>prostředků se u nás čerpalo</w:t>
      </w:r>
      <w:r w:rsidR="003B6E79">
        <w:rPr>
          <w:rFonts w:ascii="Arial" w:hAnsi="Arial" w:cs="Arial"/>
          <w:sz w:val="20"/>
          <w:szCs w:val="20"/>
        </w:rPr>
        <w:t xml:space="preserve"> právě ve dvou posledních povolených letech. V roce 2016 následoval zmíněný více než </w:t>
      </w:r>
      <w:r w:rsidR="00016DBC">
        <w:rPr>
          <w:rFonts w:ascii="Arial" w:hAnsi="Arial" w:cs="Arial"/>
          <w:sz w:val="20"/>
          <w:szCs w:val="20"/>
        </w:rPr>
        <w:t>deseti</w:t>
      </w:r>
      <w:r w:rsidR="003B6E79">
        <w:rPr>
          <w:rFonts w:ascii="Arial" w:hAnsi="Arial" w:cs="Arial"/>
          <w:sz w:val="20"/>
          <w:szCs w:val="20"/>
        </w:rPr>
        <w:t>miliardový výpadek v přísunu evropských peněz. Oficiálně sice již odstartovalo následující programové období 2014</w:t>
      </w:r>
      <w:r w:rsidR="00DC41F1">
        <w:rPr>
          <w:rFonts w:ascii="Arial" w:hAnsi="Arial" w:cs="Arial"/>
          <w:sz w:val="20"/>
          <w:szCs w:val="20"/>
        </w:rPr>
        <w:t>–</w:t>
      </w:r>
      <w:r w:rsidR="00016DBC">
        <w:rPr>
          <w:rFonts w:ascii="Arial" w:hAnsi="Arial" w:cs="Arial"/>
          <w:sz w:val="20"/>
          <w:szCs w:val="20"/>
        </w:rPr>
        <w:t>2020,</w:t>
      </w:r>
      <w:r w:rsidR="003B6E79">
        <w:rPr>
          <w:rFonts w:ascii="Arial" w:hAnsi="Arial" w:cs="Arial"/>
          <w:sz w:val="20"/>
          <w:szCs w:val="20"/>
        </w:rPr>
        <w:t xml:space="preserve"> v jehož rámci je opět přichystáno množství prostředků určených na podporu </w:t>
      </w:r>
      <w:proofErr w:type="spellStart"/>
      <w:r w:rsidR="003B6E79">
        <w:rPr>
          <w:rFonts w:ascii="Arial" w:hAnsi="Arial" w:cs="Arial"/>
          <w:sz w:val="20"/>
          <w:szCs w:val="20"/>
        </w:rPr>
        <w:t>VaV</w:t>
      </w:r>
      <w:proofErr w:type="spellEnd"/>
      <w:r w:rsidR="003B6E79">
        <w:rPr>
          <w:rFonts w:ascii="Arial" w:hAnsi="Arial" w:cs="Arial"/>
          <w:sz w:val="20"/>
          <w:szCs w:val="20"/>
        </w:rPr>
        <w:t>, ale</w:t>
      </w:r>
      <w:r w:rsidR="00016DBC">
        <w:rPr>
          <w:rFonts w:ascii="Arial" w:hAnsi="Arial" w:cs="Arial"/>
          <w:sz w:val="20"/>
          <w:szCs w:val="20"/>
        </w:rPr>
        <w:t xml:space="preserve"> náběh čerpání byl v Česku </w:t>
      </w:r>
      <w:r>
        <w:rPr>
          <w:rFonts w:ascii="Arial" w:hAnsi="Arial" w:cs="Arial"/>
          <w:sz w:val="20"/>
          <w:szCs w:val="20"/>
        </w:rPr>
        <w:t>opět pomalý</w:t>
      </w:r>
      <w:r w:rsidR="00016DB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 roce</w:t>
      </w:r>
      <w:r w:rsidR="00016DBC">
        <w:rPr>
          <w:rFonts w:ascii="Arial" w:hAnsi="Arial" w:cs="Arial"/>
          <w:sz w:val="20"/>
          <w:szCs w:val="20"/>
        </w:rPr>
        <w:t xml:space="preserve"> 2016 jsme si kladli otázku, zdali v následujícím roce dojde k</w:t>
      </w:r>
      <w:r w:rsidR="00C70F14">
        <w:rPr>
          <w:rFonts w:ascii="Arial" w:hAnsi="Arial" w:cs="Arial"/>
          <w:sz w:val="20"/>
          <w:szCs w:val="20"/>
        </w:rPr>
        <w:t xml:space="preserve"> opětovnému</w:t>
      </w:r>
      <w:r w:rsidR="00016DBC">
        <w:rPr>
          <w:rFonts w:ascii="Arial" w:hAnsi="Arial" w:cs="Arial"/>
          <w:sz w:val="20"/>
          <w:szCs w:val="20"/>
        </w:rPr>
        <w:t xml:space="preserve"> nárůstu výdajů na </w:t>
      </w:r>
      <w:proofErr w:type="spellStart"/>
      <w:r w:rsidR="00016DBC">
        <w:rPr>
          <w:rFonts w:ascii="Arial" w:hAnsi="Arial" w:cs="Arial"/>
          <w:sz w:val="20"/>
          <w:szCs w:val="20"/>
        </w:rPr>
        <w:t>VaV</w:t>
      </w:r>
      <w:proofErr w:type="spellEnd"/>
      <w:r w:rsidR="00016DBC">
        <w:rPr>
          <w:rFonts w:ascii="Arial" w:hAnsi="Arial" w:cs="Arial"/>
          <w:sz w:val="20"/>
          <w:szCs w:val="20"/>
        </w:rPr>
        <w:t xml:space="preserve"> a přiblížení se k hodnotám z let 2014 a 2015</w:t>
      </w:r>
      <w:r w:rsidR="00DC41F1">
        <w:rPr>
          <w:rFonts w:ascii="Arial" w:hAnsi="Arial" w:cs="Arial"/>
          <w:sz w:val="20"/>
          <w:szCs w:val="20"/>
        </w:rPr>
        <w:t>.</w:t>
      </w:r>
      <w:r w:rsidR="00016DBC">
        <w:rPr>
          <w:rFonts w:ascii="Arial" w:hAnsi="Arial" w:cs="Arial"/>
          <w:sz w:val="20"/>
          <w:szCs w:val="20"/>
        </w:rPr>
        <w:t xml:space="preserve"> Skutečnost je taková, že se výdaje na </w:t>
      </w:r>
      <w:proofErr w:type="spellStart"/>
      <w:r w:rsidR="00016DBC">
        <w:rPr>
          <w:rFonts w:ascii="Arial" w:hAnsi="Arial" w:cs="Arial"/>
          <w:sz w:val="20"/>
          <w:szCs w:val="20"/>
        </w:rPr>
        <w:t>VaV</w:t>
      </w:r>
      <w:proofErr w:type="spellEnd"/>
      <w:r w:rsidR="00701192">
        <w:rPr>
          <w:rFonts w:ascii="Arial" w:hAnsi="Arial" w:cs="Arial"/>
          <w:sz w:val="20"/>
          <w:szCs w:val="20"/>
        </w:rPr>
        <w:t xml:space="preserve"> meziročně zvýšily o výrazných </w:t>
      </w:r>
      <w:r w:rsidR="00DC41F1">
        <w:rPr>
          <w:rFonts w:ascii="Arial" w:hAnsi="Arial" w:cs="Arial"/>
          <w:sz w:val="20"/>
          <w:szCs w:val="20"/>
        </w:rPr>
        <w:t>10,</w:t>
      </w:r>
      <w:r w:rsidR="00FE3756">
        <w:rPr>
          <w:rFonts w:ascii="Arial" w:hAnsi="Arial" w:cs="Arial"/>
          <w:sz w:val="20"/>
          <w:szCs w:val="20"/>
        </w:rPr>
        <w:t>2 mld. Kč (</w:t>
      </w:r>
      <w:r w:rsidR="00701192">
        <w:rPr>
          <w:rFonts w:ascii="Arial" w:hAnsi="Arial" w:cs="Arial"/>
          <w:sz w:val="20"/>
          <w:szCs w:val="20"/>
        </w:rPr>
        <w:t>13</w:t>
      </w:r>
      <w:r w:rsidR="00016DBC">
        <w:rPr>
          <w:rFonts w:ascii="Arial" w:hAnsi="Arial" w:cs="Arial"/>
          <w:sz w:val="20"/>
          <w:szCs w:val="20"/>
        </w:rPr>
        <w:t>%</w:t>
      </w:r>
      <w:r w:rsidR="00701192">
        <w:rPr>
          <w:rFonts w:ascii="Arial" w:hAnsi="Arial" w:cs="Arial"/>
          <w:sz w:val="20"/>
          <w:szCs w:val="20"/>
        </w:rPr>
        <w:t xml:space="preserve"> meziroční nárůst</w:t>
      </w:r>
      <w:r w:rsidR="00FE3756">
        <w:rPr>
          <w:rFonts w:ascii="Arial" w:hAnsi="Arial" w:cs="Arial"/>
          <w:sz w:val="20"/>
          <w:szCs w:val="20"/>
        </w:rPr>
        <w:t>)</w:t>
      </w:r>
      <w:r w:rsidR="00016DBC">
        <w:rPr>
          <w:rFonts w:ascii="Arial" w:hAnsi="Arial" w:cs="Arial"/>
          <w:sz w:val="20"/>
          <w:szCs w:val="20"/>
        </w:rPr>
        <w:t xml:space="preserve"> a došlo tak dokonce k překonání roku 2015</w:t>
      </w:r>
      <w:r w:rsidR="00701192">
        <w:rPr>
          <w:rFonts w:ascii="Arial" w:hAnsi="Arial" w:cs="Arial"/>
          <w:sz w:val="20"/>
          <w:szCs w:val="20"/>
        </w:rPr>
        <w:t>. C</w:t>
      </w:r>
      <w:r w:rsidR="00016DBC">
        <w:rPr>
          <w:rFonts w:ascii="Arial" w:hAnsi="Arial" w:cs="Arial"/>
          <w:sz w:val="20"/>
          <w:szCs w:val="20"/>
        </w:rPr>
        <w:t xml:space="preserve">elkové výdaje na </w:t>
      </w:r>
      <w:proofErr w:type="spellStart"/>
      <w:r w:rsidR="00016DBC">
        <w:rPr>
          <w:rFonts w:ascii="Arial" w:hAnsi="Arial" w:cs="Arial"/>
          <w:sz w:val="20"/>
          <w:szCs w:val="20"/>
        </w:rPr>
        <w:t>VaV</w:t>
      </w:r>
      <w:proofErr w:type="spellEnd"/>
      <w:r w:rsidR="00016DBC">
        <w:rPr>
          <w:rFonts w:ascii="Arial" w:hAnsi="Arial" w:cs="Arial"/>
          <w:sz w:val="20"/>
          <w:szCs w:val="20"/>
        </w:rPr>
        <w:t xml:space="preserve"> v Česku poprvé překročily hranici 90 mld. Kč.</w:t>
      </w:r>
    </w:p>
    <w:p w:rsidR="006368F3" w:rsidRDefault="006368F3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pozitivním vývoji se podepsalo několik trendů. Předně se </w:t>
      </w:r>
      <w:r w:rsidR="00701192">
        <w:rPr>
          <w:rFonts w:ascii="Arial" w:hAnsi="Arial" w:cs="Arial"/>
          <w:sz w:val="20"/>
          <w:szCs w:val="20"/>
        </w:rPr>
        <w:t>neustále</w:t>
      </w:r>
      <w:r>
        <w:rPr>
          <w:rFonts w:ascii="Arial" w:hAnsi="Arial" w:cs="Arial"/>
          <w:sz w:val="20"/>
          <w:szCs w:val="20"/>
        </w:rPr>
        <w:t xml:space="preserve"> zvyš</w:t>
      </w:r>
      <w:r w:rsidR="00701192">
        <w:rPr>
          <w:rFonts w:ascii="Arial" w:hAnsi="Arial" w:cs="Arial"/>
          <w:sz w:val="20"/>
          <w:szCs w:val="20"/>
        </w:rPr>
        <w:t>uje objem</w:t>
      </w:r>
      <w:r>
        <w:rPr>
          <w:rFonts w:ascii="Arial" w:hAnsi="Arial" w:cs="Arial"/>
          <w:sz w:val="20"/>
          <w:szCs w:val="20"/>
        </w:rPr>
        <w:t xml:space="preserve"> prostředků, které do výzkumu investují podniky. Podnikové výdaje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rostou nepřetržitě od roku 2009, </w:t>
      </w:r>
      <w:r w:rsidR="007530CC">
        <w:rPr>
          <w:rFonts w:ascii="Arial" w:hAnsi="Arial" w:cs="Arial"/>
          <w:sz w:val="20"/>
          <w:szCs w:val="20"/>
        </w:rPr>
        <w:t xml:space="preserve">největší měrou v podnicích pod zahraniční kontrolou. </w:t>
      </w:r>
      <w:r w:rsidR="00F93005">
        <w:rPr>
          <w:rFonts w:ascii="Arial" w:hAnsi="Arial" w:cs="Arial"/>
          <w:sz w:val="20"/>
          <w:szCs w:val="20"/>
        </w:rPr>
        <w:t>V roce 2017 jsme zaznamenali také výrazný nárůst veřejných domácích zdrojů, které se v předchozích 3 letech pohybovaly v rozmezí 28</w:t>
      </w:r>
      <w:r w:rsidR="00DC41F1">
        <w:rPr>
          <w:rFonts w:ascii="Arial" w:hAnsi="Arial" w:cs="Arial"/>
          <w:sz w:val="20"/>
          <w:szCs w:val="20"/>
        </w:rPr>
        <w:t>–</w:t>
      </w:r>
      <w:r w:rsidR="00F93005">
        <w:rPr>
          <w:rFonts w:ascii="Arial" w:hAnsi="Arial" w:cs="Arial"/>
          <w:sz w:val="20"/>
          <w:szCs w:val="20"/>
        </w:rPr>
        <w:t>28,5</w:t>
      </w:r>
      <w:r w:rsidR="00701192">
        <w:rPr>
          <w:rFonts w:ascii="Arial" w:hAnsi="Arial" w:cs="Arial"/>
          <w:sz w:val="20"/>
          <w:szCs w:val="20"/>
        </w:rPr>
        <w:t xml:space="preserve"> mld. Kč za rok, v roce 2017 poskočily na více</w:t>
      </w:r>
      <w:r w:rsidR="00F93005">
        <w:rPr>
          <w:rFonts w:ascii="Arial" w:hAnsi="Arial" w:cs="Arial"/>
          <w:sz w:val="20"/>
          <w:szCs w:val="20"/>
        </w:rPr>
        <w:t xml:space="preserve"> </w:t>
      </w:r>
      <w:r w:rsidR="00701192">
        <w:rPr>
          <w:rFonts w:ascii="Arial" w:hAnsi="Arial" w:cs="Arial"/>
          <w:sz w:val="20"/>
          <w:szCs w:val="20"/>
        </w:rPr>
        <w:t xml:space="preserve">než </w:t>
      </w:r>
      <w:r w:rsidR="00F93005">
        <w:rPr>
          <w:rFonts w:ascii="Arial" w:hAnsi="Arial" w:cs="Arial"/>
          <w:sz w:val="20"/>
          <w:szCs w:val="20"/>
        </w:rPr>
        <w:t>31 mld. Kč a meziročně vzrostly o 9,5 %. Veřejné zahraniční zdroje, za nimiž se skrývají především výše zmiňované strukturální fondy</w:t>
      </w:r>
      <w:r w:rsidR="00701192">
        <w:rPr>
          <w:rFonts w:ascii="Arial" w:hAnsi="Arial" w:cs="Arial"/>
          <w:sz w:val="20"/>
          <w:szCs w:val="20"/>
        </w:rPr>
        <w:t xml:space="preserve"> EU</w:t>
      </w:r>
      <w:r w:rsidR="00F93005">
        <w:rPr>
          <w:rFonts w:ascii="Arial" w:hAnsi="Arial" w:cs="Arial"/>
          <w:sz w:val="20"/>
          <w:szCs w:val="20"/>
        </w:rPr>
        <w:t xml:space="preserve">, taktéž meziročně vzrostly a lze </w:t>
      </w:r>
      <w:r w:rsidR="00A85D5A">
        <w:rPr>
          <w:rFonts w:ascii="Arial" w:hAnsi="Arial" w:cs="Arial"/>
          <w:sz w:val="20"/>
          <w:szCs w:val="20"/>
        </w:rPr>
        <w:t>odhadovat</w:t>
      </w:r>
      <w:r w:rsidR="00F93005">
        <w:rPr>
          <w:rFonts w:ascii="Arial" w:hAnsi="Arial" w:cs="Arial"/>
          <w:sz w:val="20"/>
          <w:szCs w:val="20"/>
        </w:rPr>
        <w:t>, že v následujících letech ještě výrazně porostou s ohledem na předpokládané intenzivnější čerpání prostředků z</w:t>
      </w:r>
      <w:r w:rsidR="00FE3756">
        <w:rPr>
          <w:rFonts w:ascii="Arial" w:hAnsi="Arial" w:cs="Arial"/>
          <w:sz w:val="20"/>
          <w:szCs w:val="20"/>
        </w:rPr>
        <w:t> programového období 2014</w:t>
      </w:r>
      <w:r w:rsidR="00DC41F1">
        <w:rPr>
          <w:rFonts w:ascii="Arial" w:hAnsi="Arial" w:cs="Arial"/>
          <w:sz w:val="20"/>
          <w:szCs w:val="20"/>
        </w:rPr>
        <w:t>–</w:t>
      </w:r>
      <w:r w:rsidR="00FE3756">
        <w:rPr>
          <w:rFonts w:ascii="Arial" w:hAnsi="Arial" w:cs="Arial"/>
          <w:sz w:val="20"/>
          <w:szCs w:val="20"/>
        </w:rPr>
        <w:t xml:space="preserve">2020. </w:t>
      </w:r>
    </w:p>
    <w:p w:rsidR="000C3548" w:rsidRDefault="000C3548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1E37245" wp14:editId="288BC72E">
            <wp:extent cx="6086475" cy="38385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3756" w:rsidRDefault="00FE3756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Nárůst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se nejvýrazněji promítl ve mzdách. Mzdy tvořily 52</w:t>
      </w:r>
      <w:r w:rsidR="00DC41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="006D7976">
        <w:rPr>
          <w:rFonts w:ascii="Arial" w:hAnsi="Arial" w:cs="Arial"/>
          <w:sz w:val="20"/>
          <w:szCs w:val="20"/>
        </w:rPr>
        <w:t xml:space="preserve"> v roce 2017</w:t>
      </w:r>
      <w:r>
        <w:rPr>
          <w:rFonts w:ascii="Arial" w:hAnsi="Arial" w:cs="Arial"/>
          <w:sz w:val="20"/>
          <w:szCs w:val="20"/>
        </w:rPr>
        <w:t xml:space="preserve"> a od roku 2014 narostl objem </w:t>
      </w:r>
      <w:r w:rsidR="00FE71AA">
        <w:rPr>
          <w:rFonts w:ascii="Arial" w:hAnsi="Arial" w:cs="Arial"/>
          <w:sz w:val="20"/>
          <w:szCs w:val="20"/>
        </w:rPr>
        <w:t xml:space="preserve">ročních </w:t>
      </w:r>
      <w:r>
        <w:rPr>
          <w:rFonts w:ascii="Arial" w:hAnsi="Arial" w:cs="Arial"/>
          <w:sz w:val="20"/>
          <w:szCs w:val="20"/>
        </w:rPr>
        <w:t xml:space="preserve">mzdových nákladů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o 10 mld. Kč</w:t>
      </w:r>
      <w:r w:rsidR="006D7976">
        <w:rPr>
          <w:rFonts w:ascii="Arial" w:hAnsi="Arial" w:cs="Arial"/>
          <w:sz w:val="20"/>
          <w:szCs w:val="20"/>
        </w:rPr>
        <w:t xml:space="preserve"> na současných 47,4 mld. Kč</w:t>
      </w:r>
      <w:r>
        <w:rPr>
          <w:rFonts w:ascii="Arial" w:hAnsi="Arial" w:cs="Arial"/>
          <w:sz w:val="20"/>
          <w:szCs w:val="20"/>
        </w:rPr>
        <w:t xml:space="preserve">. </w:t>
      </w:r>
      <w:r w:rsidR="005D38CE">
        <w:rPr>
          <w:rFonts w:ascii="Arial" w:hAnsi="Arial" w:cs="Arial"/>
          <w:sz w:val="20"/>
          <w:szCs w:val="20"/>
        </w:rPr>
        <w:t xml:space="preserve">Meziročně vzrostly výdaje na </w:t>
      </w:r>
      <w:r w:rsidR="00FE71AA">
        <w:rPr>
          <w:rFonts w:ascii="Arial" w:hAnsi="Arial" w:cs="Arial"/>
          <w:sz w:val="20"/>
          <w:szCs w:val="20"/>
        </w:rPr>
        <w:t>mzdy</w:t>
      </w:r>
      <w:r w:rsidR="005D38CE">
        <w:rPr>
          <w:rFonts w:ascii="Arial" w:hAnsi="Arial" w:cs="Arial"/>
          <w:sz w:val="20"/>
          <w:szCs w:val="20"/>
        </w:rPr>
        <w:t xml:space="preserve"> ve vládním sektoru o 10 %</w:t>
      </w:r>
      <w:r w:rsidR="00A47A50">
        <w:rPr>
          <w:rFonts w:ascii="Arial" w:hAnsi="Arial" w:cs="Arial"/>
          <w:sz w:val="20"/>
          <w:szCs w:val="20"/>
        </w:rPr>
        <w:t xml:space="preserve"> a v sektorech podnikatelském a </w:t>
      </w:r>
      <w:r w:rsidR="005D38CE">
        <w:rPr>
          <w:rFonts w:ascii="Arial" w:hAnsi="Arial" w:cs="Arial"/>
          <w:sz w:val="20"/>
          <w:szCs w:val="20"/>
        </w:rPr>
        <w:t xml:space="preserve">vysokoškolském </w:t>
      </w:r>
      <w:r w:rsidR="00FE71AA">
        <w:rPr>
          <w:rFonts w:ascii="Arial" w:hAnsi="Arial" w:cs="Arial"/>
          <w:sz w:val="20"/>
          <w:szCs w:val="20"/>
        </w:rPr>
        <w:t>došlo ještě k</w:t>
      </w:r>
      <w:r w:rsidR="005D38CE">
        <w:rPr>
          <w:rFonts w:ascii="Arial" w:hAnsi="Arial" w:cs="Arial"/>
          <w:sz w:val="20"/>
          <w:szCs w:val="20"/>
        </w:rPr>
        <w:t xml:space="preserve"> vyšší</w:t>
      </w:r>
      <w:r w:rsidR="00FE71AA">
        <w:rPr>
          <w:rFonts w:ascii="Arial" w:hAnsi="Arial" w:cs="Arial"/>
          <w:sz w:val="20"/>
          <w:szCs w:val="20"/>
        </w:rPr>
        <w:t>mu</w:t>
      </w:r>
      <w:r w:rsidR="005D38CE">
        <w:rPr>
          <w:rFonts w:ascii="Arial" w:hAnsi="Arial" w:cs="Arial"/>
          <w:sz w:val="20"/>
          <w:szCs w:val="20"/>
        </w:rPr>
        <w:t xml:space="preserve"> nárůst</w:t>
      </w:r>
      <w:r w:rsidR="00FE71AA">
        <w:rPr>
          <w:rFonts w:ascii="Arial" w:hAnsi="Arial" w:cs="Arial"/>
          <w:sz w:val="20"/>
          <w:szCs w:val="20"/>
        </w:rPr>
        <w:t>u</w:t>
      </w:r>
      <w:r w:rsidR="005D38CE">
        <w:rPr>
          <w:rFonts w:ascii="Arial" w:hAnsi="Arial" w:cs="Arial"/>
          <w:sz w:val="20"/>
          <w:szCs w:val="20"/>
        </w:rPr>
        <w:t xml:space="preserve">. Naopak </w:t>
      </w:r>
      <w:r w:rsidR="00FE71AA">
        <w:rPr>
          <w:rFonts w:ascii="Arial" w:hAnsi="Arial" w:cs="Arial"/>
          <w:sz w:val="20"/>
          <w:szCs w:val="20"/>
        </w:rPr>
        <w:t xml:space="preserve">poněkud stagnují </w:t>
      </w:r>
      <w:r w:rsidR="005D38CE">
        <w:rPr>
          <w:rFonts w:ascii="Arial" w:hAnsi="Arial" w:cs="Arial"/>
          <w:sz w:val="20"/>
          <w:szCs w:val="20"/>
        </w:rPr>
        <w:t>výdaje na investice</w:t>
      </w:r>
      <w:r w:rsidR="00FE71AA">
        <w:rPr>
          <w:rFonts w:ascii="Arial" w:hAnsi="Arial" w:cs="Arial"/>
          <w:sz w:val="20"/>
          <w:szCs w:val="20"/>
        </w:rPr>
        <w:t>, které</w:t>
      </w:r>
      <w:r w:rsidR="005D38CE">
        <w:rPr>
          <w:rFonts w:ascii="Arial" w:hAnsi="Arial" w:cs="Arial"/>
          <w:sz w:val="20"/>
          <w:szCs w:val="20"/>
        </w:rPr>
        <w:t xml:space="preserve"> druhým rokem po sobě </w:t>
      </w:r>
      <w:r w:rsidR="00FE71AA">
        <w:rPr>
          <w:rFonts w:ascii="Arial" w:hAnsi="Arial" w:cs="Arial"/>
          <w:sz w:val="20"/>
          <w:szCs w:val="20"/>
        </w:rPr>
        <w:t xml:space="preserve">tvořily </w:t>
      </w:r>
      <w:r w:rsidR="005D38CE">
        <w:rPr>
          <w:rFonts w:ascii="Arial" w:hAnsi="Arial" w:cs="Arial"/>
          <w:sz w:val="20"/>
          <w:szCs w:val="20"/>
        </w:rPr>
        <w:t xml:space="preserve">asi 9 % celkových výdajů na </w:t>
      </w:r>
      <w:proofErr w:type="spellStart"/>
      <w:r w:rsidR="005D38CE">
        <w:rPr>
          <w:rFonts w:ascii="Arial" w:hAnsi="Arial" w:cs="Arial"/>
          <w:sz w:val="20"/>
          <w:szCs w:val="20"/>
        </w:rPr>
        <w:t>VaV</w:t>
      </w:r>
      <w:proofErr w:type="spellEnd"/>
      <w:r w:rsidR="005D38CE">
        <w:rPr>
          <w:rFonts w:ascii="Arial" w:hAnsi="Arial" w:cs="Arial"/>
          <w:sz w:val="20"/>
          <w:szCs w:val="20"/>
        </w:rPr>
        <w:t xml:space="preserve">. Meziroční </w:t>
      </w:r>
      <w:r w:rsidR="00FE71AA">
        <w:rPr>
          <w:rFonts w:ascii="Arial" w:hAnsi="Arial" w:cs="Arial"/>
          <w:sz w:val="20"/>
          <w:szCs w:val="20"/>
        </w:rPr>
        <w:t>nárůsty</w:t>
      </w:r>
      <w:r w:rsidR="005D38CE">
        <w:rPr>
          <w:rFonts w:ascii="Arial" w:hAnsi="Arial" w:cs="Arial"/>
          <w:sz w:val="20"/>
          <w:szCs w:val="20"/>
        </w:rPr>
        <w:t xml:space="preserve"> podnikových a veřejných domácích zdrojů </w:t>
      </w:r>
      <w:r w:rsidR="00A375E7">
        <w:rPr>
          <w:rFonts w:ascii="Arial" w:hAnsi="Arial" w:cs="Arial"/>
          <w:sz w:val="20"/>
          <w:szCs w:val="20"/>
        </w:rPr>
        <w:t xml:space="preserve">tudíž </w:t>
      </w:r>
      <w:r w:rsidR="005D38CE">
        <w:rPr>
          <w:rFonts w:ascii="Arial" w:hAnsi="Arial" w:cs="Arial"/>
          <w:sz w:val="20"/>
          <w:szCs w:val="20"/>
        </w:rPr>
        <w:t>neměl</w:t>
      </w:r>
      <w:r w:rsidR="00FE71AA">
        <w:rPr>
          <w:rFonts w:ascii="Arial" w:hAnsi="Arial" w:cs="Arial"/>
          <w:sz w:val="20"/>
          <w:szCs w:val="20"/>
        </w:rPr>
        <w:t>y</w:t>
      </w:r>
      <w:r w:rsidR="005D38CE">
        <w:rPr>
          <w:rFonts w:ascii="Arial" w:hAnsi="Arial" w:cs="Arial"/>
          <w:sz w:val="20"/>
          <w:szCs w:val="20"/>
        </w:rPr>
        <w:t xml:space="preserve"> za následek navyšování investic. V letech 2012</w:t>
      </w:r>
      <w:r w:rsidR="00DC41F1">
        <w:rPr>
          <w:rFonts w:ascii="Arial" w:hAnsi="Arial" w:cs="Arial"/>
          <w:sz w:val="20"/>
          <w:szCs w:val="20"/>
        </w:rPr>
        <w:t>–</w:t>
      </w:r>
      <w:r w:rsidR="005D38CE">
        <w:rPr>
          <w:rFonts w:ascii="Arial" w:hAnsi="Arial" w:cs="Arial"/>
          <w:sz w:val="20"/>
          <w:szCs w:val="20"/>
        </w:rPr>
        <w:t xml:space="preserve">2015 tvořily investice okolo </w:t>
      </w:r>
      <w:r w:rsidR="005D38CE">
        <w:rPr>
          <w:rFonts w:ascii="Arial" w:hAnsi="Arial" w:cs="Arial"/>
          <w:sz w:val="20"/>
          <w:szCs w:val="20"/>
        </w:rPr>
        <w:lastRenderedPageBreak/>
        <w:t>20</w:t>
      </w:r>
      <w:r w:rsidR="00FE71AA">
        <w:rPr>
          <w:rFonts w:ascii="Arial" w:hAnsi="Arial" w:cs="Arial"/>
          <w:sz w:val="20"/>
          <w:szCs w:val="20"/>
        </w:rPr>
        <w:t xml:space="preserve"> </w:t>
      </w:r>
      <w:r w:rsidR="005D38CE">
        <w:rPr>
          <w:rFonts w:ascii="Arial" w:hAnsi="Arial" w:cs="Arial"/>
          <w:sz w:val="20"/>
          <w:szCs w:val="20"/>
        </w:rPr>
        <w:t xml:space="preserve">% výdajů na </w:t>
      </w:r>
      <w:proofErr w:type="spellStart"/>
      <w:r w:rsidR="005D38CE">
        <w:rPr>
          <w:rFonts w:ascii="Arial" w:hAnsi="Arial" w:cs="Arial"/>
          <w:sz w:val="20"/>
          <w:szCs w:val="20"/>
        </w:rPr>
        <w:t>VaV</w:t>
      </w:r>
      <w:proofErr w:type="spellEnd"/>
      <w:r w:rsidR="005D38CE">
        <w:rPr>
          <w:rFonts w:ascii="Arial" w:hAnsi="Arial" w:cs="Arial"/>
          <w:sz w:val="20"/>
          <w:szCs w:val="20"/>
        </w:rPr>
        <w:t xml:space="preserve">, </w:t>
      </w:r>
      <w:r w:rsidR="00FE71AA">
        <w:rPr>
          <w:rFonts w:ascii="Arial" w:hAnsi="Arial" w:cs="Arial"/>
          <w:sz w:val="20"/>
          <w:szCs w:val="20"/>
        </w:rPr>
        <w:t>většina investic</w:t>
      </w:r>
      <w:r w:rsidR="005D38CE">
        <w:rPr>
          <w:rFonts w:ascii="Arial" w:hAnsi="Arial" w:cs="Arial"/>
          <w:sz w:val="20"/>
          <w:szCs w:val="20"/>
        </w:rPr>
        <w:t xml:space="preserve"> směř</w:t>
      </w:r>
      <w:r w:rsidR="00FE71AA">
        <w:rPr>
          <w:rFonts w:ascii="Arial" w:hAnsi="Arial" w:cs="Arial"/>
          <w:sz w:val="20"/>
          <w:szCs w:val="20"/>
        </w:rPr>
        <w:t>ovala</w:t>
      </w:r>
      <w:r w:rsidR="005D38CE">
        <w:rPr>
          <w:rFonts w:ascii="Arial" w:hAnsi="Arial" w:cs="Arial"/>
          <w:sz w:val="20"/>
          <w:szCs w:val="20"/>
        </w:rPr>
        <w:t xml:space="preserve"> na výstavbu nových výzkumných center</w:t>
      </w:r>
      <w:r w:rsidR="00FE71AA">
        <w:rPr>
          <w:rFonts w:ascii="Arial" w:hAnsi="Arial" w:cs="Arial"/>
          <w:sz w:val="20"/>
          <w:szCs w:val="20"/>
        </w:rPr>
        <w:t xml:space="preserve"> v rámci projektů financovaných ze zdrojů EU</w:t>
      </w:r>
      <w:r w:rsidR="005D38CE">
        <w:rPr>
          <w:rFonts w:ascii="Arial" w:hAnsi="Arial" w:cs="Arial"/>
          <w:sz w:val="20"/>
          <w:szCs w:val="20"/>
        </w:rPr>
        <w:t xml:space="preserve">. Se sníženým čerpáním EU prostředků tak citelně </w:t>
      </w:r>
      <w:r w:rsidR="004C08E5">
        <w:rPr>
          <w:rFonts w:ascii="Arial" w:hAnsi="Arial" w:cs="Arial"/>
          <w:sz w:val="20"/>
          <w:szCs w:val="20"/>
        </w:rPr>
        <w:t>klesly</w:t>
      </w:r>
      <w:r w:rsidR="005D38CE">
        <w:rPr>
          <w:rFonts w:ascii="Arial" w:hAnsi="Arial" w:cs="Arial"/>
          <w:sz w:val="20"/>
          <w:szCs w:val="20"/>
        </w:rPr>
        <w:t xml:space="preserve"> investice do </w:t>
      </w:r>
      <w:proofErr w:type="spellStart"/>
      <w:r w:rsidR="005D38CE">
        <w:rPr>
          <w:rFonts w:ascii="Arial" w:hAnsi="Arial" w:cs="Arial"/>
          <w:sz w:val="20"/>
          <w:szCs w:val="20"/>
        </w:rPr>
        <w:t>VaV</w:t>
      </w:r>
      <w:proofErr w:type="spellEnd"/>
      <w:r w:rsidR="005D38CE">
        <w:rPr>
          <w:rFonts w:ascii="Arial" w:hAnsi="Arial" w:cs="Arial"/>
          <w:sz w:val="20"/>
          <w:szCs w:val="20"/>
        </w:rPr>
        <w:t>, a to zvláště ve vládním</w:t>
      </w:r>
      <w:r w:rsidR="00B83F14">
        <w:rPr>
          <w:rFonts w:ascii="Arial" w:hAnsi="Arial" w:cs="Arial"/>
          <w:sz w:val="20"/>
          <w:szCs w:val="20"/>
        </w:rPr>
        <w:t xml:space="preserve"> a vysokoškolském sektoru.</w:t>
      </w:r>
    </w:p>
    <w:p w:rsidR="00C726A8" w:rsidRDefault="00C726A8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regionálního srovnání j</w:t>
      </w:r>
      <w:r w:rsidR="00DC41F1">
        <w:rPr>
          <w:rFonts w:ascii="Arial" w:hAnsi="Arial" w:cs="Arial"/>
          <w:sz w:val="20"/>
          <w:szCs w:val="20"/>
        </w:rPr>
        <w:t>ednoznačně</w:t>
      </w:r>
      <w:r>
        <w:rPr>
          <w:rFonts w:ascii="Arial" w:hAnsi="Arial" w:cs="Arial"/>
          <w:sz w:val="20"/>
          <w:szCs w:val="20"/>
        </w:rPr>
        <w:t xml:space="preserve"> vede Praha následovaná Jihomoravským a Středočeským kraje</w:t>
      </w:r>
      <w:r w:rsidR="00A375E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. Dohromady se v těchto </w:t>
      </w:r>
      <w:r w:rsidR="004C08E5">
        <w:rPr>
          <w:rFonts w:ascii="Arial" w:hAnsi="Arial" w:cs="Arial"/>
          <w:sz w:val="20"/>
          <w:szCs w:val="20"/>
        </w:rPr>
        <w:t xml:space="preserve">třech </w:t>
      </w:r>
      <w:r>
        <w:rPr>
          <w:rFonts w:ascii="Arial" w:hAnsi="Arial" w:cs="Arial"/>
          <w:sz w:val="20"/>
          <w:szCs w:val="20"/>
        </w:rPr>
        <w:t xml:space="preserve">krajích vynaložily 2/3 celkových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, na samotnou Prahu připadá více než 1/3. Na vysokých údajích v Praze se výrazně podílí velké množství subjektů vládního (především ústavy AV ČR) a vysokoškolského sektoru. V Praze se </w:t>
      </w:r>
      <w:r w:rsidR="003A2982">
        <w:rPr>
          <w:rFonts w:ascii="Arial" w:hAnsi="Arial" w:cs="Arial"/>
          <w:sz w:val="20"/>
          <w:szCs w:val="20"/>
        </w:rPr>
        <w:t xml:space="preserve">zároveň </w:t>
      </w:r>
      <w:r>
        <w:rPr>
          <w:rFonts w:ascii="Arial" w:hAnsi="Arial" w:cs="Arial"/>
          <w:sz w:val="20"/>
          <w:szCs w:val="20"/>
        </w:rPr>
        <w:t>nachází i nejvíce podniků provádějí</w:t>
      </w:r>
      <w:r w:rsidR="003A2982">
        <w:rPr>
          <w:rFonts w:ascii="Arial" w:hAnsi="Arial" w:cs="Arial"/>
          <w:sz w:val="20"/>
          <w:szCs w:val="20"/>
        </w:rPr>
        <w:t>cích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="004C08E5">
        <w:rPr>
          <w:rFonts w:ascii="Arial" w:hAnsi="Arial" w:cs="Arial"/>
          <w:sz w:val="20"/>
          <w:szCs w:val="20"/>
        </w:rPr>
        <w:t xml:space="preserve"> na území Česka</w:t>
      </w:r>
      <w:r>
        <w:rPr>
          <w:rFonts w:ascii="Arial" w:hAnsi="Arial" w:cs="Arial"/>
          <w:sz w:val="20"/>
          <w:szCs w:val="20"/>
        </w:rPr>
        <w:t xml:space="preserve">. </w:t>
      </w:r>
      <w:r w:rsidR="003A2982">
        <w:rPr>
          <w:rFonts w:ascii="Arial" w:hAnsi="Arial" w:cs="Arial"/>
          <w:sz w:val="20"/>
          <w:szCs w:val="20"/>
        </w:rPr>
        <w:t xml:space="preserve">Pro Jihomoravský kraj je pochopitelně hlavním </w:t>
      </w:r>
      <w:r w:rsidR="004C08E5">
        <w:rPr>
          <w:rFonts w:ascii="Arial" w:hAnsi="Arial" w:cs="Arial"/>
          <w:sz w:val="20"/>
          <w:szCs w:val="20"/>
        </w:rPr>
        <w:t>tahounem</w:t>
      </w:r>
      <w:r w:rsidR="003A2982">
        <w:rPr>
          <w:rFonts w:ascii="Arial" w:hAnsi="Arial" w:cs="Arial"/>
          <w:sz w:val="20"/>
          <w:szCs w:val="20"/>
        </w:rPr>
        <w:t xml:space="preserve"> Brno, kde se nalézá druhý největší počet vysokých škol. V Brně </w:t>
      </w:r>
      <w:r w:rsidR="00A375E7">
        <w:rPr>
          <w:rFonts w:ascii="Arial" w:hAnsi="Arial" w:cs="Arial"/>
          <w:sz w:val="20"/>
          <w:szCs w:val="20"/>
        </w:rPr>
        <w:t>dále</w:t>
      </w:r>
      <w:r w:rsidR="003A2982">
        <w:rPr>
          <w:rFonts w:ascii="Arial" w:hAnsi="Arial" w:cs="Arial"/>
          <w:sz w:val="20"/>
          <w:szCs w:val="20"/>
        </w:rPr>
        <w:t xml:space="preserve"> nalezneme množství vývojových center zahraničních společností, a to například z</w:t>
      </w:r>
      <w:r w:rsidR="004C08E5">
        <w:rPr>
          <w:rFonts w:ascii="Arial" w:hAnsi="Arial" w:cs="Arial"/>
          <w:sz w:val="20"/>
          <w:szCs w:val="20"/>
        </w:rPr>
        <w:t> </w:t>
      </w:r>
      <w:r w:rsidR="003A2982">
        <w:rPr>
          <w:rFonts w:ascii="Arial" w:hAnsi="Arial" w:cs="Arial"/>
          <w:sz w:val="20"/>
          <w:szCs w:val="20"/>
        </w:rPr>
        <w:t>oblasti</w:t>
      </w:r>
      <w:r w:rsidR="004C08E5">
        <w:rPr>
          <w:rFonts w:ascii="Arial" w:hAnsi="Arial" w:cs="Arial"/>
          <w:sz w:val="20"/>
          <w:szCs w:val="20"/>
        </w:rPr>
        <w:t xml:space="preserve"> vývoje softwaru</w:t>
      </w:r>
      <w:r w:rsidR="003A2982">
        <w:rPr>
          <w:rFonts w:ascii="Arial" w:hAnsi="Arial" w:cs="Arial"/>
          <w:sz w:val="20"/>
          <w:szCs w:val="20"/>
        </w:rPr>
        <w:t>. Pro Středočeský kraj je typické silné zastoupení podnikového výzkumu. V</w:t>
      </w:r>
      <w:r w:rsidR="004C08E5">
        <w:rPr>
          <w:rFonts w:ascii="Arial" w:hAnsi="Arial" w:cs="Arial"/>
          <w:sz w:val="20"/>
          <w:szCs w:val="20"/>
        </w:rPr>
        <w:t>ýznamno</w:t>
      </w:r>
      <w:r w:rsidR="003A2982">
        <w:rPr>
          <w:rFonts w:ascii="Arial" w:hAnsi="Arial" w:cs="Arial"/>
          <w:sz w:val="20"/>
          <w:szCs w:val="20"/>
        </w:rPr>
        <w:t xml:space="preserve">u roli hraje automobilový průmysl. </w:t>
      </w:r>
      <w:r w:rsidR="004C08E5">
        <w:rPr>
          <w:rFonts w:ascii="Arial" w:hAnsi="Arial" w:cs="Arial"/>
          <w:sz w:val="20"/>
          <w:szCs w:val="20"/>
        </w:rPr>
        <w:t>V každém z výše zmíněných krajů se v</w:t>
      </w:r>
      <w:r w:rsidR="00A97579">
        <w:rPr>
          <w:rFonts w:ascii="Arial" w:hAnsi="Arial" w:cs="Arial"/>
          <w:sz w:val="20"/>
          <w:szCs w:val="20"/>
        </w:rPr>
        <w:t> </w:t>
      </w:r>
      <w:r w:rsidR="004C08E5">
        <w:rPr>
          <w:rFonts w:ascii="Arial" w:hAnsi="Arial" w:cs="Arial"/>
          <w:sz w:val="20"/>
          <w:szCs w:val="20"/>
        </w:rPr>
        <w:t xml:space="preserve">roce 2017 vynaložilo na </w:t>
      </w:r>
      <w:proofErr w:type="spellStart"/>
      <w:r w:rsidR="004C08E5">
        <w:rPr>
          <w:rFonts w:ascii="Arial" w:hAnsi="Arial" w:cs="Arial"/>
          <w:sz w:val="20"/>
          <w:szCs w:val="20"/>
        </w:rPr>
        <w:t>VaV</w:t>
      </w:r>
      <w:proofErr w:type="spellEnd"/>
      <w:r w:rsidR="004C08E5">
        <w:rPr>
          <w:rFonts w:ascii="Arial" w:hAnsi="Arial" w:cs="Arial"/>
          <w:sz w:val="20"/>
          <w:szCs w:val="20"/>
        </w:rPr>
        <w:t xml:space="preserve"> </w:t>
      </w:r>
      <w:r w:rsidR="00C5042B">
        <w:rPr>
          <w:rFonts w:ascii="Arial" w:hAnsi="Arial" w:cs="Arial"/>
          <w:sz w:val="20"/>
          <w:szCs w:val="20"/>
        </w:rPr>
        <w:t xml:space="preserve">více než 10 mld. Kč, v Praze dokonce přes 30 mld. Kč. </w:t>
      </w:r>
      <w:r w:rsidR="00A97579">
        <w:rPr>
          <w:rFonts w:ascii="Arial" w:hAnsi="Arial" w:cs="Arial"/>
          <w:sz w:val="20"/>
          <w:szCs w:val="20"/>
        </w:rPr>
        <w:t>V žádném z dalších 11 </w:t>
      </w:r>
      <w:r w:rsidR="003A2982">
        <w:rPr>
          <w:rFonts w:ascii="Arial" w:hAnsi="Arial" w:cs="Arial"/>
          <w:sz w:val="20"/>
          <w:szCs w:val="20"/>
        </w:rPr>
        <w:t xml:space="preserve">krajů </w:t>
      </w:r>
      <w:r w:rsidR="00C5042B">
        <w:rPr>
          <w:rFonts w:ascii="Arial" w:hAnsi="Arial" w:cs="Arial"/>
          <w:sz w:val="20"/>
          <w:szCs w:val="20"/>
        </w:rPr>
        <w:t xml:space="preserve">nepřesáhly v roce 2017 výdaje na </w:t>
      </w:r>
      <w:proofErr w:type="spellStart"/>
      <w:r w:rsidR="00C5042B">
        <w:rPr>
          <w:rFonts w:ascii="Arial" w:hAnsi="Arial" w:cs="Arial"/>
          <w:sz w:val="20"/>
          <w:szCs w:val="20"/>
        </w:rPr>
        <w:t>VaV</w:t>
      </w:r>
      <w:proofErr w:type="spellEnd"/>
      <w:r w:rsidR="00C5042B">
        <w:rPr>
          <w:rFonts w:ascii="Arial" w:hAnsi="Arial" w:cs="Arial"/>
          <w:sz w:val="20"/>
          <w:szCs w:val="20"/>
        </w:rPr>
        <w:t xml:space="preserve"> </w:t>
      </w:r>
      <w:r w:rsidR="003A2982">
        <w:rPr>
          <w:rFonts w:ascii="Arial" w:hAnsi="Arial" w:cs="Arial"/>
          <w:sz w:val="20"/>
          <w:szCs w:val="20"/>
        </w:rPr>
        <w:t>5 mld. Kč.</w:t>
      </w:r>
    </w:p>
    <w:p w:rsidR="002102BE" w:rsidRDefault="002102BE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Výzkum a vývoj v roce 2017 prováděl</w:t>
      </w:r>
      <w:r w:rsidR="000E430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v Česku 2 880 ekonom</w:t>
      </w:r>
      <w:r w:rsidR="0055619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cký</w:t>
      </w:r>
      <w:r w:rsidR="0055619C">
        <w:rPr>
          <w:rFonts w:ascii="Arial" w:hAnsi="Arial" w:cs="Arial"/>
          <w:sz w:val="20"/>
          <w:szCs w:val="20"/>
        </w:rPr>
        <w:t>ch subjekt</w:t>
      </w:r>
      <w:r w:rsidR="00DC41F1">
        <w:rPr>
          <w:rFonts w:ascii="Arial" w:hAnsi="Arial" w:cs="Arial"/>
          <w:sz w:val="20"/>
          <w:szCs w:val="20"/>
        </w:rPr>
        <w:t>ů</w:t>
      </w:r>
      <w:r w:rsidR="0055619C">
        <w:rPr>
          <w:rFonts w:ascii="Arial" w:hAnsi="Arial" w:cs="Arial"/>
          <w:sz w:val="20"/>
          <w:szCs w:val="20"/>
        </w:rPr>
        <w:t xml:space="preserve"> na celkem 3 114 pracovištích. Pro mnoho subjektů platí, že se </w:t>
      </w:r>
      <w:r w:rsidR="00DC41F1">
        <w:rPr>
          <w:rFonts w:ascii="Arial" w:hAnsi="Arial" w:cs="Arial"/>
          <w:sz w:val="20"/>
          <w:szCs w:val="20"/>
        </w:rPr>
        <w:t>na</w:t>
      </w:r>
      <w:r w:rsidR="0055619C">
        <w:rPr>
          <w:rFonts w:ascii="Arial" w:hAnsi="Arial" w:cs="Arial"/>
          <w:sz w:val="20"/>
          <w:szCs w:val="20"/>
        </w:rPr>
        <w:t xml:space="preserve"> nich výzkumem zabývá jen několik osob a </w:t>
      </w:r>
      <w:proofErr w:type="spellStart"/>
      <w:r w:rsidR="000E4309">
        <w:rPr>
          <w:rFonts w:ascii="Arial" w:hAnsi="Arial" w:cs="Arial"/>
          <w:sz w:val="20"/>
          <w:szCs w:val="20"/>
        </w:rPr>
        <w:t>VaV</w:t>
      </w:r>
      <w:proofErr w:type="spellEnd"/>
      <w:r w:rsidR="000E4309">
        <w:rPr>
          <w:rFonts w:ascii="Arial" w:hAnsi="Arial" w:cs="Arial"/>
          <w:sz w:val="20"/>
          <w:szCs w:val="20"/>
        </w:rPr>
        <w:t xml:space="preserve"> je tak pouze</w:t>
      </w:r>
      <w:r w:rsidR="0055619C">
        <w:rPr>
          <w:rFonts w:ascii="Arial" w:hAnsi="Arial" w:cs="Arial"/>
          <w:sz w:val="20"/>
          <w:szCs w:val="20"/>
        </w:rPr>
        <w:t xml:space="preserve"> vedlejší ekonomickou činnost</w:t>
      </w:r>
      <w:r w:rsidR="000E4309">
        <w:rPr>
          <w:rFonts w:ascii="Arial" w:hAnsi="Arial" w:cs="Arial"/>
          <w:sz w:val="20"/>
          <w:szCs w:val="20"/>
        </w:rPr>
        <w:t>í subjektu</w:t>
      </w:r>
      <w:r w:rsidR="0055619C">
        <w:rPr>
          <w:rFonts w:ascii="Arial" w:hAnsi="Arial" w:cs="Arial"/>
          <w:sz w:val="20"/>
          <w:szCs w:val="20"/>
        </w:rPr>
        <w:t xml:space="preserve">. </w:t>
      </w:r>
      <w:r w:rsidR="000E4309">
        <w:rPr>
          <w:rFonts w:ascii="Arial" w:hAnsi="Arial" w:cs="Arial"/>
          <w:sz w:val="20"/>
          <w:szCs w:val="20"/>
        </w:rPr>
        <w:t xml:space="preserve">Na polovině ze všech pracovišť </w:t>
      </w:r>
      <w:proofErr w:type="spellStart"/>
      <w:r w:rsidR="000E4309">
        <w:rPr>
          <w:rFonts w:ascii="Arial" w:hAnsi="Arial" w:cs="Arial"/>
          <w:sz w:val="20"/>
          <w:szCs w:val="20"/>
        </w:rPr>
        <w:t>VaV</w:t>
      </w:r>
      <w:proofErr w:type="spellEnd"/>
      <w:r w:rsidR="0055619C">
        <w:rPr>
          <w:rFonts w:ascii="Arial" w:hAnsi="Arial" w:cs="Arial"/>
          <w:sz w:val="20"/>
          <w:szCs w:val="20"/>
        </w:rPr>
        <w:t xml:space="preserve"> </w:t>
      </w:r>
      <w:r w:rsidR="00A97579">
        <w:rPr>
          <w:rFonts w:ascii="Arial" w:hAnsi="Arial" w:cs="Arial"/>
          <w:sz w:val="20"/>
          <w:szCs w:val="20"/>
        </w:rPr>
        <w:t>pracovalo na výzkumu méně než 5 </w:t>
      </w:r>
      <w:r w:rsidR="0055619C">
        <w:rPr>
          <w:rFonts w:ascii="Arial" w:hAnsi="Arial" w:cs="Arial"/>
          <w:sz w:val="20"/>
          <w:szCs w:val="20"/>
        </w:rPr>
        <w:t>osob (FTE). Více než 50 osob (FTE) pracov</w:t>
      </w:r>
      <w:r w:rsidR="00D50C6E">
        <w:rPr>
          <w:rFonts w:ascii="Arial" w:hAnsi="Arial" w:cs="Arial"/>
          <w:sz w:val="20"/>
          <w:szCs w:val="20"/>
        </w:rPr>
        <w:t>alo na každém desátém pracovišti</w:t>
      </w:r>
      <w:r w:rsidR="005561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19C">
        <w:rPr>
          <w:rFonts w:ascii="Arial" w:hAnsi="Arial" w:cs="Arial"/>
          <w:sz w:val="20"/>
          <w:szCs w:val="20"/>
        </w:rPr>
        <w:t>VaV</w:t>
      </w:r>
      <w:proofErr w:type="spellEnd"/>
      <w:r w:rsidR="0055619C">
        <w:rPr>
          <w:rFonts w:ascii="Arial" w:hAnsi="Arial" w:cs="Arial"/>
          <w:sz w:val="20"/>
          <w:szCs w:val="20"/>
        </w:rPr>
        <w:t xml:space="preserve"> v Česku. To samé lze říci i o výši výdajů na </w:t>
      </w:r>
      <w:proofErr w:type="spellStart"/>
      <w:r w:rsidR="0055619C">
        <w:rPr>
          <w:rFonts w:ascii="Arial" w:hAnsi="Arial" w:cs="Arial"/>
          <w:sz w:val="20"/>
          <w:szCs w:val="20"/>
        </w:rPr>
        <w:t>VaV</w:t>
      </w:r>
      <w:proofErr w:type="spellEnd"/>
      <w:r w:rsidR="0055619C">
        <w:rPr>
          <w:rFonts w:ascii="Arial" w:hAnsi="Arial" w:cs="Arial"/>
          <w:sz w:val="20"/>
          <w:szCs w:val="20"/>
        </w:rPr>
        <w:t xml:space="preserve"> jednotlivých pracovišť, kdy převaž</w:t>
      </w:r>
      <w:r w:rsidR="000E4309">
        <w:rPr>
          <w:rFonts w:ascii="Arial" w:hAnsi="Arial" w:cs="Arial"/>
          <w:sz w:val="20"/>
          <w:szCs w:val="20"/>
        </w:rPr>
        <w:t>ují pracoviště s nízkými výdaji.</w:t>
      </w:r>
      <w:r w:rsidR="0055619C">
        <w:rPr>
          <w:rFonts w:ascii="Arial" w:hAnsi="Arial" w:cs="Arial"/>
          <w:sz w:val="20"/>
          <w:szCs w:val="20"/>
        </w:rPr>
        <w:t xml:space="preserve"> </w:t>
      </w:r>
      <w:r w:rsidR="00B82539">
        <w:rPr>
          <w:rFonts w:ascii="Arial" w:hAnsi="Arial" w:cs="Arial"/>
          <w:sz w:val="20"/>
          <w:szCs w:val="20"/>
        </w:rPr>
        <w:t xml:space="preserve">Celkem 70 % pracovišť vynaložilo na </w:t>
      </w:r>
      <w:proofErr w:type="spellStart"/>
      <w:r w:rsidR="00B82539">
        <w:rPr>
          <w:rFonts w:ascii="Arial" w:hAnsi="Arial" w:cs="Arial"/>
          <w:sz w:val="20"/>
          <w:szCs w:val="20"/>
        </w:rPr>
        <w:t>VaV</w:t>
      </w:r>
      <w:proofErr w:type="spellEnd"/>
      <w:r w:rsidR="00B82539">
        <w:rPr>
          <w:rFonts w:ascii="Arial" w:hAnsi="Arial" w:cs="Arial"/>
          <w:sz w:val="20"/>
          <w:szCs w:val="20"/>
        </w:rPr>
        <w:t xml:space="preserve"> méně než 10 mil. Kč. </w:t>
      </w:r>
      <w:r w:rsidR="00D50C6E">
        <w:rPr>
          <w:rFonts w:ascii="Arial" w:hAnsi="Arial" w:cs="Arial"/>
          <w:sz w:val="20"/>
          <w:szCs w:val="20"/>
        </w:rPr>
        <w:t xml:space="preserve">Naopak více než 100 mil. Kč se v roce 2017 vynaložilo na </w:t>
      </w:r>
      <w:proofErr w:type="spellStart"/>
      <w:r w:rsidR="00D50C6E">
        <w:rPr>
          <w:rFonts w:ascii="Arial" w:hAnsi="Arial" w:cs="Arial"/>
          <w:sz w:val="20"/>
          <w:szCs w:val="20"/>
        </w:rPr>
        <w:t>VaV</w:t>
      </w:r>
      <w:proofErr w:type="spellEnd"/>
      <w:r w:rsidR="00D50C6E">
        <w:rPr>
          <w:rFonts w:ascii="Arial" w:hAnsi="Arial" w:cs="Arial"/>
          <w:sz w:val="20"/>
          <w:szCs w:val="20"/>
        </w:rPr>
        <w:t xml:space="preserve"> na 188 pracovištích. Jednalo se tedy o 6 % pracovišť, jejichž výdaje na </w:t>
      </w:r>
      <w:proofErr w:type="spellStart"/>
      <w:r w:rsidR="00D50C6E">
        <w:rPr>
          <w:rFonts w:ascii="Arial" w:hAnsi="Arial" w:cs="Arial"/>
          <w:sz w:val="20"/>
          <w:szCs w:val="20"/>
        </w:rPr>
        <w:t>VaV</w:t>
      </w:r>
      <w:proofErr w:type="spellEnd"/>
      <w:r w:rsidR="00D50C6E">
        <w:rPr>
          <w:rFonts w:ascii="Arial" w:hAnsi="Arial" w:cs="Arial"/>
          <w:sz w:val="20"/>
          <w:szCs w:val="20"/>
        </w:rPr>
        <w:t xml:space="preserve"> </w:t>
      </w:r>
      <w:r w:rsidR="000642EA">
        <w:rPr>
          <w:rFonts w:ascii="Arial" w:hAnsi="Arial" w:cs="Arial"/>
          <w:sz w:val="20"/>
          <w:szCs w:val="20"/>
        </w:rPr>
        <w:t>ale</w:t>
      </w:r>
      <w:r w:rsidR="00A97579">
        <w:rPr>
          <w:rFonts w:ascii="Arial" w:hAnsi="Arial" w:cs="Arial"/>
          <w:sz w:val="20"/>
          <w:szCs w:val="20"/>
        </w:rPr>
        <w:t xml:space="preserve"> tvořily téměř 2/3 </w:t>
      </w:r>
      <w:r w:rsidR="00B82539">
        <w:rPr>
          <w:rFonts w:ascii="Arial" w:hAnsi="Arial" w:cs="Arial"/>
          <w:sz w:val="20"/>
          <w:szCs w:val="20"/>
        </w:rPr>
        <w:t>celkového objemu prostředků vynaložených</w:t>
      </w:r>
      <w:r w:rsidR="00482BB3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482BB3">
        <w:rPr>
          <w:rFonts w:ascii="Arial" w:hAnsi="Arial" w:cs="Arial"/>
          <w:sz w:val="20"/>
          <w:szCs w:val="20"/>
        </w:rPr>
        <w:t>VaV</w:t>
      </w:r>
      <w:proofErr w:type="spellEnd"/>
      <w:r w:rsidR="00482BB3">
        <w:rPr>
          <w:rFonts w:ascii="Arial" w:hAnsi="Arial" w:cs="Arial"/>
          <w:sz w:val="20"/>
          <w:szCs w:val="20"/>
        </w:rPr>
        <w:t xml:space="preserve"> na území ČR. </w:t>
      </w:r>
    </w:p>
    <w:p w:rsidR="003D37EB" w:rsidRDefault="000C3548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0E6869" wp14:editId="38C87609">
            <wp:simplePos x="0" y="0"/>
            <wp:positionH relativeFrom="column">
              <wp:posOffset>3947160</wp:posOffset>
            </wp:positionH>
            <wp:positionV relativeFrom="paragraph">
              <wp:posOffset>476250</wp:posOffset>
            </wp:positionV>
            <wp:extent cx="1771650" cy="1685925"/>
            <wp:effectExtent l="0" t="0" r="19050" b="9525"/>
            <wp:wrapNone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B995153" wp14:editId="76171D6C">
            <wp:extent cx="6124575" cy="4829175"/>
            <wp:effectExtent l="0" t="0" r="9525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D37EB">
        <w:rPr>
          <w:rFonts w:ascii="Arial" w:hAnsi="Arial" w:cs="Arial"/>
          <w:sz w:val="20"/>
          <w:szCs w:val="20"/>
        </w:rPr>
        <w:t xml:space="preserve">Podobně jako v případě výdajů, byl rok 2017 rekordní i v počtu pracovníků výzkumu a vývoje. </w:t>
      </w:r>
      <w:r w:rsidR="00CA5DD3">
        <w:rPr>
          <w:rFonts w:ascii="Arial" w:hAnsi="Arial" w:cs="Arial"/>
          <w:sz w:val="20"/>
          <w:szCs w:val="20"/>
        </w:rPr>
        <w:t xml:space="preserve">Ve </w:t>
      </w:r>
      <w:proofErr w:type="spellStart"/>
      <w:r w:rsidR="003D37EB">
        <w:rPr>
          <w:rFonts w:ascii="Arial" w:hAnsi="Arial" w:cs="Arial"/>
          <w:sz w:val="20"/>
          <w:szCs w:val="20"/>
        </w:rPr>
        <w:t>VaV</w:t>
      </w:r>
      <w:proofErr w:type="spellEnd"/>
      <w:r w:rsidR="00CA5DD3">
        <w:rPr>
          <w:rFonts w:ascii="Arial" w:hAnsi="Arial" w:cs="Arial"/>
          <w:sz w:val="20"/>
          <w:szCs w:val="20"/>
        </w:rPr>
        <w:t xml:space="preserve"> bylo v roce 2017 </w:t>
      </w:r>
      <w:r w:rsidR="003D37EB">
        <w:rPr>
          <w:rFonts w:ascii="Arial" w:hAnsi="Arial" w:cs="Arial"/>
          <w:sz w:val="20"/>
          <w:szCs w:val="20"/>
        </w:rPr>
        <w:t xml:space="preserve">v ČR </w:t>
      </w:r>
      <w:r w:rsidR="00CA5DD3">
        <w:rPr>
          <w:rFonts w:ascii="Arial" w:hAnsi="Arial" w:cs="Arial"/>
          <w:sz w:val="20"/>
          <w:szCs w:val="20"/>
        </w:rPr>
        <w:t xml:space="preserve">zaměstnáno 107 tis. osob (HC). V ukazateli osob přepočtených na plný roční úvazek ve </w:t>
      </w:r>
      <w:proofErr w:type="spellStart"/>
      <w:r w:rsidR="00CA5DD3">
        <w:rPr>
          <w:rFonts w:ascii="Arial" w:hAnsi="Arial" w:cs="Arial"/>
          <w:sz w:val="20"/>
          <w:szCs w:val="20"/>
        </w:rPr>
        <w:lastRenderedPageBreak/>
        <w:t>VaV</w:t>
      </w:r>
      <w:proofErr w:type="spellEnd"/>
      <w:r w:rsidR="003D37EB">
        <w:rPr>
          <w:rFonts w:ascii="Arial" w:hAnsi="Arial" w:cs="Arial"/>
          <w:sz w:val="20"/>
          <w:szCs w:val="20"/>
        </w:rPr>
        <w:t xml:space="preserve"> (FTE) se jednalo o 69,7 tis. osob</w:t>
      </w:r>
      <w:r w:rsidR="00CA5DD3">
        <w:rPr>
          <w:rFonts w:ascii="Arial" w:hAnsi="Arial" w:cs="Arial"/>
          <w:sz w:val="20"/>
          <w:szCs w:val="20"/>
        </w:rPr>
        <w:t xml:space="preserve">. Počet pracovníků (FTE) meziročně vzrostl o 6 %. Nárůsty v počtech zaměstnanců </w:t>
      </w:r>
      <w:proofErr w:type="spellStart"/>
      <w:r w:rsidR="00CA5DD3">
        <w:rPr>
          <w:rFonts w:ascii="Arial" w:hAnsi="Arial" w:cs="Arial"/>
          <w:sz w:val="20"/>
          <w:szCs w:val="20"/>
        </w:rPr>
        <w:t>VaV</w:t>
      </w:r>
      <w:proofErr w:type="spellEnd"/>
      <w:r w:rsidR="00CA5DD3">
        <w:rPr>
          <w:rFonts w:ascii="Arial" w:hAnsi="Arial" w:cs="Arial"/>
          <w:sz w:val="20"/>
          <w:szCs w:val="20"/>
        </w:rPr>
        <w:t xml:space="preserve"> jsme zaznamenali ve všech sektorech provádění </w:t>
      </w:r>
      <w:proofErr w:type="spellStart"/>
      <w:r w:rsidR="00CA5DD3">
        <w:rPr>
          <w:rFonts w:ascii="Arial" w:hAnsi="Arial" w:cs="Arial"/>
          <w:sz w:val="20"/>
          <w:szCs w:val="20"/>
        </w:rPr>
        <w:t>VaV</w:t>
      </w:r>
      <w:proofErr w:type="spellEnd"/>
      <w:r w:rsidR="00CA5DD3">
        <w:rPr>
          <w:rFonts w:ascii="Arial" w:hAnsi="Arial" w:cs="Arial"/>
          <w:sz w:val="20"/>
          <w:szCs w:val="20"/>
        </w:rPr>
        <w:t xml:space="preserve">. </w:t>
      </w:r>
      <w:r w:rsidR="003D37EB">
        <w:rPr>
          <w:rFonts w:ascii="Arial" w:hAnsi="Arial" w:cs="Arial"/>
          <w:sz w:val="20"/>
          <w:szCs w:val="20"/>
        </w:rPr>
        <w:t>Nejvýrazněji roste počet pracovníků v podnicích. O</w:t>
      </w:r>
      <w:r w:rsidR="008D3728">
        <w:rPr>
          <w:rFonts w:ascii="Arial" w:hAnsi="Arial" w:cs="Arial"/>
          <w:sz w:val="20"/>
          <w:szCs w:val="20"/>
        </w:rPr>
        <w:t xml:space="preserve">d roku 2009 </w:t>
      </w:r>
      <w:r w:rsidR="003D37EB">
        <w:rPr>
          <w:rFonts w:ascii="Arial" w:hAnsi="Arial" w:cs="Arial"/>
          <w:sz w:val="20"/>
          <w:szCs w:val="20"/>
        </w:rPr>
        <w:t>vzrostl</w:t>
      </w:r>
      <w:r w:rsidR="008D3728">
        <w:rPr>
          <w:rFonts w:ascii="Arial" w:hAnsi="Arial" w:cs="Arial"/>
          <w:sz w:val="20"/>
          <w:szCs w:val="20"/>
        </w:rPr>
        <w:t xml:space="preserve"> podíl </w:t>
      </w:r>
      <w:r w:rsidR="003D37EB">
        <w:rPr>
          <w:rFonts w:ascii="Arial" w:hAnsi="Arial" w:cs="Arial"/>
          <w:sz w:val="20"/>
          <w:szCs w:val="20"/>
        </w:rPr>
        <w:t>podnikatelského sektoru na celkov</w:t>
      </w:r>
      <w:r w:rsidR="000642EA">
        <w:rPr>
          <w:rFonts w:ascii="Arial" w:hAnsi="Arial" w:cs="Arial"/>
          <w:sz w:val="20"/>
          <w:szCs w:val="20"/>
        </w:rPr>
        <w:t>ém počtu zaměstnanců</w:t>
      </w:r>
      <w:r w:rsidR="008D37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3728">
        <w:rPr>
          <w:rFonts w:ascii="Arial" w:hAnsi="Arial" w:cs="Arial"/>
          <w:sz w:val="20"/>
          <w:szCs w:val="20"/>
        </w:rPr>
        <w:t>VaV</w:t>
      </w:r>
      <w:proofErr w:type="spellEnd"/>
      <w:r w:rsidR="008D3728">
        <w:rPr>
          <w:rFonts w:ascii="Arial" w:hAnsi="Arial" w:cs="Arial"/>
          <w:sz w:val="20"/>
          <w:szCs w:val="20"/>
        </w:rPr>
        <w:t xml:space="preserve"> z 50 % na 57 % v roce 2017. </w:t>
      </w:r>
    </w:p>
    <w:p w:rsidR="00CA5DD3" w:rsidRDefault="008D3728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Dlouhodobě okolo 86 % procent </w:t>
      </w:r>
      <w:r w:rsidR="003D37EB">
        <w:rPr>
          <w:rFonts w:ascii="Arial" w:hAnsi="Arial" w:cs="Arial"/>
          <w:sz w:val="20"/>
          <w:szCs w:val="20"/>
        </w:rPr>
        <w:t xml:space="preserve">osob pracujících ve </w:t>
      </w:r>
      <w:proofErr w:type="spellStart"/>
      <w:r w:rsidR="003D37EB">
        <w:rPr>
          <w:rFonts w:ascii="Arial" w:hAnsi="Arial" w:cs="Arial"/>
          <w:sz w:val="20"/>
          <w:szCs w:val="20"/>
        </w:rPr>
        <w:t>VaV</w:t>
      </w:r>
      <w:proofErr w:type="spellEnd"/>
      <w:r w:rsidR="003D37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připadá na výzk</w:t>
      </w:r>
      <w:r w:rsidR="00A97579">
        <w:rPr>
          <w:rFonts w:ascii="Arial" w:hAnsi="Arial" w:cs="Arial"/>
          <w:sz w:val="20"/>
          <w:szCs w:val="20"/>
        </w:rPr>
        <w:t>umné a technické pracovníky, 14 </w:t>
      </w:r>
      <w:r>
        <w:rPr>
          <w:rFonts w:ascii="Arial" w:hAnsi="Arial" w:cs="Arial"/>
          <w:sz w:val="20"/>
          <w:szCs w:val="20"/>
        </w:rPr>
        <w:t xml:space="preserve">% </w:t>
      </w:r>
      <w:r w:rsidR="003D37EB">
        <w:rPr>
          <w:rFonts w:ascii="Arial" w:hAnsi="Arial" w:cs="Arial"/>
          <w:sz w:val="20"/>
          <w:szCs w:val="20"/>
        </w:rPr>
        <w:t>tvoří</w:t>
      </w:r>
      <w:r>
        <w:rPr>
          <w:rFonts w:ascii="Arial" w:hAnsi="Arial" w:cs="Arial"/>
          <w:sz w:val="20"/>
          <w:szCs w:val="20"/>
        </w:rPr>
        <w:t xml:space="preserve"> ostatní, převážně administrativní pracovníci. </w:t>
      </w:r>
      <w:r w:rsidR="003D37EB">
        <w:rPr>
          <w:rFonts w:ascii="Arial" w:hAnsi="Arial" w:cs="Arial"/>
          <w:sz w:val="20"/>
          <w:szCs w:val="20"/>
        </w:rPr>
        <w:t xml:space="preserve">Více než polovina zaměstnanců </w:t>
      </w:r>
      <w:proofErr w:type="spellStart"/>
      <w:r w:rsidR="003D37EB">
        <w:rPr>
          <w:rFonts w:ascii="Arial" w:hAnsi="Arial" w:cs="Arial"/>
          <w:sz w:val="20"/>
          <w:szCs w:val="20"/>
        </w:rPr>
        <w:t>VaV</w:t>
      </w:r>
      <w:proofErr w:type="spellEnd"/>
      <w:r w:rsidR="009211F2">
        <w:rPr>
          <w:rFonts w:ascii="Arial" w:hAnsi="Arial" w:cs="Arial"/>
          <w:sz w:val="20"/>
          <w:szCs w:val="20"/>
        </w:rPr>
        <w:t xml:space="preserve"> pracuje v Praze a v Brně. </w:t>
      </w:r>
      <w:r w:rsidR="003D37EB">
        <w:rPr>
          <w:rFonts w:ascii="Arial" w:hAnsi="Arial" w:cs="Arial"/>
          <w:sz w:val="20"/>
          <w:szCs w:val="20"/>
        </w:rPr>
        <w:t xml:space="preserve">Podíl žen na zaměstnancích </w:t>
      </w:r>
      <w:proofErr w:type="spellStart"/>
      <w:r w:rsidR="003D37EB">
        <w:rPr>
          <w:rFonts w:ascii="Arial" w:hAnsi="Arial" w:cs="Arial"/>
          <w:sz w:val="20"/>
          <w:szCs w:val="20"/>
        </w:rPr>
        <w:t>VaV</w:t>
      </w:r>
      <w:proofErr w:type="spellEnd"/>
      <w:r w:rsidR="003D37EB">
        <w:rPr>
          <w:rFonts w:ascii="Arial" w:hAnsi="Arial" w:cs="Arial"/>
          <w:sz w:val="20"/>
          <w:szCs w:val="20"/>
        </w:rPr>
        <w:t xml:space="preserve"> je méně než 30%</w:t>
      </w:r>
      <w:r w:rsidR="00297CD3">
        <w:rPr>
          <w:rFonts w:ascii="Arial" w:hAnsi="Arial" w:cs="Arial"/>
          <w:sz w:val="20"/>
          <w:szCs w:val="20"/>
        </w:rPr>
        <w:t xml:space="preserve"> a</w:t>
      </w:r>
      <w:r w:rsidR="009211F2">
        <w:rPr>
          <w:rFonts w:ascii="Arial" w:hAnsi="Arial" w:cs="Arial"/>
          <w:sz w:val="20"/>
          <w:szCs w:val="20"/>
        </w:rPr>
        <w:t xml:space="preserve"> </w:t>
      </w:r>
      <w:r w:rsidR="000642EA">
        <w:rPr>
          <w:rFonts w:ascii="Arial" w:hAnsi="Arial" w:cs="Arial"/>
          <w:sz w:val="20"/>
          <w:szCs w:val="20"/>
        </w:rPr>
        <w:t>dlouhodobě lehce</w:t>
      </w:r>
      <w:r w:rsidR="009211F2">
        <w:rPr>
          <w:rFonts w:ascii="Arial" w:hAnsi="Arial" w:cs="Arial"/>
          <w:sz w:val="20"/>
          <w:szCs w:val="20"/>
        </w:rPr>
        <w:t xml:space="preserve"> klesá. Pokles </w:t>
      </w:r>
      <w:r w:rsidR="006D7976">
        <w:rPr>
          <w:rFonts w:ascii="Arial" w:hAnsi="Arial" w:cs="Arial"/>
          <w:sz w:val="20"/>
          <w:szCs w:val="20"/>
        </w:rPr>
        <w:t>zastoupení žen</w:t>
      </w:r>
      <w:r w:rsidR="009211F2">
        <w:rPr>
          <w:rFonts w:ascii="Arial" w:hAnsi="Arial" w:cs="Arial"/>
          <w:sz w:val="20"/>
          <w:szCs w:val="20"/>
        </w:rPr>
        <w:t xml:space="preserve"> </w:t>
      </w:r>
      <w:r w:rsidR="000D3254">
        <w:rPr>
          <w:rFonts w:ascii="Arial" w:hAnsi="Arial" w:cs="Arial"/>
          <w:sz w:val="20"/>
          <w:szCs w:val="20"/>
        </w:rPr>
        <w:t>zapříčiňuje</w:t>
      </w:r>
      <w:r w:rsidR="009211F2">
        <w:rPr>
          <w:rFonts w:ascii="Arial" w:hAnsi="Arial" w:cs="Arial"/>
          <w:sz w:val="20"/>
          <w:szCs w:val="20"/>
        </w:rPr>
        <w:t xml:space="preserve"> především to, že počet zaměstnanců nejrychleji roste</w:t>
      </w:r>
      <w:r w:rsidR="000D3254">
        <w:rPr>
          <w:rFonts w:ascii="Arial" w:hAnsi="Arial" w:cs="Arial"/>
          <w:sz w:val="20"/>
          <w:szCs w:val="20"/>
        </w:rPr>
        <w:t xml:space="preserve"> v podni</w:t>
      </w:r>
      <w:r w:rsidR="006D7976">
        <w:rPr>
          <w:rFonts w:ascii="Arial" w:hAnsi="Arial" w:cs="Arial"/>
          <w:sz w:val="20"/>
          <w:szCs w:val="20"/>
        </w:rPr>
        <w:t>katelském sektoru, kde je ženské pohlaví</w:t>
      </w:r>
      <w:r w:rsidR="000D3254">
        <w:rPr>
          <w:rFonts w:ascii="Arial" w:hAnsi="Arial" w:cs="Arial"/>
          <w:sz w:val="20"/>
          <w:szCs w:val="20"/>
        </w:rPr>
        <w:t xml:space="preserve"> zastoupen</w:t>
      </w:r>
      <w:r w:rsidR="006D7976">
        <w:rPr>
          <w:rFonts w:ascii="Arial" w:hAnsi="Arial" w:cs="Arial"/>
          <w:sz w:val="20"/>
          <w:szCs w:val="20"/>
        </w:rPr>
        <w:t>o</w:t>
      </w:r>
      <w:r w:rsidR="000D3254">
        <w:rPr>
          <w:rFonts w:ascii="Arial" w:hAnsi="Arial" w:cs="Arial"/>
          <w:sz w:val="20"/>
          <w:szCs w:val="20"/>
        </w:rPr>
        <w:t xml:space="preserve"> v nejmenší míře</w:t>
      </w:r>
      <w:r w:rsidR="00297CD3">
        <w:rPr>
          <w:rFonts w:ascii="Arial" w:hAnsi="Arial" w:cs="Arial"/>
          <w:sz w:val="20"/>
          <w:szCs w:val="20"/>
        </w:rPr>
        <w:t xml:space="preserve"> ze všech sektorů provádění </w:t>
      </w:r>
      <w:proofErr w:type="spellStart"/>
      <w:r w:rsidR="00297CD3">
        <w:rPr>
          <w:rFonts w:ascii="Arial" w:hAnsi="Arial" w:cs="Arial"/>
          <w:sz w:val="20"/>
          <w:szCs w:val="20"/>
        </w:rPr>
        <w:t>VaV</w:t>
      </w:r>
      <w:proofErr w:type="spellEnd"/>
      <w:r w:rsidR="000D3254">
        <w:rPr>
          <w:rFonts w:ascii="Arial" w:hAnsi="Arial" w:cs="Arial"/>
          <w:sz w:val="20"/>
          <w:szCs w:val="20"/>
        </w:rPr>
        <w:t>.</w:t>
      </w:r>
    </w:p>
    <w:p w:rsidR="000D3254" w:rsidRDefault="000D3254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Hojně užívaným ukazatelem pro mezinárodní srovnání je podíl celkových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na HDP. Česká republika v tomto ukazateli dosahovala nejlepší</w:t>
      </w:r>
      <w:r w:rsidR="00A375E7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výsledků v letech 2013</w:t>
      </w:r>
      <w:r w:rsidR="000642E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2015, tj. v letech kdy se výraznou měrou zvyšovaly výdaje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 důsledku čerpání prostředků z EU. Ve zmíněných </w:t>
      </w:r>
      <w:r w:rsidR="006D7976">
        <w:rPr>
          <w:rFonts w:ascii="Arial" w:hAnsi="Arial" w:cs="Arial"/>
          <w:sz w:val="20"/>
          <w:szCs w:val="20"/>
        </w:rPr>
        <w:t>třech</w:t>
      </w:r>
      <w:r>
        <w:rPr>
          <w:rFonts w:ascii="Arial" w:hAnsi="Arial" w:cs="Arial"/>
          <w:sz w:val="20"/>
          <w:szCs w:val="20"/>
        </w:rPr>
        <w:t xml:space="preserve"> letech přesahoval podíl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na HDP 1,9 %</w:t>
      </w:r>
      <w:r w:rsidR="00F22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 roce 2016</w:t>
      </w:r>
      <w:r w:rsidR="00F2230B">
        <w:rPr>
          <w:rFonts w:ascii="Arial" w:hAnsi="Arial" w:cs="Arial"/>
          <w:sz w:val="20"/>
          <w:szCs w:val="20"/>
        </w:rPr>
        <w:t xml:space="preserve"> se citelně snížil na 1,68 % a v roce 2017 vzrost</w:t>
      </w:r>
      <w:r w:rsidR="00297CD3">
        <w:rPr>
          <w:rFonts w:ascii="Arial" w:hAnsi="Arial" w:cs="Arial"/>
          <w:sz w:val="20"/>
          <w:szCs w:val="20"/>
        </w:rPr>
        <w:t>l</w:t>
      </w:r>
      <w:r w:rsidR="00F2230B">
        <w:rPr>
          <w:rFonts w:ascii="Arial" w:hAnsi="Arial" w:cs="Arial"/>
          <w:sz w:val="20"/>
          <w:szCs w:val="20"/>
        </w:rPr>
        <w:t xml:space="preserve"> na 1,79 % HDP. Průměru EU</w:t>
      </w:r>
      <w:r w:rsidR="000642EA">
        <w:rPr>
          <w:rFonts w:ascii="Arial" w:hAnsi="Arial" w:cs="Arial"/>
          <w:sz w:val="20"/>
          <w:szCs w:val="20"/>
        </w:rPr>
        <w:t>,</w:t>
      </w:r>
      <w:r w:rsidR="00F2230B">
        <w:rPr>
          <w:rFonts w:ascii="Arial" w:hAnsi="Arial" w:cs="Arial"/>
          <w:sz w:val="20"/>
          <w:szCs w:val="20"/>
        </w:rPr>
        <w:t xml:space="preserve"> </w:t>
      </w:r>
      <w:r w:rsidR="000642EA">
        <w:rPr>
          <w:rFonts w:ascii="Arial" w:hAnsi="Arial" w:cs="Arial"/>
          <w:sz w:val="20"/>
          <w:szCs w:val="20"/>
        </w:rPr>
        <w:t xml:space="preserve">který byl v roce 2017 dle údajů </w:t>
      </w:r>
      <w:proofErr w:type="spellStart"/>
      <w:r w:rsidR="000642EA">
        <w:rPr>
          <w:rFonts w:ascii="Arial" w:hAnsi="Arial" w:cs="Arial"/>
          <w:sz w:val="20"/>
          <w:szCs w:val="20"/>
        </w:rPr>
        <w:t>Eurostatu</w:t>
      </w:r>
      <w:proofErr w:type="spellEnd"/>
      <w:r w:rsidR="000642EA">
        <w:rPr>
          <w:rFonts w:ascii="Arial" w:hAnsi="Arial" w:cs="Arial"/>
          <w:sz w:val="20"/>
          <w:szCs w:val="20"/>
        </w:rPr>
        <w:t xml:space="preserve"> </w:t>
      </w:r>
      <w:r w:rsidR="00F2230B">
        <w:rPr>
          <w:rFonts w:ascii="Arial" w:hAnsi="Arial" w:cs="Arial"/>
          <w:sz w:val="20"/>
          <w:szCs w:val="20"/>
        </w:rPr>
        <w:t>2,07 %</w:t>
      </w:r>
      <w:r w:rsidR="000642EA">
        <w:rPr>
          <w:rFonts w:ascii="Arial" w:hAnsi="Arial" w:cs="Arial"/>
          <w:sz w:val="20"/>
          <w:szCs w:val="20"/>
        </w:rPr>
        <w:t>, jsme poněkud vzdáleni</w:t>
      </w:r>
      <w:r w:rsidR="00F2230B">
        <w:rPr>
          <w:rFonts w:ascii="Arial" w:hAnsi="Arial" w:cs="Arial"/>
          <w:sz w:val="20"/>
          <w:szCs w:val="20"/>
        </w:rPr>
        <w:t xml:space="preserve">. Je však třeba podotknout, že na </w:t>
      </w:r>
      <w:r w:rsidR="00297CD3">
        <w:rPr>
          <w:rFonts w:ascii="Arial" w:hAnsi="Arial" w:cs="Arial"/>
          <w:sz w:val="20"/>
          <w:szCs w:val="20"/>
        </w:rPr>
        <w:t>tento průměr</w:t>
      </w:r>
      <w:r w:rsidR="00F2230B">
        <w:rPr>
          <w:rFonts w:ascii="Arial" w:hAnsi="Arial" w:cs="Arial"/>
          <w:sz w:val="20"/>
          <w:szCs w:val="20"/>
        </w:rPr>
        <w:t xml:space="preserve"> nedosáhnou ¾ členských států</w:t>
      </w:r>
      <w:r w:rsidR="00297CD3">
        <w:rPr>
          <w:rFonts w:ascii="Arial" w:hAnsi="Arial" w:cs="Arial"/>
          <w:sz w:val="20"/>
          <w:szCs w:val="20"/>
        </w:rPr>
        <w:t xml:space="preserve"> EU</w:t>
      </w:r>
      <w:r w:rsidR="00F2230B">
        <w:rPr>
          <w:rFonts w:ascii="Arial" w:hAnsi="Arial" w:cs="Arial"/>
          <w:sz w:val="20"/>
          <w:szCs w:val="20"/>
        </w:rPr>
        <w:t xml:space="preserve">. Ve srovnání států osmadvacítky je Česko na slušném desátém </w:t>
      </w:r>
      <w:r w:rsidR="00243F9E">
        <w:rPr>
          <w:rFonts w:ascii="Arial" w:hAnsi="Arial" w:cs="Arial"/>
          <w:sz w:val="20"/>
          <w:szCs w:val="20"/>
        </w:rPr>
        <w:t>místě. Z</w:t>
      </w:r>
      <w:r w:rsidR="00F2230B">
        <w:rPr>
          <w:rFonts w:ascii="Arial" w:hAnsi="Arial" w:cs="Arial"/>
          <w:sz w:val="20"/>
          <w:szCs w:val="20"/>
        </w:rPr>
        <w:t>e států, které se k </w:t>
      </w:r>
      <w:r w:rsidR="00E0240E">
        <w:rPr>
          <w:rFonts w:ascii="Arial" w:hAnsi="Arial" w:cs="Arial"/>
          <w:sz w:val="20"/>
          <w:szCs w:val="20"/>
        </w:rPr>
        <w:t>EU</w:t>
      </w:r>
      <w:r w:rsidR="00F2230B">
        <w:rPr>
          <w:rFonts w:ascii="Arial" w:hAnsi="Arial" w:cs="Arial"/>
          <w:sz w:val="20"/>
          <w:szCs w:val="20"/>
        </w:rPr>
        <w:t xml:space="preserve"> připojily po roce 2000, je před námi pouze Slovinsko. Pomyslný vrchol žebříčku opanují Švédsko, Rakousko, Dánsko a Německo, ve kterých výdaje na </w:t>
      </w:r>
      <w:proofErr w:type="spellStart"/>
      <w:r w:rsidR="00F2230B">
        <w:rPr>
          <w:rFonts w:ascii="Arial" w:hAnsi="Arial" w:cs="Arial"/>
          <w:sz w:val="20"/>
          <w:szCs w:val="20"/>
        </w:rPr>
        <w:t>VaV</w:t>
      </w:r>
      <w:proofErr w:type="spellEnd"/>
      <w:r w:rsidR="00F2230B">
        <w:rPr>
          <w:rFonts w:ascii="Arial" w:hAnsi="Arial" w:cs="Arial"/>
          <w:sz w:val="20"/>
          <w:szCs w:val="20"/>
        </w:rPr>
        <w:t xml:space="preserve"> přesahují 3</w:t>
      </w:r>
      <w:r w:rsidR="00A375E7">
        <w:rPr>
          <w:rFonts w:ascii="Arial" w:hAnsi="Arial" w:cs="Arial"/>
          <w:sz w:val="20"/>
          <w:szCs w:val="20"/>
        </w:rPr>
        <w:t xml:space="preserve"> </w:t>
      </w:r>
      <w:r w:rsidR="00F2230B">
        <w:rPr>
          <w:rFonts w:ascii="Arial" w:hAnsi="Arial" w:cs="Arial"/>
          <w:sz w:val="20"/>
          <w:szCs w:val="20"/>
        </w:rPr>
        <w:t xml:space="preserve">% HDP. </w:t>
      </w:r>
      <w:r w:rsidR="00A87967">
        <w:rPr>
          <w:rFonts w:ascii="Arial" w:hAnsi="Arial" w:cs="Arial"/>
          <w:sz w:val="20"/>
          <w:szCs w:val="20"/>
        </w:rPr>
        <w:t>Naopak v 8 státech</w:t>
      </w:r>
      <w:r w:rsidR="00A375E7">
        <w:rPr>
          <w:rFonts w:ascii="Arial" w:hAnsi="Arial" w:cs="Arial"/>
          <w:sz w:val="20"/>
          <w:szCs w:val="20"/>
        </w:rPr>
        <w:t xml:space="preserve"> EU</w:t>
      </w:r>
      <w:r w:rsidR="00A87967">
        <w:rPr>
          <w:rFonts w:ascii="Arial" w:hAnsi="Arial" w:cs="Arial"/>
          <w:sz w:val="20"/>
          <w:szCs w:val="20"/>
        </w:rPr>
        <w:t xml:space="preserve"> se na </w:t>
      </w:r>
      <w:proofErr w:type="spellStart"/>
      <w:r w:rsidR="00A87967">
        <w:rPr>
          <w:rFonts w:ascii="Arial" w:hAnsi="Arial" w:cs="Arial"/>
          <w:sz w:val="20"/>
          <w:szCs w:val="20"/>
        </w:rPr>
        <w:t>VaV</w:t>
      </w:r>
      <w:proofErr w:type="spellEnd"/>
      <w:r w:rsidR="00A87967">
        <w:rPr>
          <w:rFonts w:ascii="Arial" w:hAnsi="Arial" w:cs="Arial"/>
          <w:sz w:val="20"/>
          <w:szCs w:val="20"/>
        </w:rPr>
        <w:t xml:space="preserve"> vynakládá méně než 1</w:t>
      </w:r>
      <w:r w:rsidR="00E0240E">
        <w:rPr>
          <w:rFonts w:ascii="Arial" w:hAnsi="Arial" w:cs="Arial"/>
          <w:sz w:val="20"/>
          <w:szCs w:val="20"/>
        </w:rPr>
        <w:t xml:space="preserve"> </w:t>
      </w:r>
      <w:r w:rsidR="00A87967">
        <w:rPr>
          <w:rFonts w:ascii="Arial" w:hAnsi="Arial" w:cs="Arial"/>
          <w:sz w:val="20"/>
          <w:szCs w:val="20"/>
        </w:rPr>
        <w:t xml:space="preserve">% HDP. Mezi tyto státy patří například Slovensko, Chorvatsko a Bulharsko. </w:t>
      </w:r>
      <w:r w:rsidR="00E0240E">
        <w:rPr>
          <w:rFonts w:ascii="Arial" w:hAnsi="Arial" w:cs="Arial"/>
          <w:sz w:val="20"/>
          <w:szCs w:val="20"/>
        </w:rPr>
        <w:t xml:space="preserve">V celé </w:t>
      </w:r>
      <w:r w:rsidR="00167AF5">
        <w:rPr>
          <w:rFonts w:ascii="Arial" w:hAnsi="Arial" w:cs="Arial"/>
          <w:sz w:val="20"/>
          <w:szCs w:val="20"/>
        </w:rPr>
        <w:t>EU</w:t>
      </w:r>
      <w:r w:rsidR="005A1D5D">
        <w:rPr>
          <w:rFonts w:ascii="Arial" w:hAnsi="Arial" w:cs="Arial"/>
          <w:sz w:val="20"/>
          <w:szCs w:val="20"/>
        </w:rPr>
        <w:t xml:space="preserve"> se na </w:t>
      </w:r>
      <w:proofErr w:type="spellStart"/>
      <w:r w:rsidR="00E0240E">
        <w:rPr>
          <w:rFonts w:ascii="Arial" w:hAnsi="Arial" w:cs="Arial"/>
          <w:sz w:val="20"/>
          <w:szCs w:val="20"/>
        </w:rPr>
        <w:t>VaV</w:t>
      </w:r>
      <w:proofErr w:type="spellEnd"/>
      <w:r w:rsidR="00167AF5">
        <w:rPr>
          <w:rFonts w:ascii="Arial" w:hAnsi="Arial" w:cs="Arial"/>
          <w:sz w:val="20"/>
          <w:szCs w:val="20"/>
        </w:rPr>
        <w:t xml:space="preserve"> v roce 2017</w:t>
      </w:r>
      <w:r w:rsidR="00A97579">
        <w:rPr>
          <w:rFonts w:ascii="Arial" w:hAnsi="Arial" w:cs="Arial"/>
          <w:sz w:val="20"/>
          <w:szCs w:val="20"/>
        </w:rPr>
        <w:t xml:space="preserve"> vynaložilo asi 318 </w:t>
      </w:r>
      <w:r w:rsidR="00E0240E">
        <w:rPr>
          <w:rFonts w:ascii="Arial" w:hAnsi="Arial" w:cs="Arial"/>
          <w:sz w:val="20"/>
          <w:szCs w:val="20"/>
        </w:rPr>
        <w:t>mld. Eur</w:t>
      </w:r>
      <w:r w:rsidR="005A1D5D">
        <w:rPr>
          <w:rFonts w:ascii="Arial" w:hAnsi="Arial" w:cs="Arial"/>
          <w:sz w:val="20"/>
          <w:szCs w:val="20"/>
        </w:rPr>
        <w:t xml:space="preserve">, z toho </w:t>
      </w:r>
      <w:r w:rsidR="00A375E7">
        <w:rPr>
          <w:rFonts w:ascii="Arial" w:hAnsi="Arial" w:cs="Arial"/>
          <w:sz w:val="20"/>
          <w:szCs w:val="20"/>
        </w:rPr>
        <w:t>přibližně</w:t>
      </w:r>
      <w:r w:rsidR="00167AF5">
        <w:rPr>
          <w:rFonts w:ascii="Arial" w:hAnsi="Arial" w:cs="Arial"/>
          <w:sz w:val="20"/>
          <w:szCs w:val="20"/>
        </w:rPr>
        <w:t xml:space="preserve"> 60 % připadá</w:t>
      </w:r>
      <w:r w:rsidR="005A1D5D">
        <w:rPr>
          <w:rFonts w:ascii="Arial" w:hAnsi="Arial" w:cs="Arial"/>
          <w:sz w:val="20"/>
          <w:szCs w:val="20"/>
        </w:rPr>
        <w:t xml:space="preserve"> na Německo, Francii a Spojené království. V samotném Německu se na </w:t>
      </w:r>
      <w:proofErr w:type="spellStart"/>
      <w:r w:rsidR="005A1D5D">
        <w:rPr>
          <w:rFonts w:ascii="Arial" w:hAnsi="Arial" w:cs="Arial"/>
          <w:sz w:val="20"/>
          <w:szCs w:val="20"/>
        </w:rPr>
        <w:t>VaV</w:t>
      </w:r>
      <w:proofErr w:type="spellEnd"/>
      <w:r w:rsidR="00E0240E">
        <w:rPr>
          <w:rFonts w:ascii="Arial" w:hAnsi="Arial" w:cs="Arial"/>
          <w:sz w:val="20"/>
          <w:szCs w:val="20"/>
        </w:rPr>
        <w:t xml:space="preserve"> v</w:t>
      </w:r>
      <w:r w:rsidR="005A1D5D">
        <w:rPr>
          <w:rFonts w:ascii="Arial" w:hAnsi="Arial" w:cs="Arial"/>
          <w:sz w:val="20"/>
          <w:szCs w:val="20"/>
        </w:rPr>
        <w:t xml:space="preserve"> </w:t>
      </w:r>
      <w:r w:rsidR="00E0240E">
        <w:rPr>
          <w:rFonts w:ascii="Arial" w:hAnsi="Arial" w:cs="Arial"/>
          <w:sz w:val="20"/>
          <w:szCs w:val="20"/>
        </w:rPr>
        <w:t xml:space="preserve">roce 2017 </w:t>
      </w:r>
      <w:r w:rsidR="005A1D5D">
        <w:rPr>
          <w:rFonts w:ascii="Arial" w:hAnsi="Arial" w:cs="Arial"/>
          <w:sz w:val="20"/>
          <w:szCs w:val="20"/>
        </w:rPr>
        <w:t xml:space="preserve">vynaložilo </w:t>
      </w:r>
      <w:r w:rsidR="00E0240E">
        <w:rPr>
          <w:rFonts w:ascii="Arial" w:hAnsi="Arial" w:cs="Arial"/>
          <w:sz w:val="20"/>
          <w:szCs w:val="20"/>
        </w:rPr>
        <w:t>99 mld. Eur. Pro srovnání</w:t>
      </w:r>
      <w:r w:rsidR="005A1D5D">
        <w:rPr>
          <w:rFonts w:ascii="Arial" w:hAnsi="Arial" w:cs="Arial"/>
          <w:sz w:val="20"/>
          <w:szCs w:val="20"/>
        </w:rPr>
        <w:t xml:space="preserve"> v Česku to bylo 3,4 mld. Eur (1,1 %</w:t>
      </w:r>
      <w:r w:rsidR="00E0240E">
        <w:rPr>
          <w:rFonts w:ascii="Arial" w:hAnsi="Arial" w:cs="Arial"/>
          <w:sz w:val="20"/>
          <w:szCs w:val="20"/>
        </w:rPr>
        <w:t xml:space="preserve"> výdajů na </w:t>
      </w:r>
      <w:proofErr w:type="spellStart"/>
      <w:r w:rsidR="00E0240E">
        <w:rPr>
          <w:rFonts w:ascii="Arial" w:hAnsi="Arial" w:cs="Arial"/>
          <w:sz w:val="20"/>
          <w:szCs w:val="20"/>
        </w:rPr>
        <w:t>VaV</w:t>
      </w:r>
      <w:proofErr w:type="spellEnd"/>
      <w:r w:rsidR="00E0240E">
        <w:rPr>
          <w:rFonts w:ascii="Arial" w:hAnsi="Arial" w:cs="Arial"/>
          <w:sz w:val="20"/>
          <w:szCs w:val="20"/>
        </w:rPr>
        <w:t xml:space="preserve"> Evropské u</w:t>
      </w:r>
      <w:r w:rsidR="005A1D5D">
        <w:rPr>
          <w:rFonts w:ascii="Arial" w:hAnsi="Arial" w:cs="Arial"/>
          <w:sz w:val="20"/>
          <w:szCs w:val="20"/>
        </w:rPr>
        <w:t>nie)</w:t>
      </w:r>
      <w:r w:rsidR="00E0240E">
        <w:rPr>
          <w:rFonts w:ascii="Arial" w:hAnsi="Arial" w:cs="Arial"/>
          <w:sz w:val="20"/>
          <w:szCs w:val="20"/>
        </w:rPr>
        <w:t>, čímž jsme obsadili 13. místo pomyslného žebříčku.</w:t>
      </w:r>
      <w:r w:rsidR="005A1D5D">
        <w:rPr>
          <w:rFonts w:ascii="Arial" w:hAnsi="Arial" w:cs="Arial"/>
          <w:sz w:val="20"/>
          <w:szCs w:val="20"/>
        </w:rPr>
        <w:t xml:space="preserve"> </w:t>
      </w:r>
      <w:r w:rsidR="00E0240E">
        <w:rPr>
          <w:rFonts w:ascii="Arial" w:hAnsi="Arial" w:cs="Arial"/>
          <w:sz w:val="20"/>
          <w:szCs w:val="20"/>
        </w:rPr>
        <w:t>Porážíme tak velikostí</w:t>
      </w:r>
      <w:r w:rsidR="005A1D5D">
        <w:rPr>
          <w:rFonts w:ascii="Arial" w:hAnsi="Arial" w:cs="Arial"/>
          <w:sz w:val="20"/>
          <w:szCs w:val="20"/>
        </w:rPr>
        <w:t xml:space="preserve"> populace s námi srovnateln</w:t>
      </w:r>
      <w:r w:rsidR="00E0240E">
        <w:rPr>
          <w:rFonts w:ascii="Arial" w:hAnsi="Arial" w:cs="Arial"/>
          <w:sz w:val="20"/>
          <w:szCs w:val="20"/>
        </w:rPr>
        <w:t>é státy Portugalsko, Řecko a Maďarsko</w:t>
      </w:r>
      <w:r w:rsidR="005A1D5D">
        <w:rPr>
          <w:rFonts w:ascii="Arial" w:hAnsi="Arial" w:cs="Arial"/>
          <w:sz w:val="20"/>
          <w:szCs w:val="20"/>
        </w:rPr>
        <w:t xml:space="preserve">. </w:t>
      </w:r>
      <w:r w:rsidR="00380CE0">
        <w:rPr>
          <w:rFonts w:ascii="Arial" w:hAnsi="Arial" w:cs="Arial"/>
          <w:sz w:val="20"/>
          <w:szCs w:val="20"/>
        </w:rPr>
        <w:t xml:space="preserve">Naopak podstatně více než u nás se na </w:t>
      </w:r>
      <w:proofErr w:type="spellStart"/>
      <w:r w:rsidR="00380CE0">
        <w:rPr>
          <w:rFonts w:ascii="Arial" w:hAnsi="Arial" w:cs="Arial"/>
          <w:sz w:val="20"/>
          <w:szCs w:val="20"/>
        </w:rPr>
        <w:t>VaV</w:t>
      </w:r>
      <w:proofErr w:type="spellEnd"/>
      <w:r w:rsidR="00380CE0">
        <w:rPr>
          <w:rFonts w:ascii="Arial" w:hAnsi="Arial" w:cs="Arial"/>
          <w:sz w:val="20"/>
          <w:szCs w:val="20"/>
        </w:rPr>
        <w:t xml:space="preserve"> vynakládá ve Švédsku, Rakousku n</w:t>
      </w:r>
      <w:r w:rsidR="00E0240E">
        <w:rPr>
          <w:rFonts w:ascii="Arial" w:hAnsi="Arial" w:cs="Arial"/>
          <w:sz w:val="20"/>
          <w:szCs w:val="20"/>
        </w:rPr>
        <w:t>ebo Belgii. Ve Š</w:t>
      </w:r>
      <w:r w:rsidR="00380CE0">
        <w:rPr>
          <w:rFonts w:ascii="Arial" w:hAnsi="Arial" w:cs="Arial"/>
          <w:sz w:val="20"/>
          <w:szCs w:val="20"/>
        </w:rPr>
        <w:t xml:space="preserve">védsku to bylo v roce 2017 téměř </w:t>
      </w:r>
      <w:r w:rsidR="00167AF5">
        <w:rPr>
          <w:rFonts w:ascii="Arial" w:hAnsi="Arial" w:cs="Arial"/>
          <w:sz w:val="20"/>
          <w:szCs w:val="20"/>
        </w:rPr>
        <w:t>pětkrát</w:t>
      </w:r>
      <w:r w:rsidR="00A97579">
        <w:rPr>
          <w:rFonts w:ascii="Arial" w:hAnsi="Arial" w:cs="Arial"/>
          <w:sz w:val="20"/>
          <w:szCs w:val="20"/>
        </w:rPr>
        <w:t xml:space="preserve"> více než u </w:t>
      </w:r>
      <w:r w:rsidR="00380CE0">
        <w:rPr>
          <w:rFonts w:ascii="Arial" w:hAnsi="Arial" w:cs="Arial"/>
          <w:sz w:val="20"/>
          <w:szCs w:val="20"/>
        </w:rPr>
        <w:t>nás.</w:t>
      </w:r>
    </w:p>
    <w:p w:rsidR="00887B4D" w:rsidRDefault="00380CE0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Podív</w:t>
      </w:r>
      <w:r w:rsidR="00243F9E">
        <w:rPr>
          <w:rFonts w:ascii="Arial" w:hAnsi="Arial" w:cs="Arial"/>
          <w:sz w:val="20"/>
          <w:szCs w:val="20"/>
        </w:rPr>
        <w:t>ejme</w:t>
      </w:r>
      <w:r>
        <w:rPr>
          <w:rFonts w:ascii="Arial" w:hAnsi="Arial" w:cs="Arial"/>
          <w:sz w:val="20"/>
          <w:szCs w:val="20"/>
        </w:rPr>
        <w:t xml:space="preserve"> se ještě na počet osob (FTE) pracujících ve výzkumu</w:t>
      </w:r>
      <w:r w:rsidR="00F445D6">
        <w:rPr>
          <w:rFonts w:ascii="Arial" w:hAnsi="Arial" w:cs="Arial"/>
          <w:sz w:val="20"/>
          <w:szCs w:val="20"/>
        </w:rPr>
        <w:t xml:space="preserve"> v EU, kterých bylo v roce 2017</w:t>
      </w:r>
      <w:r w:rsidR="00A97579">
        <w:rPr>
          <w:rFonts w:ascii="Arial" w:hAnsi="Arial" w:cs="Arial"/>
          <w:sz w:val="20"/>
          <w:szCs w:val="20"/>
        </w:rPr>
        <w:t xml:space="preserve"> kolem 3 </w:t>
      </w:r>
      <w:r>
        <w:rPr>
          <w:rFonts w:ascii="Arial" w:hAnsi="Arial" w:cs="Arial"/>
          <w:sz w:val="20"/>
          <w:szCs w:val="20"/>
        </w:rPr>
        <w:t xml:space="preserve">milionů. </w:t>
      </w:r>
      <w:r w:rsidR="00F445D6">
        <w:rPr>
          <w:rFonts w:ascii="Arial" w:hAnsi="Arial" w:cs="Arial"/>
          <w:sz w:val="20"/>
          <w:szCs w:val="20"/>
        </w:rPr>
        <w:t>Přibližně polovinu</w:t>
      </w:r>
      <w:r>
        <w:rPr>
          <w:rFonts w:ascii="Arial" w:hAnsi="Arial" w:cs="Arial"/>
          <w:sz w:val="20"/>
          <w:szCs w:val="20"/>
        </w:rPr>
        <w:t xml:space="preserve"> </w:t>
      </w:r>
      <w:r w:rsidR="00F445D6">
        <w:rPr>
          <w:rFonts w:ascii="Arial" w:hAnsi="Arial" w:cs="Arial"/>
          <w:sz w:val="20"/>
          <w:szCs w:val="20"/>
        </w:rPr>
        <w:t>z nich najdeme</w:t>
      </w:r>
      <w:r>
        <w:rPr>
          <w:rFonts w:ascii="Arial" w:hAnsi="Arial" w:cs="Arial"/>
          <w:sz w:val="20"/>
          <w:szCs w:val="20"/>
        </w:rPr>
        <w:t xml:space="preserve"> v největších evropských ekonomikách Německu, Francii a Velké Británii. Na Česko s necelými 70 tis. osob</w:t>
      </w:r>
      <w:r w:rsidR="00F445D6">
        <w:rPr>
          <w:rFonts w:ascii="Arial" w:hAnsi="Arial" w:cs="Arial"/>
          <w:sz w:val="20"/>
          <w:szCs w:val="20"/>
        </w:rPr>
        <w:t xml:space="preserve"> (FTE)</w:t>
      </w:r>
      <w:r>
        <w:rPr>
          <w:rFonts w:ascii="Arial" w:hAnsi="Arial" w:cs="Arial"/>
          <w:sz w:val="20"/>
          <w:szCs w:val="20"/>
        </w:rPr>
        <w:t xml:space="preserve"> připadalo 2,2 % pracovníků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r w:rsidR="00F445D6">
        <w:rPr>
          <w:rFonts w:ascii="Arial" w:hAnsi="Arial" w:cs="Arial"/>
          <w:sz w:val="20"/>
          <w:szCs w:val="20"/>
        </w:rPr>
        <w:t>EU</w:t>
      </w:r>
      <w:r>
        <w:rPr>
          <w:rFonts w:ascii="Arial" w:hAnsi="Arial" w:cs="Arial"/>
          <w:sz w:val="20"/>
          <w:szCs w:val="20"/>
        </w:rPr>
        <w:t xml:space="preserve">. </w:t>
      </w:r>
      <w:r w:rsidR="00AB6B13">
        <w:rPr>
          <w:rFonts w:ascii="Arial" w:hAnsi="Arial" w:cs="Arial"/>
          <w:sz w:val="20"/>
          <w:szCs w:val="20"/>
        </w:rPr>
        <w:t>Pokud se opět po</w:t>
      </w:r>
      <w:r w:rsidR="00F445D6">
        <w:rPr>
          <w:rFonts w:ascii="Arial" w:hAnsi="Arial" w:cs="Arial"/>
          <w:sz w:val="20"/>
          <w:szCs w:val="20"/>
        </w:rPr>
        <w:t>měříme</w:t>
      </w:r>
      <w:r w:rsidR="00AB6B13">
        <w:rPr>
          <w:rFonts w:ascii="Arial" w:hAnsi="Arial" w:cs="Arial"/>
          <w:sz w:val="20"/>
          <w:szCs w:val="20"/>
        </w:rPr>
        <w:t xml:space="preserve"> s velikostně srovnatelnými státy, tak v Portugalsku provádělo </w:t>
      </w:r>
      <w:proofErr w:type="spellStart"/>
      <w:r w:rsidR="00AB6B13">
        <w:rPr>
          <w:rFonts w:ascii="Arial" w:hAnsi="Arial" w:cs="Arial"/>
          <w:sz w:val="20"/>
          <w:szCs w:val="20"/>
        </w:rPr>
        <w:t>VaV</w:t>
      </w:r>
      <w:proofErr w:type="spellEnd"/>
      <w:r w:rsidR="00AB6B13">
        <w:rPr>
          <w:rFonts w:ascii="Arial" w:hAnsi="Arial" w:cs="Arial"/>
          <w:sz w:val="20"/>
          <w:szCs w:val="20"/>
        </w:rPr>
        <w:t xml:space="preserve"> v roce 2017 o 15 tis. osob méně než u nás, v Řecku o 20 tis. a v Maďarsku téměř o 30 tis. méně.</w:t>
      </w:r>
      <w:r w:rsidR="00C66A8A">
        <w:rPr>
          <w:rFonts w:ascii="Arial" w:hAnsi="Arial" w:cs="Arial"/>
          <w:sz w:val="20"/>
          <w:szCs w:val="20"/>
        </w:rPr>
        <w:t xml:space="preserve"> Na druhou stranu populačně srovnatelné státy s vyššími výdaji na </w:t>
      </w:r>
      <w:proofErr w:type="spellStart"/>
      <w:r w:rsidR="00C66A8A">
        <w:rPr>
          <w:rFonts w:ascii="Arial" w:hAnsi="Arial" w:cs="Arial"/>
          <w:sz w:val="20"/>
          <w:szCs w:val="20"/>
        </w:rPr>
        <w:t>VaV</w:t>
      </w:r>
      <w:proofErr w:type="spellEnd"/>
      <w:r w:rsidR="00C66A8A">
        <w:rPr>
          <w:rFonts w:ascii="Arial" w:hAnsi="Arial" w:cs="Arial"/>
          <w:sz w:val="20"/>
          <w:szCs w:val="20"/>
        </w:rPr>
        <w:t xml:space="preserve"> mají i více pracovníků, ale</w:t>
      </w:r>
      <w:r w:rsidR="00364975">
        <w:rPr>
          <w:rFonts w:ascii="Arial" w:hAnsi="Arial" w:cs="Arial"/>
          <w:sz w:val="20"/>
          <w:szCs w:val="20"/>
        </w:rPr>
        <w:t xml:space="preserve"> </w:t>
      </w:r>
      <w:r w:rsidR="00167AF5">
        <w:rPr>
          <w:rFonts w:ascii="Arial" w:hAnsi="Arial" w:cs="Arial"/>
          <w:sz w:val="20"/>
          <w:szCs w:val="20"/>
        </w:rPr>
        <w:t xml:space="preserve">naše </w:t>
      </w:r>
      <w:r w:rsidR="00364975">
        <w:rPr>
          <w:rFonts w:ascii="Arial" w:hAnsi="Arial" w:cs="Arial"/>
          <w:sz w:val="20"/>
          <w:szCs w:val="20"/>
        </w:rPr>
        <w:t>ztráta není tak velká</w:t>
      </w:r>
      <w:r w:rsidR="00C66A8A">
        <w:rPr>
          <w:rFonts w:ascii="Arial" w:hAnsi="Arial" w:cs="Arial"/>
          <w:sz w:val="20"/>
          <w:szCs w:val="20"/>
        </w:rPr>
        <w:t xml:space="preserve"> jak</w:t>
      </w:r>
      <w:r w:rsidR="00F445D6">
        <w:rPr>
          <w:rFonts w:ascii="Arial" w:hAnsi="Arial" w:cs="Arial"/>
          <w:sz w:val="20"/>
          <w:szCs w:val="20"/>
        </w:rPr>
        <w:t>o</w:t>
      </w:r>
      <w:r w:rsidR="00C66A8A">
        <w:rPr>
          <w:rFonts w:ascii="Arial" w:hAnsi="Arial" w:cs="Arial"/>
          <w:sz w:val="20"/>
          <w:szCs w:val="20"/>
        </w:rPr>
        <w:t xml:space="preserve"> v případě výdajů na </w:t>
      </w:r>
      <w:proofErr w:type="spellStart"/>
      <w:r w:rsidR="00C66A8A">
        <w:rPr>
          <w:rFonts w:ascii="Arial" w:hAnsi="Arial" w:cs="Arial"/>
          <w:sz w:val="20"/>
          <w:szCs w:val="20"/>
        </w:rPr>
        <w:t>VaV</w:t>
      </w:r>
      <w:proofErr w:type="spellEnd"/>
      <w:r w:rsidR="00C66A8A">
        <w:rPr>
          <w:rFonts w:ascii="Arial" w:hAnsi="Arial" w:cs="Arial"/>
          <w:sz w:val="20"/>
          <w:szCs w:val="20"/>
        </w:rPr>
        <w:t xml:space="preserve">. Ve Švédsku pracovalo v roce 2017 ve </w:t>
      </w:r>
      <w:proofErr w:type="spellStart"/>
      <w:r w:rsidR="00C66A8A">
        <w:rPr>
          <w:rFonts w:ascii="Arial" w:hAnsi="Arial" w:cs="Arial"/>
          <w:sz w:val="20"/>
          <w:szCs w:val="20"/>
        </w:rPr>
        <w:t>VaV</w:t>
      </w:r>
      <w:proofErr w:type="spellEnd"/>
      <w:r w:rsidR="00C66A8A">
        <w:rPr>
          <w:rFonts w:ascii="Arial" w:hAnsi="Arial" w:cs="Arial"/>
          <w:sz w:val="20"/>
          <w:szCs w:val="20"/>
        </w:rPr>
        <w:t xml:space="preserve"> o 20 tis. osob (FTE) v</w:t>
      </w:r>
      <w:r w:rsidR="00167AF5">
        <w:rPr>
          <w:rFonts w:ascii="Arial" w:hAnsi="Arial" w:cs="Arial"/>
          <w:sz w:val="20"/>
          <w:szCs w:val="20"/>
        </w:rPr>
        <w:t xml:space="preserve">íce než v Česku, v Belgii to </w:t>
      </w:r>
      <w:r w:rsidR="00C66A8A">
        <w:rPr>
          <w:rFonts w:ascii="Arial" w:hAnsi="Arial" w:cs="Arial"/>
          <w:sz w:val="20"/>
          <w:szCs w:val="20"/>
        </w:rPr>
        <w:t>bylo o 14 tis. a v Rakousku o 8 tis. osob více.</w:t>
      </w:r>
    </w:p>
    <w:p w:rsidR="00016DBC" w:rsidRPr="00C9002B" w:rsidRDefault="00016DBC" w:rsidP="00016DBC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740E90" w:rsidRPr="00456552" w:rsidRDefault="00456552" w:rsidP="00456552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 podnikatelském sektoru</w:t>
      </w:r>
    </w:p>
    <w:p w:rsidR="00B05FC1" w:rsidRDefault="00B10982" w:rsidP="00B1098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Podnikatelský sektor </w:t>
      </w:r>
      <w:r w:rsidR="00E7583F">
        <w:rPr>
          <w:rFonts w:ascii="Arial" w:hAnsi="Arial" w:cs="Arial"/>
          <w:sz w:val="20"/>
          <w:szCs w:val="20"/>
        </w:rPr>
        <w:t xml:space="preserve">v ČR </w:t>
      </w:r>
      <w:r>
        <w:rPr>
          <w:rFonts w:ascii="Arial" w:hAnsi="Arial" w:cs="Arial"/>
          <w:sz w:val="20"/>
          <w:szCs w:val="20"/>
        </w:rPr>
        <w:t xml:space="preserve">dlouhodobě vede v počtu pracovišť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, počtu zaměstnanců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r w:rsidR="00E7583F"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z w:val="20"/>
          <w:szCs w:val="20"/>
        </w:rPr>
        <w:t xml:space="preserve">výši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>. Ve všech těchto základních sledovaných ukazatelích zaujímá nadpoloviční podíl</w:t>
      </w:r>
      <w:r w:rsidR="00E7583F">
        <w:rPr>
          <w:rFonts w:ascii="Arial" w:hAnsi="Arial" w:cs="Arial"/>
          <w:sz w:val="20"/>
          <w:szCs w:val="20"/>
        </w:rPr>
        <w:t xml:space="preserve"> z celku</w:t>
      </w:r>
      <w:r>
        <w:rPr>
          <w:rFonts w:ascii="Arial" w:hAnsi="Arial" w:cs="Arial"/>
          <w:sz w:val="20"/>
          <w:szCs w:val="20"/>
        </w:rPr>
        <w:t xml:space="preserve">. V roce 2017 se v podnicích na území ČR vynaložilo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56,8 mld. Kč. Druhým rokem po sobě tak podniky zaujímaly více než 60% podíl</w:t>
      </w:r>
      <w:r w:rsidR="00E7583F">
        <w:rPr>
          <w:rFonts w:ascii="Arial" w:hAnsi="Arial" w:cs="Arial"/>
          <w:sz w:val="20"/>
          <w:szCs w:val="20"/>
        </w:rPr>
        <w:t xml:space="preserve"> na celkových výdajích na </w:t>
      </w:r>
      <w:proofErr w:type="spellStart"/>
      <w:r w:rsidR="00E7583F"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. Výdaje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 tomto sektoru od roku 2009 neustále rostou, v posledním sledovaném roce to bylo dokonce o 16 %. </w:t>
      </w:r>
      <w:r w:rsidR="00953670">
        <w:rPr>
          <w:rFonts w:ascii="Arial" w:hAnsi="Arial" w:cs="Arial"/>
          <w:sz w:val="20"/>
          <w:szCs w:val="20"/>
        </w:rPr>
        <w:t xml:space="preserve">Největší zásluhu na tomto růstu mají podniky pod zahraniční kontrolou, jejichž výdaje na </w:t>
      </w:r>
      <w:proofErr w:type="spellStart"/>
      <w:r w:rsidR="00953670">
        <w:rPr>
          <w:rFonts w:ascii="Arial" w:hAnsi="Arial" w:cs="Arial"/>
          <w:sz w:val="20"/>
          <w:szCs w:val="20"/>
        </w:rPr>
        <w:t>VaV</w:t>
      </w:r>
      <w:proofErr w:type="spellEnd"/>
      <w:r w:rsidR="00953670">
        <w:rPr>
          <w:rFonts w:ascii="Arial" w:hAnsi="Arial" w:cs="Arial"/>
          <w:sz w:val="20"/>
          <w:szCs w:val="20"/>
        </w:rPr>
        <w:t xml:space="preserve"> rostou nejrychle</w:t>
      </w:r>
      <w:r w:rsidR="00167AF5">
        <w:rPr>
          <w:rFonts w:ascii="Arial" w:hAnsi="Arial" w:cs="Arial"/>
          <w:sz w:val="20"/>
          <w:szCs w:val="20"/>
        </w:rPr>
        <w:t>jším tempem</w:t>
      </w:r>
      <w:r w:rsidR="00953670">
        <w:rPr>
          <w:rFonts w:ascii="Arial" w:hAnsi="Arial" w:cs="Arial"/>
          <w:sz w:val="20"/>
          <w:szCs w:val="20"/>
        </w:rPr>
        <w:t xml:space="preserve"> a v roce 2017 tvořily 65 % </w:t>
      </w:r>
      <w:r w:rsidR="00E7583F">
        <w:rPr>
          <w:rFonts w:ascii="Arial" w:hAnsi="Arial" w:cs="Arial"/>
          <w:sz w:val="20"/>
          <w:szCs w:val="20"/>
        </w:rPr>
        <w:t xml:space="preserve">výdajů na </w:t>
      </w:r>
      <w:proofErr w:type="spellStart"/>
      <w:r w:rsidR="00E7583F">
        <w:rPr>
          <w:rFonts w:ascii="Arial" w:hAnsi="Arial" w:cs="Arial"/>
          <w:sz w:val="20"/>
          <w:szCs w:val="20"/>
        </w:rPr>
        <w:t>VaV</w:t>
      </w:r>
      <w:proofErr w:type="spellEnd"/>
      <w:r w:rsidR="00E7583F">
        <w:rPr>
          <w:rFonts w:ascii="Arial" w:hAnsi="Arial" w:cs="Arial"/>
          <w:sz w:val="20"/>
          <w:szCs w:val="20"/>
        </w:rPr>
        <w:t xml:space="preserve"> </w:t>
      </w:r>
      <w:r w:rsidR="00953670">
        <w:rPr>
          <w:rFonts w:ascii="Arial" w:hAnsi="Arial" w:cs="Arial"/>
          <w:sz w:val="20"/>
          <w:szCs w:val="20"/>
        </w:rPr>
        <w:t xml:space="preserve">podnikatelského sektoru a 40 % celkových výdajů na </w:t>
      </w:r>
      <w:proofErr w:type="spellStart"/>
      <w:r w:rsidR="00953670">
        <w:rPr>
          <w:rFonts w:ascii="Arial" w:hAnsi="Arial" w:cs="Arial"/>
          <w:sz w:val="20"/>
          <w:szCs w:val="20"/>
        </w:rPr>
        <w:t>VaV</w:t>
      </w:r>
      <w:proofErr w:type="spellEnd"/>
      <w:r w:rsidR="00953670">
        <w:rPr>
          <w:rFonts w:ascii="Arial" w:hAnsi="Arial" w:cs="Arial"/>
          <w:sz w:val="20"/>
          <w:szCs w:val="20"/>
        </w:rPr>
        <w:t xml:space="preserve"> na území ČR. </w:t>
      </w:r>
      <w:r w:rsidR="00AE1C26">
        <w:rPr>
          <w:rFonts w:ascii="Arial" w:hAnsi="Arial" w:cs="Arial"/>
          <w:sz w:val="20"/>
          <w:szCs w:val="20"/>
        </w:rPr>
        <w:t>Soukromé domácí podniky měly v roce 2017 asi 30% podíl na výdajích</w:t>
      </w:r>
      <w:r w:rsidR="00167AF5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167AF5">
        <w:rPr>
          <w:rFonts w:ascii="Arial" w:hAnsi="Arial" w:cs="Arial"/>
          <w:sz w:val="20"/>
          <w:szCs w:val="20"/>
        </w:rPr>
        <w:t>VaV</w:t>
      </w:r>
      <w:proofErr w:type="spellEnd"/>
      <w:r w:rsidR="00167AF5">
        <w:rPr>
          <w:rFonts w:ascii="Arial" w:hAnsi="Arial" w:cs="Arial"/>
          <w:sz w:val="20"/>
          <w:szCs w:val="20"/>
        </w:rPr>
        <w:t xml:space="preserve"> podnikatelského sektoru, přičemž</w:t>
      </w:r>
      <w:r w:rsidR="00A97579">
        <w:rPr>
          <w:rFonts w:ascii="Arial" w:hAnsi="Arial" w:cs="Arial"/>
          <w:sz w:val="20"/>
          <w:szCs w:val="20"/>
        </w:rPr>
        <w:t xml:space="preserve"> 4/5 </w:t>
      </w:r>
      <w:r w:rsidR="00AE1C26">
        <w:rPr>
          <w:rFonts w:ascii="Arial" w:hAnsi="Arial" w:cs="Arial"/>
          <w:sz w:val="20"/>
          <w:szCs w:val="20"/>
        </w:rPr>
        <w:t xml:space="preserve">jejich výdajů na </w:t>
      </w:r>
      <w:proofErr w:type="spellStart"/>
      <w:r w:rsidR="00AE1C26">
        <w:rPr>
          <w:rFonts w:ascii="Arial" w:hAnsi="Arial" w:cs="Arial"/>
          <w:sz w:val="20"/>
          <w:szCs w:val="20"/>
        </w:rPr>
        <w:t>VaV</w:t>
      </w:r>
      <w:proofErr w:type="spellEnd"/>
      <w:r w:rsidR="00AE1C26">
        <w:rPr>
          <w:rFonts w:ascii="Arial" w:hAnsi="Arial" w:cs="Arial"/>
          <w:sz w:val="20"/>
          <w:szCs w:val="20"/>
        </w:rPr>
        <w:t xml:space="preserve"> byly financovány z podnikatelských zdrojů a přibližně 15 % z veřejných domácích zdrojů.</w:t>
      </w:r>
    </w:p>
    <w:p w:rsidR="00D7335D" w:rsidRDefault="00953670" w:rsidP="00B1098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Výzkum v podnicích je financován především z vlastních zdrojů podniků, což v největší míře platí pro podniky pod zahraniční kontrolou, kde podnikatel</w:t>
      </w:r>
      <w:r w:rsidR="00BC2359">
        <w:rPr>
          <w:rFonts w:ascii="Arial" w:hAnsi="Arial" w:cs="Arial"/>
          <w:sz w:val="20"/>
          <w:szCs w:val="20"/>
        </w:rPr>
        <w:t>ské zdroje zaujímají dokonce 98</w:t>
      </w:r>
      <w:r>
        <w:rPr>
          <w:rFonts w:ascii="Arial" w:hAnsi="Arial" w:cs="Arial"/>
          <w:sz w:val="20"/>
          <w:szCs w:val="20"/>
        </w:rPr>
        <w:t xml:space="preserve">% podíl jejich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BC2359">
        <w:rPr>
          <w:rFonts w:ascii="Arial" w:hAnsi="Arial" w:cs="Arial"/>
          <w:sz w:val="20"/>
          <w:szCs w:val="20"/>
        </w:rPr>
        <w:t xml:space="preserve">Český stát </w:t>
      </w:r>
      <w:r w:rsidR="004410EE">
        <w:rPr>
          <w:rFonts w:ascii="Arial" w:hAnsi="Arial" w:cs="Arial"/>
          <w:sz w:val="20"/>
          <w:szCs w:val="20"/>
        </w:rPr>
        <w:t>podpořil</w:t>
      </w:r>
      <w:r w:rsidR="00BC2359">
        <w:rPr>
          <w:rFonts w:ascii="Arial" w:hAnsi="Arial" w:cs="Arial"/>
          <w:sz w:val="20"/>
          <w:szCs w:val="20"/>
        </w:rPr>
        <w:t xml:space="preserve"> </w:t>
      </w:r>
      <w:r w:rsidR="004410EE">
        <w:rPr>
          <w:rFonts w:ascii="Arial" w:hAnsi="Arial" w:cs="Arial"/>
          <w:sz w:val="20"/>
          <w:szCs w:val="20"/>
        </w:rPr>
        <w:t xml:space="preserve">podnikový výzkum </w:t>
      </w:r>
      <w:r w:rsidR="00BC2359">
        <w:rPr>
          <w:rFonts w:ascii="Arial" w:hAnsi="Arial" w:cs="Arial"/>
          <w:sz w:val="20"/>
          <w:szCs w:val="20"/>
        </w:rPr>
        <w:t>v ro</w:t>
      </w:r>
      <w:r w:rsidR="004410EE">
        <w:rPr>
          <w:rFonts w:ascii="Arial" w:hAnsi="Arial" w:cs="Arial"/>
          <w:sz w:val="20"/>
          <w:szCs w:val="20"/>
        </w:rPr>
        <w:t>ce 2017 čtyřmi miliardami</w:t>
      </w:r>
      <w:r w:rsidR="00243F9E">
        <w:rPr>
          <w:rFonts w:ascii="Arial" w:hAnsi="Arial" w:cs="Arial"/>
          <w:sz w:val="20"/>
          <w:szCs w:val="20"/>
        </w:rPr>
        <w:t xml:space="preserve"> Kč</w:t>
      </w:r>
      <w:r w:rsidR="004410EE">
        <w:rPr>
          <w:rFonts w:ascii="Arial" w:hAnsi="Arial" w:cs="Arial"/>
          <w:sz w:val="20"/>
          <w:szCs w:val="20"/>
        </w:rPr>
        <w:t xml:space="preserve">, částkou o miliardu vyšší než </w:t>
      </w:r>
      <w:r w:rsidR="004410EE">
        <w:rPr>
          <w:rFonts w:ascii="Arial" w:hAnsi="Arial" w:cs="Arial"/>
          <w:sz w:val="20"/>
          <w:szCs w:val="20"/>
        </w:rPr>
        <w:lastRenderedPageBreak/>
        <w:t>v předchozím roce. Nejvíce</w:t>
      </w:r>
      <w:r w:rsidR="00BC2359">
        <w:rPr>
          <w:rFonts w:ascii="Arial" w:hAnsi="Arial" w:cs="Arial"/>
          <w:sz w:val="20"/>
          <w:szCs w:val="20"/>
        </w:rPr>
        <w:t xml:space="preserve"> </w:t>
      </w:r>
      <w:r w:rsidR="004410EE">
        <w:rPr>
          <w:rFonts w:ascii="Arial" w:hAnsi="Arial" w:cs="Arial"/>
          <w:sz w:val="20"/>
          <w:szCs w:val="20"/>
        </w:rPr>
        <w:t xml:space="preserve">český </w:t>
      </w:r>
      <w:r w:rsidR="00BC2359">
        <w:rPr>
          <w:rFonts w:ascii="Arial" w:hAnsi="Arial" w:cs="Arial"/>
          <w:sz w:val="20"/>
          <w:szCs w:val="20"/>
        </w:rPr>
        <w:t>stát</w:t>
      </w:r>
      <w:r w:rsidR="004410EE">
        <w:rPr>
          <w:rFonts w:ascii="Arial" w:hAnsi="Arial" w:cs="Arial"/>
          <w:sz w:val="20"/>
          <w:szCs w:val="20"/>
        </w:rPr>
        <w:t xml:space="preserve"> přispěl</w:t>
      </w:r>
      <w:r w:rsidR="00BC2359">
        <w:rPr>
          <w:rFonts w:ascii="Arial" w:hAnsi="Arial" w:cs="Arial"/>
          <w:sz w:val="20"/>
          <w:szCs w:val="20"/>
        </w:rPr>
        <w:t xml:space="preserve"> malým a středním soukromým domácím podniků</w:t>
      </w:r>
      <w:r w:rsidR="00BC2359" w:rsidRPr="004410EE">
        <w:rPr>
          <w:rFonts w:ascii="Arial" w:hAnsi="Arial" w:cs="Arial"/>
          <w:sz w:val="20"/>
          <w:szCs w:val="20"/>
        </w:rPr>
        <w:t xml:space="preserve">m. </w:t>
      </w:r>
      <w:r w:rsidR="00A97579">
        <w:rPr>
          <w:rFonts w:ascii="Arial" w:hAnsi="Arial" w:cs="Arial"/>
          <w:sz w:val="20"/>
          <w:szCs w:val="20"/>
        </w:rPr>
        <w:t>Asi 0,5 </w:t>
      </w:r>
      <w:r w:rsidR="004410EE" w:rsidRPr="004410EE">
        <w:rPr>
          <w:rFonts w:ascii="Arial" w:hAnsi="Arial" w:cs="Arial"/>
          <w:sz w:val="20"/>
          <w:szCs w:val="20"/>
        </w:rPr>
        <w:t xml:space="preserve">mld. Kč získaly z domácích veřejných zdrojů podniky pod zahraniční kontrolou. </w:t>
      </w:r>
      <w:r w:rsidR="007A5C8E">
        <w:rPr>
          <w:rFonts w:ascii="Arial" w:hAnsi="Arial" w:cs="Arial"/>
          <w:sz w:val="20"/>
          <w:szCs w:val="20"/>
        </w:rPr>
        <w:t>Z</w:t>
      </w:r>
      <w:r w:rsidR="00CA553D">
        <w:rPr>
          <w:rFonts w:ascii="Arial" w:hAnsi="Arial" w:cs="Arial"/>
          <w:sz w:val="20"/>
          <w:szCs w:val="20"/>
        </w:rPr>
        <w:t>ahraniční veřejné zdroje v letech</w:t>
      </w:r>
      <w:r w:rsidR="00BC2359">
        <w:rPr>
          <w:rFonts w:ascii="Arial" w:hAnsi="Arial" w:cs="Arial"/>
          <w:sz w:val="20"/>
          <w:szCs w:val="20"/>
        </w:rPr>
        <w:t xml:space="preserve"> </w:t>
      </w:r>
      <w:r w:rsidR="007A5C8E">
        <w:rPr>
          <w:rFonts w:ascii="Arial" w:hAnsi="Arial" w:cs="Arial"/>
          <w:sz w:val="20"/>
          <w:szCs w:val="20"/>
        </w:rPr>
        <w:t>2014 a 2015</w:t>
      </w:r>
      <w:r w:rsidR="00CA553D">
        <w:rPr>
          <w:rFonts w:ascii="Arial" w:hAnsi="Arial" w:cs="Arial"/>
          <w:sz w:val="20"/>
          <w:szCs w:val="20"/>
        </w:rPr>
        <w:t xml:space="preserve"> </w:t>
      </w:r>
      <w:r w:rsidR="00AE1C26">
        <w:rPr>
          <w:rFonts w:ascii="Arial" w:hAnsi="Arial" w:cs="Arial"/>
          <w:sz w:val="20"/>
          <w:szCs w:val="20"/>
        </w:rPr>
        <w:t>přesahovaly</w:t>
      </w:r>
      <w:r w:rsidR="00CA553D">
        <w:rPr>
          <w:rFonts w:ascii="Arial" w:hAnsi="Arial" w:cs="Arial"/>
          <w:sz w:val="20"/>
          <w:szCs w:val="20"/>
        </w:rPr>
        <w:t xml:space="preserve"> 2 mld. Kč a tvořily přes 4 % výdajů na </w:t>
      </w:r>
      <w:proofErr w:type="spellStart"/>
      <w:r w:rsidR="00CA553D">
        <w:rPr>
          <w:rFonts w:ascii="Arial" w:hAnsi="Arial" w:cs="Arial"/>
          <w:sz w:val="20"/>
          <w:szCs w:val="20"/>
        </w:rPr>
        <w:t>VaV</w:t>
      </w:r>
      <w:proofErr w:type="spellEnd"/>
      <w:r w:rsidR="00CA553D">
        <w:rPr>
          <w:rFonts w:ascii="Arial" w:hAnsi="Arial" w:cs="Arial"/>
          <w:sz w:val="20"/>
          <w:szCs w:val="20"/>
        </w:rPr>
        <w:t xml:space="preserve"> podnikatelského sektoru.</w:t>
      </w:r>
      <w:r w:rsidR="007A5C8E">
        <w:rPr>
          <w:rFonts w:ascii="Arial" w:hAnsi="Arial" w:cs="Arial"/>
          <w:sz w:val="20"/>
          <w:szCs w:val="20"/>
        </w:rPr>
        <w:t xml:space="preserve"> Po poklesu v roce 2016, došlo v roce 2017 k nárůstu na</w:t>
      </w:r>
      <w:r w:rsidR="00CA553D">
        <w:rPr>
          <w:rFonts w:ascii="Arial" w:hAnsi="Arial" w:cs="Arial"/>
          <w:sz w:val="20"/>
          <w:szCs w:val="20"/>
        </w:rPr>
        <w:t xml:space="preserve"> 1,3 mld. Kč (2,4 % výdajů na </w:t>
      </w:r>
      <w:proofErr w:type="spellStart"/>
      <w:r w:rsidR="00CA553D">
        <w:rPr>
          <w:rFonts w:ascii="Arial" w:hAnsi="Arial" w:cs="Arial"/>
          <w:sz w:val="20"/>
          <w:szCs w:val="20"/>
        </w:rPr>
        <w:t>VaV</w:t>
      </w:r>
      <w:proofErr w:type="spellEnd"/>
      <w:r w:rsidR="00CA553D">
        <w:rPr>
          <w:rFonts w:ascii="Arial" w:hAnsi="Arial" w:cs="Arial"/>
          <w:sz w:val="20"/>
          <w:szCs w:val="20"/>
        </w:rPr>
        <w:t xml:space="preserve"> podnikového sektoru). Obdobně jako v případě veřejných domácích zdrojů, čerpají </w:t>
      </w:r>
      <w:r w:rsidR="007A5C8E">
        <w:rPr>
          <w:rFonts w:ascii="Arial" w:hAnsi="Arial" w:cs="Arial"/>
          <w:sz w:val="20"/>
          <w:szCs w:val="20"/>
        </w:rPr>
        <w:t>veřejnou zahraniční podporu</w:t>
      </w:r>
      <w:r w:rsidR="00CA553D">
        <w:rPr>
          <w:rFonts w:ascii="Arial" w:hAnsi="Arial" w:cs="Arial"/>
          <w:sz w:val="20"/>
          <w:szCs w:val="20"/>
        </w:rPr>
        <w:t xml:space="preserve"> ve větší míře podniky domácí než zahraniční. </w:t>
      </w:r>
      <w:r w:rsidR="007A5C8E">
        <w:rPr>
          <w:rFonts w:ascii="Arial" w:hAnsi="Arial" w:cs="Arial"/>
          <w:sz w:val="20"/>
          <w:szCs w:val="20"/>
        </w:rPr>
        <w:t>V</w:t>
      </w:r>
      <w:r w:rsidR="00D7335D">
        <w:rPr>
          <w:rFonts w:ascii="Arial" w:hAnsi="Arial" w:cs="Arial"/>
          <w:sz w:val="20"/>
          <w:szCs w:val="20"/>
        </w:rPr>
        <w:t>yšší souhrnná částka čerpaná soukromými domácími podniky je logická i z toho důvodu, že sou</w:t>
      </w:r>
      <w:r w:rsidR="007A5C8E">
        <w:rPr>
          <w:rFonts w:ascii="Arial" w:hAnsi="Arial" w:cs="Arial"/>
          <w:sz w:val="20"/>
          <w:szCs w:val="20"/>
        </w:rPr>
        <w:t>kromých domácích podniků provádějících</w:t>
      </w:r>
      <w:r w:rsidR="00D7335D">
        <w:rPr>
          <w:rFonts w:ascii="Arial" w:hAnsi="Arial" w:cs="Arial"/>
          <w:sz w:val="20"/>
          <w:szCs w:val="20"/>
        </w:rPr>
        <w:t xml:space="preserve"> výzkum na území ČR </w:t>
      </w:r>
      <w:r w:rsidR="007A5C8E">
        <w:rPr>
          <w:rFonts w:ascii="Arial" w:hAnsi="Arial" w:cs="Arial"/>
          <w:sz w:val="20"/>
          <w:szCs w:val="20"/>
        </w:rPr>
        <w:t xml:space="preserve">je </w:t>
      </w:r>
      <w:r w:rsidR="00D7335D">
        <w:rPr>
          <w:rFonts w:ascii="Arial" w:hAnsi="Arial" w:cs="Arial"/>
          <w:sz w:val="20"/>
          <w:szCs w:val="20"/>
        </w:rPr>
        <w:t xml:space="preserve">třikrát víc než podniků zahraničních. </w:t>
      </w:r>
    </w:p>
    <w:p w:rsidR="00770DE5" w:rsidRDefault="00E14BEF" w:rsidP="00B1098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A5C7554" wp14:editId="7353EDE7">
            <wp:extent cx="6124575" cy="340995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7335D">
        <w:rPr>
          <w:rFonts w:ascii="Arial" w:hAnsi="Arial" w:cs="Arial"/>
          <w:sz w:val="20"/>
          <w:szCs w:val="20"/>
        </w:rPr>
        <w:t xml:space="preserve">Z hlediska druhu výdajů připadá 52 % na mzdy. </w:t>
      </w:r>
      <w:r w:rsidR="00CA6DB1">
        <w:rPr>
          <w:rFonts w:ascii="Arial" w:hAnsi="Arial" w:cs="Arial"/>
          <w:sz w:val="20"/>
          <w:szCs w:val="20"/>
        </w:rPr>
        <w:t>Mzdy</w:t>
      </w:r>
      <w:r w:rsidR="00D7335D">
        <w:rPr>
          <w:rFonts w:ascii="Arial" w:hAnsi="Arial" w:cs="Arial"/>
          <w:sz w:val="20"/>
          <w:szCs w:val="20"/>
        </w:rPr>
        <w:t xml:space="preserve"> jsou nejrychleji </w:t>
      </w:r>
      <w:r w:rsidR="00305BD7">
        <w:rPr>
          <w:rFonts w:ascii="Arial" w:hAnsi="Arial" w:cs="Arial"/>
          <w:sz w:val="20"/>
          <w:szCs w:val="20"/>
        </w:rPr>
        <w:t>rostoucí</w:t>
      </w:r>
      <w:r w:rsidR="00D7335D">
        <w:rPr>
          <w:rFonts w:ascii="Arial" w:hAnsi="Arial" w:cs="Arial"/>
          <w:sz w:val="20"/>
          <w:szCs w:val="20"/>
        </w:rPr>
        <w:t xml:space="preserve"> výdajovou polož</w:t>
      </w:r>
      <w:r w:rsidR="006D7976">
        <w:rPr>
          <w:rFonts w:ascii="Arial" w:hAnsi="Arial" w:cs="Arial"/>
          <w:sz w:val="20"/>
          <w:szCs w:val="20"/>
        </w:rPr>
        <w:t xml:space="preserve">kou podniků na </w:t>
      </w:r>
      <w:proofErr w:type="spellStart"/>
      <w:r w:rsidR="006D7976">
        <w:rPr>
          <w:rFonts w:ascii="Arial" w:hAnsi="Arial" w:cs="Arial"/>
          <w:sz w:val="20"/>
          <w:szCs w:val="20"/>
        </w:rPr>
        <w:t>VaV</w:t>
      </w:r>
      <w:proofErr w:type="spellEnd"/>
      <w:r w:rsidR="006D7976">
        <w:rPr>
          <w:rFonts w:ascii="Arial" w:hAnsi="Arial" w:cs="Arial"/>
          <w:sz w:val="20"/>
          <w:szCs w:val="20"/>
        </w:rPr>
        <w:t>. Od roku 2013</w:t>
      </w:r>
      <w:r w:rsidR="00D7335D">
        <w:rPr>
          <w:rFonts w:ascii="Arial" w:hAnsi="Arial" w:cs="Arial"/>
          <w:sz w:val="20"/>
          <w:szCs w:val="20"/>
        </w:rPr>
        <w:t xml:space="preserve"> </w:t>
      </w:r>
      <w:r w:rsidR="00305BD7">
        <w:rPr>
          <w:rFonts w:ascii="Arial" w:hAnsi="Arial" w:cs="Arial"/>
          <w:sz w:val="20"/>
          <w:szCs w:val="20"/>
        </w:rPr>
        <w:t>se zvýšily</w:t>
      </w:r>
      <w:r w:rsidR="006D7976">
        <w:rPr>
          <w:rFonts w:ascii="Arial" w:hAnsi="Arial" w:cs="Arial"/>
          <w:sz w:val="20"/>
          <w:szCs w:val="20"/>
        </w:rPr>
        <w:t xml:space="preserve"> o 1</w:t>
      </w:r>
      <w:r w:rsidR="00D7335D">
        <w:rPr>
          <w:rFonts w:ascii="Arial" w:hAnsi="Arial" w:cs="Arial"/>
          <w:sz w:val="20"/>
          <w:szCs w:val="20"/>
        </w:rPr>
        <w:t>0 mld. Kč</w:t>
      </w:r>
      <w:r w:rsidR="006D7976">
        <w:rPr>
          <w:rFonts w:ascii="Arial" w:hAnsi="Arial" w:cs="Arial"/>
          <w:sz w:val="20"/>
          <w:szCs w:val="20"/>
        </w:rPr>
        <w:t xml:space="preserve"> na stávajících 29,7 mld. Kč</w:t>
      </w:r>
      <w:r w:rsidR="00D7335D">
        <w:rPr>
          <w:rFonts w:ascii="Arial" w:hAnsi="Arial" w:cs="Arial"/>
          <w:sz w:val="20"/>
          <w:szCs w:val="20"/>
        </w:rPr>
        <w:t xml:space="preserve">. </w:t>
      </w:r>
      <w:r w:rsidR="00305BD7">
        <w:rPr>
          <w:rFonts w:ascii="Arial" w:hAnsi="Arial" w:cs="Arial"/>
          <w:sz w:val="20"/>
          <w:szCs w:val="20"/>
        </w:rPr>
        <w:t xml:space="preserve">Při srovnání mzdových nákladů na 1 přepočtenou osobu (FTE) se </w:t>
      </w:r>
      <w:r w:rsidR="00243F9E">
        <w:rPr>
          <w:rFonts w:ascii="Arial" w:hAnsi="Arial" w:cs="Arial"/>
          <w:sz w:val="20"/>
          <w:szCs w:val="20"/>
        </w:rPr>
        <w:t xml:space="preserve">nejvíce prostředků </w:t>
      </w:r>
      <w:r w:rsidR="00305BD7">
        <w:rPr>
          <w:rFonts w:ascii="Arial" w:hAnsi="Arial" w:cs="Arial"/>
          <w:sz w:val="20"/>
          <w:szCs w:val="20"/>
        </w:rPr>
        <w:t xml:space="preserve">na mzdy pracovníků </w:t>
      </w:r>
      <w:proofErr w:type="spellStart"/>
      <w:r w:rsidR="00305BD7">
        <w:rPr>
          <w:rFonts w:ascii="Arial" w:hAnsi="Arial" w:cs="Arial"/>
          <w:sz w:val="20"/>
          <w:szCs w:val="20"/>
        </w:rPr>
        <w:t>VaV</w:t>
      </w:r>
      <w:proofErr w:type="spellEnd"/>
      <w:r w:rsidR="00305BD7">
        <w:rPr>
          <w:rFonts w:ascii="Arial" w:hAnsi="Arial" w:cs="Arial"/>
          <w:sz w:val="20"/>
          <w:szCs w:val="20"/>
        </w:rPr>
        <w:t xml:space="preserve"> vyna</w:t>
      </w:r>
      <w:r w:rsidR="00243F9E">
        <w:rPr>
          <w:rFonts w:ascii="Arial" w:hAnsi="Arial" w:cs="Arial"/>
          <w:sz w:val="20"/>
          <w:szCs w:val="20"/>
        </w:rPr>
        <w:t>kládá</w:t>
      </w:r>
      <w:r w:rsidR="00305BD7">
        <w:rPr>
          <w:rFonts w:ascii="Arial" w:hAnsi="Arial" w:cs="Arial"/>
          <w:sz w:val="20"/>
          <w:szCs w:val="20"/>
        </w:rPr>
        <w:t xml:space="preserve"> </w:t>
      </w:r>
      <w:r w:rsidR="00A97579">
        <w:rPr>
          <w:rFonts w:ascii="Arial" w:hAnsi="Arial" w:cs="Arial"/>
          <w:sz w:val="20"/>
          <w:szCs w:val="20"/>
        </w:rPr>
        <w:t>v </w:t>
      </w:r>
      <w:r w:rsidR="00243F9E">
        <w:rPr>
          <w:rFonts w:ascii="Arial" w:hAnsi="Arial" w:cs="Arial"/>
          <w:sz w:val="20"/>
          <w:szCs w:val="20"/>
        </w:rPr>
        <w:t>zahraničních podnicích.</w:t>
      </w:r>
      <w:r w:rsidR="00305BD7">
        <w:rPr>
          <w:rFonts w:ascii="Arial" w:hAnsi="Arial" w:cs="Arial"/>
          <w:sz w:val="20"/>
          <w:szCs w:val="20"/>
        </w:rPr>
        <w:t xml:space="preserve"> </w:t>
      </w:r>
      <w:r w:rsidR="00243F9E">
        <w:rPr>
          <w:rFonts w:ascii="Arial" w:hAnsi="Arial" w:cs="Arial"/>
          <w:sz w:val="20"/>
          <w:szCs w:val="20"/>
        </w:rPr>
        <w:t>V</w:t>
      </w:r>
      <w:r w:rsidR="00305BD7">
        <w:rPr>
          <w:rFonts w:ascii="Arial" w:hAnsi="Arial" w:cs="Arial"/>
          <w:sz w:val="20"/>
          <w:szCs w:val="20"/>
        </w:rPr>
        <w:t> roce 2017</w:t>
      </w:r>
      <w:r w:rsidR="00243F9E">
        <w:rPr>
          <w:rFonts w:ascii="Arial" w:hAnsi="Arial" w:cs="Arial"/>
          <w:sz w:val="20"/>
          <w:szCs w:val="20"/>
        </w:rPr>
        <w:t xml:space="preserve"> to</w:t>
      </w:r>
      <w:r w:rsidR="00305BD7">
        <w:rPr>
          <w:rFonts w:ascii="Arial" w:hAnsi="Arial" w:cs="Arial"/>
          <w:sz w:val="20"/>
          <w:szCs w:val="20"/>
        </w:rPr>
        <w:t xml:space="preserve"> bylo okolo 900 tis. Kč za osobu na rok, přičemž v soukromých domácích podnicích necelých 600 tis. Kč za osobu na rok. </w:t>
      </w:r>
      <w:r w:rsidR="00D7335D">
        <w:rPr>
          <w:rFonts w:ascii="Arial" w:hAnsi="Arial" w:cs="Arial"/>
          <w:sz w:val="20"/>
          <w:szCs w:val="20"/>
        </w:rPr>
        <w:t>N</w:t>
      </w:r>
      <w:r w:rsidR="00305BD7">
        <w:rPr>
          <w:rFonts w:ascii="Arial" w:hAnsi="Arial" w:cs="Arial"/>
          <w:sz w:val="20"/>
          <w:szCs w:val="20"/>
        </w:rPr>
        <w:t>epříliš pozitivním úkazem je, že</w:t>
      </w:r>
      <w:r w:rsidR="00D7335D">
        <w:rPr>
          <w:rFonts w:ascii="Arial" w:hAnsi="Arial" w:cs="Arial"/>
          <w:sz w:val="20"/>
          <w:szCs w:val="20"/>
        </w:rPr>
        <w:t xml:space="preserve"> kapit</w:t>
      </w:r>
      <w:r w:rsidR="002B1288">
        <w:rPr>
          <w:rFonts w:ascii="Arial" w:hAnsi="Arial" w:cs="Arial"/>
          <w:sz w:val="20"/>
          <w:szCs w:val="20"/>
        </w:rPr>
        <w:t>ál</w:t>
      </w:r>
      <w:r w:rsidR="00D7335D">
        <w:rPr>
          <w:rFonts w:ascii="Arial" w:hAnsi="Arial" w:cs="Arial"/>
          <w:sz w:val="20"/>
          <w:szCs w:val="20"/>
        </w:rPr>
        <w:t>ové výdaje ve srovnání s rokem 2012 naopak klesly. V roce 2017 byly</w:t>
      </w:r>
      <w:r w:rsidR="002B1288">
        <w:rPr>
          <w:rFonts w:ascii="Arial" w:hAnsi="Arial" w:cs="Arial"/>
          <w:sz w:val="20"/>
          <w:szCs w:val="20"/>
        </w:rPr>
        <w:t xml:space="preserve"> asi 5,2 mld. Kč a tvořily 9</w:t>
      </w:r>
      <w:r w:rsidR="00305BD7">
        <w:rPr>
          <w:rFonts w:ascii="Arial" w:hAnsi="Arial" w:cs="Arial"/>
          <w:sz w:val="20"/>
          <w:szCs w:val="20"/>
        </w:rPr>
        <w:t xml:space="preserve"> </w:t>
      </w:r>
      <w:r w:rsidR="002B1288">
        <w:rPr>
          <w:rFonts w:ascii="Arial" w:hAnsi="Arial" w:cs="Arial"/>
          <w:sz w:val="20"/>
          <w:szCs w:val="20"/>
        </w:rPr>
        <w:t xml:space="preserve">% výdajů na </w:t>
      </w:r>
      <w:proofErr w:type="spellStart"/>
      <w:r w:rsidR="002B1288">
        <w:rPr>
          <w:rFonts w:ascii="Arial" w:hAnsi="Arial" w:cs="Arial"/>
          <w:sz w:val="20"/>
          <w:szCs w:val="20"/>
        </w:rPr>
        <w:t>VaV</w:t>
      </w:r>
      <w:proofErr w:type="spellEnd"/>
      <w:r w:rsidR="002B1288">
        <w:rPr>
          <w:rFonts w:ascii="Arial" w:hAnsi="Arial" w:cs="Arial"/>
          <w:sz w:val="20"/>
          <w:szCs w:val="20"/>
        </w:rPr>
        <w:t xml:space="preserve"> </w:t>
      </w:r>
      <w:r w:rsidR="00305BD7">
        <w:rPr>
          <w:rFonts w:ascii="Arial" w:hAnsi="Arial" w:cs="Arial"/>
          <w:sz w:val="20"/>
          <w:szCs w:val="20"/>
        </w:rPr>
        <w:t>podnikatelského</w:t>
      </w:r>
      <w:r w:rsidR="002B1288">
        <w:rPr>
          <w:rFonts w:ascii="Arial" w:hAnsi="Arial" w:cs="Arial"/>
          <w:sz w:val="20"/>
          <w:szCs w:val="20"/>
        </w:rPr>
        <w:t xml:space="preserve"> sektoru, </w:t>
      </w:r>
      <w:r w:rsidR="00943148">
        <w:rPr>
          <w:rFonts w:ascii="Arial" w:hAnsi="Arial" w:cs="Arial"/>
          <w:sz w:val="20"/>
          <w:szCs w:val="20"/>
        </w:rPr>
        <w:t>zatímco</w:t>
      </w:r>
      <w:r w:rsidR="002B1288">
        <w:rPr>
          <w:rFonts w:ascii="Arial" w:hAnsi="Arial" w:cs="Arial"/>
          <w:sz w:val="20"/>
          <w:szCs w:val="20"/>
        </w:rPr>
        <w:t xml:space="preserve"> v roce 2012 tvořily 17 % </w:t>
      </w:r>
      <w:r w:rsidR="00305BD7">
        <w:rPr>
          <w:rFonts w:ascii="Arial" w:hAnsi="Arial" w:cs="Arial"/>
          <w:sz w:val="20"/>
          <w:szCs w:val="20"/>
        </w:rPr>
        <w:t xml:space="preserve">podnikových </w:t>
      </w:r>
      <w:r w:rsidR="002B1288">
        <w:rPr>
          <w:rFonts w:ascii="Arial" w:hAnsi="Arial" w:cs="Arial"/>
          <w:sz w:val="20"/>
          <w:szCs w:val="20"/>
        </w:rPr>
        <w:t xml:space="preserve">výdajů na </w:t>
      </w:r>
      <w:proofErr w:type="spellStart"/>
      <w:r w:rsidR="002B1288">
        <w:rPr>
          <w:rFonts w:ascii="Arial" w:hAnsi="Arial" w:cs="Arial"/>
          <w:sz w:val="20"/>
          <w:szCs w:val="20"/>
        </w:rPr>
        <w:t>VaV</w:t>
      </w:r>
      <w:proofErr w:type="spellEnd"/>
      <w:r w:rsidR="002B1288">
        <w:rPr>
          <w:rFonts w:ascii="Arial" w:hAnsi="Arial" w:cs="Arial"/>
          <w:sz w:val="20"/>
          <w:szCs w:val="20"/>
        </w:rPr>
        <w:t xml:space="preserve">. </w:t>
      </w:r>
    </w:p>
    <w:p w:rsidR="00953670" w:rsidRDefault="00770DE5" w:rsidP="00B1098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roce 2017 jsme zaznamenali historicky největší počet podniků provádějících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 w:rsidR="00305BD7">
        <w:rPr>
          <w:rFonts w:ascii="Arial" w:hAnsi="Arial" w:cs="Arial"/>
          <w:sz w:val="20"/>
          <w:szCs w:val="20"/>
        </w:rPr>
        <w:t xml:space="preserve"> na území ČR. C</w:t>
      </w:r>
      <w:r>
        <w:rPr>
          <w:rFonts w:ascii="Arial" w:hAnsi="Arial" w:cs="Arial"/>
          <w:sz w:val="20"/>
          <w:szCs w:val="20"/>
        </w:rPr>
        <w:t>elkem</w:t>
      </w:r>
      <w:r w:rsidR="00305BD7">
        <w:rPr>
          <w:rFonts w:ascii="Arial" w:hAnsi="Arial" w:cs="Arial"/>
          <w:sz w:val="20"/>
          <w:szCs w:val="20"/>
        </w:rPr>
        <w:t xml:space="preserve"> jich bylo</w:t>
      </w:r>
      <w:r w:rsidR="00033AAE">
        <w:rPr>
          <w:rFonts w:ascii="Arial" w:hAnsi="Arial" w:cs="Arial"/>
          <w:sz w:val="20"/>
          <w:szCs w:val="20"/>
        </w:rPr>
        <w:t xml:space="preserve"> 2 601, z </w:t>
      </w:r>
      <w:r w:rsidR="00CA6DB1">
        <w:rPr>
          <w:rFonts w:ascii="Arial" w:hAnsi="Arial" w:cs="Arial"/>
          <w:sz w:val="20"/>
          <w:szCs w:val="20"/>
        </w:rPr>
        <w:t>nichž</w:t>
      </w:r>
      <w:r>
        <w:rPr>
          <w:rFonts w:ascii="Arial" w:hAnsi="Arial" w:cs="Arial"/>
          <w:sz w:val="20"/>
          <w:szCs w:val="20"/>
        </w:rPr>
        <w:t xml:space="preserve"> ¾ připadal</w:t>
      </w:r>
      <w:r w:rsidR="00CA6DB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domácí podniky, zahraničního vlastníka měla asi ¼ podniků. Domácích podniků je </w:t>
      </w:r>
      <w:r w:rsidR="00B5546A">
        <w:rPr>
          <w:rFonts w:ascii="Arial" w:hAnsi="Arial" w:cs="Arial"/>
          <w:sz w:val="20"/>
          <w:szCs w:val="20"/>
        </w:rPr>
        <w:t xml:space="preserve">sice </w:t>
      </w:r>
      <w:r w:rsidR="00033AAE">
        <w:rPr>
          <w:rFonts w:ascii="Arial" w:hAnsi="Arial" w:cs="Arial"/>
          <w:sz w:val="20"/>
          <w:szCs w:val="20"/>
        </w:rPr>
        <w:t>přibližně</w:t>
      </w:r>
      <w:r>
        <w:rPr>
          <w:rFonts w:ascii="Arial" w:hAnsi="Arial" w:cs="Arial"/>
          <w:sz w:val="20"/>
          <w:szCs w:val="20"/>
        </w:rPr>
        <w:t xml:space="preserve"> trojnásobek ve srovnání s podniky zahraničními, ale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vynakládají </w:t>
      </w:r>
      <w:r w:rsidR="00033AAE">
        <w:rPr>
          <w:rFonts w:ascii="Arial" w:hAnsi="Arial" w:cs="Arial"/>
          <w:sz w:val="20"/>
          <w:szCs w:val="20"/>
        </w:rPr>
        <w:t>téměř dvakrát méně než zahraniční podniky</w:t>
      </w:r>
      <w:r>
        <w:rPr>
          <w:rFonts w:ascii="Arial" w:hAnsi="Arial" w:cs="Arial"/>
          <w:sz w:val="20"/>
          <w:szCs w:val="20"/>
        </w:rPr>
        <w:t xml:space="preserve">. Mezi soukromými domácími podniky silně převažují podniky s nízkými výdaji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. Více než 80 % </w:t>
      </w:r>
      <w:r w:rsidR="00AD1737">
        <w:rPr>
          <w:rFonts w:ascii="Arial" w:hAnsi="Arial" w:cs="Arial"/>
          <w:sz w:val="20"/>
          <w:szCs w:val="20"/>
        </w:rPr>
        <w:t xml:space="preserve">těchto podniků vynaložilo v roce 2017 na výzkum méně než 10 mil. Kč. Mezi zahraničními podniky jsou ve větší míře zastoupeny podniky s vysokými výdaji na </w:t>
      </w:r>
      <w:proofErr w:type="spellStart"/>
      <w:r w:rsidR="00AD1737">
        <w:rPr>
          <w:rFonts w:ascii="Arial" w:hAnsi="Arial" w:cs="Arial"/>
          <w:sz w:val="20"/>
          <w:szCs w:val="20"/>
        </w:rPr>
        <w:t>VaV</w:t>
      </w:r>
      <w:proofErr w:type="spellEnd"/>
      <w:r w:rsidR="00AD1737">
        <w:rPr>
          <w:rFonts w:ascii="Arial" w:hAnsi="Arial" w:cs="Arial"/>
          <w:sz w:val="20"/>
          <w:szCs w:val="20"/>
        </w:rPr>
        <w:t>. T</w:t>
      </w:r>
      <w:r w:rsidR="00B5546A">
        <w:rPr>
          <w:rFonts w:ascii="Arial" w:hAnsi="Arial" w:cs="Arial"/>
          <w:sz w:val="20"/>
          <w:szCs w:val="20"/>
        </w:rPr>
        <w:t>ento fakt</w:t>
      </w:r>
      <w:r w:rsidR="00AD1737">
        <w:rPr>
          <w:rFonts w:ascii="Arial" w:hAnsi="Arial" w:cs="Arial"/>
          <w:sz w:val="20"/>
          <w:szCs w:val="20"/>
        </w:rPr>
        <w:t xml:space="preserve"> </w:t>
      </w:r>
      <w:r w:rsidR="00B5546A">
        <w:rPr>
          <w:rFonts w:ascii="Arial" w:hAnsi="Arial" w:cs="Arial"/>
          <w:sz w:val="20"/>
          <w:szCs w:val="20"/>
        </w:rPr>
        <w:t>vychází i z velikosti jednotlivých</w:t>
      </w:r>
      <w:r w:rsidR="00AD1737">
        <w:rPr>
          <w:rFonts w:ascii="Arial" w:hAnsi="Arial" w:cs="Arial"/>
          <w:sz w:val="20"/>
          <w:szCs w:val="20"/>
        </w:rPr>
        <w:t xml:space="preserve"> podniků provádějících u nás </w:t>
      </w:r>
      <w:proofErr w:type="spellStart"/>
      <w:r w:rsidR="00AD1737">
        <w:rPr>
          <w:rFonts w:ascii="Arial" w:hAnsi="Arial" w:cs="Arial"/>
          <w:sz w:val="20"/>
          <w:szCs w:val="20"/>
        </w:rPr>
        <w:t>VaV</w:t>
      </w:r>
      <w:proofErr w:type="spellEnd"/>
      <w:r w:rsidR="00AD1737">
        <w:rPr>
          <w:rFonts w:ascii="Arial" w:hAnsi="Arial" w:cs="Arial"/>
          <w:sz w:val="20"/>
          <w:szCs w:val="20"/>
        </w:rPr>
        <w:t xml:space="preserve">. V případě zahraničních </w:t>
      </w:r>
      <w:r w:rsidR="00B41494">
        <w:rPr>
          <w:rFonts w:ascii="Arial" w:hAnsi="Arial" w:cs="Arial"/>
          <w:sz w:val="20"/>
          <w:szCs w:val="20"/>
        </w:rPr>
        <w:t>podniků se nejčastěji jedná o velké podniky s více než 250 zaměstnanci, případně střední podniky s více než 50 zaměstnanci. V případě sou</w:t>
      </w:r>
      <w:r w:rsidR="00D07790">
        <w:rPr>
          <w:rFonts w:ascii="Arial" w:hAnsi="Arial" w:cs="Arial"/>
          <w:sz w:val="20"/>
          <w:szCs w:val="20"/>
        </w:rPr>
        <w:t>k</w:t>
      </w:r>
      <w:r w:rsidR="00B41494">
        <w:rPr>
          <w:rFonts w:ascii="Arial" w:hAnsi="Arial" w:cs="Arial"/>
          <w:sz w:val="20"/>
          <w:szCs w:val="20"/>
        </w:rPr>
        <w:t xml:space="preserve">romých domácích </w:t>
      </w:r>
      <w:r w:rsidR="00B5546A">
        <w:rPr>
          <w:rFonts w:ascii="Arial" w:hAnsi="Arial" w:cs="Arial"/>
          <w:sz w:val="20"/>
          <w:szCs w:val="20"/>
        </w:rPr>
        <w:t>firem</w:t>
      </w:r>
      <w:r w:rsidR="00B41494">
        <w:rPr>
          <w:rFonts w:ascii="Arial" w:hAnsi="Arial" w:cs="Arial"/>
          <w:sz w:val="20"/>
          <w:szCs w:val="20"/>
        </w:rPr>
        <w:t xml:space="preserve"> provádějících </w:t>
      </w:r>
      <w:proofErr w:type="spellStart"/>
      <w:r w:rsidR="00B41494">
        <w:rPr>
          <w:rFonts w:ascii="Arial" w:hAnsi="Arial" w:cs="Arial"/>
          <w:sz w:val="20"/>
          <w:szCs w:val="20"/>
        </w:rPr>
        <w:t>VaV</w:t>
      </w:r>
      <w:proofErr w:type="spellEnd"/>
      <w:r w:rsidR="00B41494">
        <w:rPr>
          <w:rFonts w:ascii="Arial" w:hAnsi="Arial" w:cs="Arial"/>
          <w:sz w:val="20"/>
          <w:szCs w:val="20"/>
        </w:rPr>
        <w:t xml:space="preserve"> </w:t>
      </w:r>
      <w:r w:rsidR="00B5546A">
        <w:rPr>
          <w:rFonts w:ascii="Arial" w:hAnsi="Arial" w:cs="Arial"/>
          <w:sz w:val="20"/>
          <w:szCs w:val="20"/>
        </w:rPr>
        <w:t>se ve více než polovině případů jedná o malé podniky</w:t>
      </w:r>
      <w:r w:rsidR="00B41494">
        <w:rPr>
          <w:rFonts w:ascii="Arial" w:hAnsi="Arial" w:cs="Arial"/>
          <w:sz w:val="20"/>
          <w:szCs w:val="20"/>
        </w:rPr>
        <w:t xml:space="preserve"> s méně než 50 zaměstnanci.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24A7B" w:rsidRDefault="00724A7B" w:rsidP="00B1098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regionálním srovnání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jsou dlouhodobě nejvýznamněj</w:t>
      </w:r>
      <w:r w:rsidR="00A97579">
        <w:rPr>
          <w:rFonts w:ascii="Arial" w:hAnsi="Arial" w:cs="Arial"/>
          <w:sz w:val="20"/>
          <w:szCs w:val="20"/>
        </w:rPr>
        <w:t>šími kraji Praha, Středočeský a </w:t>
      </w:r>
      <w:r>
        <w:rPr>
          <w:rFonts w:ascii="Arial" w:hAnsi="Arial" w:cs="Arial"/>
          <w:sz w:val="20"/>
          <w:szCs w:val="20"/>
        </w:rPr>
        <w:t xml:space="preserve">Jihomoravský kraj. </w:t>
      </w:r>
      <w:r w:rsidR="00E25458">
        <w:rPr>
          <w:rFonts w:ascii="Arial" w:hAnsi="Arial" w:cs="Arial"/>
          <w:sz w:val="20"/>
          <w:szCs w:val="20"/>
        </w:rPr>
        <w:t>Jihomoravský kraj je</w:t>
      </w:r>
      <w:r w:rsidR="006A262A">
        <w:rPr>
          <w:rFonts w:ascii="Arial" w:hAnsi="Arial" w:cs="Arial"/>
          <w:sz w:val="20"/>
          <w:szCs w:val="20"/>
        </w:rPr>
        <w:t xml:space="preserve"> v tomto měření na třetím místě. V</w:t>
      </w:r>
      <w:r w:rsidR="00E25458">
        <w:rPr>
          <w:rFonts w:ascii="Arial" w:hAnsi="Arial" w:cs="Arial"/>
          <w:sz w:val="20"/>
          <w:szCs w:val="20"/>
        </w:rPr>
        <w:t>ýdaj</w:t>
      </w:r>
      <w:r w:rsidR="00622B9B">
        <w:rPr>
          <w:rFonts w:ascii="Arial" w:hAnsi="Arial" w:cs="Arial"/>
          <w:sz w:val="20"/>
          <w:szCs w:val="20"/>
        </w:rPr>
        <w:t xml:space="preserve">e na </w:t>
      </w:r>
      <w:proofErr w:type="spellStart"/>
      <w:r w:rsidR="00622B9B">
        <w:rPr>
          <w:rFonts w:ascii="Arial" w:hAnsi="Arial" w:cs="Arial"/>
          <w:sz w:val="20"/>
          <w:szCs w:val="20"/>
        </w:rPr>
        <w:t>VaV</w:t>
      </w:r>
      <w:proofErr w:type="spellEnd"/>
      <w:r w:rsidR="00622B9B">
        <w:rPr>
          <w:rFonts w:ascii="Arial" w:hAnsi="Arial" w:cs="Arial"/>
          <w:sz w:val="20"/>
          <w:szCs w:val="20"/>
        </w:rPr>
        <w:t xml:space="preserve"> podniků v tomto kraji se</w:t>
      </w:r>
      <w:r w:rsidR="00E25458">
        <w:rPr>
          <w:rFonts w:ascii="Arial" w:hAnsi="Arial" w:cs="Arial"/>
          <w:sz w:val="20"/>
          <w:szCs w:val="20"/>
        </w:rPr>
        <w:t xml:space="preserve"> poslední 4 roky </w:t>
      </w:r>
      <w:r w:rsidR="00CA6DB1">
        <w:rPr>
          <w:rFonts w:ascii="Arial" w:hAnsi="Arial" w:cs="Arial"/>
          <w:sz w:val="20"/>
          <w:szCs w:val="20"/>
        </w:rPr>
        <w:t xml:space="preserve">nepřetržitě </w:t>
      </w:r>
      <w:r w:rsidR="00622B9B">
        <w:rPr>
          <w:rFonts w:ascii="Arial" w:hAnsi="Arial" w:cs="Arial"/>
          <w:sz w:val="20"/>
          <w:szCs w:val="20"/>
        </w:rPr>
        <w:t>pohybují</w:t>
      </w:r>
      <w:r w:rsidR="00CA6DB1">
        <w:rPr>
          <w:rFonts w:ascii="Arial" w:hAnsi="Arial" w:cs="Arial"/>
          <w:sz w:val="20"/>
          <w:szCs w:val="20"/>
        </w:rPr>
        <w:t xml:space="preserve"> </w:t>
      </w:r>
      <w:r w:rsidR="00622B9B">
        <w:rPr>
          <w:rFonts w:ascii="Arial" w:hAnsi="Arial" w:cs="Arial"/>
          <w:sz w:val="20"/>
          <w:szCs w:val="20"/>
        </w:rPr>
        <w:t>okolo</w:t>
      </w:r>
      <w:r w:rsidR="00E25458">
        <w:rPr>
          <w:rFonts w:ascii="Arial" w:hAnsi="Arial" w:cs="Arial"/>
          <w:sz w:val="20"/>
          <w:szCs w:val="20"/>
        </w:rPr>
        <w:t xml:space="preserve"> 8,9 mld. Kč. Více než 70 % této částky připadá na podniky pod zahraniční kontrolou. Více než třetina výdajů se v Jihomoravském kraji vynaloží na </w:t>
      </w:r>
      <w:proofErr w:type="spellStart"/>
      <w:r w:rsidR="00E25458">
        <w:rPr>
          <w:rFonts w:ascii="Arial" w:hAnsi="Arial" w:cs="Arial"/>
          <w:sz w:val="20"/>
          <w:szCs w:val="20"/>
        </w:rPr>
        <w:t>VaV</w:t>
      </w:r>
      <w:proofErr w:type="spellEnd"/>
      <w:r w:rsidR="00E25458">
        <w:rPr>
          <w:rFonts w:ascii="Arial" w:hAnsi="Arial" w:cs="Arial"/>
          <w:sz w:val="20"/>
          <w:szCs w:val="20"/>
        </w:rPr>
        <w:t xml:space="preserve"> v oblasti informačních a komunikačních t</w:t>
      </w:r>
      <w:r w:rsidR="00482BB3">
        <w:rPr>
          <w:rFonts w:ascii="Arial" w:hAnsi="Arial" w:cs="Arial"/>
          <w:sz w:val="20"/>
          <w:szCs w:val="20"/>
        </w:rPr>
        <w:t xml:space="preserve">echnologií. </w:t>
      </w:r>
      <w:r w:rsidR="00560ABA">
        <w:rPr>
          <w:rFonts w:ascii="Arial" w:hAnsi="Arial" w:cs="Arial"/>
          <w:sz w:val="20"/>
          <w:szCs w:val="20"/>
        </w:rPr>
        <w:t xml:space="preserve">Na druhém místě v mezikrajském </w:t>
      </w:r>
      <w:r w:rsidR="00E25458">
        <w:rPr>
          <w:rFonts w:ascii="Arial" w:hAnsi="Arial" w:cs="Arial"/>
          <w:sz w:val="20"/>
          <w:szCs w:val="20"/>
        </w:rPr>
        <w:t>srovnání</w:t>
      </w:r>
      <w:r w:rsidR="00560ABA">
        <w:rPr>
          <w:rFonts w:ascii="Arial" w:hAnsi="Arial" w:cs="Arial"/>
          <w:sz w:val="20"/>
          <w:szCs w:val="20"/>
        </w:rPr>
        <w:t xml:space="preserve"> se nachází</w:t>
      </w:r>
      <w:r w:rsidR="00E25458">
        <w:rPr>
          <w:rFonts w:ascii="Arial" w:hAnsi="Arial" w:cs="Arial"/>
          <w:sz w:val="20"/>
          <w:szCs w:val="20"/>
        </w:rPr>
        <w:t xml:space="preserve"> Středočeský kraj</w:t>
      </w:r>
      <w:r w:rsidR="00560ABA">
        <w:rPr>
          <w:rFonts w:ascii="Arial" w:hAnsi="Arial" w:cs="Arial"/>
          <w:sz w:val="20"/>
          <w:szCs w:val="20"/>
        </w:rPr>
        <w:t>, který sesadil ze stříbrné pozice právě</w:t>
      </w:r>
      <w:r w:rsidR="001D06BF">
        <w:rPr>
          <w:rFonts w:ascii="Arial" w:hAnsi="Arial" w:cs="Arial"/>
          <w:sz w:val="20"/>
          <w:szCs w:val="20"/>
        </w:rPr>
        <w:t xml:space="preserve"> Jihomoravský kraj, který </w:t>
      </w:r>
      <w:r w:rsidR="00560ABA">
        <w:rPr>
          <w:rFonts w:ascii="Arial" w:hAnsi="Arial" w:cs="Arial"/>
          <w:sz w:val="20"/>
          <w:szCs w:val="20"/>
        </w:rPr>
        <w:t xml:space="preserve">opanoval druhou příčku po </w:t>
      </w:r>
      <w:r w:rsidR="00560ABA">
        <w:rPr>
          <w:rFonts w:ascii="Arial" w:hAnsi="Arial" w:cs="Arial"/>
          <w:sz w:val="20"/>
          <w:szCs w:val="20"/>
        </w:rPr>
        <w:lastRenderedPageBreak/>
        <w:t>dobu tří předcházejících let</w:t>
      </w:r>
      <w:r w:rsidR="001D06BF">
        <w:rPr>
          <w:rFonts w:ascii="Arial" w:hAnsi="Arial" w:cs="Arial"/>
          <w:sz w:val="20"/>
          <w:szCs w:val="20"/>
        </w:rPr>
        <w:t>. Pro Středočeský kraj taktéž platí nadvláda zahraničních podniků nad domácími</w:t>
      </w:r>
      <w:r w:rsidR="00560ABA">
        <w:rPr>
          <w:rFonts w:ascii="Arial" w:hAnsi="Arial" w:cs="Arial"/>
          <w:sz w:val="20"/>
          <w:szCs w:val="20"/>
        </w:rPr>
        <w:t>, a to</w:t>
      </w:r>
      <w:r w:rsidR="001D06BF">
        <w:rPr>
          <w:rFonts w:ascii="Arial" w:hAnsi="Arial" w:cs="Arial"/>
          <w:sz w:val="20"/>
          <w:szCs w:val="20"/>
        </w:rPr>
        <w:t xml:space="preserve"> v poměru 3:1. Nadpoloviční podíl výdajů na </w:t>
      </w:r>
      <w:proofErr w:type="spellStart"/>
      <w:r w:rsidR="001D06BF">
        <w:rPr>
          <w:rFonts w:ascii="Arial" w:hAnsi="Arial" w:cs="Arial"/>
          <w:sz w:val="20"/>
          <w:szCs w:val="20"/>
        </w:rPr>
        <w:t>VaV</w:t>
      </w:r>
      <w:proofErr w:type="spellEnd"/>
      <w:r w:rsidR="001D06BF">
        <w:rPr>
          <w:rFonts w:ascii="Arial" w:hAnsi="Arial" w:cs="Arial"/>
          <w:sz w:val="20"/>
          <w:szCs w:val="20"/>
        </w:rPr>
        <w:t xml:space="preserve"> ve Středočeském kraji připadá na automobilový průmysl. V Praze vzrostly výdaje na </w:t>
      </w:r>
      <w:proofErr w:type="spellStart"/>
      <w:r w:rsidR="000467E4">
        <w:rPr>
          <w:rFonts w:ascii="Arial" w:hAnsi="Arial" w:cs="Arial"/>
          <w:sz w:val="20"/>
          <w:szCs w:val="20"/>
        </w:rPr>
        <w:t>VaV</w:t>
      </w:r>
      <w:proofErr w:type="spellEnd"/>
      <w:r w:rsidR="000467E4">
        <w:rPr>
          <w:rFonts w:ascii="Arial" w:hAnsi="Arial" w:cs="Arial"/>
          <w:sz w:val="20"/>
          <w:szCs w:val="20"/>
        </w:rPr>
        <w:t xml:space="preserve"> v podnikatelském sektoru meziročně o 32 % a s</w:t>
      </w:r>
      <w:r w:rsidR="00560ABA">
        <w:rPr>
          <w:rFonts w:ascii="Arial" w:hAnsi="Arial" w:cs="Arial"/>
          <w:sz w:val="20"/>
          <w:szCs w:val="20"/>
        </w:rPr>
        <w:t xml:space="preserve"> celkovými </w:t>
      </w:r>
      <w:r w:rsidR="000467E4">
        <w:rPr>
          <w:rFonts w:ascii="Arial" w:hAnsi="Arial" w:cs="Arial"/>
          <w:sz w:val="20"/>
          <w:szCs w:val="20"/>
        </w:rPr>
        <w:t xml:space="preserve">15 mld. Kč v roce 2017 </w:t>
      </w:r>
      <w:r w:rsidR="00560ABA">
        <w:rPr>
          <w:rFonts w:ascii="Arial" w:hAnsi="Arial" w:cs="Arial"/>
          <w:sz w:val="20"/>
          <w:szCs w:val="20"/>
        </w:rPr>
        <w:t>byla Praha jednoznačně na prvním místě</w:t>
      </w:r>
      <w:r w:rsidR="000467E4">
        <w:rPr>
          <w:rFonts w:ascii="Arial" w:hAnsi="Arial" w:cs="Arial"/>
          <w:sz w:val="20"/>
          <w:szCs w:val="20"/>
        </w:rPr>
        <w:t xml:space="preserve">. </w:t>
      </w:r>
      <w:r w:rsidR="00560ABA">
        <w:rPr>
          <w:rFonts w:ascii="Arial" w:hAnsi="Arial" w:cs="Arial"/>
          <w:sz w:val="20"/>
          <w:szCs w:val="20"/>
        </w:rPr>
        <w:t xml:space="preserve">I v tomto kraji dávají na </w:t>
      </w:r>
      <w:proofErr w:type="spellStart"/>
      <w:r w:rsidR="00560ABA">
        <w:rPr>
          <w:rFonts w:ascii="Arial" w:hAnsi="Arial" w:cs="Arial"/>
          <w:sz w:val="20"/>
          <w:szCs w:val="20"/>
        </w:rPr>
        <w:t>V</w:t>
      </w:r>
      <w:r w:rsidR="0044621F">
        <w:rPr>
          <w:rFonts w:ascii="Arial" w:hAnsi="Arial" w:cs="Arial"/>
          <w:sz w:val="20"/>
          <w:szCs w:val="20"/>
        </w:rPr>
        <w:t>aV</w:t>
      </w:r>
      <w:proofErr w:type="spellEnd"/>
      <w:r w:rsidR="0044621F">
        <w:rPr>
          <w:rFonts w:ascii="Arial" w:hAnsi="Arial" w:cs="Arial"/>
          <w:sz w:val="20"/>
          <w:szCs w:val="20"/>
        </w:rPr>
        <w:t xml:space="preserve"> nejvíce podniky pod zahraniční kontrolou, v roce 2017 to bylo 64 % výdajů podnik</w:t>
      </w:r>
      <w:r w:rsidR="00560ABA">
        <w:rPr>
          <w:rFonts w:ascii="Arial" w:hAnsi="Arial" w:cs="Arial"/>
          <w:sz w:val="20"/>
          <w:szCs w:val="20"/>
        </w:rPr>
        <w:t>atelského</w:t>
      </w:r>
      <w:r w:rsidR="0044621F">
        <w:rPr>
          <w:rFonts w:ascii="Arial" w:hAnsi="Arial" w:cs="Arial"/>
          <w:sz w:val="20"/>
          <w:szCs w:val="20"/>
        </w:rPr>
        <w:t xml:space="preserve"> sektoru v Praze. </w:t>
      </w:r>
      <w:r w:rsidR="00560ABA">
        <w:rPr>
          <w:rFonts w:ascii="Arial" w:hAnsi="Arial" w:cs="Arial"/>
          <w:sz w:val="20"/>
          <w:szCs w:val="20"/>
        </w:rPr>
        <w:t>Z jednotlivých odvětví ekonomické činnosti j</w:t>
      </w:r>
      <w:r w:rsidR="00084361">
        <w:rPr>
          <w:rFonts w:ascii="Arial" w:hAnsi="Arial" w:cs="Arial"/>
          <w:sz w:val="20"/>
          <w:szCs w:val="20"/>
        </w:rPr>
        <w:t>sou</w:t>
      </w:r>
      <w:r w:rsidR="0044621F">
        <w:rPr>
          <w:rFonts w:ascii="Arial" w:hAnsi="Arial" w:cs="Arial"/>
          <w:sz w:val="20"/>
          <w:szCs w:val="20"/>
        </w:rPr>
        <w:t xml:space="preserve"> nejvýznamnější informační a komunikační technologie</w:t>
      </w:r>
      <w:r w:rsidR="002C17C9">
        <w:rPr>
          <w:rFonts w:ascii="Arial" w:hAnsi="Arial" w:cs="Arial"/>
          <w:sz w:val="20"/>
          <w:szCs w:val="20"/>
        </w:rPr>
        <w:t xml:space="preserve"> s </w:t>
      </w:r>
      <w:proofErr w:type="gramStart"/>
      <w:r w:rsidR="002C17C9">
        <w:rPr>
          <w:rFonts w:ascii="Arial" w:hAnsi="Arial" w:cs="Arial"/>
          <w:sz w:val="20"/>
          <w:szCs w:val="20"/>
        </w:rPr>
        <w:t>37%</w:t>
      </w:r>
      <w:proofErr w:type="gramEnd"/>
      <w:r w:rsidR="002C17C9">
        <w:rPr>
          <w:rFonts w:ascii="Arial" w:hAnsi="Arial" w:cs="Arial"/>
          <w:sz w:val="20"/>
          <w:szCs w:val="20"/>
        </w:rPr>
        <w:t xml:space="preserve"> podílem na výdajích na </w:t>
      </w:r>
      <w:proofErr w:type="spellStart"/>
      <w:r w:rsidR="002C17C9">
        <w:rPr>
          <w:rFonts w:ascii="Arial" w:hAnsi="Arial" w:cs="Arial"/>
          <w:sz w:val="20"/>
          <w:szCs w:val="20"/>
        </w:rPr>
        <w:t>VaV</w:t>
      </w:r>
      <w:proofErr w:type="spellEnd"/>
      <w:r w:rsidR="002C17C9">
        <w:rPr>
          <w:rFonts w:ascii="Arial" w:hAnsi="Arial" w:cs="Arial"/>
          <w:sz w:val="20"/>
          <w:szCs w:val="20"/>
        </w:rPr>
        <w:t xml:space="preserve"> </w:t>
      </w:r>
      <w:r w:rsidR="00560ABA">
        <w:rPr>
          <w:rFonts w:ascii="Arial" w:hAnsi="Arial" w:cs="Arial"/>
          <w:sz w:val="20"/>
          <w:szCs w:val="20"/>
        </w:rPr>
        <w:t>pražských podniků</w:t>
      </w:r>
      <w:r w:rsidR="002C17C9">
        <w:rPr>
          <w:rFonts w:ascii="Arial" w:hAnsi="Arial" w:cs="Arial"/>
          <w:sz w:val="20"/>
          <w:szCs w:val="20"/>
        </w:rPr>
        <w:t xml:space="preserve">. </w:t>
      </w:r>
    </w:p>
    <w:p w:rsidR="002C17C9" w:rsidRDefault="002C17C9" w:rsidP="00B1098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Podnikatelský sektor je sektorem s nejvyššími výdaji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ve většině stát</w:t>
      </w:r>
      <w:r w:rsidR="00345C9D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EU, ve 23 státech má nadpoloviční podíl na výdajích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, v 6 státech měl v roce 2017 dokonce více než 70% podíl. </w:t>
      </w:r>
      <w:r w:rsidR="00345C9D">
        <w:rPr>
          <w:rFonts w:ascii="Arial" w:hAnsi="Arial" w:cs="Arial"/>
          <w:sz w:val="20"/>
          <w:szCs w:val="20"/>
        </w:rPr>
        <w:t>Průměr EU byl 65,7 %, Česká repub</w:t>
      </w:r>
      <w:r w:rsidR="00D25A91">
        <w:rPr>
          <w:rFonts w:ascii="Arial" w:hAnsi="Arial" w:cs="Arial"/>
          <w:sz w:val="20"/>
          <w:szCs w:val="20"/>
        </w:rPr>
        <w:t xml:space="preserve">lika byla </w:t>
      </w:r>
      <w:r w:rsidR="00A76FD5">
        <w:rPr>
          <w:rFonts w:ascii="Arial" w:hAnsi="Arial" w:cs="Arial"/>
          <w:sz w:val="20"/>
          <w:szCs w:val="20"/>
        </w:rPr>
        <w:t xml:space="preserve">uprostřed </w:t>
      </w:r>
      <w:r w:rsidR="00D25A91">
        <w:rPr>
          <w:rFonts w:ascii="Arial" w:hAnsi="Arial" w:cs="Arial"/>
          <w:sz w:val="20"/>
          <w:szCs w:val="20"/>
        </w:rPr>
        <w:t>států EU</w:t>
      </w:r>
      <w:r w:rsidR="00345C9D">
        <w:rPr>
          <w:rFonts w:ascii="Arial" w:hAnsi="Arial" w:cs="Arial"/>
          <w:sz w:val="20"/>
          <w:szCs w:val="20"/>
        </w:rPr>
        <w:t xml:space="preserve"> s lehce podprůměrným podílem 62,9 %. Česká republika patří mezi 11 států EU, kde se v podnikatelském sektoru vydalo na </w:t>
      </w:r>
      <w:proofErr w:type="spellStart"/>
      <w:r w:rsidR="00345C9D">
        <w:rPr>
          <w:rFonts w:ascii="Arial" w:hAnsi="Arial" w:cs="Arial"/>
          <w:sz w:val="20"/>
          <w:szCs w:val="20"/>
        </w:rPr>
        <w:t>VaV</w:t>
      </w:r>
      <w:proofErr w:type="spellEnd"/>
      <w:r w:rsidR="00345C9D">
        <w:rPr>
          <w:rFonts w:ascii="Arial" w:hAnsi="Arial" w:cs="Arial"/>
          <w:sz w:val="20"/>
          <w:szCs w:val="20"/>
        </w:rPr>
        <w:t xml:space="preserve"> v roce 2017 více než 1 % HDP. Tři s</w:t>
      </w:r>
      <w:r w:rsidR="00EC3D93">
        <w:rPr>
          <w:rFonts w:ascii="Arial" w:hAnsi="Arial" w:cs="Arial"/>
          <w:sz w:val="20"/>
          <w:szCs w:val="20"/>
        </w:rPr>
        <w:t>t</w:t>
      </w:r>
      <w:r w:rsidR="00345C9D">
        <w:rPr>
          <w:rFonts w:ascii="Arial" w:hAnsi="Arial" w:cs="Arial"/>
          <w:sz w:val="20"/>
          <w:szCs w:val="20"/>
        </w:rPr>
        <w:t xml:space="preserve">áty EU dokonce překonaly 2% podíl na HDP. </w:t>
      </w:r>
    </w:p>
    <w:p w:rsidR="00016348" w:rsidRDefault="00E14BEF" w:rsidP="00B1098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FB7CAFD" wp14:editId="38F318CA">
            <wp:simplePos x="0" y="0"/>
            <wp:positionH relativeFrom="column">
              <wp:posOffset>3642360</wp:posOffset>
            </wp:positionH>
            <wp:positionV relativeFrom="paragraph">
              <wp:posOffset>533400</wp:posOffset>
            </wp:positionV>
            <wp:extent cx="2076450" cy="1657350"/>
            <wp:effectExtent l="0" t="0" r="19050" b="19050"/>
            <wp:wrapNone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9733475" wp14:editId="53B05B9F">
            <wp:extent cx="6143625" cy="4848225"/>
            <wp:effectExtent l="0" t="0" r="9525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16348">
        <w:rPr>
          <w:rFonts w:ascii="Arial" w:hAnsi="Arial" w:cs="Arial"/>
          <w:sz w:val="20"/>
          <w:szCs w:val="20"/>
        </w:rPr>
        <w:t xml:space="preserve">Podobně jako v případě výdajů na </w:t>
      </w:r>
      <w:proofErr w:type="spellStart"/>
      <w:r w:rsidR="00016348">
        <w:rPr>
          <w:rFonts w:ascii="Arial" w:hAnsi="Arial" w:cs="Arial"/>
          <w:sz w:val="20"/>
          <w:szCs w:val="20"/>
        </w:rPr>
        <w:t>VaV</w:t>
      </w:r>
      <w:proofErr w:type="spellEnd"/>
      <w:r w:rsidR="00016348">
        <w:rPr>
          <w:rFonts w:ascii="Arial" w:hAnsi="Arial" w:cs="Arial"/>
          <w:sz w:val="20"/>
          <w:szCs w:val="20"/>
        </w:rPr>
        <w:t xml:space="preserve"> je podnikatelský sektor nejvýznamnějším sektorem i z hlediska počtu zaměstnanců </w:t>
      </w:r>
      <w:proofErr w:type="spellStart"/>
      <w:r w:rsidR="00016348">
        <w:rPr>
          <w:rFonts w:ascii="Arial" w:hAnsi="Arial" w:cs="Arial"/>
          <w:sz w:val="20"/>
          <w:szCs w:val="20"/>
        </w:rPr>
        <w:t>VaV</w:t>
      </w:r>
      <w:proofErr w:type="spellEnd"/>
      <w:r w:rsidR="00016348">
        <w:rPr>
          <w:rFonts w:ascii="Arial" w:hAnsi="Arial" w:cs="Arial"/>
          <w:sz w:val="20"/>
          <w:szCs w:val="20"/>
        </w:rPr>
        <w:t>. V</w:t>
      </w:r>
      <w:r w:rsidR="00F864AE">
        <w:rPr>
          <w:rFonts w:ascii="Arial" w:hAnsi="Arial" w:cs="Arial"/>
          <w:sz w:val="20"/>
          <w:szCs w:val="20"/>
        </w:rPr>
        <w:t> roce 2017 v podnic</w:t>
      </w:r>
      <w:r w:rsidR="00D25A91">
        <w:rPr>
          <w:rFonts w:ascii="Arial" w:hAnsi="Arial" w:cs="Arial"/>
          <w:sz w:val="20"/>
          <w:szCs w:val="20"/>
        </w:rPr>
        <w:t>ích pracovalo 55 tis. osob (HC).</w:t>
      </w:r>
      <w:r w:rsidR="00F864AE">
        <w:rPr>
          <w:rFonts w:ascii="Arial" w:hAnsi="Arial" w:cs="Arial"/>
          <w:sz w:val="20"/>
          <w:szCs w:val="20"/>
        </w:rPr>
        <w:t xml:space="preserve"> </w:t>
      </w:r>
      <w:r w:rsidR="00D25A91">
        <w:rPr>
          <w:rFonts w:ascii="Arial" w:hAnsi="Arial" w:cs="Arial"/>
          <w:sz w:val="20"/>
          <w:szCs w:val="20"/>
        </w:rPr>
        <w:t>P</w:t>
      </w:r>
      <w:r w:rsidR="00F864AE">
        <w:rPr>
          <w:rFonts w:ascii="Arial" w:hAnsi="Arial" w:cs="Arial"/>
          <w:sz w:val="20"/>
          <w:szCs w:val="20"/>
        </w:rPr>
        <w:t>řepo</w:t>
      </w:r>
      <w:r w:rsidR="00A97579">
        <w:rPr>
          <w:rFonts w:ascii="Arial" w:hAnsi="Arial" w:cs="Arial"/>
          <w:sz w:val="20"/>
          <w:szCs w:val="20"/>
        </w:rPr>
        <w:t>čtených osob (FTE) bylo 40 </w:t>
      </w:r>
      <w:r w:rsidR="00D25A91">
        <w:rPr>
          <w:rFonts w:ascii="Arial" w:hAnsi="Arial" w:cs="Arial"/>
          <w:sz w:val="20"/>
          <w:szCs w:val="20"/>
        </w:rPr>
        <w:t>tis., což odpovídalo</w:t>
      </w:r>
      <w:r w:rsidR="00E76270">
        <w:rPr>
          <w:rFonts w:ascii="Arial" w:hAnsi="Arial" w:cs="Arial"/>
          <w:sz w:val="20"/>
          <w:szCs w:val="20"/>
        </w:rPr>
        <w:t xml:space="preserve"> 57 % všech osob pracujících v Česku ve </w:t>
      </w:r>
      <w:proofErr w:type="spellStart"/>
      <w:r w:rsidR="00E76270">
        <w:rPr>
          <w:rFonts w:ascii="Arial" w:hAnsi="Arial" w:cs="Arial"/>
          <w:sz w:val="20"/>
          <w:szCs w:val="20"/>
        </w:rPr>
        <w:t>VaV</w:t>
      </w:r>
      <w:proofErr w:type="spellEnd"/>
      <w:r w:rsidR="00E76270">
        <w:rPr>
          <w:rFonts w:ascii="Arial" w:hAnsi="Arial" w:cs="Arial"/>
          <w:sz w:val="20"/>
          <w:szCs w:val="20"/>
        </w:rPr>
        <w:t xml:space="preserve">. V roce 2010 byl podíl podnikatelského sektoru 50 %, od té doby každoročně narůstá. </w:t>
      </w:r>
      <w:r w:rsidR="00345F14">
        <w:rPr>
          <w:rFonts w:ascii="Arial" w:hAnsi="Arial" w:cs="Arial"/>
          <w:sz w:val="20"/>
          <w:szCs w:val="20"/>
        </w:rPr>
        <w:t xml:space="preserve">Nejvíce pracovníků </w:t>
      </w:r>
      <w:proofErr w:type="spellStart"/>
      <w:r w:rsidR="00345F14">
        <w:rPr>
          <w:rFonts w:ascii="Arial" w:hAnsi="Arial" w:cs="Arial"/>
          <w:sz w:val="20"/>
          <w:szCs w:val="20"/>
        </w:rPr>
        <w:t>VaV</w:t>
      </w:r>
      <w:proofErr w:type="spellEnd"/>
      <w:r w:rsidR="00345F14">
        <w:rPr>
          <w:rFonts w:ascii="Arial" w:hAnsi="Arial" w:cs="Arial"/>
          <w:sz w:val="20"/>
          <w:szCs w:val="20"/>
        </w:rPr>
        <w:t xml:space="preserve"> nalezneme v podnicích pod zahraniční kontrolou, i když jejich převaha není tak výrazná jako v případě výdajů na </w:t>
      </w:r>
      <w:proofErr w:type="spellStart"/>
      <w:r w:rsidR="00345F14">
        <w:rPr>
          <w:rFonts w:ascii="Arial" w:hAnsi="Arial" w:cs="Arial"/>
          <w:sz w:val="20"/>
          <w:szCs w:val="20"/>
        </w:rPr>
        <w:t>VaV</w:t>
      </w:r>
      <w:proofErr w:type="spellEnd"/>
      <w:r w:rsidR="00345F14">
        <w:rPr>
          <w:rFonts w:ascii="Arial" w:hAnsi="Arial" w:cs="Arial"/>
          <w:sz w:val="20"/>
          <w:szCs w:val="20"/>
        </w:rPr>
        <w:t xml:space="preserve">. Celkem v zahraničních podnicích pracovalo ve </w:t>
      </w:r>
      <w:proofErr w:type="spellStart"/>
      <w:r w:rsidR="00345F14">
        <w:rPr>
          <w:rFonts w:ascii="Arial" w:hAnsi="Arial" w:cs="Arial"/>
          <w:sz w:val="20"/>
          <w:szCs w:val="20"/>
        </w:rPr>
        <w:t>VaV</w:t>
      </w:r>
      <w:proofErr w:type="spellEnd"/>
      <w:r w:rsidR="00345F14">
        <w:rPr>
          <w:rFonts w:ascii="Arial" w:hAnsi="Arial" w:cs="Arial"/>
          <w:sz w:val="20"/>
          <w:szCs w:val="20"/>
        </w:rPr>
        <w:t xml:space="preserve"> 22 tis. osob (FTE), což tvořilo 55% podíl podnikatelského sektoru. V soukromých domácích podnicích se v roce 2017 zabývalo </w:t>
      </w:r>
      <w:proofErr w:type="spellStart"/>
      <w:r w:rsidR="00345F14">
        <w:rPr>
          <w:rFonts w:ascii="Arial" w:hAnsi="Arial" w:cs="Arial"/>
          <w:sz w:val="20"/>
          <w:szCs w:val="20"/>
        </w:rPr>
        <w:t>VaV</w:t>
      </w:r>
      <w:proofErr w:type="spellEnd"/>
      <w:r w:rsidR="00345F14">
        <w:rPr>
          <w:rFonts w:ascii="Arial" w:hAnsi="Arial" w:cs="Arial"/>
          <w:sz w:val="20"/>
          <w:szCs w:val="20"/>
        </w:rPr>
        <w:t xml:space="preserve"> 16, 5 tis. osob (FTE). </w:t>
      </w:r>
      <w:r w:rsidR="00E76270">
        <w:rPr>
          <w:rFonts w:ascii="Arial" w:hAnsi="Arial" w:cs="Arial"/>
          <w:sz w:val="20"/>
          <w:szCs w:val="20"/>
        </w:rPr>
        <w:t xml:space="preserve">Pro podnikatelský sektor je typické </w:t>
      </w:r>
      <w:r w:rsidR="00D25A91">
        <w:rPr>
          <w:rFonts w:ascii="Arial" w:hAnsi="Arial" w:cs="Arial"/>
          <w:sz w:val="20"/>
          <w:szCs w:val="20"/>
        </w:rPr>
        <w:t>nej</w:t>
      </w:r>
      <w:r w:rsidR="00E76270">
        <w:rPr>
          <w:rFonts w:ascii="Arial" w:hAnsi="Arial" w:cs="Arial"/>
          <w:sz w:val="20"/>
          <w:szCs w:val="20"/>
        </w:rPr>
        <w:t>nižší zastoupení žen</w:t>
      </w:r>
      <w:r w:rsidR="00D25A91">
        <w:rPr>
          <w:rFonts w:ascii="Arial" w:hAnsi="Arial" w:cs="Arial"/>
          <w:sz w:val="20"/>
          <w:szCs w:val="20"/>
        </w:rPr>
        <w:t xml:space="preserve"> ze všech sektorů</w:t>
      </w:r>
      <w:r w:rsidR="00E76270">
        <w:rPr>
          <w:rFonts w:ascii="Arial" w:hAnsi="Arial" w:cs="Arial"/>
          <w:sz w:val="20"/>
          <w:szCs w:val="20"/>
        </w:rPr>
        <w:t xml:space="preserve">, což je do </w:t>
      </w:r>
      <w:r w:rsidR="00D25A91">
        <w:rPr>
          <w:rFonts w:ascii="Arial" w:hAnsi="Arial" w:cs="Arial"/>
          <w:sz w:val="20"/>
          <w:szCs w:val="20"/>
        </w:rPr>
        <w:t>jisté míry zapříčiněno</w:t>
      </w:r>
      <w:r w:rsidR="00E76270">
        <w:rPr>
          <w:rFonts w:ascii="Arial" w:hAnsi="Arial" w:cs="Arial"/>
          <w:sz w:val="20"/>
          <w:szCs w:val="20"/>
        </w:rPr>
        <w:t xml:space="preserve"> odvětvími, ve kterých se u nás </w:t>
      </w:r>
      <w:proofErr w:type="spellStart"/>
      <w:r w:rsidR="00E76270">
        <w:rPr>
          <w:rFonts w:ascii="Arial" w:hAnsi="Arial" w:cs="Arial"/>
          <w:sz w:val="20"/>
          <w:szCs w:val="20"/>
        </w:rPr>
        <w:t>VaV</w:t>
      </w:r>
      <w:proofErr w:type="spellEnd"/>
      <w:r w:rsidR="00E76270">
        <w:rPr>
          <w:rFonts w:ascii="Arial" w:hAnsi="Arial" w:cs="Arial"/>
          <w:sz w:val="20"/>
          <w:szCs w:val="20"/>
        </w:rPr>
        <w:t xml:space="preserve"> </w:t>
      </w:r>
      <w:r w:rsidR="00D25A91">
        <w:rPr>
          <w:rFonts w:ascii="Arial" w:hAnsi="Arial" w:cs="Arial"/>
          <w:sz w:val="20"/>
          <w:szCs w:val="20"/>
        </w:rPr>
        <w:t xml:space="preserve">nejčastěji </w:t>
      </w:r>
      <w:r w:rsidR="00E76270">
        <w:rPr>
          <w:rFonts w:ascii="Arial" w:hAnsi="Arial" w:cs="Arial"/>
          <w:sz w:val="20"/>
          <w:szCs w:val="20"/>
        </w:rPr>
        <w:t xml:space="preserve">provádí (zpracovatelský průmysl, ICT). V absolutních číslech </w:t>
      </w:r>
      <w:r w:rsidR="00950B10">
        <w:rPr>
          <w:rFonts w:ascii="Arial" w:hAnsi="Arial" w:cs="Arial"/>
          <w:sz w:val="20"/>
          <w:szCs w:val="20"/>
        </w:rPr>
        <w:t xml:space="preserve">sice </w:t>
      </w:r>
      <w:r w:rsidR="00E76270">
        <w:rPr>
          <w:rFonts w:ascii="Arial" w:hAnsi="Arial" w:cs="Arial"/>
          <w:sz w:val="20"/>
          <w:szCs w:val="20"/>
        </w:rPr>
        <w:t xml:space="preserve">počet žen meziročně </w:t>
      </w:r>
      <w:r w:rsidR="009401E4">
        <w:rPr>
          <w:rFonts w:ascii="Arial" w:hAnsi="Arial" w:cs="Arial"/>
          <w:sz w:val="20"/>
          <w:szCs w:val="20"/>
        </w:rPr>
        <w:t>mír</w:t>
      </w:r>
      <w:r w:rsidR="00E76270">
        <w:rPr>
          <w:rFonts w:ascii="Arial" w:hAnsi="Arial" w:cs="Arial"/>
          <w:sz w:val="20"/>
          <w:szCs w:val="20"/>
        </w:rPr>
        <w:t xml:space="preserve">ně narostl, ale jejich podíl na pracovnících </w:t>
      </w:r>
      <w:proofErr w:type="spellStart"/>
      <w:r w:rsidR="00E76270">
        <w:rPr>
          <w:rFonts w:ascii="Arial" w:hAnsi="Arial" w:cs="Arial"/>
          <w:sz w:val="20"/>
          <w:szCs w:val="20"/>
        </w:rPr>
        <w:t>VaV</w:t>
      </w:r>
      <w:proofErr w:type="spellEnd"/>
      <w:r w:rsidR="00E76270">
        <w:rPr>
          <w:rFonts w:ascii="Arial" w:hAnsi="Arial" w:cs="Arial"/>
          <w:sz w:val="20"/>
          <w:szCs w:val="20"/>
        </w:rPr>
        <w:t xml:space="preserve"> podnikového sektoru</w:t>
      </w:r>
      <w:r w:rsidR="00950B10">
        <w:rPr>
          <w:rFonts w:ascii="Arial" w:hAnsi="Arial" w:cs="Arial"/>
          <w:sz w:val="20"/>
          <w:szCs w:val="20"/>
        </w:rPr>
        <w:t xml:space="preserve"> </w:t>
      </w:r>
      <w:r w:rsidR="00173B82">
        <w:rPr>
          <w:rFonts w:ascii="Arial" w:hAnsi="Arial" w:cs="Arial"/>
          <w:sz w:val="20"/>
          <w:szCs w:val="20"/>
        </w:rPr>
        <w:t>v posledních letech</w:t>
      </w:r>
      <w:r w:rsidR="00950B10">
        <w:rPr>
          <w:rFonts w:ascii="Arial" w:hAnsi="Arial" w:cs="Arial"/>
          <w:sz w:val="20"/>
          <w:szCs w:val="20"/>
        </w:rPr>
        <w:t xml:space="preserve"> klesá.</w:t>
      </w:r>
      <w:r w:rsidR="00A0379F">
        <w:rPr>
          <w:rFonts w:ascii="Arial" w:hAnsi="Arial" w:cs="Arial"/>
          <w:sz w:val="20"/>
          <w:szCs w:val="20"/>
        </w:rPr>
        <w:t xml:space="preserve"> </w:t>
      </w:r>
      <w:r w:rsidR="00950B10">
        <w:rPr>
          <w:rFonts w:ascii="Arial" w:hAnsi="Arial" w:cs="Arial"/>
          <w:sz w:val="20"/>
          <w:szCs w:val="20"/>
        </w:rPr>
        <w:t xml:space="preserve">V roce 2017 bylo žen 17 %, </w:t>
      </w:r>
      <w:r w:rsidR="006A262A">
        <w:rPr>
          <w:rFonts w:ascii="Arial" w:hAnsi="Arial" w:cs="Arial"/>
          <w:sz w:val="20"/>
          <w:szCs w:val="20"/>
        </w:rPr>
        <w:t>zatímco</w:t>
      </w:r>
      <w:r w:rsidR="00A0379F">
        <w:rPr>
          <w:rFonts w:ascii="Arial" w:hAnsi="Arial" w:cs="Arial"/>
          <w:sz w:val="20"/>
          <w:szCs w:val="20"/>
        </w:rPr>
        <w:t xml:space="preserve"> o 10 let</w:t>
      </w:r>
      <w:r w:rsidR="00E76270">
        <w:rPr>
          <w:rFonts w:ascii="Arial" w:hAnsi="Arial" w:cs="Arial"/>
          <w:sz w:val="20"/>
          <w:szCs w:val="20"/>
        </w:rPr>
        <w:t xml:space="preserve"> dříve v roce 2007 </w:t>
      </w:r>
      <w:r w:rsidR="00950B10">
        <w:rPr>
          <w:rFonts w:ascii="Arial" w:hAnsi="Arial" w:cs="Arial"/>
          <w:sz w:val="20"/>
          <w:szCs w:val="20"/>
        </w:rPr>
        <w:t xml:space="preserve">měly ženy </w:t>
      </w:r>
      <w:r w:rsidR="00950B10">
        <w:rPr>
          <w:rFonts w:ascii="Arial" w:hAnsi="Arial" w:cs="Arial"/>
          <w:sz w:val="20"/>
          <w:szCs w:val="20"/>
        </w:rPr>
        <w:lastRenderedPageBreak/>
        <w:t>20%</w:t>
      </w:r>
      <w:r w:rsidR="00913726">
        <w:rPr>
          <w:rFonts w:ascii="Arial" w:hAnsi="Arial" w:cs="Arial"/>
          <w:sz w:val="20"/>
          <w:szCs w:val="20"/>
        </w:rPr>
        <w:t> </w:t>
      </w:r>
      <w:r w:rsidR="00950B10">
        <w:rPr>
          <w:rFonts w:ascii="Arial" w:hAnsi="Arial" w:cs="Arial"/>
          <w:sz w:val="20"/>
          <w:szCs w:val="20"/>
        </w:rPr>
        <w:t>podíl</w:t>
      </w:r>
      <w:r w:rsidR="00E76270">
        <w:rPr>
          <w:rFonts w:ascii="Arial" w:hAnsi="Arial" w:cs="Arial"/>
          <w:sz w:val="20"/>
          <w:szCs w:val="20"/>
        </w:rPr>
        <w:t xml:space="preserve">. </w:t>
      </w:r>
      <w:r w:rsidR="00785E5C">
        <w:rPr>
          <w:rFonts w:ascii="Arial" w:hAnsi="Arial" w:cs="Arial"/>
          <w:sz w:val="20"/>
          <w:szCs w:val="20"/>
        </w:rPr>
        <w:t>Nejnižší podíl žen (okolo 15 %) je v podnicích pod zahraniční kontrolou.</w:t>
      </w:r>
      <w:r w:rsidR="00345F14">
        <w:rPr>
          <w:rFonts w:ascii="Arial" w:hAnsi="Arial" w:cs="Arial"/>
          <w:sz w:val="20"/>
          <w:szCs w:val="20"/>
        </w:rPr>
        <w:t xml:space="preserve"> V</w:t>
      </w:r>
      <w:r w:rsidR="00785E5C">
        <w:rPr>
          <w:rFonts w:ascii="Arial" w:hAnsi="Arial" w:cs="Arial"/>
          <w:sz w:val="20"/>
          <w:szCs w:val="20"/>
        </w:rPr>
        <w:t xml:space="preserve"> soukromých domácích podnicích </w:t>
      </w:r>
      <w:r w:rsidR="003B1373">
        <w:rPr>
          <w:rFonts w:ascii="Arial" w:hAnsi="Arial" w:cs="Arial"/>
          <w:sz w:val="20"/>
          <w:szCs w:val="20"/>
        </w:rPr>
        <w:t>tvoří ženy okolo</w:t>
      </w:r>
      <w:r w:rsidR="00785E5C">
        <w:rPr>
          <w:rFonts w:ascii="Arial" w:hAnsi="Arial" w:cs="Arial"/>
          <w:sz w:val="20"/>
          <w:szCs w:val="20"/>
        </w:rPr>
        <w:t xml:space="preserve"> 20 %</w:t>
      </w:r>
      <w:r w:rsidR="003B1373">
        <w:rPr>
          <w:rFonts w:ascii="Arial" w:hAnsi="Arial" w:cs="Arial"/>
          <w:sz w:val="20"/>
          <w:szCs w:val="20"/>
        </w:rPr>
        <w:t xml:space="preserve"> pracovníků </w:t>
      </w:r>
      <w:proofErr w:type="spellStart"/>
      <w:r w:rsidR="003B1373">
        <w:rPr>
          <w:rFonts w:ascii="Arial" w:hAnsi="Arial" w:cs="Arial"/>
          <w:sz w:val="20"/>
          <w:szCs w:val="20"/>
        </w:rPr>
        <w:t>VaV</w:t>
      </w:r>
      <w:proofErr w:type="spellEnd"/>
      <w:r w:rsidR="00785E5C">
        <w:rPr>
          <w:rFonts w:ascii="Arial" w:hAnsi="Arial" w:cs="Arial"/>
          <w:sz w:val="20"/>
          <w:szCs w:val="20"/>
        </w:rPr>
        <w:t xml:space="preserve">. </w:t>
      </w:r>
    </w:p>
    <w:p w:rsidR="00EC3D93" w:rsidRPr="00C9002B" w:rsidRDefault="00EC3D93" w:rsidP="00B10982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7820B8" w:rsidRPr="00456552" w:rsidRDefault="00456552" w:rsidP="00456552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ve vládním sektoru</w:t>
      </w:r>
    </w:p>
    <w:p w:rsidR="008F378A" w:rsidRDefault="004A24DE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vládního sektoru řadíme především</w:t>
      </w:r>
      <w:r w:rsidR="00431726">
        <w:rPr>
          <w:rFonts w:ascii="Arial" w:hAnsi="Arial" w:cs="Arial"/>
          <w:sz w:val="20"/>
          <w:szCs w:val="20"/>
        </w:rPr>
        <w:t xml:space="preserve"> veřejné výzkumné instituce v čele s ústavy Akademie věd ČR. Dále sem patří např. některá zdravotnická zařízení, muzea a archivy. </w:t>
      </w:r>
      <w:r w:rsidR="000A58B7">
        <w:rPr>
          <w:rFonts w:ascii="Arial" w:hAnsi="Arial" w:cs="Arial"/>
          <w:sz w:val="20"/>
          <w:szCs w:val="20"/>
        </w:rPr>
        <w:t xml:space="preserve">Výzkum a vývoj ve vládním sektoru se </w:t>
      </w:r>
      <w:r w:rsidR="001808D6">
        <w:rPr>
          <w:rFonts w:ascii="Arial" w:hAnsi="Arial" w:cs="Arial"/>
          <w:sz w:val="20"/>
          <w:szCs w:val="20"/>
        </w:rPr>
        <w:t xml:space="preserve">u nás </w:t>
      </w:r>
      <w:r w:rsidR="000A58B7">
        <w:rPr>
          <w:rFonts w:ascii="Arial" w:hAnsi="Arial" w:cs="Arial"/>
          <w:sz w:val="20"/>
          <w:szCs w:val="20"/>
        </w:rPr>
        <w:t>dlouhodobě provádí na přibližně 200 pracovištích</w:t>
      </w:r>
      <w:r>
        <w:rPr>
          <w:rFonts w:ascii="Arial" w:hAnsi="Arial" w:cs="Arial"/>
          <w:sz w:val="20"/>
          <w:szCs w:val="20"/>
        </w:rPr>
        <w:t>.</w:t>
      </w:r>
      <w:r w:rsidR="000A58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Celkem se v tomto sektoru</w:t>
      </w:r>
      <w:r w:rsidR="00431726">
        <w:rPr>
          <w:rFonts w:ascii="Arial" w:hAnsi="Arial" w:cs="Arial"/>
          <w:sz w:val="20"/>
          <w:szCs w:val="20"/>
        </w:rPr>
        <w:t xml:space="preserve"> v roce 2017 </w:t>
      </w:r>
      <w:r>
        <w:rPr>
          <w:rFonts w:ascii="Arial" w:hAnsi="Arial" w:cs="Arial"/>
          <w:sz w:val="20"/>
          <w:szCs w:val="20"/>
        </w:rPr>
        <w:t xml:space="preserve">vynaložilo </w:t>
      </w:r>
      <w:r w:rsidR="00431726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431726">
        <w:rPr>
          <w:rFonts w:ascii="Arial" w:hAnsi="Arial" w:cs="Arial"/>
          <w:sz w:val="20"/>
          <w:szCs w:val="20"/>
        </w:rPr>
        <w:t>VaV</w:t>
      </w:r>
      <w:proofErr w:type="spellEnd"/>
      <w:r w:rsidR="00431726">
        <w:rPr>
          <w:rFonts w:ascii="Arial" w:hAnsi="Arial" w:cs="Arial"/>
          <w:sz w:val="20"/>
          <w:szCs w:val="20"/>
        </w:rPr>
        <w:t xml:space="preserve"> 15,6 mld. Kč, přibližně o 1 mld. Kč více než o rok dříve, ale o 2,5 mld. Kč méně než v rekordním roce 2015. Pozitivní meziroční nárůst nebyl tak vysoký ve srovnání s</w:t>
      </w:r>
      <w:r w:rsidR="009A6451">
        <w:rPr>
          <w:rFonts w:ascii="Arial" w:hAnsi="Arial" w:cs="Arial"/>
          <w:sz w:val="20"/>
          <w:szCs w:val="20"/>
        </w:rPr>
        <w:t xml:space="preserve"> podnikatelským sektorem, z toho důvodu </w:t>
      </w:r>
      <w:r w:rsidR="00035A5C">
        <w:rPr>
          <w:rFonts w:ascii="Arial" w:hAnsi="Arial" w:cs="Arial"/>
          <w:sz w:val="20"/>
          <w:szCs w:val="20"/>
        </w:rPr>
        <w:t>klesl</w:t>
      </w:r>
      <w:r w:rsidR="00A97579">
        <w:rPr>
          <w:rFonts w:ascii="Arial" w:hAnsi="Arial" w:cs="Arial"/>
          <w:sz w:val="20"/>
          <w:szCs w:val="20"/>
        </w:rPr>
        <w:t xml:space="preserve"> i </w:t>
      </w:r>
      <w:r w:rsidR="009A6451">
        <w:rPr>
          <w:rFonts w:ascii="Arial" w:hAnsi="Arial" w:cs="Arial"/>
          <w:sz w:val="20"/>
          <w:szCs w:val="20"/>
        </w:rPr>
        <w:t xml:space="preserve">podíl vládního sektoru na celkových výdajích na </w:t>
      </w:r>
      <w:proofErr w:type="spellStart"/>
      <w:r w:rsidR="009A6451">
        <w:rPr>
          <w:rFonts w:ascii="Arial" w:hAnsi="Arial" w:cs="Arial"/>
          <w:sz w:val="20"/>
          <w:szCs w:val="20"/>
        </w:rPr>
        <w:t>VaV</w:t>
      </w:r>
      <w:proofErr w:type="spellEnd"/>
      <w:r w:rsidR="009A6451">
        <w:rPr>
          <w:rFonts w:ascii="Arial" w:hAnsi="Arial" w:cs="Arial"/>
          <w:sz w:val="20"/>
          <w:szCs w:val="20"/>
        </w:rPr>
        <w:t xml:space="preserve">. V roce 2017 </w:t>
      </w:r>
      <w:r w:rsidR="00035A5C">
        <w:rPr>
          <w:rFonts w:ascii="Arial" w:hAnsi="Arial" w:cs="Arial"/>
          <w:sz w:val="20"/>
          <w:szCs w:val="20"/>
        </w:rPr>
        <w:t>činil tento podíl</w:t>
      </w:r>
      <w:r w:rsidR="009A6451">
        <w:rPr>
          <w:rFonts w:ascii="Arial" w:hAnsi="Arial" w:cs="Arial"/>
          <w:sz w:val="20"/>
          <w:szCs w:val="20"/>
        </w:rPr>
        <w:t xml:space="preserve"> 17, 2 %. </w:t>
      </w:r>
      <w:r w:rsidR="00035A5C">
        <w:rPr>
          <w:rFonts w:ascii="Arial" w:hAnsi="Arial" w:cs="Arial"/>
          <w:sz w:val="20"/>
          <w:szCs w:val="20"/>
        </w:rPr>
        <w:t xml:space="preserve">Nejdůležitější institucí </w:t>
      </w:r>
      <w:r w:rsidR="009A6451">
        <w:rPr>
          <w:rFonts w:ascii="Arial" w:hAnsi="Arial" w:cs="Arial"/>
          <w:sz w:val="20"/>
          <w:szCs w:val="20"/>
        </w:rPr>
        <w:t xml:space="preserve">vládního sektoru je AV ČR, na které se </w:t>
      </w:r>
      <w:r w:rsidR="00035A5C">
        <w:rPr>
          <w:rFonts w:ascii="Arial" w:hAnsi="Arial" w:cs="Arial"/>
          <w:sz w:val="20"/>
          <w:szCs w:val="20"/>
        </w:rPr>
        <w:t xml:space="preserve">v roce 2017 </w:t>
      </w:r>
      <w:r w:rsidR="009A6451">
        <w:rPr>
          <w:rFonts w:ascii="Arial" w:hAnsi="Arial" w:cs="Arial"/>
          <w:sz w:val="20"/>
          <w:szCs w:val="20"/>
        </w:rPr>
        <w:t xml:space="preserve">vynaložilo na </w:t>
      </w:r>
      <w:proofErr w:type="spellStart"/>
      <w:r w:rsidR="009A6451">
        <w:rPr>
          <w:rFonts w:ascii="Arial" w:hAnsi="Arial" w:cs="Arial"/>
          <w:sz w:val="20"/>
          <w:szCs w:val="20"/>
        </w:rPr>
        <w:t>VaV</w:t>
      </w:r>
      <w:proofErr w:type="spellEnd"/>
      <w:r w:rsidR="009A6451">
        <w:rPr>
          <w:rFonts w:ascii="Arial" w:hAnsi="Arial" w:cs="Arial"/>
          <w:sz w:val="20"/>
          <w:szCs w:val="20"/>
        </w:rPr>
        <w:t xml:space="preserve"> 11,6 mld. Kč, ¾ vládního sektoru. Na resortních výzkumných pracovištích se</w:t>
      </w:r>
      <w:r w:rsidR="00035A5C">
        <w:rPr>
          <w:rFonts w:ascii="Arial" w:hAnsi="Arial" w:cs="Arial"/>
          <w:sz w:val="20"/>
          <w:szCs w:val="20"/>
        </w:rPr>
        <w:t xml:space="preserve"> utratily 2 mld. Kč a na všechna</w:t>
      </w:r>
      <w:r w:rsidR="009A6451">
        <w:rPr>
          <w:rFonts w:ascii="Arial" w:hAnsi="Arial" w:cs="Arial"/>
          <w:sz w:val="20"/>
          <w:szCs w:val="20"/>
        </w:rPr>
        <w:t xml:space="preserve"> </w:t>
      </w:r>
      <w:r w:rsidR="00035A5C">
        <w:rPr>
          <w:rFonts w:ascii="Arial" w:hAnsi="Arial" w:cs="Arial"/>
          <w:sz w:val="20"/>
          <w:szCs w:val="20"/>
        </w:rPr>
        <w:t>ostatní</w:t>
      </w:r>
      <w:r w:rsidR="009A6451">
        <w:rPr>
          <w:rFonts w:ascii="Arial" w:hAnsi="Arial" w:cs="Arial"/>
          <w:sz w:val="20"/>
          <w:szCs w:val="20"/>
        </w:rPr>
        <w:t xml:space="preserve"> pracoviště vládního sektoru připadly rovněž 2 mld. Kč.</w:t>
      </w:r>
    </w:p>
    <w:p w:rsidR="009A6451" w:rsidRDefault="00035A5C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7448A">
        <w:rPr>
          <w:rFonts w:ascii="Arial" w:hAnsi="Arial" w:cs="Arial"/>
          <w:sz w:val="20"/>
          <w:szCs w:val="20"/>
        </w:rPr>
        <w:t xml:space="preserve"> meziroč</w:t>
      </w:r>
      <w:r>
        <w:rPr>
          <w:rFonts w:ascii="Arial" w:hAnsi="Arial" w:cs="Arial"/>
          <w:sz w:val="20"/>
          <w:szCs w:val="20"/>
        </w:rPr>
        <w:t>ní</w:t>
      </w:r>
      <w:r w:rsidR="009A64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nárůst</w:t>
      </w:r>
      <w:r w:rsidR="00E7448A">
        <w:rPr>
          <w:rFonts w:ascii="Arial" w:hAnsi="Arial" w:cs="Arial"/>
          <w:sz w:val="20"/>
          <w:szCs w:val="20"/>
        </w:rPr>
        <w:t xml:space="preserve"> se nejvíce </w:t>
      </w:r>
      <w:r>
        <w:rPr>
          <w:rFonts w:ascii="Arial" w:hAnsi="Arial" w:cs="Arial"/>
          <w:sz w:val="20"/>
          <w:szCs w:val="20"/>
        </w:rPr>
        <w:t>zaslouži</w:t>
      </w:r>
      <w:r w:rsidR="00E7448A">
        <w:rPr>
          <w:rFonts w:ascii="Arial" w:hAnsi="Arial" w:cs="Arial"/>
          <w:sz w:val="20"/>
          <w:szCs w:val="20"/>
        </w:rPr>
        <w:t xml:space="preserve">l český stát, který </w:t>
      </w:r>
      <w:r>
        <w:rPr>
          <w:rFonts w:ascii="Arial" w:hAnsi="Arial" w:cs="Arial"/>
          <w:sz w:val="20"/>
          <w:szCs w:val="20"/>
        </w:rPr>
        <w:t>dal</w:t>
      </w:r>
      <w:r w:rsidR="00E7448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E7448A">
        <w:rPr>
          <w:rFonts w:ascii="Arial" w:hAnsi="Arial" w:cs="Arial"/>
          <w:sz w:val="20"/>
          <w:szCs w:val="20"/>
        </w:rPr>
        <w:t>VaV</w:t>
      </w:r>
      <w:proofErr w:type="spellEnd"/>
      <w:r w:rsidR="00E7448A">
        <w:rPr>
          <w:rFonts w:ascii="Arial" w:hAnsi="Arial" w:cs="Arial"/>
          <w:sz w:val="20"/>
          <w:szCs w:val="20"/>
        </w:rPr>
        <w:t xml:space="preserve"> ve vládním sektoru o 900 mil. Kč více než v předchozím roce a na financování </w:t>
      </w:r>
      <w:proofErr w:type="spellStart"/>
      <w:r w:rsidR="00E7448A">
        <w:rPr>
          <w:rFonts w:ascii="Arial" w:hAnsi="Arial" w:cs="Arial"/>
          <w:sz w:val="20"/>
          <w:szCs w:val="20"/>
        </w:rPr>
        <w:t>VaV</w:t>
      </w:r>
      <w:proofErr w:type="spellEnd"/>
      <w:r w:rsidR="00E7448A">
        <w:rPr>
          <w:rFonts w:ascii="Arial" w:hAnsi="Arial" w:cs="Arial"/>
          <w:sz w:val="20"/>
          <w:szCs w:val="20"/>
        </w:rPr>
        <w:t xml:space="preserve"> vládního sektoru se podílel ze 78 %. V letech 2015</w:t>
      </w:r>
      <w:r w:rsidR="006A262A">
        <w:rPr>
          <w:rFonts w:ascii="Arial" w:hAnsi="Arial" w:cs="Arial"/>
          <w:sz w:val="20"/>
          <w:szCs w:val="20"/>
        </w:rPr>
        <w:t>–</w:t>
      </w:r>
      <w:r w:rsidR="00E7448A">
        <w:rPr>
          <w:rFonts w:ascii="Arial" w:hAnsi="Arial" w:cs="Arial"/>
          <w:sz w:val="20"/>
          <w:szCs w:val="20"/>
        </w:rPr>
        <w:t xml:space="preserve">2017 každoročně </w:t>
      </w:r>
      <w:r>
        <w:rPr>
          <w:rFonts w:ascii="Arial" w:hAnsi="Arial" w:cs="Arial"/>
          <w:sz w:val="20"/>
          <w:szCs w:val="20"/>
        </w:rPr>
        <w:t xml:space="preserve">směřovalo </w:t>
      </w:r>
      <w:r w:rsidR="00E7448A">
        <w:rPr>
          <w:rFonts w:ascii="Arial" w:hAnsi="Arial" w:cs="Arial"/>
          <w:sz w:val="20"/>
          <w:szCs w:val="20"/>
        </w:rPr>
        <w:t xml:space="preserve">39 </w:t>
      </w:r>
      <w:r>
        <w:rPr>
          <w:rFonts w:ascii="Arial" w:hAnsi="Arial" w:cs="Arial"/>
          <w:sz w:val="20"/>
          <w:szCs w:val="20"/>
        </w:rPr>
        <w:t xml:space="preserve">% celkové veřejné domácí podpory </w:t>
      </w:r>
      <w:r w:rsidR="00E7448A">
        <w:rPr>
          <w:rFonts w:ascii="Arial" w:hAnsi="Arial" w:cs="Arial"/>
          <w:sz w:val="20"/>
          <w:szCs w:val="20"/>
        </w:rPr>
        <w:t>do vládního sektoru. O 700 mil. Kč</w:t>
      </w:r>
      <w:r>
        <w:rPr>
          <w:rFonts w:ascii="Arial" w:hAnsi="Arial" w:cs="Arial"/>
          <w:sz w:val="20"/>
          <w:szCs w:val="20"/>
        </w:rPr>
        <w:t xml:space="preserve"> oproti roku 2016</w:t>
      </w:r>
      <w:r w:rsidR="00E7448A">
        <w:rPr>
          <w:rFonts w:ascii="Arial" w:hAnsi="Arial" w:cs="Arial"/>
          <w:sz w:val="20"/>
          <w:szCs w:val="20"/>
        </w:rPr>
        <w:t xml:space="preserve"> vzrostly veřejné zahraniční zdroje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které</w:t>
      </w:r>
      <w:r w:rsidR="00E744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1,9</w:t>
      </w:r>
      <w:proofErr w:type="gramEnd"/>
      <w:r>
        <w:rPr>
          <w:rFonts w:ascii="Arial" w:hAnsi="Arial" w:cs="Arial"/>
          <w:sz w:val="20"/>
          <w:szCs w:val="20"/>
        </w:rPr>
        <w:t xml:space="preserve"> mld. Kč v roce 2017 byly druhým</w:t>
      </w:r>
      <w:r w:rsidR="00E7448A">
        <w:rPr>
          <w:rFonts w:ascii="Arial" w:hAnsi="Arial" w:cs="Arial"/>
          <w:sz w:val="20"/>
          <w:szCs w:val="20"/>
        </w:rPr>
        <w:t xml:space="preserve"> nejvýznamnějším zdrojem financování</w:t>
      </w:r>
      <w:r w:rsidR="00377E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EED">
        <w:rPr>
          <w:rFonts w:ascii="Arial" w:hAnsi="Arial" w:cs="Arial"/>
          <w:sz w:val="20"/>
          <w:szCs w:val="20"/>
        </w:rPr>
        <w:t>VaV</w:t>
      </w:r>
      <w:proofErr w:type="spellEnd"/>
      <w:r w:rsidR="001808D6">
        <w:rPr>
          <w:rFonts w:ascii="Arial" w:hAnsi="Arial" w:cs="Arial"/>
          <w:sz w:val="20"/>
          <w:szCs w:val="20"/>
        </w:rPr>
        <w:t xml:space="preserve"> vládního sektoru</w:t>
      </w:r>
      <w:r w:rsidR="00E7448A">
        <w:rPr>
          <w:rFonts w:ascii="Arial" w:hAnsi="Arial" w:cs="Arial"/>
          <w:sz w:val="20"/>
          <w:szCs w:val="20"/>
        </w:rPr>
        <w:t xml:space="preserve">. </w:t>
      </w:r>
      <w:r w:rsidR="00627C5B">
        <w:rPr>
          <w:rFonts w:ascii="Arial" w:hAnsi="Arial" w:cs="Arial"/>
          <w:sz w:val="20"/>
          <w:szCs w:val="20"/>
        </w:rPr>
        <w:t xml:space="preserve">Jak již bylo zmíněno, rok 2016 byl rokem </w:t>
      </w:r>
      <w:r w:rsidR="00377EED">
        <w:rPr>
          <w:rFonts w:ascii="Arial" w:hAnsi="Arial" w:cs="Arial"/>
          <w:sz w:val="20"/>
          <w:szCs w:val="20"/>
        </w:rPr>
        <w:t>nízkého</w:t>
      </w:r>
      <w:r w:rsidR="00627C5B">
        <w:rPr>
          <w:rFonts w:ascii="Arial" w:hAnsi="Arial" w:cs="Arial"/>
          <w:sz w:val="20"/>
          <w:szCs w:val="20"/>
        </w:rPr>
        <w:t xml:space="preserve"> čerpání prostředků z EU, které souviselo s koncem jednoho programového období. </w:t>
      </w:r>
      <w:r w:rsidR="007F7702">
        <w:rPr>
          <w:rFonts w:ascii="Arial" w:hAnsi="Arial" w:cs="Arial"/>
          <w:sz w:val="20"/>
          <w:szCs w:val="20"/>
        </w:rPr>
        <w:t>V souvislosti s nástupem nového programového období js</w:t>
      </w:r>
      <w:r w:rsidR="00627C5B">
        <w:rPr>
          <w:rFonts w:ascii="Arial" w:hAnsi="Arial" w:cs="Arial"/>
          <w:sz w:val="20"/>
          <w:szCs w:val="20"/>
        </w:rPr>
        <w:t>m</w:t>
      </w:r>
      <w:r w:rsidR="007F7702">
        <w:rPr>
          <w:rFonts w:ascii="Arial" w:hAnsi="Arial" w:cs="Arial"/>
          <w:sz w:val="20"/>
          <w:szCs w:val="20"/>
        </w:rPr>
        <w:t>e</w:t>
      </w:r>
      <w:r w:rsidR="00627C5B">
        <w:rPr>
          <w:rFonts w:ascii="Arial" w:hAnsi="Arial" w:cs="Arial"/>
          <w:sz w:val="20"/>
          <w:szCs w:val="20"/>
        </w:rPr>
        <w:t xml:space="preserve"> </w:t>
      </w:r>
      <w:r w:rsidR="007F7702">
        <w:rPr>
          <w:rFonts w:ascii="Arial" w:hAnsi="Arial" w:cs="Arial"/>
          <w:sz w:val="20"/>
          <w:szCs w:val="20"/>
        </w:rPr>
        <w:t xml:space="preserve">v roce 2017 </w:t>
      </w:r>
      <w:r w:rsidR="00627C5B">
        <w:rPr>
          <w:rFonts w:ascii="Arial" w:hAnsi="Arial" w:cs="Arial"/>
          <w:sz w:val="20"/>
          <w:szCs w:val="20"/>
        </w:rPr>
        <w:t xml:space="preserve">zaznamenali opětovný nárůst čerpání prostředků EU. </w:t>
      </w:r>
      <w:r w:rsidR="009401E4">
        <w:rPr>
          <w:rFonts w:ascii="Arial" w:hAnsi="Arial" w:cs="Arial"/>
          <w:sz w:val="20"/>
          <w:szCs w:val="20"/>
        </w:rPr>
        <w:t>Stále</w:t>
      </w:r>
      <w:r w:rsidR="00627C5B">
        <w:rPr>
          <w:rFonts w:ascii="Arial" w:hAnsi="Arial" w:cs="Arial"/>
          <w:sz w:val="20"/>
          <w:szCs w:val="20"/>
        </w:rPr>
        <w:t xml:space="preserve"> </w:t>
      </w:r>
      <w:r w:rsidR="007F7702">
        <w:rPr>
          <w:rFonts w:ascii="Arial" w:hAnsi="Arial" w:cs="Arial"/>
          <w:sz w:val="20"/>
          <w:szCs w:val="20"/>
        </w:rPr>
        <w:t>se však v souhrnu</w:t>
      </w:r>
      <w:r w:rsidR="00627C5B">
        <w:rPr>
          <w:rFonts w:ascii="Arial" w:hAnsi="Arial" w:cs="Arial"/>
          <w:sz w:val="20"/>
          <w:szCs w:val="20"/>
        </w:rPr>
        <w:t xml:space="preserve"> </w:t>
      </w:r>
      <w:r w:rsidR="007F7702">
        <w:rPr>
          <w:rFonts w:ascii="Arial" w:hAnsi="Arial" w:cs="Arial"/>
          <w:sz w:val="20"/>
          <w:szCs w:val="20"/>
        </w:rPr>
        <w:t xml:space="preserve">jedná o více </w:t>
      </w:r>
      <w:r w:rsidR="00627C5B">
        <w:rPr>
          <w:rFonts w:ascii="Arial" w:hAnsi="Arial" w:cs="Arial"/>
          <w:sz w:val="20"/>
          <w:szCs w:val="20"/>
        </w:rPr>
        <w:t xml:space="preserve">než dvakrát </w:t>
      </w:r>
      <w:r w:rsidR="007F7702">
        <w:rPr>
          <w:rFonts w:ascii="Arial" w:hAnsi="Arial" w:cs="Arial"/>
          <w:sz w:val="20"/>
          <w:szCs w:val="20"/>
        </w:rPr>
        <w:t>nižší částku,</w:t>
      </w:r>
      <w:r w:rsidR="00627C5B">
        <w:rPr>
          <w:rFonts w:ascii="Arial" w:hAnsi="Arial" w:cs="Arial"/>
          <w:sz w:val="20"/>
          <w:szCs w:val="20"/>
        </w:rPr>
        <w:t xml:space="preserve"> než kolik </w:t>
      </w:r>
      <w:r w:rsidR="006A262A">
        <w:rPr>
          <w:rFonts w:ascii="Arial" w:hAnsi="Arial" w:cs="Arial"/>
          <w:sz w:val="20"/>
          <w:szCs w:val="20"/>
        </w:rPr>
        <w:t xml:space="preserve">se </w:t>
      </w:r>
      <w:r w:rsidR="001808D6">
        <w:rPr>
          <w:rFonts w:ascii="Arial" w:hAnsi="Arial" w:cs="Arial"/>
          <w:sz w:val="20"/>
          <w:szCs w:val="20"/>
        </w:rPr>
        <w:t xml:space="preserve">ročně </w:t>
      </w:r>
      <w:r w:rsidR="00627C5B">
        <w:rPr>
          <w:rFonts w:ascii="Arial" w:hAnsi="Arial" w:cs="Arial"/>
          <w:sz w:val="20"/>
          <w:szCs w:val="20"/>
        </w:rPr>
        <w:t xml:space="preserve">čerpalo </w:t>
      </w:r>
      <w:r w:rsidR="001808D6">
        <w:rPr>
          <w:rFonts w:ascii="Arial" w:hAnsi="Arial" w:cs="Arial"/>
          <w:sz w:val="20"/>
          <w:szCs w:val="20"/>
        </w:rPr>
        <w:t xml:space="preserve">během let </w:t>
      </w:r>
      <w:r w:rsidR="00627C5B">
        <w:rPr>
          <w:rFonts w:ascii="Arial" w:hAnsi="Arial" w:cs="Arial"/>
          <w:sz w:val="20"/>
          <w:szCs w:val="20"/>
        </w:rPr>
        <w:t>2014</w:t>
      </w:r>
      <w:r w:rsidR="006A262A">
        <w:rPr>
          <w:rFonts w:ascii="Arial" w:hAnsi="Arial" w:cs="Arial"/>
          <w:sz w:val="20"/>
          <w:szCs w:val="20"/>
        </w:rPr>
        <w:t>–</w:t>
      </w:r>
      <w:r w:rsidR="00627C5B">
        <w:rPr>
          <w:rFonts w:ascii="Arial" w:hAnsi="Arial" w:cs="Arial"/>
          <w:sz w:val="20"/>
          <w:szCs w:val="20"/>
        </w:rPr>
        <w:t>2015. Necelá 4</w:t>
      </w:r>
      <w:r w:rsidR="00A97579">
        <w:rPr>
          <w:rFonts w:ascii="Arial" w:hAnsi="Arial" w:cs="Arial"/>
          <w:sz w:val="20"/>
          <w:szCs w:val="20"/>
        </w:rPr>
        <w:t> </w:t>
      </w:r>
      <w:r w:rsidR="00627C5B">
        <w:rPr>
          <w:rFonts w:ascii="Arial" w:hAnsi="Arial" w:cs="Arial"/>
          <w:sz w:val="20"/>
          <w:szCs w:val="20"/>
        </w:rPr>
        <w:t xml:space="preserve">% financování </w:t>
      </w:r>
      <w:proofErr w:type="spellStart"/>
      <w:r w:rsidR="00627C5B">
        <w:rPr>
          <w:rFonts w:ascii="Arial" w:hAnsi="Arial" w:cs="Arial"/>
          <w:sz w:val="20"/>
          <w:szCs w:val="20"/>
        </w:rPr>
        <w:t>VaV</w:t>
      </w:r>
      <w:proofErr w:type="spellEnd"/>
      <w:r w:rsidR="00627C5B">
        <w:rPr>
          <w:rFonts w:ascii="Arial" w:hAnsi="Arial" w:cs="Arial"/>
          <w:sz w:val="20"/>
          <w:szCs w:val="20"/>
        </w:rPr>
        <w:t xml:space="preserve"> ve vládním sektoru připadají na domácí podnikatelské zdroje. Dlouhodobě to </w:t>
      </w:r>
      <w:r w:rsidR="006A262A">
        <w:rPr>
          <w:rFonts w:ascii="Arial" w:hAnsi="Arial" w:cs="Arial"/>
          <w:sz w:val="20"/>
          <w:szCs w:val="20"/>
        </w:rPr>
        <w:t>činí</w:t>
      </w:r>
      <w:r w:rsidR="00627C5B">
        <w:rPr>
          <w:rFonts w:ascii="Arial" w:hAnsi="Arial" w:cs="Arial"/>
          <w:sz w:val="20"/>
          <w:szCs w:val="20"/>
        </w:rPr>
        <w:t xml:space="preserve"> okolo půl miliardy Kč</w:t>
      </w:r>
      <w:r w:rsidR="006A262A">
        <w:rPr>
          <w:rFonts w:ascii="Arial" w:hAnsi="Arial" w:cs="Arial"/>
          <w:sz w:val="20"/>
          <w:szCs w:val="20"/>
        </w:rPr>
        <w:t xml:space="preserve"> ročně</w:t>
      </w:r>
      <w:r w:rsidR="00627C5B">
        <w:rPr>
          <w:rFonts w:ascii="Arial" w:hAnsi="Arial" w:cs="Arial"/>
          <w:sz w:val="20"/>
          <w:szCs w:val="20"/>
        </w:rPr>
        <w:t>. Naopak meziročně poklesly zahraniční podnikatelské zdroje, které ve vládním sektoru tvoř</w:t>
      </w:r>
      <w:r w:rsidR="007F7702">
        <w:rPr>
          <w:rFonts w:ascii="Arial" w:hAnsi="Arial" w:cs="Arial"/>
          <w:sz w:val="20"/>
          <w:szCs w:val="20"/>
        </w:rPr>
        <w:t>í především licenční</w:t>
      </w:r>
      <w:r w:rsidR="00627C5B">
        <w:rPr>
          <w:rFonts w:ascii="Arial" w:hAnsi="Arial" w:cs="Arial"/>
          <w:sz w:val="20"/>
          <w:szCs w:val="20"/>
        </w:rPr>
        <w:t xml:space="preserve"> po</w:t>
      </w:r>
      <w:r w:rsidR="007F7702">
        <w:rPr>
          <w:rFonts w:ascii="Arial" w:hAnsi="Arial" w:cs="Arial"/>
          <w:sz w:val="20"/>
          <w:szCs w:val="20"/>
        </w:rPr>
        <w:t>platky</w:t>
      </w:r>
      <w:r w:rsidR="00627C5B">
        <w:rPr>
          <w:rFonts w:ascii="Arial" w:hAnsi="Arial" w:cs="Arial"/>
          <w:sz w:val="20"/>
          <w:szCs w:val="20"/>
        </w:rPr>
        <w:t xml:space="preserve"> ÚOCHB AV ČR.</w:t>
      </w:r>
      <w:r w:rsidR="000170CA">
        <w:rPr>
          <w:rFonts w:ascii="Arial" w:hAnsi="Arial" w:cs="Arial"/>
          <w:sz w:val="20"/>
          <w:szCs w:val="20"/>
        </w:rPr>
        <w:t xml:space="preserve"> </w:t>
      </w:r>
    </w:p>
    <w:p w:rsidR="000170CA" w:rsidRDefault="002A5BB5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A6EFB2E" wp14:editId="0EA71843">
            <wp:extent cx="6086475" cy="363855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B6362">
        <w:rPr>
          <w:rFonts w:ascii="Arial" w:hAnsi="Arial" w:cs="Arial"/>
          <w:sz w:val="20"/>
          <w:szCs w:val="20"/>
        </w:rPr>
        <w:t>Z </w:t>
      </w:r>
      <w:r w:rsidR="001672B2">
        <w:rPr>
          <w:rFonts w:ascii="Arial" w:hAnsi="Arial" w:cs="Arial"/>
          <w:sz w:val="20"/>
          <w:szCs w:val="20"/>
        </w:rPr>
        <w:t>jednotlivých</w:t>
      </w:r>
      <w:r w:rsidR="000170CA">
        <w:rPr>
          <w:rFonts w:ascii="Arial" w:hAnsi="Arial" w:cs="Arial"/>
          <w:sz w:val="20"/>
          <w:szCs w:val="20"/>
        </w:rPr>
        <w:t xml:space="preserve"> </w:t>
      </w:r>
      <w:r w:rsidR="001672B2">
        <w:rPr>
          <w:rFonts w:ascii="Arial" w:hAnsi="Arial" w:cs="Arial"/>
          <w:sz w:val="20"/>
          <w:szCs w:val="20"/>
        </w:rPr>
        <w:t>výdajových položek meziročně nejvíce vzrostly mzdy</w:t>
      </w:r>
      <w:r w:rsidR="009401E4">
        <w:rPr>
          <w:rFonts w:ascii="Arial" w:hAnsi="Arial" w:cs="Arial"/>
          <w:sz w:val="20"/>
          <w:szCs w:val="20"/>
        </w:rPr>
        <w:t>, které</w:t>
      </w:r>
      <w:r w:rsidR="000170CA">
        <w:rPr>
          <w:rFonts w:ascii="Arial" w:hAnsi="Arial" w:cs="Arial"/>
          <w:sz w:val="20"/>
          <w:szCs w:val="20"/>
        </w:rPr>
        <w:t xml:space="preserve"> </w:t>
      </w:r>
      <w:r w:rsidR="001672B2">
        <w:rPr>
          <w:rFonts w:ascii="Arial" w:hAnsi="Arial" w:cs="Arial"/>
          <w:sz w:val="20"/>
          <w:szCs w:val="20"/>
        </w:rPr>
        <w:t xml:space="preserve">v roce 2017 </w:t>
      </w:r>
      <w:r w:rsidR="000170CA">
        <w:rPr>
          <w:rFonts w:ascii="Arial" w:hAnsi="Arial" w:cs="Arial"/>
          <w:sz w:val="20"/>
          <w:szCs w:val="20"/>
        </w:rPr>
        <w:t xml:space="preserve">tvořily téměř polovinu výdajů na </w:t>
      </w:r>
      <w:proofErr w:type="spellStart"/>
      <w:r w:rsidR="000170CA">
        <w:rPr>
          <w:rFonts w:ascii="Arial" w:hAnsi="Arial" w:cs="Arial"/>
          <w:sz w:val="20"/>
          <w:szCs w:val="20"/>
        </w:rPr>
        <w:t>VaV</w:t>
      </w:r>
      <w:proofErr w:type="spellEnd"/>
      <w:r w:rsidR="000170CA">
        <w:rPr>
          <w:rFonts w:ascii="Arial" w:hAnsi="Arial" w:cs="Arial"/>
          <w:sz w:val="20"/>
          <w:szCs w:val="20"/>
        </w:rPr>
        <w:t xml:space="preserve"> vládního sektoru. Jen málo </w:t>
      </w:r>
      <w:r w:rsidR="001672B2">
        <w:rPr>
          <w:rFonts w:ascii="Arial" w:hAnsi="Arial" w:cs="Arial"/>
          <w:sz w:val="20"/>
          <w:szCs w:val="20"/>
        </w:rPr>
        <w:t xml:space="preserve">se navýšily investiční výdaje na </w:t>
      </w:r>
      <w:proofErr w:type="spellStart"/>
      <w:r w:rsidR="001672B2">
        <w:rPr>
          <w:rFonts w:ascii="Arial" w:hAnsi="Arial" w:cs="Arial"/>
          <w:sz w:val="20"/>
          <w:szCs w:val="20"/>
        </w:rPr>
        <w:t>VaV</w:t>
      </w:r>
      <w:proofErr w:type="spellEnd"/>
      <w:r w:rsidR="001672B2">
        <w:rPr>
          <w:rFonts w:ascii="Arial" w:hAnsi="Arial" w:cs="Arial"/>
          <w:sz w:val="20"/>
          <w:szCs w:val="20"/>
        </w:rPr>
        <w:t>, v</w:t>
      </w:r>
      <w:r w:rsidR="000170CA">
        <w:rPr>
          <w:rFonts w:ascii="Arial" w:hAnsi="Arial" w:cs="Arial"/>
          <w:sz w:val="20"/>
          <w:szCs w:val="20"/>
        </w:rPr>
        <w:t xml:space="preserve"> roce 2017 </w:t>
      </w:r>
      <w:r w:rsidR="001672B2">
        <w:rPr>
          <w:rFonts w:ascii="Arial" w:hAnsi="Arial" w:cs="Arial"/>
          <w:sz w:val="20"/>
          <w:szCs w:val="20"/>
        </w:rPr>
        <w:t>činily</w:t>
      </w:r>
      <w:r w:rsidR="000170CA">
        <w:rPr>
          <w:rFonts w:ascii="Arial" w:hAnsi="Arial" w:cs="Arial"/>
          <w:sz w:val="20"/>
          <w:szCs w:val="20"/>
        </w:rPr>
        <w:t xml:space="preserve"> celkem 2,7 mld. Kč, z čehož 86</w:t>
      </w:r>
      <w:r w:rsidR="001672B2">
        <w:rPr>
          <w:rFonts w:ascii="Arial" w:hAnsi="Arial" w:cs="Arial"/>
          <w:sz w:val="20"/>
          <w:szCs w:val="20"/>
        </w:rPr>
        <w:t xml:space="preserve"> </w:t>
      </w:r>
      <w:r w:rsidR="000170CA">
        <w:rPr>
          <w:rFonts w:ascii="Arial" w:hAnsi="Arial" w:cs="Arial"/>
          <w:sz w:val="20"/>
          <w:szCs w:val="20"/>
        </w:rPr>
        <w:t xml:space="preserve">% připadalo na AV ČR. </w:t>
      </w:r>
      <w:r w:rsidR="00F92C63">
        <w:rPr>
          <w:rFonts w:ascii="Arial" w:hAnsi="Arial" w:cs="Arial"/>
          <w:sz w:val="20"/>
          <w:szCs w:val="20"/>
        </w:rPr>
        <w:t>Investiční výdaje byly nejvyšší mezi lety 2013</w:t>
      </w:r>
      <w:r w:rsidR="006A262A">
        <w:rPr>
          <w:rFonts w:ascii="Arial" w:hAnsi="Arial" w:cs="Arial"/>
          <w:sz w:val="20"/>
          <w:szCs w:val="20"/>
        </w:rPr>
        <w:t>–</w:t>
      </w:r>
      <w:r w:rsidR="00F92C63">
        <w:rPr>
          <w:rFonts w:ascii="Arial" w:hAnsi="Arial" w:cs="Arial"/>
          <w:sz w:val="20"/>
          <w:szCs w:val="20"/>
        </w:rPr>
        <w:t xml:space="preserve">2015, což má </w:t>
      </w:r>
      <w:r w:rsidR="00F92C63">
        <w:rPr>
          <w:rFonts w:ascii="Arial" w:hAnsi="Arial" w:cs="Arial"/>
          <w:sz w:val="20"/>
          <w:szCs w:val="20"/>
        </w:rPr>
        <w:lastRenderedPageBreak/>
        <w:t xml:space="preserve">spojitost s výše zmiňovaným čerpáním dotací EU, které ve velké míře směřovaly </w:t>
      </w:r>
      <w:r w:rsidR="001672B2">
        <w:rPr>
          <w:rFonts w:ascii="Arial" w:hAnsi="Arial" w:cs="Arial"/>
          <w:sz w:val="20"/>
          <w:szCs w:val="20"/>
        </w:rPr>
        <w:t>právě</w:t>
      </w:r>
      <w:r w:rsidR="00F92C63">
        <w:rPr>
          <w:rFonts w:ascii="Arial" w:hAnsi="Arial" w:cs="Arial"/>
          <w:sz w:val="20"/>
          <w:szCs w:val="20"/>
        </w:rPr>
        <w:t xml:space="preserve"> na investice, a to především na výstavbu nových výzkumných center, z nichž několik </w:t>
      </w:r>
      <w:r w:rsidR="001672B2">
        <w:rPr>
          <w:rFonts w:ascii="Arial" w:hAnsi="Arial" w:cs="Arial"/>
          <w:sz w:val="20"/>
          <w:szCs w:val="20"/>
        </w:rPr>
        <w:t>spadá do vládního sektoru.</w:t>
      </w:r>
    </w:p>
    <w:p w:rsidR="00F92C63" w:rsidRDefault="00F92C63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Výzkum a vývoj ve vládním sektoru se největší měrou provádí v oblasti přírodních věd, což souvisí se zaměřením většiny ústavů AV ČR. Na přírodní vědy tak připadá asi 70 %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vládního sektoru. Na každou ze zbylých vědních oblastí připadá 4</w:t>
      </w:r>
      <w:r w:rsidR="006A262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9 %. Výzkum v</w:t>
      </w:r>
      <w:r w:rsidR="001808D6">
        <w:rPr>
          <w:rFonts w:ascii="Arial" w:hAnsi="Arial" w:cs="Arial"/>
          <w:sz w:val="20"/>
          <w:szCs w:val="20"/>
        </w:rPr>
        <w:t> humanitních vědách se provádí na</w:t>
      </w:r>
      <w:r>
        <w:rPr>
          <w:rFonts w:ascii="Arial" w:hAnsi="Arial" w:cs="Arial"/>
          <w:sz w:val="20"/>
          <w:szCs w:val="20"/>
        </w:rPr>
        <w:t> některých pracovištích AV ČR, v muzeích a knihovnách. V lékařských vědách se bádá předevš</w:t>
      </w:r>
      <w:r w:rsidR="00564A3C">
        <w:rPr>
          <w:rFonts w:ascii="Arial" w:hAnsi="Arial" w:cs="Arial"/>
          <w:sz w:val="20"/>
          <w:szCs w:val="20"/>
        </w:rPr>
        <w:t>ím ve zdravotnických zařízeních, v zemědělských vědách v některých veřejných výzkumných institucích.</w:t>
      </w:r>
    </w:p>
    <w:p w:rsidR="0020261D" w:rsidRDefault="008E57DA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jde o srovnání jednotlivých krajů ČR, nepřekvapí, </w:t>
      </w:r>
      <w:r w:rsidR="001672B2">
        <w:rPr>
          <w:rFonts w:ascii="Arial" w:hAnsi="Arial" w:cs="Arial"/>
          <w:sz w:val="20"/>
          <w:szCs w:val="20"/>
        </w:rPr>
        <w:t>že dominuje Praha s více než 60</w:t>
      </w:r>
      <w:r>
        <w:rPr>
          <w:rFonts w:ascii="Arial" w:hAnsi="Arial" w:cs="Arial"/>
          <w:sz w:val="20"/>
          <w:szCs w:val="20"/>
        </w:rPr>
        <w:t xml:space="preserve">% podílem na výdajích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vládního sektoru. </w:t>
      </w:r>
      <w:r w:rsidR="00B4277E">
        <w:rPr>
          <w:rFonts w:ascii="Arial" w:hAnsi="Arial" w:cs="Arial"/>
          <w:sz w:val="20"/>
          <w:szCs w:val="20"/>
        </w:rPr>
        <w:t>V Praze působí většina ústavů AV ČR, nejvíce resortních výzkumných prac</w:t>
      </w:r>
      <w:r w:rsidR="001672B2">
        <w:rPr>
          <w:rFonts w:ascii="Arial" w:hAnsi="Arial" w:cs="Arial"/>
          <w:sz w:val="20"/>
          <w:szCs w:val="20"/>
        </w:rPr>
        <w:t>ovišť, zdravotnických zařízení i</w:t>
      </w:r>
      <w:r w:rsidR="00B4277E">
        <w:rPr>
          <w:rFonts w:ascii="Arial" w:hAnsi="Arial" w:cs="Arial"/>
          <w:sz w:val="20"/>
          <w:szCs w:val="20"/>
        </w:rPr>
        <w:t xml:space="preserve"> muzeí. S vel</w:t>
      </w:r>
      <w:r w:rsidR="001672B2">
        <w:rPr>
          <w:rFonts w:ascii="Arial" w:hAnsi="Arial" w:cs="Arial"/>
          <w:sz w:val="20"/>
          <w:szCs w:val="20"/>
        </w:rPr>
        <w:t>kým odstupem za Prahou</w:t>
      </w:r>
      <w:r w:rsidR="000F764C">
        <w:rPr>
          <w:rFonts w:ascii="Arial" w:hAnsi="Arial" w:cs="Arial"/>
          <w:sz w:val="20"/>
          <w:szCs w:val="20"/>
        </w:rPr>
        <w:t xml:space="preserve"> a</w:t>
      </w:r>
      <w:r w:rsidR="00B4277E">
        <w:rPr>
          <w:rFonts w:ascii="Arial" w:hAnsi="Arial" w:cs="Arial"/>
          <w:sz w:val="20"/>
          <w:szCs w:val="20"/>
        </w:rPr>
        <w:t xml:space="preserve"> asi 19% podílem na výdajích na </w:t>
      </w:r>
      <w:proofErr w:type="spellStart"/>
      <w:r w:rsidR="00B4277E">
        <w:rPr>
          <w:rFonts w:ascii="Arial" w:hAnsi="Arial" w:cs="Arial"/>
          <w:sz w:val="20"/>
          <w:szCs w:val="20"/>
        </w:rPr>
        <w:t>VaV</w:t>
      </w:r>
      <w:proofErr w:type="spellEnd"/>
      <w:r w:rsidR="00B4277E">
        <w:rPr>
          <w:rFonts w:ascii="Arial" w:hAnsi="Arial" w:cs="Arial"/>
          <w:sz w:val="20"/>
          <w:szCs w:val="20"/>
        </w:rPr>
        <w:t xml:space="preserve"> vládního</w:t>
      </w:r>
      <w:r w:rsidR="000860AE">
        <w:rPr>
          <w:rFonts w:ascii="Arial" w:hAnsi="Arial" w:cs="Arial"/>
          <w:sz w:val="20"/>
          <w:szCs w:val="20"/>
        </w:rPr>
        <w:t xml:space="preserve"> sektoru </w:t>
      </w:r>
      <w:r w:rsidR="000F764C">
        <w:rPr>
          <w:rFonts w:ascii="Arial" w:hAnsi="Arial" w:cs="Arial"/>
          <w:sz w:val="20"/>
          <w:szCs w:val="20"/>
        </w:rPr>
        <w:t>následuje</w:t>
      </w:r>
      <w:r w:rsidR="00482BB3">
        <w:rPr>
          <w:rFonts w:ascii="Arial" w:hAnsi="Arial" w:cs="Arial"/>
          <w:sz w:val="20"/>
          <w:szCs w:val="20"/>
        </w:rPr>
        <w:t xml:space="preserve"> Středočeský kraj. </w:t>
      </w:r>
      <w:r w:rsidR="000860AE">
        <w:rPr>
          <w:rFonts w:ascii="Arial" w:hAnsi="Arial" w:cs="Arial"/>
          <w:sz w:val="20"/>
          <w:szCs w:val="20"/>
        </w:rPr>
        <w:t xml:space="preserve">Ve Středočeském kraji </w:t>
      </w:r>
      <w:r w:rsidR="000D156A">
        <w:rPr>
          <w:rFonts w:ascii="Arial" w:hAnsi="Arial" w:cs="Arial"/>
          <w:sz w:val="20"/>
          <w:szCs w:val="20"/>
        </w:rPr>
        <w:t>se nachází</w:t>
      </w:r>
      <w:r w:rsidR="000860AE">
        <w:rPr>
          <w:rFonts w:ascii="Arial" w:hAnsi="Arial" w:cs="Arial"/>
          <w:sz w:val="20"/>
          <w:szCs w:val="20"/>
        </w:rPr>
        <w:t xml:space="preserve"> několik veřejných výzkumných institucí a nová velká výzkumná centra. Na třetím místě je s </w:t>
      </w:r>
      <w:proofErr w:type="gramStart"/>
      <w:r w:rsidR="000860AE">
        <w:rPr>
          <w:rFonts w:ascii="Arial" w:hAnsi="Arial" w:cs="Arial"/>
          <w:sz w:val="20"/>
          <w:szCs w:val="20"/>
        </w:rPr>
        <w:t>11%</w:t>
      </w:r>
      <w:proofErr w:type="gramEnd"/>
      <w:r w:rsidR="000860AE">
        <w:rPr>
          <w:rFonts w:ascii="Arial" w:hAnsi="Arial" w:cs="Arial"/>
          <w:sz w:val="20"/>
          <w:szCs w:val="20"/>
        </w:rPr>
        <w:t xml:space="preserve"> podílem Jihomoravský kraj. V ostatních 11 krajích ČR na</w:t>
      </w:r>
      <w:r w:rsidR="000D156A">
        <w:rPr>
          <w:rFonts w:ascii="Arial" w:hAnsi="Arial" w:cs="Arial"/>
          <w:sz w:val="20"/>
          <w:szCs w:val="20"/>
        </w:rPr>
        <w:t>lezn</w:t>
      </w:r>
      <w:r w:rsidR="000860AE">
        <w:rPr>
          <w:rFonts w:ascii="Arial" w:hAnsi="Arial" w:cs="Arial"/>
          <w:sz w:val="20"/>
          <w:szCs w:val="20"/>
        </w:rPr>
        <w:t>eme většinou jen malá p</w:t>
      </w:r>
      <w:r w:rsidR="00452ED0">
        <w:rPr>
          <w:rFonts w:ascii="Arial" w:hAnsi="Arial" w:cs="Arial"/>
          <w:sz w:val="20"/>
          <w:szCs w:val="20"/>
        </w:rPr>
        <w:t xml:space="preserve">racoviště </w:t>
      </w:r>
      <w:proofErr w:type="spellStart"/>
      <w:r w:rsidR="00452ED0">
        <w:rPr>
          <w:rFonts w:ascii="Arial" w:hAnsi="Arial" w:cs="Arial"/>
          <w:sz w:val="20"/>
          <w:szCs w:val="20"/>
        </w:rPr>
        <w:t>VaV</w:t>
      </w:r>
      <w:proofErr w:type="spellEnd"/>
      <w:r w:rsidR="00452ED0">
        <w:rPr>
          <w:rFonts w:ascii="Arial" w:hAnsi="Arial" w:cs="Arial"/>
          <w:sz w:val="20"/>
          <w:szCs w:val="20"/>
        </w:rPr>
        <w:t xml:space="preserve"> a dohromady mají pouze 7</w:t>
      </w:r>
      <w:r w:rsidR="000860AE">
        <w:rPr>
          <w:rFonts w:ascii="Arial" w:hAnsi="Arial" w:cs="Arial"/>
          <w:sz w:val="20"/>
          <w:szCs w:val="20"/>
        </w:rPr>
        <w:t xml:space="preserve">% podíl na výdajích na </w:t>
      </w:r>
      <w:proofErr w:type="spellStart"/>
      <w:r w:rsidR="000860AE">
        <w:rPr>
          <w:rFonts w:ascii="Arial" w:hAnsi="Arial" w:cs="Arial"/>
          <w:sz w:val="20"/>
          <w:szCs w:val="20"/>
        </w:rPr>
        <w:t>VaV</w:t>
      </w:r>
      <w:proofErr w:type="spellEnd"/>
      <w:r w:rsidR="000860AE">
        <w:rPr>
          <w:rFonts w:ascii="Arial" w:hAnsi="Arial" w:cs="Arial"/>
          <w:sz w:val="20"/>
          <w:szCs w:val="20"/>
        </w:rPr>
        <w:t xml:space="preserve"> vládního sektoru.</w:t>
      </w:r>
    </w:p>
    <w:p w:rsidR="00564A3C" w:rsidRDefault="002A5BB5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21CE687" wp14:editId="49C47A7F">
            <wp:simplePos x="0" y="0"/>
            <wp:positionH relativeFrom="column">
              <wp:posOffset>3728085</wp:posOffset>
            </wp:positionH>
            <wp:positionV relativeFrom="paragraph">
              <wp:posOffset>501015</wp:posOffset>
            </wp:positionV>
            <wp:extent cx="1943100" cy="1609725"/>
            <wp:effectExtent l="0" t="0" r="19050" b="9525"/>
            <wp:wrapNone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45031A4" wp14:editId="438D6307">
            <wp:extent cx="6115050" cy="470535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452ED0">
        <w:rPr>
          <w:rFonts w:ascii="Arial" w:hAnsi="Arial" w:cs="Arial"/>
          <w:sz w:val="20"/>
          <w:szCs w:val="20"/>
        </w:rPr>
        <w:t xml:space="preserve">Zastoupení vládního sektoru je v Česku významné i </w:t>
      </w:r>
      <w:r w:rsidR="00A1402A">
        <w:rPr>
          <w:rFonts w:ascii="Arial" w:hAnsi="Arial" w:cs="Arial"/>
          <w:sz w:val="20"/>
          <w:szCs w:val="20"/>
        </w:rPr>
        <w:t xml:space="preserve">v </w:t>
      </w:r>
      <w:r w:rsidR="000D156A">
        <w:rPr>
          <w:rFonts w:ascii="Arial" w:hAnsi="Arial" w:cs="Arial"/>
          <w:sz w:val="20"/>
          <w:szCs w:val="20"/>
        </w:rPr>
        <w:t>porovnání</w:t>
      </w:r>
      <w:r w:rsidR="00452ED0">
        <w:rPr>
          <w:rFonts w:ascii="Arial" w:hAnsi="Arial" w:cs="Arial"/>
          <w:sz w:val="20"/>
          <w:szCs w:val="20"/>
        </w:rPr>
        <w:t xml:space="preserve"> s ostatními státy EU. </w:t>
      </w:r>
      <w:r w:rsidR="006A262A">
        <w:rPr>
          <w:rFonts w:ascii="Arial" w:hAnsi="Arial" w:cs="Arial"/>
          <w:sz w:val="20"/>
          <w:szCs w:val="20"/>
        </w:rPr>
        <w:t>V roce 2017 měl vládní sektor v Česku</w:t>
      </w:r>
      <w:r w:rsidR="00452ED0">
        <w:rPr>
          <w:rFonts w:ascii="Arial" w:hAnsi="Arial" w:cs="Arial"/>
          <w:sz w:val="20"/>
          <w:szCs w:val="20"/>
        </w:rPr>
        <w:t xml:space="preserve"> 17,2</w:t>
      </w:r>
      <w:r w:rsidR="0020261D">
        <w:rPr>
          <w:rFonts w:ascii="Arial" w:hAnsi="Arial" w:cs="Arial"/>
          <w:sz w:val="20"/>
          <w:szCs w:val="20"/>
        </w:rPr>
        <w:t>%</w:t>
      </w:r>
      <w:r w:rsidR="006A262A">
        <w:rPr>
          <w:rFonts w:ascii="Arial" w:hAnsi="Arial" w:cs="Arial"/>
          <w:sz w:val="20"/>
          <w:szCs w:val="20"/>
        </w:rPr>
        <w:t xml:space="preserve"> podíl</w:t>
      </w:r>
      <w:r w:rsidR="0020261D">
        <w:rPr>
          <w:rFonts w:ascii="Arial" w:hAnsi="Arial" w:cs="Arial"/>
          <w:sz w:val="20"/>
          <w:szCs w:val="20"/>
        </w:rPr>
        <w:t xml:space="preserve"> na celkových výdajích na </w:t>
      </w:r>
      <w:proofErr w:type="spellStart"/>
      <w:r w:rsidR="0020261D">
        <w:rPr>
          <w:rFonts w:ascii="Arial" w:hAnsi="Arial" w:cs="Arial"/>
          <w:sz w:val="20"/>
          <w:szCs w:val="20"/>
        </w:rPr>
        <w:t>VaV</w:t>
      </w:r>
      <w:proofErr w:type="spellEnd"/>
      <w:r w:rsidR="0020261D">
        <w:rPr>
          <w:rFonts w:ascii="Arial" w:hAnsi="Arial" w:cs="Arial"/>
          <w:sz w:val="20"/>
          <w:szCs w:val="20"/>
        </w:rPr>
        <w:t>. Průměr EU byl 11</w:t>
      </w:r>
      <w:r w:rsidR="00325859">
        <w:rPr>
          <w:rFonts w:ascii="Arial" w:hAnsi="Arial" w:cs="Arial"/>
          <w:sz w:val="20"/>
          <w:szCs w:val="20"/>
        </w:rPr>
        <w:t>,2 %</w:t>
      </w:r>
      <w:r w:rsidR="0020261D">
        <w:rPr>
          <w:rFonts w:ascii="Arial" w:hAnsi="Arial" w:cs="Arial"/>
          <w:sz w:val="20"/>
          <w:szCs w:val="20"/>
        </w:rPr>
        <w:t xml:space="preserve">, </w:t>
      </w:r>
      <w:r w:rsidR="00BD615F">
        <w:rPr>
          <w:rFonts w:ascii="Arial" w:hAnsi="Arial" w:cs="Arial"/>
          <w:sz w:val="20"/>
          <w:szCs w:val="20"/>
        </w:rPr>
        <w:t>přičemž</w:t>
      </w:r>
      <w:r w:rsidR="0020261D">
        <w:rPr>
          <w:rFonts w:ascii="Arial" w:hAnsi="Arial" w:cs="Arial"/>
          <w:sz w:val="20"/>
          <w:szCs w:val="20"/>
        </w:rPr>
        <w:t xml:space="preserve"> ve většině západoevropských států byl tento podíl menší než 15 %. V ukazateli podílu </w:t>
      </w:r>
      <w:r w:rsidR="00325859">
        <w:rPr>
          <w:rFonts w:ascii="Arial" w:hAnsi="Arial" w:cs="Arial"/>
          <w:sz w:val="20"/>
          <w:szCs w:val="20"/>
        </w:rPr>
        <w:t xml:space="preserve">výdajů na </w:t>
      </w:r>
      <w:proofErr w:type="spellStart"/>
      <w:r w:rsidR="00325859">
        <w:rPr>
          <w:rFonts w:ascii="Arial" w:hAnsi="Arial" w:cs="Arial"/>
          <w:sz w:val="20"/>
          <w:szCs w:val="20"/>
        </w:rPr>
        <w:t>VaV</w:t>
      </w:r>
      <w:proofErr w:type="spellEnd"/>
      <w:r w:rsidR="00325859">
        <w:rPr>
          <w:rFonts w:ascii="Arial" w:hAnsi="Arial" w:cs="Arial"/>
          <w:sz w:val="20"/>
          <w:szCs w:val="20"/>
        </w:rPr>
        <w:t xml:space="preserve"> </w:t>
      </w:r>
      <w:r w:rsidR="00A1402A">
        <w:rPr>
          <w:rFonts w:ascii="Arial" w:hAnsi="Arial" w:cs="Arial"/>
          <w:sz w:val="20"/>
          <w:szCs w:val="20"/>
        </w:rPr>
        <w:t xml:space="preserve">ve vládním sektoru </w:t>
      </w:r>
      <w:r w:rsidR="0020261D">
        <w:rPr>
          <w:rFonts w:ascii="Arial" w:hAnsi="Arial" w:cs="Arial"/>
          <w:sz w:val="20"/>
          <w:szCs w:val="20"/>
        </w:rPr>
        <w:t>na HDP</w:t>
      </w:r>
      <w:r w:rsidR="00D84287">
        <w:rPr>
          <w:rFonts w:ascii="Arial" w:hAnsi="Arial" w:cs="Arial"/>
          <w:sz w:val="20"/>
          <w:szCs w:val="20"/>
        </w:rPr>
        <w:t xml:space="preserve"> </w:t>
      </w:r>
      <w:r w:rsidR="0020261D">
        <w:rPr>
          <w:rFonts w:ascii="Arial" w:hAnsi="Arial" w:cs="Arial"/>
          <w:sz w:val="20"/>
          <w:szCs w:val="20"/>
        </w:rPr>
        <w:t xml:space="preserve">je ČR dlouhodobě na čelních příčkách EU. V roce 2017 byl průměr EU </w:t>
      </w:r>
      <w:r w:rsidR="00DD5DBE">
        <w:rPr>
          <w:rFonts w:ascii="Arial" w:hAnsi="Arial" w:cs="Arial"/>
          <w:sz w:val="20"/>
          <w:szCs w:val="20"/>
        </w:rPr>
        <w:t xml:space="preserve">0,23 % HDP, Česko bylo s 0,31 % HDP na třetím místě za Německem a Lucemburskem. </w:t>
      </w:r>
    </w:p>
    <w:p w:rsidR="00DD5DBE" w:rsidRDefault="00091ED7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0F4385">
        <w:rPr>
          <w:rFonts w:ascii="Arial" w:hAnsi="Arial" w:cs="Arial"/>
          <w:sz w:val="20"/>
          <w:szCs w:val="20"/>
        </w:rPr>
        <w:t xml:space="preserve">Ve vládním sektoru </w:t>
      </w:r>
      <w:r w:rsidR="00D84287" w:rsidRPr="000F4385">
        <w:rPr>
          <w:rFonts w:ascii="Arial" w:hAnsi="Arial" w:cs="Arial"/>
          <w:sz w:val="20"/>
          <w:szCs w:val="20"/>
        </w:rPr>
        <w:t xml:space="preserve">v roce 2017 </w:t>
      </w:r>
      <w:r w:rsidRPr="000F4385">
        <w:rPr>
          <w:rFonts w:ascii="Arial" w:hAnsi="Arial" w:cs="Arial"/>
          <w:sz w:val="20"/>
          <w:szCs w:val="20"/>
        </w:rPr>
        <w:t xml:space="preserve">pracovalo </w:t>
      </w:r>
      <w:r>
        <w:rPr>
          <w:rFonts w:ascii="Arial" w:hAnsi="Arial" w:cs="Arial"/>
          <w:sz w:val="20"/>
          <w:szCs w:val="20"/>
        </w:rPr>
        <w:t xml:space="preserve">ve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30A1D">
        <w:rPr>
          <w:rFonts w:ascii="Arial" w:hAnsi="Arial" w:cs="Arial"/>
          <w:sz w:val="20"/>
          <w:szCs w:val="20"/>
        </w:rPr>
        <w:t>18 tis.</w:t>
      </w:r>
      <w:r w:rsidR="00F864AE">
        <w:rPr>
          <w:rFonts w:ascii="Arial" w:hAnsi="Arial" w:cs="Arial"/>
          <w:sz w:val="20"/>
          <w:szCs w:val="20"/>
        </w:rPr>
        <w:t xml:space="preserve"> osob</w:t>
      </w:r>
      <w:r w:rsidR="00D84287">
        <w:rPr>
          <w:rFonts w:ascii="Arial" w:hAnsi="Arial" w:cs="Arial"/>
          <w:sz w:val="20"/>
          <w:szCs w:val="20"/>
        </w:rPr>
        <w:t xml:space="preserve"> (HC)</w:t>
      </w:r>
      <w:r w:rsidR="00F864AE">
        <w:rPr>
          <w:rFonts w:ascii="Arial" w:hAnsi="Arial" w:cs="Arial"/>
          <w:sz w:val="20"/>
          <w:szCs w:val="20"/>
        </w:rPr>
        <w:t>. V ukazateli přepočtených osob</w:t>
      </w:r>
      <w:r w:rsidR="00D84287">
        <w:rPr>
          <w:rFonts w:ascii="Arial" w:hAnsi="Arial" w:cs="Arial"/>
          <w:sz w:val="20"/>
          <w:szCs w:val="20"/>
        </w:rPr>
        <w:t xml:space="preserve"> (FTE)</w:t>
      </w:r>
      <w:r w:rsidR="00F864AE">
        <w:rPr>
          <w:rFonts w:ascii="Arial" w:hAnsi="Arial" w:cs="Arial"/>
          <w:sz w:val="20"/>
          <w:szCs w:val="20"/>
        </w:rPr>
        <w:t xml:space="preserve"> se </w:t>
      </w:r>
      <w:r w:rsidR="000F4385">
        <w:rPr>
          <w:rFonts w:ascii="Arial" w:hAnsi="Arial" w:cs="Arial"/>
          <w:sz w:val="20"/>
          <w:szCs w:val="20"/>
        </w:rPr>
        <w:t xml:space="preserve">jednalo o </w:t>
      </w:r>
      <w:r>
        <w:rPr>
          <w:rFonts w:ascii="Arial" w:hAnsi="Arial" w:cs="Arial"/>
          <w:sz w:val="20"/>
          <w:szCs w:val="20"/>
        </w:rPr>
        <w:t xml:space="preserve">13,7 tis. </w:t>
      </w:r>
      <w:r w:rsidR="00F864AE">
        <w:rPr>
          <w:rFonts w:ascii="Arial" w:hAnsi="Arial" w:cs="Arial"/>
          <w:sz w:val="20"/>
          <w:szCs w:val="20"/>
        </w:rPr>
        <w:t>osob</w:t>
      </w:r>
      <w:r>
        <w:rPr>
          <w:rFonts w:ascii="Arial" w:hAnsi="Arial" w:cs="Arial"/>
          <w:sz w:val="20"/>
          <w:szCs w:val="20"/>
        </w:rPr>
        <w:t>. Dlouhodobě na tento sektor připadá asi 1</w:t>
      </w:r>
      <w:r w:rsidR="007345B8">
        <w:rPr>
          <w:rFonts w:ascii="Arial" w:hAnsi="Arial" w:cs="Arial"/>
          <w:sz w:val="20"/>
          <w:szCs w:val="20"/>
        </w:rPr>
        <w:t xml:space="preserve">/5 zaměstnanců </w:t>
      </w:r>
      <w:proofErr w:type="spellStart"/>
      <w:r w:rsidR="007345B8">
        <w:rPr>
          <w:rFonts w:ascii="Arial" w:hAnsi="Arial" w:cs="Arial"/>
          <w:sz w:val="20"/>
          <w:szCs w:val="20"/>
        </w:rPr>
        <w:t>VaV</w:t>
      </w:r>
      <w:proofErr w:type="spellEnd"/>
      <w:r w:rsidR="007345B8">
        <w:rPr>
          <w:rFonts w:ascii="Arial" w:hAnsi="Arial" w:cs="Arial"/>
          <w:sz w:val="20"/>
          <w:szCs w:val="20"/>
        </w:rPr>
        <w:t xml:space="preserve"> v Česku. Dvě </w:t>
      </w:r>
      <w:r>
        <w:rPr>
          <w:rFonts w:ascii="Arial" w:hAnsi="Arial" w:cs="Arial"/>
          <w:sz w:val="20"/>
          <w:szCs w:val="20"/>
        </w:rPr>
        <w:t xml:space="preserve">třetiny pracovníků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vládního sektoru působí na AV ČR, v resortních výzkumných pracovištích je to 18 %. Pro vládní sekt</w:t>
      </w:r>
      <w:r w:rsidR="00B340DE">
        <w:rPr>
          <w:rFonts w:ascii="Arial" w:hAnsi="Arial" w:cs="Arial"/>
          <w:sz w:val="20"/>
          <w:szCs w:val="20"/>
        </w:rPr>
        <w:t xml:space="preserve">or je typické nejvyšší zastoupení žen ze všech sektorů provádění </w:t>
      </w:r>
      <w:proofErr w:type="spellStart"/>
      <w:r w:rsidR="00B340DE">
        <w:rPr>
          <w:rFonts w:ascii="Arial" w:hAnsi="Arial" w:cs="Arial"/>
          <w:sz w:val="20"/>
          <w:szCs w:val="20"/>
        </w:rPr>
        <w:t>VaV</w:t>
      </w:r>
      <w:proofErr w:type="spellEnd"/>
      <w:r w:rsidR="00B340DE">
        <w:rPr>
          <w:rFonts w:ascii="Arial" w:hAnsi="Arial" w:cs="Arial"/>
          <w:sz w:val="20"/>
          <w:szCs w:val="20"/>
        </w:rPr>
        <w:t xml:space="preserve">, v roce 2017 jich </w:t>
      </w:r>
      <w:r w:rsidR="00B340DE">
        <w:rPr>
          <w:rFonts w:ascii="Arial" w:hAnsi="Arial" w:cs="Arial"/>
          <w:sz w:val="20"/>
          <w:szCs w:val="20"/>
        </w:rPr>
        <w:lastRenderedPageBreak/>
        <w:t>bylo 47 %. O</w:t>
      </w:r>
      <w:r w:rsidR="00482BB3">
        <w:rPr>
          <w:rFonts w:ascii="Arial" w:hAnsi="Arial" w:cs="Arial"/>
          <w:sz w:val="20"/>
          <w:szCs w:val="20"/>
        </w:rPr>
        <w:t>bdobně jako v případě výdajů na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0DE">
        <w:rPr>
          <w:rFonts w:ascii="Arial" w:hAnsi="Arial" w:cs="Arial"/>
          <w:sz w:val="20"/>
          <w:szCs w:val="20"/>
        </w:rPr>
        <w:t>VaV</w:t>
      </w:r>
      <w:proofErr w:type="spellEnd"/>
      <w:r w:rsidR="00B340DE">
        <w:rPr>
          <w:rFonts w:ascii="Arial" w:hAnsi="Arial" w:cs="Arial"/>
          <w:sz w:val="20"/>
          <w:szCs w:val="20"/>
        </w:rPr>
        <w:t xml:space="preserve"> jsou nejdůležitější vědní oblastí přírodní vědy, </w:t>
      </w:r>
      <w:r w:rsidR="00BD615F">
        <w:rPr>
          <w:rFonts w:ascii="Arial" w:hAnsi="Arial" w:cs="Arial"/>
          <w:sz w:val="20"/>
          <w:szCs w:val="20"/>
        </w:rPr>
        <w:t>na které</w:t>
      </w:r>
      <w:r w:rsidR="00B340DE">
        <w:rPr>
          <w:rFonts w:ascii="Arial" w:hAnsi="Arial" w:cs="Arial"/>
          <w:sz w:val="20"/>
          <w:szCs w:val="20"/>
        </w:rPr>
        <w:t xml:space="preserve"> </w:t>
      </w:r>
      <w:r w:rsidR="000F4385">
        <w:rPr>
          <w:rFonts w:ascii="Arial" w:hAnsi="Arial" w:cs="Arial"/>
          <w:sz w:val="20"/>
          <w:szCs w:val="20"/>
        </w:rPr>
        <w:t xml:space="preserve">v roce 2017 </w:t>
      </w:r>
      <w:r w:rsidR="00B340DE">
        <w:rPr>
          <w:rFonts w:ascii="Arial" w:hAnsi="Arial" w:cs="Arial"/>
          <w:sz w:val="20"/>
          <w:szCs w:val="20"/>
        </w:rPr>
        <w:t xml:space="preserve">připadalo 60 % pracovníků </w:t>
      </w:r>
      <w:proofErr w:type="spellStart"/>
      <w:r w:rsidR="00B340DE">
        <w:rPr>
          <w:rFonts w:ascii="Arial" w:hAnsi="Arial" w:cs="Arial"/>
          <w:sz w:val="20"/>
          <w:szCs w:val="20"/>
        </w:rPr>
        <w:t>VaV</w:t>
      </w:r>
      <w:proofErr w:type="spellEnd"/>
      <w:r w:rsidR="00B340DE">
        <w:rPr>
          <w:rFonts w:ascii="Arial" w:hAnsi="Arial" w:cs="Arial"/>
          <w:sz w:val="20"/>
          <w:szCs w:val="20"/>
        </w:rPr>
        <w:t xml:space="preserve"> vládního sektoru, násled</w:t>
      </w:r>
      <w:r w:rsidR="000F4385">
        <w:rPr>
          <w:rFonts w:ascii="Arial" w:hAnsi="Arial" w:cs="Arial"/>
          <w:sz w:val="20"/>
          <w:szCs w:val="20"/>
        </w:rPr>
        <w:t>ovaly</w:t>
      </w:r>
      <w:r w:rsidR="007345B8">
        <w:rPr>
          <w:rFonts w:ascii="Arial" w:hAnsi="Arial" w:cs="Arial"/>
          <w:sz w:val="20"/>
          <w:szCs w:val="20"/>
        </w:rPr>
        <w:t xml:space="preserve"> humanitní vědy s 15% a </w:t>
      </w:r>
      <w:r w:rsidR="00B340DE">
        <w:rPr>
          <w:rFonts w:ascii="Arial" w:hAnsi="Arial" w:cs="Arial"/>
          <w:sz w:val="20"/>
          <w:szCs w:val="20"/>
        </w:rPr>
        <w:t>zemědělské vědy s </w:t>
      </w:r>
      <w:proofErr w:type="gramStart"/>
      <w:r w:rsidR="00B340DE">
        <w:rPr>
          <w:rFonts w:ascii="Arial" w:hAnsi="Arial" w:cs="Arial"/>
          <w:sz w:val="20"/>
          <w:szCs w:val="20"/>
        </w:rPr>
        <w:t>8%</w:t>
      </w:r>
      <w:proofErr w:type="gramEnd"/>
      <w:r w:rsidR="00B340DE">
        <w:rPr>
          <w:rFonts w:ascii="Arial" w:hAnsi="Arial" w:cs="Arial"/>
          <w:sz w:val="20"/>
          <w:szCs w:val="20"/>
        </w:rPr>
        <w:t xml:space="preserve"> podílem. </w:t>
      </w:r>
    </w:p>
    <w:p w:rsidR="00B340DE" w:rsidRDefault="00FB1808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České republiky mělo 85 % výzkumných pracovníků vládního sektoru</w:t>
      </w:r>
      <w:r w:rsidR="009F65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Největší množství zahraničních výzkumníků vládního sektoru mělo slovenské občanství. Slováků zde pracovalo necelých 500 </w:t>
      </w:r>
      <w:r w:rsidR="009F65CC">
        <w:rPr>
          <w:rFonts w:ascii="Arial" w:hAnsi="Arial" w:cs="Arial"/>
          <w:sz w:val="20"/>
          <w:szCs w:val="20"/>
        </w:rPr>
        <w:t>(4,6 % výzkumníků vládního se</w:t>
      </w:r>
      <w:r>
        <w:rPr>
          <w:rFonts w:ascii="Arial" w:hAnsi="Arial" w:cs="Arial"/>
          <w:sz w:val="20"/>
          <w:szCs w:val="20"/>
        </w:rPr>
        <w:t xml:space="preserve">ktoru), </w:t>
      </w:r>
      <w:r w:rsidR="009F65CC">
        <w:rPr>
          <w:rFonts w:ascii="Arial" w:hAnsi="Arial" w:cs="Arial"/>
          <w:sz w:val="20"/>
          <w:szCs w:val="20"/>
        </w:rPr>
        <w:t xml:space="preserve">126 bylo Ukrajinců (1,2 %). Z žádného dalšího státu </w:t>
      </w:r>
      <w:r w:rsidR="00386C72">
        <w:rPr>
          <w:rFonts w:ascii="Arial" w:hAnsi="Arial" w:cs="Arial"/>
          <w:sz w:val="20"/>
          <w:szCs w:val="20"/>
        </w:rPr>
        <w:t>nepracovalo</w:t>
      </w:r>
      <w:r w:rsidR="00C11A9D">
        <w:rPr>
          <w:rFonts w:ascii="Arial" w:hAnsi="Arial" w:cs="Arial"/>
          <w:sz w:val="20"/>
          <w:szCs w:val="20"/>
        </w:rPr>
        <w:t xml:space="preserve"> ve vládním sektoru více než 100 výzkumníků. </w:t>
      </w:r>
      <w:r w:rsidR="00386C72">
        <w:rPr>
          <w:rFonts w:ascii="Arial" w:hAnsi="Arial" w:cs="Arial"/>
          <w:sz w:val="20"/>
          <w:szCs w:val="20"/>
        </w:rPr>
        <w:t>Vyjma Slováků zde působilo dalších 500 výzkumníků ze států EU</w:t>
      </w:r>
      <w:r w:rsidR="00C11A9D">
        <w:rPr>
          <w:rFonts w:ascii="Arial" w:hAnsi="Arial" w:cs="Arial"/>
          <w:sz w:val="20"/>
          <w:szCs w:val="20"/>
        </w:rPr>
        <w:t xml:space="preserve">. </w:t>
      </w:r>
      <w:r w:rsidR="00386C72">
        <w:rPr>
          <w:rFonts w:ascii="Arial" w:hAnsi="Arial" w:cs="Arial"/>
          <w:sz w:val="20"/>
          <w:szCs w:val="20"/>
        </w:rPr>
        <w:t>Celkem v</w:t>
      </w:r>
      <w:r w:rsidR="00C11A9D">
        <w:rPr>
          <w:rFonts w:ascii="Arial" w:hAnsi="Arial" w:cs="Arial"/>
          <w:sz w:val="20"/>
          <w:szCs w:val="20"/>
        </w:rPr>
        <w:t>e vládním sektoru pracovali výzkumní</w:t>
      </w:r>
      <w:r w:rsidR="00386C72">
        <w:rPr>
          <w:rFonts w:ascii="Arial" w:hAnsi="Arial" w:cs="Arial"/>
          <w:sz w:val="20"/>
          <w:szCs w:val="20"/>
        </w:rPr>
        <w:t xml:space="preserve">ci ze 76 států světa, přičemž </w:t>
      </w:r>
      <w:r w:rsidR="00C11A9D">
        <w:rPr>
          <w:rFonts w:ascii="Arial" w:hAnsi="Arial" w:cs="Arial"/>
          <w:sz w:val="20"/>
          <w:szCs w:val="20"/>
        </w:rPr>
        <w:t xml:space="preserve">19 států </w:t>
      </w:r>
      <w:r w:rsidR="00386C72">
        <w:rPr>
          <w:rFonts w:ascii="Arial" w:hAnsi="Arial" w:cs="Arial"/>
          <w:sz w:val="20"/>
          <w:szCs w:val="20"/>
        </w:rPr>
        <w:t>mělo u nás zastoupení v počtu</w:t>
      </w:r>
      <w:r w:rsidR="00C11A9D">
        <w:rPr>
          <w:rFonts w:ascii="Arial" w:hAnsi="Arial" w:cs="Arial"/>
          <w:sz w:val="20"/>
          <w:szCs w:val="20"/>
        </w:rPr>
        <w:t xml:space="preserve"> 10</w:t>
      </w:r>
      <w:r w:rsidR="00BD615F">
        <w:rPr>
          <w:rFonts w:ascii="Arial" w:hAnsi="Arial" w:cs="Arial"/>
          <w:sz w:val="20"/>
          <w:szCs w:val="20"/>
        </w:rPr>
        <w:t>–</w:t>
      </w:r>
      <w:r w:rsidR="00E51FF4">
        <w:rPr>
          <w:rFonts w:ascii="Arial" w:hAnsi="Arial" w:cs="Arial"/>
          <w:sz w:val="20"/>
          <w:szCs w:val="20"/>
        </w:rPr>
        <w:t>99</w:t>
      </w:r>
      <w:r w:rsidR="00C11A9D">
        <w:rPr>
          <w:rFonts w:ascii="Arial" w:hAnsi="Arial" w:cs="Arial"/>
          <w:sz w:val="20"/>
          <w:szCs w:val="20"/>
        </w:rPr>
        <w:t xml:space="preserve"> výzkumníků, v případě 54 států to bylo</w:t>
      </w:r>
      <w:r w:rsidR="00386C72">
        <w:rPr>
          <w:rFonts w:ascii="Arial" w:hAnsi="Arial" w:cs="Arial"/>
          <w:sz w:val="20"/>
          <w:szCs w:val="20"/>
        </w:rPr>
        <w:t xml:space="preserve"> </w:t>
      </w:r>
      <w:r w:rsidR="00BD615F">
        <w:rPr>
          <w:rFonts w:ascii="Arial" w:hAnsi="Arial" w:cs="Arial"/>
          <w:sz w:val="20"/>
          <w:szCs w:val="20"/>
        </w:rPr>
        <w:t>méně</w:t>
      </w:r>
      <w:r w:rsidR="00C11A9D">
        <w:rPr>
          <w:rFonts w:ascii="Arial" w:hAnsi="Arial" w:cs="Arial"/>
          <w:sz w:val="20"/>
          <w:szCs w:val="20"/>
        </w:rPr>
        <w:t xml:space="preserve"> </w:t>
      </w:r>
      <w:r w:rsidR="00BD615F">
        <w:rPr>
          <w:rFonts w:ascii="Arial" w:hAnsi="Arial" w:cs="Arial"/>
          <w:sz w:val="20"/>
          <w:szCs w:val="20"/>
        </w:rPr>
        <w:t>než 10 výzkumníků</w:t>
      </w:r>
      <w:r w:rsidR="00C11A9D">
        <w:rPr>
          <w:rFonts w:ascii="Arial" w:hAnsi="Arial" w:cs="Arial"/>
          <w:sz w:val="20"/>
          <w:szCs w:val="20"/>
        </w:rPr>
        <w:t xml:space="preserve">. </w:t>
      </w:r>
      <w:r w:rsidR="00C30EAE">
        <w:rPr>
          <w:rFonts w:ascii="Arial" w:hAnsi="Arial" w:cs="Arial"/>
          <w:sz w:val="20"/>
          <w:szCs w:val="20"/>
        </w:rPr>
        <w:t>Na</w:t>
      </w:r>
      <w:r w:rsidR="00016348">
        <w:rPr>
          <w:rFonts w:ascii="Arial" w:hAnsi="Arial" w:cs="Arial"/>
          <w:sz w:val="20"/>
          <w:szCs w:val="20"/>
        </w:rPr>
        <w:t xml:space="preserve"> většině pracovišť pracuje</w:t>
      </w:r>
      <w:r w:rsidR="00C30EAE">
        <w:rPr>
          <w:rFonts w:ascii="Arial" w:hAnsi="Arial" w:cs="Arial"/>
          <w:sz w:val="20"/>
          <w:szCs w:val="20"/>
        </w:rPr>
        <w:t xml:space="preserve"> poměrně málo zahraničních výzkumníků.</w:t>
      </w:r>
      <w:r w:rsidR="00016348">
        <w:rPr>
          <w:rFonts w:ascii="Arial" w:hAnsi="Arial" w:cs="Arial"/>
          <w:sz w:val="20"/>
          <w:szCs w:val="20"/>
        </w:rPr>
        <w:t xml:space="preserve"> </w:t>
      </w:r>
      <w:r w:rsidR="00C30EAE">
        <w:rPr>
          <w:rFonts w:ascii="Arial" w:hAnsi="Arial" w:cs="Arial"/>
          <w:sz w:val="20"/>
          <w:szCs w:val="20"/>
        </w:rPr>
        <w:t>V</w:t>
      </w:r>
      <w:r w:rsidR="00016348">
        <w:rPr>
          <w:rFonts w:ascii="Arial" w:hAnsi="Arial" w:cs="Arial"/>
          <w:sz w:val="20"/>
          <w:szCs w:val="20"/>
        </w:rPr>
        <w:t>íce než 10 zahraničních výzkumníků</w:t>
      </w:r>
      <w:r w:rsidR="00C30EAE">
        <w:rPr>
          <w:rFonts w:ascii="Arial" w:hAnsi="Arial" w:cs="Arial"/>
          <w:sz w:val="20"/>
          <w:szCs w:val="20"/>
        </w:rPr>
        <w:t xml:space="preserve"> se v roce 2017 nacházelo na 37 pracovištích vládního sektoru</w:t>
      </w:r>
      <w:r w:rsidR="00016348">
        <w:rPr>
          <w:rFonts w:ascii="Arial" w:hAnsi="Arial" w:cs="Arial"/>
          <w:sz w:val="20"/>
          <w:szCs w:val="20"/>
        </w:rPr>
        <w:t>, na 7 z nich to bylo více než 50 zahraničních výzkumníků.</w:t>
      </w:r>
    </w:p>
    <w:p w:rsidR="00DD4F07" w:rsidRDefault="00DD4F07" w:rsidP="00DD4F07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8F378A" w:rsidRPr="00456552" w:rsidRDefault="00456552" w:rsidP="00456552">
      <w:pPr>
        <w:spacing w:after="120" w:line="288" w:lineRule="auto"/>
        <w:jc w:val="both"/>
        <w:rPr>
          <w:rFonts w:ascii="Arial" w:hAnsi="Arial" w:cs="Arial"/>
          <w:b/>
          <w:color w:val="009BB4"/>
          <w:sz w:val="24"/>
          <w:szCs w:val="24"/>
        </w:rPr>
      </w:pPr>
      <w:r>
        <w:rPr>
          <w:rFonts w:ascii="Arial" w:hAnsi="Arial" w:cs="Arial"/>
          <w:b/>
          <w:color w:val="009BB4"/>
          <w:sz w:val="24"/>
          <w:szCs w:val="24"/>
        </w:rPr>
        <w:t>Výzkum a vývoj prováděný ve vysokoškolském sektoru</w:t>
      </w:r>
    </w:p>
    <w:p w:rsidR="007345B8" w:rsidRDefault="00AA55AE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vysokoškolského sektoru v ČR řadíme 28 veřejných a státních vysokýc</w:t>
      </w:r>
      <w:r w:rsidR="007345B8">
        <w:rPr>
          <w:rFonts w:ascii="Arial" w:hAnsi="Arial" w:cs="Arial"/>
          <w:sz w:val="20"/>
          <w:szCs w:val="20"/>
        </w:rPr>
        <w:t>h škol, soukromé vysoké školy a </w:t>
      </w:r>
      <w:r>
        <w:rPr>
          <w:rFonts w:ascii="Arial" w:hAnsi="Arial" w:cs="Arial"/>
          <w:sz w:val="20"/>
          <w:szCs w:val="20"/>
        </w:rPr>
        <w:t xml:space="preserve">10 fakultních nemocnic. Celkové výdaje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ve vysokoškolském sektoru v roce 2017 byly 17,7 mld. Kč. Jednalo se o solidní 8,3% meziroční nárůst. </w:t>
      </w:r>
      <w:r w:rsidR="00F21AE7">
        <w:rPr>
          <w:rFonts w:ascii="Arial" w:hAnsi="Arial" w:cs="Arial"/>
          <w:sz w:val="20"/>
          <w:szCs w:val="20"/>
        </w:rPr>
        <w:t>Je třeba podotknout, že p</w:t>
      </w:r>
      <w:r>
        <w:rPr>
          <w:rFonts w:ascii="Arial" w:hAnsi="Arial" w:cs="Arial"/>
          <w:sz w:val="20"/>
          <w:szCs w:val="20"/>
        </w:rPr>
        <w:t xml:space="preserve">ro </w:t>
      </w:r>
      <w:r w:rsidR="00C30EAE">
        <w:rPr>
          <w:rFonts w:ascii="Arial" w:hAnsi="Arial" w:cs="Arial"/>
          <w:sz w:val="20"/>
          <w:szCs w:val="20"/>
        </w:rPr>
        <w:t xml:space="preserve">předchozí </w:t>
      </w:r>
      <w:r>
        <w:rPr>
          <w:rFonts w:ascii="Arial" w:hAnsi="Arial" w:cs="Arial"/>
          <w:sz w:val="20"/>
          <w:szCs w:val="20"/>
        </w:rPr>
        <w:t>rok 2016 platilo</w:t>
      </w:r>
      <w:r w:rsidR="00C30EA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obdobně jako u vládního sektoru, že v důsledku ukončení čerpání prostředků z EU došlo k výraznému poklesu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. Prostředky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financované z veřejných zahraničních zdrojů byly</w:t>
      </w:r>
      <w:r w:rsidR="00AE0D4A">
        <w:rPr>
          <w:rFonts w:ascii="Arial" w:hAnsi="Arial" w:cs="Arial"/>
          <w:sz w:val="20"/>
          <w:szCs w:val="20"/>
        </w:rPr>
        <w:t xml:space="preserve"> druhým rokem po sobě nižší než 1 mld. Kč a dá se předpokládat, že v následujících letech porostou. Nejvíce se zahraniční prostředky čerpaly mezi lety 2012</w:t>
      </w:r>
      <w:r w:rsidR="00BD615F">
        <w:rPr>
          <w:rFonts w:ascii="Arial" w:hAnsi="Arial" w:cs="Arial"/>
          <w:sz w:val="20"/>
          <w:szCs w:val="20"/>
        </w:rPr>
        <w:t>–</w:t>
      </w:r>
      <w:r w:rsidR="00AE0D4A">
        <w:rPr>
          <w:rFonts w:ascii="Arial" w:hAnsi="Arial" w:cs="Arial"/>
          <w:sz w:val="20"/>
          <w:szCs w:val="20"/>
        </w:rPr>
        <w:t>2015, kdy to bylo v prům</w:t>
      </w:r>
      <w:r w:rsidR="00482BB3">
        <w:rPr>
          <w:rFonts w:ascii="Arial" w:hAnsi="Arial" w:cs="Arial"/>
          <w:sz w:val="20"/>
          <w:szCs w:val="20"/>
        </w:rPr>
        <w:t xml:space="preserve">ěru více než 7 mld. Kč za rok. </w:t>
      </w:r>
    </w:p>
    <w:p w:rsidR="00BF11CC" w:rsidRDefault="007345B8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3CFE27B" wp14:editId="7FB6868E">
            <wp:extent cx="6115050" cy="3438525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21AE7">
        <w:rPr>
          <w:rFonts w:ascii="Arial" w:hAnsi="Arial" w:cs="Arial"/>
          <w:sz w:val="20"/>
          <w:szCs w:val="20"/>
        </w:rPr>
        <w:t>Jestliže</w:t>
      </w:r>
      <w:r w:rsidR="00316617">
        <w:rPr>
          <w:rFonts w:ascii="Arial" w:hAnsi="Arial" w:cs="Arial"/>
          <w:sz w:val="20"/>
          <w:szCs w:val="20"/>
        </w:rPr>
        <w:t xml:space="preserve"> zahraniční veřejné zdroje kles</w:t>
      </w:r>
      <w:r w:rsidR="00F21AE7">
        <w:rPr>
          <w:rFonts w:ascii="Arial" w:hAnsi="Arial" w:cs="Arial"/>
          <w:sz w:val="20"/>
          <w:szCs w:val="20"/>
        </w:rPr>
        <w:t>ají</w:t>
      </w:r>
      <w:r w:rsidR="00316617">
        <w:rPr>
          <w:rFonts w:ascii="Arial" w:hAnsi="Arial" w:cs="Arial"/>
          <w:sz w:val="20"/>
          <w:szCs w:val="20"/>
        </w:rPr>
        <w:t>, tak domácí veřejné zdroje naopak v posledních letech rostou, a</w:t>
      </w:r>
      <w:r w:rsidR="00F21AE7">
        <w:rPr>
          <w:rFonts w:ascii="Arial" w:hAnsi="Arial" w:cs="Arial"/>
          <w:sz w:val="20"/>
          <w:szCs w:val="20"/>
        </w:rPr>
        <w:t xml:space="preserve"> t</w:t>
      </w:r>
      <w:r w:rsidR="00843783">
        <w:rPr>
          <w:rFonts w:ascii="Arial" w:hAnsi="Arial" w:cs="Arial"/>
          <w:sz w:val="20"/>
          <w:szCs w:val="20"/>
        </w:rPr>
        <w:t>o napříč všemi sektory.</w:t>
      </w:r>
      <w:r w:rsidR="00316617">
        <w:rPr>
          <w:rFonts w:ascii="Arial" w:hAnsi="Arial" w:cs="Arial"/>
          <w:sz w:val="20"/>
          <w:szCs w:val="20"/>
        </w:rPr>
        <w:t xml:space="preserve"> </w:t>
      </w:r>
      <w:r w:rsidR="00843783">
        <w:rPr>
          <w:rFonts w:ascii="Arial" w:hAnsi="Arial" w:cs="Arial"/>
          <w:sz w:val="20"/>
          <w:szCs w:val="20"/>
        </w:rPr>
        <w:t>Ve vysokoškolském sektoru</w:t>
      </w:r>
      <w:r w:rsidR="00316617">
        <w:rPr>
          <w:rFonts w:ascii="Arial" w:hAnsi="Arial" w:cs="Arial"/>
          <w:sz w:val="20"/>
          <w:szCs w:val="20"/>
        </w:rPr>
        <w:t xml:space="preserve"> to bylo meziročně o více než 5 % a výdaje financo</w:t>
      </w:r>
      <w:r>
        <w:rPr>
          <w:rFonts w:ascii="Arial" w:hAnsi="Arial" w:cs="Arial"/>
          <w:sz w:val="20"/>
          <w:szCs w:val="20"/>
        </w:rPr>
        <w:t>vané z tohoto zdroje dosáhly 15 </w:t>
      </w:r>
      <w:r w:rsidR="00316617">
        <w:rPr>
          <w:rFonts w:ascii="Arial" w:hAnsi="Arial" w:cs="Arial"/>
          <w:sz w:val="20"/>
          <w:szCs w:val="20"/>
        </w:rPr>
        <w:t xml:space="preserve">mld. Kč. Z celkových </w:t>
      </w:r>
      <w:r w:rsidR="00D44C61">
        <w:rPr>
          <w:rFonts w:ascii="Arial" w:hAnsi="Arial" w:cs="Arial"/>
          <w:sz w:val="20"/>
          <w:szCs w:val="20"/>
        </w:rPr>
        <w:t xml:space="preserve">domácích </w:t>
      </w:r>
      <w:r w:rsidR="00316617">
        <w:rPr>
          <w:rFonts w:ascii="Arial" w:hAnsi="Arial" w:cs="Arial"/>
          <w:sz w:val="20"/>
          <w:szCs w:val="20"/>
        </w:rPr>
        <w:t xml:space="preserve">veřejných zdrojů tak </w:t>
      </w:r>
      <w:r w:rsidR="00843783">
        <w:rPr>
          <w:rFonts w:ascii="Arial" w:hAnsi="Arial" w:cs="Arial"/>
          <w:sz w:val="20"/>
          <w:szCs w:val="20"/>
        </w:rPr>
        <w:t>do</w:t>
      </w:r>
      <w:r w:rsidR="00316617">
        <w:rPr>
          <w:rFonts w:ascii="Arial" w:hAnsi="Arial" w:cs="Arial"/>
          <w:sz w:val="20"/>
          <w:szCs w:val="20"/>
        </w:rPr>
        <w:t xml:space="preserve"> </w:t>
      </w:r>
      <w:r w:rsidR="00843783">
        <w:rPr>
          <w:rFonts w:ascii="Arial" w:hAnsi="Arial" w:cs="Arial"/>
          <w:sz w:val="20"/>
          <w:szCs w:val="20"/>
        </w:rPr>
        <w:t>vysokoškolského sektoru směřovalo</w:t>
      </w:r>
      <w:r w:rsidR="00316617">
        <w:rPr>
          <w:rFonts w:ascii="Arial" w:hAnsi="Arial" w:cs="Arial"/>
          <w:sz w:val="20"/>
          <w:szCs w:val="20"/>
        </w:rPr>
        <w:t xml:space="preserve"> 48 %. Veřejné domácí zdroje jsou samozřejmě nejdůležitějším zdrojem financování vysokoškolského výzkumu, v roce 2017 se na výdajích na </w:t>
      </w:r>
      <w:proofErr w:type="spellStart"/>
      <w:r w:rsidR="00316617">
        <w:rPr>
          <w:rFonts w:ascii="Arial" w:hAnsi="Arial" w:cs="Arial"/>
          <w:sz w:val="20"/>
          <w:szCs w:val="20"/>
        </w:rPr>
        <w:t>VaV</w:t>
      </w:r>
      <w:proofErr w:type="spellEnd"/>
      <w:r w:rsidR="00316617">
        <w:rPr>
          <w:rFonts w:ascii="Arial" w:hAnsi="Arial" w:cs="Arial"/>
          <w:sz w:val="20"/>
          <w:szCs w:val="20"/>
        </w:rPr>
        <w:t xml:space="preserve"> tohoto sektoru </w:t>
      </w:r>
      <w:r w:rsidR="00681C6A">
        <w:rPr>
          <w:rFonts w:ascii="Arial" w:hAnsi="Arial" w:cs="Arial"/>
          <w:sz w:val="20"/>
          <w:szCs w:val="20"/>
        </w:rPr>
        <w:t xml:space="preserve">podílely </w:t>
      </w:r>
      <w:r w:rsidR="00002C31">
        <w:rPr>
          <w:rFonts w:ascii="Arial" w:hAnsi="Arial" w:cs="Arial"/>
          <w:sz w:val="20"/>
          <w:szCs w:val="20"/>
        </w:rPr>
        <w:t>z 84 %. Pozitivní je, že v posledních letech vzr</w:t>
      </w:r>
      <w:r w:rsidR="00D44C61">
        <w:rPr>
          <w:rFonts w:ascii="Arial" w:hAnsi="Arial" w:cs="Arial"/>
          <w:sz w:val="20"/>
          <w:szCs w:val="20"/>
        </w:rPr>
        <w:t xml:space="preserve">ostly také podnikatelské zdroje, </w:t>
      </w:r>
      <w:r w:rsidR="00002C31">
        <w:rPr>
          <w:rFonts w:ascii="Arial" w:hAnsi="Arial" w:cs="Arial"/>
          <w:sz w:val="20"/>
          <w:szCs w:val="20"/>
        </w:rPr>
        <w:t>v roce 2017 tv</w:t>
      </w:r>
      <w:r>
        <w:rPr>
          <w:rFonts w:ascii="Arial" w:hAnsi="Arial" w:cs="Arial"/>
          <w:sz w:val="20"/>
          <w:szCs w:val="20"/>
        </w:rPr>
        <w:t>ořily téměř jednu miliardu Kč a </w:t>
      </w:r>
      <w:r w:rsidR="00002C31">
        <w:rPr>
          <w:rFonts w:ascii="Arial" w:hAnsi="Arial" w:cs="Arial"/>
          <w:sz w:val="20"/>
          <w:szCs w:val="20"/>
        </w:rPr>
        <w:t xml:space="preserve">druhým rokem po sobě se podílely 5 % na výdajích na </w:t>
      </w:r>
      <w:proofErr w:type="spellStart"/>
      <w:r w:rsidR="00002C31">
        <w:rPr>
          <w:rFonts w:ascii="Arial" w:hAnsi="Arial" w:cs="Arial"/>
          <w:sz w:val="20"/>
          <w:szCs w:val="20"/>
        </w:rPr>
        <w:t>VaV</w:t>
      </w:r>
      <w:proofErr w:type="spellEnd"/>
      <w:r w:rsidR="00002C31">
        <w:rPr>
          <w:rFonts w:ascii="Arial" w:hAnsi="Arial" w:cs="Arial"/>
          <w:sz w:val="20"/>
          <w:szCs w:val="20"/>
        </w:rPr>
        <w:t xml:space="preserve"> vysokoškolského sektoru</w:t>
      </w:r>
      <w:r w:rsidR="00E21C42">
        <w:rPr>
          <w:rFonts w:ascii="Arial" w:hAnsi="Arial" w:cs="Arial"/>
          <w:sz w:val="20"/>
          <w:szCs w:val="20"/>
        </w:rPr>
        <w:t xml:space="preserve">. Je třeba doplnit, že </w:t>
      </w:r>
      <w:r w:rsidR="00E21C42">
        <w:rPr>
          <w:rFonts w:ascii="Arial" w:hAnsi="Arial" w:cs="Arial"/>
          <w:sz w:val="20"/>
          <w:szCs w:val="20"/>
        </w:rPr>
        <w:lastRenderedPageBreak/>
        <w:t xml:space="preserve">mezi jednotlivými </w:t>
      </w:r>
      <w:r>
        <w:rPr>
          <w:rFonts w:ascii="Arial" w:hAnsi="Arial" w:cs="Arial"/>
          <w:sz w:val="20"/>
          <w:szCs w:val="20"/>
        </w:rPr>
        <w:t>školami a </w:t>
      </w:r>
      <w:r w:rsidR="00D44C61">
        <w:rPr>
          <w:rFonts w:ascii="Arial" w:hAnsi="Arial" w:cs="Arial"/>
          <w:sz w:val="20"/>
          <w:szCs w:val="20"/>
        </w:rPr>
        <w:t>fakultami</w:t>
      </w:r>
      <w:r w:rsidR="00E21C42">
        <w:rPr>
          <w:rFonts w:ascii="Arial" w:hAnsi="Arial" w:cs="Arial"/>
          <w:sz w:val="20"/>
          <w:szCs w:val="20"/>
        </w:rPr>
        <w:t xml:space="preserve"> panují značné rozdíly, většina podnikových zdrojů směřuje na vysoké školy technického zaměření. </w:t>
      </w:r>
    </w:p>
    <w:p w:rsidR="003E3D18" w:rsidRDefault="00BF11CC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E26113">
        <w:rPr>
          <w:rFonts w:ascii="Arial" w:hAnsi="Arial" w:cs="Arial"/>
          <w:sz w:val="20"/>
          <w:szCs w:val="20"/>
        </w:rPr>
        <w:t>druhů</w:t>
      </w:r>
      <w:r>
        <w:rPr>
          <w:rFonts w:ascii="Arial" w:hAnsi="Arial" w:cs="Arial"/>
          <w:sz w:val="20"/>
          <w:szCs w:val="20"/>
        </w:rPr>
        <w:t xml:space="preserve"> subjektů řazených do VŠ sektoru platí, že z hlediska výše výdajů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hrají jednoznačně prim veřejné a státní vysoké školy, kt</w:t>
      </w:r>
      <w:r w:rsidR="00E26113">
        <w:rPr>
          <w:rFonts w:ascii="Arial" w:hAnsi="Arial" w:cs="Arial"/>
          <w:sz w:val="20"/>
          <w:szCs w:val="20"/>
        </w:rPr>
        <w:t>eré mají dlouhodobě více než 90</w:t>
      </w:r>
      <w:r>
        <w:rPr>
          <w:rFonts w:ascii="Arial" w:hAnsi="Arial" w:cs="Arial"/>
          <w:sz w:val="20"/>
          <w:szCs w:val="20"/>
        </w:rPr>
        <w:t>% podíl. Za veřejnými vysokými školami následují fakultní nemocnice</w:t>
      </w:r>
      <w:r w:rsidR="00637882">
        <w:rPr>
          <w:rFonts w:ascii="Arial" w:hAnsi="Arial" w:cs="Arial"/>
          <w:sz w:val="20"/>
          <w:szCs w:val="20"/>
        </w:rPr>
        <w:t xml:space="preserve">, na nichž se v posledních letech vynakládá na </w:t>
      </w:r>
      <w:proofErr w:type="spellStart"/>
      <w:r w:rsidR="00637882">
        <w:rPr>
          <w:rFonts w:ascii="Arial" w:hAnsi="Arial" w:cs="Arial"/>
          <w:sz w:val="20"/>
          <w:szCs w:val="20"/>
        </w:rPr>
        <w:t>VaV</w:t>
      </w:r>
      <w:proofErr w:type="spellEnd"/>
      <w:r w:rsidR="00685E5B">
        <w:rPr>
          <w:rFonts w:ascii="Arial" w:hAnsi="Arial" w:cs="Arial"/>
          <w:sz w:val="20"/>
          <w:szCs w:val="20"/>
        </w:rPr>
        <w:t xml:space="preserve"> ročně</w:t>
      </w:r>
      <w:r w:rsidR="00637882">
        <w:rPr>
          <w:rFonts w:ascii="Arial" w:hAnsi="Arial" w:cs="Arial"/>
          <w:sz w:val="20"/>
          <w:szCs w:val="20"/>
        </w:rPr>
        <w:t xml:space="preserve"> lehce nad miliardu a mají přibližně 7% podíl </w:t>
      </w:r>
      <w:r w:rsidR="00681C6A">
        <w:rPr>
          <w:rFonts w:ascii="Arial" w:hAnsi="Arial" w:cs="Arial"/>
          <w:sz w:val="20"/>
          <w:szCs w:val="20"/>
        </w:rPr>
        <w:t>vysokoškolského</w:t>
      </w:r>
      <w:r w:rsidR="00637882">
        <w:rPr>
          <w:rFonts w:ascii="Arial" w:hAnsi="Arial" w:cs="Arial"/>
          <w:sz w:val="20"/>
          <w:szCs w:val="20"/>
        </w:rPr>
        <w:t xml:space="preserve"> sektoru. Naopak </w:t>
      </w:r>
      <w:r w:rsidR="00685E5B">
        <w:rPr>
          <w:rFonts w:ascii="Arial" w:hAnsi="Arial" w:cs="Arial"/>
          <w:sz w:val="20"/>
          <w:szCs w:val="20"/>
        </w:rPr>
        <w:t>zanedbatelný je u nás výzkum</w:t>
      </w:r>
      <w:r w:rsidR="00637882">
        <w:rPr>
          <w:rFonts w:ascii="Arial" w:hAnsi="Arial" w:cs="Arial"/>
          <w:sz w:val="20"/>
          <w:szCs w:val="20"/>
        </w:rPr>
        <w:t xml:space="preserve"> na soukromých </w:t>
      </w:r>
      <w:r w:rsidR="00685E5B">
        <w:rPr>
          <w:rFonts w:ascii="Arial" w:hAnsi="Arial" w:cs="Arial"/>
          <w:sz w:val="20"/>
          <w:szCs w:val="20"/>
        </w:rPr>
        <w:t xml:space="preserve">vysokých </w:t>
      </w:r>
      <w:r w:rsidR="00637882">
        <w:rPr>
          <w:rFonts w:ascii="Arial" w:hAnsi="Arial" w:cs="Arial"/>
          <w:sz w:val="20"/>
          <w:szCs w:val="20"/>
        </w:rPr>
        <w:t>školách, což je dáno i zaměřením většiny z nich</w:t>
      </w:r>
      <w:r w:rsidR="00685E5B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685E5B">
        <w:rPr>
          <w:rFonts w:ascii="Arial" w:hAnsi="Arial" w:cs="Arial"/>
          <w:sz w:val="20"/>
          <w:szCs w:val="20"/>
        </w:rPr>
        <w:t>sociálně</w:t>
      </w:r>
      <w:r w:rsidR="00637882">
        <w:rPr>
          <w:rFonts w:ascii="Arial" w:hAnsi="Arial" w:cs="Arial"/>
          <w:sz w:val="20"/>
          <w:szCs w:val="20"/>
        </w:rPr>
        <w:t>vědní</w:t>
      </w:r>
      <w:proofErr w:type="spellEnd"/>
      <w:r w:rsidR="00637882">
        <w:rPr>
          <w:rFonts w:ascii="Arial" w:hAnsi="Arial" w:cs="Arial"/>
          <w:sz w:val="20"/>
          <w:szCs w:val="20"/>
        </w:rPr>
        <w:t xml:space="preserve"> obory. Výdaje </w:t>
      </w:r>
      <w:r w:rsidR="00681C6A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681C6A">
        <w:rPr>
          <w:rFonts w:ascii="Arial" w:hAnsi="Arial" w:cs="Arial"/>
          <w:sz w:val="20"/>
          <w:szCs w:val="20"/>
        </w:rPr>
        <w:t>VaV</w:t>
      </w:r>
      <w:proofErr w:type="spellEnd"/>
      <w:r w:rsidR="00681C6A">
        <w:rPr>
          <w:rFonts w:ascii="Arial" w:hAnsi="Arial" w:cs="Arial"/>
          <w:sz w:val="20"/>
          <w:szCs w:val="20"/>
        </w:rPr>
        <w:t xml:space="preserve"> </w:t>
      </w:r>
      <w:r w:rsidR="00637882">
        <w:rPr>
          <w:rFonts w:ascii="Arial" w:hAnsi="Arial" w:cs="Arial"/>
          <w:sz w:val="20"/>
          <w:szCs w:val="20"/>
        </w:rPr>
        <w:t>soukromých vysokých škol se v posledních 4 letech pohybují na úrovni 200 mil. Kč ročně, což tvoří asi 1</w:t>
      </w:r>
      <w:r w:rsidR="007345B8">
        <w:rPr>
          <w:rFonts w:ascii="Arial" w:hAnsi="Arial" w:cs="Arial"/>
          <w:sz w:val="20"/>
          <w:szCs w:val="20"/>
        </w:rPr>
        <w:t> </w:t>
      </w:r>
      <w:r w:rsidR="00637882">
        <w:rPr>
          <w:rFonts w:ascii="Arial" w:hAnsi="Arial" w:cs="Arial"/>
          <w:sz w:val="20"/>
          <w:szCs w:val="20"/>
        </w:rPr>
        <w:t xml:space="preserve">% výdajů na </w:t>
      </w:r>
      <w:proofErr w:type="spellStart"/>
      <w:r w:rsidR="00637882">
        <w:rPr>
          <w:rFonts w:ascii="Arial" w:hAnsi="Arial" w:cs="Arial"/>
          <w:sz w:val="20"/>
          <w:szCs w:val="20"/>
        </w:rPr>
        <w:t>VaV</w:t>
      </w:r>
      <w:proofErr w:type="spellEnd"/>
      <w:r w:rsidR="00637882">
        <w:rPr>
          <w:rFonts w:ascii="Arial" w:hAnsi="Arial" w:cs="Arial"/>
          <w:sz w:val="20"/>
          <w:szCs w:val="20"/>
        </w:rPr>
        <w:t xml:space="preserve"> vysokoškolského sektoru.</w:t>
      </w:r>
    </w:p>
    <w:p w:rsidR="00637882" w:rsidRDefault="00AB58FF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682887">
        <w:rPr>
          <w:rFonts w:ascii="Arial" w:hAnsi="Arial" w:cs="Arial"/>
          <w:sz w:val="20"/>
          <w:szCs w:val="20"/>
        </w:rPr>
        <w:t xml:space="preserve">roce 2017 rostly především mzdové náklady (meziročně o více než miliardu) a dosáhly 56 % výdajů na </w:t>
      </w:r>
      <w:proofErr w:type="spellStart"/>
      <w:r w:rsidR="00682887">
        <w:rPr>
          <w:rFonts w:ascii="Arial" w:hAnsi="Arial" w:cs="Arial"/>
          <w:sz w:val="20"/>
          <w:szCs w:val="20"/>
        </w:rPr>
        <w:t>VaV</w:t>
      </w:r>
      <w:proofErr w:type="spellEnd"/>
      <w:r w:rsidR="00682887">
        <w:rPr>
          <w:rFonts w:ascii="Arial" w:hAnsi="Arial" w:cs="Arial"/>
          <w:sz w:val="20"/>
          <w:szCs w:val="20"/>
        </w:rPr>
        <w:t xml:space="preserve"> vysokoškolského sektoru. </w:t>
      </w:r>
      <w:r w:rsidR="004E6B0A">
        <w:rPr>
          <w:rFonts w:ascii="Arial" w:hAnsi="Arial" w:cs="Arial"/>
          <w:sz w:val="20"/>
          <w:szCs w:val="20"/>
        </w:rPr>
        <w:t>Na druhé straně, v souvislosti s ukončením čerpání dotací EU v programovém období 2007</w:t>
      </w:r>
      <w:r w:rsidR="0068580E">
        <w:rPr>
          <w:rFonts w:ascii="Arial" w:hAnsi="Arial" w:cs="Arial"/>
          <w:sz w:val="20"/>
          <w:szCs w:val="20"/>
        </w:rPr>
        <w:t>–</w:t>
      </w:r>
      <w:r w:rsidR="004E6B0A">
        <w:rPr>
          <w:rFonts w:ascii="Arial" w:hAnsi="Arial" w:cs="Arial"/>
          <w:sz w:val="20"/>
          <w:szCs w:val="20"/>
        </w:rPr>
        <w:t>2013, v posledních dvou letech výrazně klesly investice. Z</w:t>
      </w:r>
      <w:r w:rsidR="00682887">
        <w:rPr>
          <w:rFonts w:ascii="Arial" w:hAnsi="Arial" w:cs="Arial"/>
          <w:sz w:val="20"/>
          <w:szCs w:val="20"/>
        </w:rPr>
        <w:t xml:space="preserve">e všech sektorů provádění </w:t>
      </w:r>
      <w:r w:rsidR="008D7A90">
        <w:rPr>
          <w:rFonts w:ascii="Arial" w:hAnsi="Arial" w:cs="Arial"/>
          <w:sz w:val="20"/>
          <w:szCs w:val="20"/>
        </w:rPr>
        <w:t xml:space="preserve">byl </w:t>
      </w:r>
      <w:r w:rsidR="004E6B0A">
        <w:rPr>
          <w:rFonts w:ascii="Arial" w:hAnsi="Arial" w:cs="Arial"/>
          <w:sz w:val="20"/>
          <w:szCs w:val="20"/>
        </w:rPr>
        <w:t xml:space="preserve">tento pokles nejmarkantnější </w:t>
      </w:r>
      <w:r w:rsidR="008D7A90">
        <w:rPr>
          <w:rFonts w:ascii="Arial" w:hAnsi="Arial" w:cs="Arial"/>
          <w:sz w:val="20"/>
          <w:szCs w:val="20"/>
        </w:rPr>
        <w:t>právě na vysokých školách</w:t>
      </w:r>
      <w:r w:rsidR="00682887">
        <w:rPr>
          <w:rFonts w:ascii="Arial" w:hAnsi="Arial" w:cs="Arial"/>
          <w:sz w:val="20"/>
          <w:szCs w:val="20"/>
        </w:rPr>
        <w:t>.</w:t>
      </w:r>
      <w:r w:rsidR="009C6772">
        <w:rPr>
          <w:rFonts w:ascii="Arial" w:hAnsi="Arial" w:cs="Arial"/>
          <w:sz w:val="20"/>
          <w:szCs w:val="20"/>
        </w:rPr>
        <w:t xml:space="preserve"> </w:t>
      </w:r>
      <w:r w:rsidR="0068580E">
        <w:rPr>
          <w:rFonts w:ascii="Arial" w:hAnsi="Arial" w:cs="Arial"/>
          <w:sz w:val="20"/>
          <w:szCs w:val="20"/>
        </w:rPr>
        <w:t>Lze</w:t>
      </w:r>
      <w:r w:rsidR="009C6772">
        <w:rPr>
          <w:rFonts w:ascii="Arial" w:hAnsi="Arial" w:cs="Arial"/>
          <w:sz w:val="20"/>
          <w:szCs w:val="20"/>
        </w:rPr>
        <w:t xml:space="preserve"> konstatovat, že investice do </w:t>
      </w:r>
      <w:proofErr w:type="spellStart"/>
      <w:r w:rsidR="009C6772">
        <w:rPr>
          <w:rFonts w:ascii="Arial" w:hAnsi="Arial" w:cs="Arial"/>
          <w:sz w:val="20"/>
          <w:szCs w:val="20"/>
        </w:rPr>
        <w:t>VaV</w:t>
      </w:r>
      <w:proofErr w:type="spellEnd"/>
      <w:r w:rsidR="009C6772">
        <w:rPr>
          <w:rFonts w:ascii="Arial" w:hAnsi="Arial" w:cs="Arial"/>
          <w:sz w:val="20"/>
          <w:szCs w:val="20"/>
        </w:rPr>
        <w:t xml:space="preserve"> na vysokých školách byly v posledních letech </w:t>
      </w:r>
      <w:r w:rsidR="008D7A90">
        <w:rPr>
          <w:rFonts w:ascii="Arial" w:hAnsi="Arial" w:cs="Arial"/>
          <w:sz w:val="20"/>
          <w:szCs w:val="20"/>
        </w:rPr>
        <w:t xml:space="preserve">silně </w:t>
      </w:r>
      <w:r w:rsidR="009C6772">
        <w:rPr>
          <w:rFonts w:ascii="Arial" w:hAnsi="Arial" w:cs="Arial"/>
          <w:sz w:val="20"/>
          <w:szCs w:val="20"/>
        </w:rPr>
        <w:t>závislé na přísunu peněz z EU. V letech 2012</w:t>
      </w:r>
      <w:r w:rsidR="0068580E">
        <w:rPr>
          <w:rFonts w:ascii="Arial" w:hAnsi="Arial" w:cs="Arial"/>
          <w:sz w:val="20"/>
          <w:szCs w:val="20"/>
        </w:rPr>
        <w:t>–</w:t>
      </w:r>
      <w:r w:rsidR="009C6772">
        <w:rPr>
          <w:rFonts w:ascii="Arial" w:hAnsi="Arial" w:cs="Arial"/>
          <w:sz w:val="20"/>
          <w:szCs w:val="20"/>
        </w:rPr>
        <w:t xml:space="preserve">2015 se průměrně investovalo 6 mld. Kč </w:t>
      </w:r>
      <w:r w:rsidR="008D7A90">
        <w:rPr>
          <w:rFonts w:ascii="Arial" w:hAnsi="Arial" w:cs="Arial"/>
          <w:sz w:val="20"/>
          <w:szCs w:val="20"/>
        </w:rPr>
        <w:t>za rok,</w:t>
      </w:r>
      <w:r w:rsidR="009C6772">
        <w:rPr>
          <w:rFonts w:ascii="Arial" w:hAnsi="Arial" w:cs="Arial"/>
          <w:sz w:val="20"/>
          <w:szCs w:val="20"/>
        </w:rPr>
        <w:t xml:space="preserve"> v</w:t>
      </w:r>
      <w:r w:rsidR="008D7A90">
        <w:rPr>
          <w:rFonts w:ascii="Arial" w:hAnsi="Arial" w:cs="Arial"/>
          <w:sz w:val="20"/>
          <w:szCs w:val="20"/>
        </w:rPr>
        <w:t> následujících dvou</w:t>
      </w:r>
      <w:r w:rsidR="009C6772">
        <w:rPr>
          <w:rFonts w:ascii="Arial" w:hAnsi="Arial" w:cs="Arial"/>
          <w:sz w:val="20"/>
          <w:szCs w:val="20"/>
        </w:rPr>
        <w:t xml:space="preserve"> letech to bylo </w:t>
      </w:r>
      <w:r w:rsidR="008D7A90">
        <w:rPr>
          <w:rFonts w:ascii="Arial" w:hAnsi="Arial" w:cs="Arial"/>
          <w:sz w:val="20"/>
          <w:szCs w:val="20"/>
        </w:rPr>
        <w:t>desetkrát méně, okolo 600 mil. Kč ročně, což je obdobná částka</w:t>
      </w:r>
      <w:r w:rsidR="009C6772">
        <w:rPr>
          <w:rFonts w:ascii="Arial" w:hAnsi="Arial" w:cs="Arial"/>
          <w:sz w:val="20"/>
          <w:szCs w:val="20"/>
        </w:rPr>
        <w:t>, kter</w:t>
      </w:r>
      <w:r w:rsidR="008D7A90">
        <w:rPr>
          <w:rFonts w:ascii="Arial" w:hAnsi="Arial" w:cs="Arial"/>
          <w:sz w:val="20"/>
          <w:szCs w:val="20"/>
        </w:rPr>
        <w:t>á</w:t>
      </w:r>
      <w:r w:rsidR="009C6772">
        <w:rPr>
          <w:rFonts w:ascii="Arial" w:hAnsi="Arial" w:cs="Arial"/>
          <w:sz w:val="20"/>
          <w:szCs w:val="20"/>
        </w:rPr>
        <w:t xml:space="preserve"> </w:t>
      </w:r>
      <w:r w:rsidR="008D7A90">
        <w:rPr>
          <w:rFonts w:ascii="Arial" w:hAnsi="Arial" w:cs="Arial"/>
          <w:sz w:val="20"/>
          <w:szCs w:val="20"/>
        </w:rPr>
        <w:t>se ročně investovala</w:t>
      </w:r>
      <w:r w:rsidR="009C677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9C6772">
        <w:rPr>
          <w:rFonts w:ascii="Arial" w:hAnsi="Arial" w:cs="Arial"/>
          <w:sz w:val="20"/>
          <w:szCs w:val="20"/>
        </w:rPr>
        <w:t>VaV</w:t>
      </w:r>
      <w:proofErr w:type="spellEnd"/>
      <w:r w:rsidR="009C6772">
        <w:rPr>
          <w:rFonts w:ascii="Arial" w:hAnsi="Arial" w:cs="Arial"/>
          <w:sz w:val="20"/>
          <w:szCs w:val="20"/>
        </w:rPr>
        <w:t xml:space="preserve"> na vysokých školách v letech 2008</w:t>
      </w:r>
      <w:r w:rsidR="0068580E">
        <w:rPr>
          <w:rFonts w:ascii="Arial" w:hAnsi="Arial" w:cs="Arial"/>
          <w:sz w:val="20"/>
          <w:szCs w:val="20"/>
        </w:rPr>
        <w:t>–</w:t>
      </w:r>
      <w:r w:rsidR="009C6772">
        <w:rPr>
          <w:rFonts w:ascii="Arial" w:hAnsi="Arial" w:cs="Arial"/>
          <w:sz w:val="20"/>
          <w:szCs w:val="20"/>
        </w:rPr>
        <w:t>2010, tj. před začátkem intenzivního čerpání evropských dotací.</w:t>
      </w:r>
    </w:p>
    <w:p w:rsidR="009C6772" w:rsidRDefault="007345B8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90AEEB6" wp14:editId="13749582">
            <wp:simplePos x="0" y="0"/>
            <wp:positionH relativeFrom="column">
              <wp:posOffset>3966210</wp:posOffset>
            </wp:positionH>
            <wp:positionV relativeFrom="paragraph">
              <wp:posOffset>467995</wp:posOffset>
            </wp:positionV>
            <wp:extent cx="1704975" cy="1714500"/>
            <wp:effectExtent l="0" t="0" r="9525" b="19050"/>
            <wp:wrapNone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2292DBF8" wp14:editId="770D6C91">
            <wp:extent cx="6124575" cy="47625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22649E">
        <w:rPr>
          <w:rFonts w:ascii="Arial" w:hAnsi="Arial" w:cs="Arial"/>
          <w:sz w:val="20"/>
          <w:szCs w:val="20"/>
        </w:rPr>
        <w:t xml:space="preserve">Na </w:t>
      </w:r>
      <w:r w:rsidR="00235ADC">
        <w:rPr>
          <w:rFonts w:ascii="Arial" w:hAnsi="Arial" w:cs="Arial"/>
          <w:sz w:val="20"/>
          <w:szCs w:val="20"/>
        </w:rPr>
        <w:t>vysokých školách jsou zastoupeny všechny</w:t>
      </w:r>
      <w:r w:rsidR="0022649E">
        <w:rPr>
          <w:rFonts w:ascii="Arial" w:hAnsi="Arial" w:cs="Arial"/>
          <w:sz w:val="20"/>
          <w:szCs w:val="20"/>
        </w:rPr>
        <w:t xml:space="preserve"> vědní</w:t>
      </w:r>
      <w:r w:rsidR="00235ADC">
        <w:rPr>
          <w:rFonts w:ascii="Arial" w:hAnsi="Arial" w:cs="Arial"/>
          <w:sz w:val="20"/>
          <w:szCs w:val="20"/>
        </w:rPr>
        <w:t xml:space="preserve"> obory, což </w:t>
      </w:r>
      <w:r w:rsidR="000C68D4">
        <w:rPr>
          <w:rFonts w:ascii="Arial" w:hAnsi="Arial" w:cs="Arial"/>
          <w:sz w:val="20"/>
          <w:szCs w:val="20"/>
        </w:rPr>
        <w:t>koresponduje s</w:t>
      </w:r>
      <w:r w:rsidR="001D53CA">
        <w:rPr>
          <w:rFonts w:ascii="Arial" w:hAnsi="Arial" w:cs="Arial"/>
          <w:sz w:val="20"/>
          <w:szCs w:val="20"/>
        </w:rPr>
        <w:t>e</w:t>
      </w:r>
      <w:r w:rsidR="000C68D4">
        <w:rPr>
          <w:rFonts w:ascii="Arial" w:hAnsi="Arial" w:cs="Arial"/>
          <w:sz w:val="20"/>
          <w:szCs w:val="20"/>
        </w:rPr>
        <w:t xml:space="preserve"> </w:t>
      </w:r>
      <w:r w:rsidR="001D53CA">
        <w:rPr>
          <w:rFonts w:ascii="Arial" w:hAnsi="Arial" w:cs="Arial"/>
          <w:sz w:val="20"/>
          <w:szCs w:val="20"/>
        </w:rPr>
        <w:t>zaměřením jednotlivých</w:t>
      </w:r>
      <w:r w:rsidR="0022649E">
        <w:rPr>
          <w:rFonts w:ascii="Arial" w:hAnsi="Arial" w:cs="Arial"/>
          <w:sz w:val="20"/>
          <w:szCs w:val="20"/>
        </w:rPr>
        <w:t xml:space="preserve"> vysokých škol. Přesto nalezneme mezi jednotlivými </w:t>
      </w:r>
      <w:r w:rsidR="000C68D4">
        <w:rPr>
          <w:rFonts w:ascii="Arial" w:hAnsi="Arial" w:cs="Arial"/>
          <w:sz w:val="20"/>
          <w:szCs w:val="20"/>
        </w:rPr>
        <w:t>obory</w:t>
      </w:r>
      <w:r w:rsidR="00235ADC">
        <w:rPr>
          <w:rFonts w:ascii="Arial" w:hAnsi="Arial" w:cs="Arial"/>
          <w:sz w:val="20"/>
          <w:szCs w:val="20"/>
        </w:rPr>
        <w:t xml:space="preserve"> rozdíly</w:t>
      </w:r>
      <w:r w:rsidR="0022649E">
        <w:rPr>
          <w:rFonts w:ascii="Arial" w:hAnsi="Arial" w:cs="Arial"/>
          <w:sz w:val="20"/>
          <w:szCs w:val="20"/>
        </w:rPr>
        <w:t xml:space="preserve"> ve výši výdajů na </w:t>
      </w:r>
      <w:proofErr w:type="spellStart"/>
      <w:r w:rsidR="0022649E">
        <w:rPr>
          <w:rFonts w:ascii="Arial" w:hAnsi="Arial" w:cs="Arial"/>
          <w:sz w:val="20"/>
          <w:szCs w:val="20"/>
        </w:rPr>
        <w:t>VaV</w:t>
      </w:r>
      <w:proofErr w:type="spellEnd"/>
      <w:r w:rsidR="00235ADC">
        <w:rPr>
          <w:rFonts w:ascii="Arial" w:hAnsi="Arial" w:cs="Arial"/>
          <w:sz w:val="20"/>
          <w:szCs w:val="20"/>
        </w:rPr>
        <w:t xml:space="preserve">. Dlouhodobě </w:t>
      </w:r>
      <w:r w:rsidR="0022649E">
        <w:rPr>
          <w:rFonts w:ascii="Arial" w:hAnsi="Arial" w:cs="Arial"/>
          <w:sz w:val="20"/>
          <w:szCs w:val="20"/>
        </w:rPr>
        <w:t xml:space="preserve">se </w:t>
      </w:r>
      <w:r w:rsidR="00235ADC">
        <w:rPr>
          <w:rFonts w:ascii="Arial" w:hAnsi="Arial" w:cs="Arial"/>
          <w:sz w:val="20"/>
          <w:szCs w:val="20"/>
        </w:rPr>
        <w:t xml:space="preserve">nejvíce prostředků vynaloží v přírodních a technických vědách. V roce 2017 směřovala do obou vědních </w:t>
      </w:r>
      <w:r w:rsidR="0022649E">
        <w:rPr>
          <w:rFonts w:ascii="Arial" w:hAnsi="Arial" w:cs="Arial"/>
          <w:sz w:val="20"/>
          <w:szCs w:val="20"/>
        </w:rPr>
        <w:t>ob</w:t>
      </w:r>
      <w:r w:rsidR="000C68D4">
        <w:rPr>
          <w:rFonts w:ascii="Arial" w:hAnsi="Arial" w:cs="Arial"/>
          <w:sz w:val="20"/>
          <w:szCs w:val="20"/>
        </w:rPr>
        <w:t>lastí</w:t>
      </w:r>
      <w:r w:rsidR="0022649E">
        <w:rPr>
          <w:rFonts w:ascii="Arial" w:hAnsi="Arial" w:cs="Arial"/>
          <w:sz w:val="20"/>
          <w:szCs w:val="20"/>
        </w:rPr>
        <w:t xml:space="preserve"> srovnatelná částka a každý</w:t>
      </w:r>
      <w:r w:rsidR="00235ADC">
        <w:rPr>
          <w:rFonts w:ascii="Arial" w:hAnsi="Arial" w:cs="Arial"/>
          <w:sz w:val="20"/>
          <w:szCs w:val="20"/>
        </w:rPr>
        <w:t xml:space="preserve"> z nich se</w:t>
      </w:r>
      <w:r w:rsidR="0022649E">
        <w:rPr>
          <w:rFonts w:ascii="Arial" w:hAnsi="Arial" w:cs="Arial"/>
          <w:sz w:val="20"/>
          <w:szCs w:val="20"/>
        </w:rPr>
        <w:t xml:space="preserve"> podílel</w:t>
      </w:r>
      <w:r w:rsidR="00235ADC">
        <w:rPr>
          <w:rFonts w:ascii="Arial" w:hAnsi="Arial" w:cs="Arial"/>
          <w:sz w:val="20"/>
          <w:szCs w:val="20"/>
        </w:rPr>
        <w:t xml:space="preserve"> 1/3 na výdajích na </w:t>
      </w:r>
      <w:proofErr w:type="spellStart"/>
      <w:r w:rsidR="00235ADC">
        <w:rPr>
          <w:rFonts w:ascii="Arial" w:hAnsi="Arial" w:cs="Arial"/>
          <w:sz w:val="20"/>
          <w:szCs w:val="20"/>
        </w:rPr>
        <w:t>VaV</w:t>
      </w:r>
      <w:proofErr w:type="spellEnd"/>
      <w:r w:rsidR="00235ADC">
        <w:rPr>
          <w:rFonts w:ascii="Arial" w:hAnsi="Arial" w:cs="Arial"/>
          <w:sz w:val="20"/>
          <w:szCs w:val="20"/>
        </w:rPr>
        <w:t xml:space="preserve"> vysokoškolského sekt</w:t>
      </w:r>
      <w:r w:rsidR="00861B24">
        <w:rPr>
          <w:rFonts w:ascii="Arial" w:hAnsi="Arial" w:cs="Arial"/>
          <w:sz w:val="20"/>
          <w:szCs w:val="20"/>
        </w:rPr>
        <w:t>oru. Na ostatní 4 vědní oblasti p</w:t>
      </w:r>
      <w:r w:rsidR="00235ADC">
        <w:rPr>
          <w:rFonts w:ascii="Arial" w:hAnsi="Arial" w:cs="Arial"/>
          <w:sz w:val="20"/>
          <w:szCs w:val="20"/>
        </w:rPr>
        <w:t>ak připad</w:t>
      </w:r>
      <w:r w:rsidR="000C68D4">
        <w:rPr>
          <w:rFonts w:ascii="Arial" w:hAnsi="Arial" w:cs="Arial"/>
          <w:sz w:val="20"/>
          <w:szCs w:val="20"/>
        </w:rPr>
        <w:t>a</w:t>
      </w:r>
      <w:r w:rsidR="00235ADC">
        <w:rPr>
          <w:rFonts w:ascii="Arial" w:hAnsi="Arial" w:cs="Arial"/>
          <w:sz w:val="20"/>
          <w:szCs w:val="20"/>
        </w:rPr>
        <w:t>la 1/3</w:t>
      </w:r>
      <w:r w:rsidR="00DF710F">
        <w:rPr>
          <w:rFonts w:ascii="Arial" w:hAnsi="Arial" w:cs="Arial"/>
          <w:sz w:val="20"/>
          <w:szCs w:val="20"/>
        </w:rPr>
        <w:t xml:space="preserve"> výdajů na </w:t>
      </w:r>
      <w:proofErr w:type="spellStart"/>
      <w:r w:rsidR="00DF710F">
        <w:rPr>
          <w:rFonts w:ascii="Arial" w:hAnsi="Arial" w:cs="Arial"/>
          <w:sz w:val="20"/>
          <w:szCs w:val="20"/>
        </w:rPr>
        <w:t>VaV</w:t>
      </w:r>
      <w:proofErr w:type="spellEnd"/>
      <w:r w:rsidR="00DF710F">
        <w:rPr>
          <w:rFonts w:ascii="Arial" w:hAnsi="Arial" w:cs="Arial"/>
          <w:sz w:val="20"/>
          <w:szCs w:val="20"/>
        </w:rPr>
        <w:t>, z nichž nejvíce šlo na lékařské vědy, které se provádějí jak na lékařských fakultách, tak ve fakultních nemocnicích.</w:t>
      </w:r>
      <w:r w:rsidR="00235ADC">
        <w:rPr>
          <w:rFonts w:ascii="Arial" w:hAnsi="Arial" w:cs="Arial"/>
          <w:sz w:val="20"/>
          <w:szCs w:val="20"/>
        </w:rPr>
        <w:t xml:space="preserve"> </w:t>
      </w:r>
    </w:p>
    <w:p w:rsidR="004A6732" w:rsidRDefault="00D458B7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regionálním srovnání jasně dominují Praha a Jihomoravský kraj (zásluhou Brna), kde se na</w:t>
      </w:r>
      <w:r w:rsidR="00861B24">
        <w:rPr>
          <w:rFonts w:ascii="Arial" w:hAnsi="Arial" w:cs="Arial"/>
          <w:sz w:val="20"/>
          <w:szCs w:val="20"/>
        </w:rPr>
        <w:t>chází</w:t>
      </w:r>
      <w:r>
        <w:rPr>
          <w:rFonts w:ascii="Arial" w:hAnsi="Arial" w:cs="Arial"/>
          <w:sz w:val="20"/>
          <w:szCs w:val="20"/>
        </w:rPr>
        <w:t xml:space="preserve"> nejvíce vysokých škol. V letech intenzivní čerpání dotací EU byly výdaje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 těchto dvou krajích srovnatelné, v některých letech dokonce Jihomoravský kraj předčil Prahu. Bylo to </w:t>
      </w:r>
      <w:r w:rsidR="00861B24">
        <w:rPr>
          <w:rFonts w:ascii="Arial" w:hAnsi="Arial" w:cs="Arial"/>
          <w:sz w:val="20"/>
          <w:szCs w:val="20"/>
        </w:rPr>
        <w:t xml:space="preserve">především </w:t>
      </w:r>
      <w:r>
        <w:rPr>
          <w:rFonts w:ascii="Arial" w:hAnsi="Arial" w:cs="Arial"/>
          <w:sz w:val="20"/>
          <w:szCs w:val="20"/>
        </w:rPr>
        <w:t>zásluhou toho, že</w:t>
      </w:r>
      <w:r w:rsidR="00861B24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 Praze </w:t>
      </w:r>
      <w:r w:rsidR="00861B24">
        <w:rPr>
          <w:rFonts w:ascii="Arial" w:hAnsi="Arial" w:cs="Arial"/>
          <w:sz w:val="20"/>
          <w:szCs w:val="20"/>
        </w:rPr>
        <w:t>se nemohly čerpat prostředky z </w:t>
      </w:r>
      <w:proofErr w:type="gramStart"/>
      <w:r w:rsidR="00861B24">
        <w:rPr>
          <w:rFonts w:ascii="Arial" w:hAnsi="Arial" w:cs="Arial"/>
          <w:sz w:val="20"/>
          <w:szCs w:val="20"/>
        </w:rPr>
        <w:t>OP</w:t>
      </w:r>
      <w:proofErr w:type="gramEnd"/>
      <w:r w:rsidR="00861B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1B24">
        <w:rPr>
          <w:rFonts w:ascii="Arial" w:hAnsi="Arial" w:cs="Arial"/>
          <w:sz w:val="20"/>
          <w:szCs w:val="20"/>
        </w:rPr>
        <w:t>VaVpI</w:t>
      </w:r>
      <w:proofErr w:type="spellEnd"/>
      <w:r w:rsidR="00861B2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které se</w:t>
      </w:r>
      <w:r w:rsidR="003540AA">
        <w:rPr>
          <w:rFonts w:ascii="Arial" w:hAnsi="Arial" w:cs="Arial"/>
          <w:sz w:val="20"/>
          <w:szCs w:val="20"/>
        </w:rPr>
        <w:t xml:space="preserve"> v největší míře</w:t>
      </w:r>
      <w:r w:rsidR="00861B24">
        <w:rPr>
          <w:rFonts w:ascii="Arial" w:hAnsi="Arial" w:cs="Arial"/>
          <w:sz w:val="20"/>
          <w:szCs w:val="20"/>
        </w:rPr>
        <w:t xml:space="preserve"> čerpaly</w:t>
      </w:r>
      <w:r w:rsidR="003540AA">
        <w:rPr>
          <w:rFonts w:ascii="Arial" w:hAnsi="Arial" w:cs="Arial"/>
          <w:sz w:val="20"/>
          <w:szCs w:val="20"/>
        </w:rPr>
        <w:t xml:space="preserve"> právě v Brně. V posledních dvou letech sledování už je Praha opět před Jihomoravským krajem a v roce 2017 měla 39% podíl na výdajích na </w:t>
      </w:r>
      <w:proofErr w:type="spellStart"/>
      <w:r w:rsidR="003540AA">
        <w:rPr>
          <w:rFonts w:ascii="Arial" w:hAnsi="Arial" w:cs="Arial"/>
          <w:sz w:val="20"/>
          <w:szCs w:val="20"/>
        </w:rPr>
        <w:t>VaV</w:t>
      </w:r>
      <w:proofErr w:type="spellEnd"/>
      <w:r w:rsidR="00861B24">
        <w:rPr>
          <w:rFonts w:ascii="Arial" w:hAnsi="Arial" w:cs="Arial"/>
          <w:sz w:val="20"/>
          <w:szCs w:val="20"/>
        </w:rPr>
        <w:t xml:space="preserve"> vysokoškolského sektoru. Jihomoravský kraj měl 27% podíl a společně</w:t>
      </w:r>
      <w:r w:rsidR="003540AA">
        <w:rPr>
          <w:rFonts w:ascii="Arial" w:hAnsi="Arial" w:cs="Arial"/>
          <w:sz w:val="20"/>
          <w:szCs w:val="20"/>
        </w:rPr>
        <w:t xml:space="preserve"> s Prahou se </w:t>
      </w:r>
      <w:r w:rsidR="00861B24">
        <w:rPr>
          <w:rFonts w:ascii="Arial" w:hAnsi="Arial" w:cs="Arial"/>
          <w:sz w:val="20"/>
          <w:szCs w:val="20"/>
        </w:rPr>
        <w:t>tyto dva kraje</w:t>
      </w:r>
      <w:r w:rsidR="003540AA">
        <w:rPr>
          <w:rFonts w:ascii="Arial" w:hAnsi="Arial" w:cs="Arial"/>
          <w:sz w:val="20"/>
          <w:szCs w:val="20"/>
        </w:rPr>
        <w:t xml:space="preserve"> na výdajích na </w:t>
      </w:r>
      <w:proofErr w:type="spellStart"/>
      <w:r w:rsidR="003540AA">
        <w:rPr>
          <w:rFonts w:ascii="Arial" w:hAnsi="Arial" w:cs="Arial"/>
          <w:sz w:val="20"/>
          <w:szCs w:val="20"/>
        </w:rPr>
        <w:t>VaV</w:t>
      </w:r>
      <w:proofErr w:type="spellEnd"/>
      <w:r w:rsidR="003540AA">
        <w:rPr>
          <w:rFonts w:ascii="Arial" w:hAnsi="Arial" w:cs="Arial"/>
          <w:sz w:val="20"/>
          <w:szCs w:val="20"/>
        </w:rPr>
        <w:t xml:space="preserve"> ve </w:t>
      </w:r>
      <w:r w:rsidR="00861B24">
        <w:rPr>
          <w:rFonts w:ascii="Arial" w:hAnsi="Arial" w:cs="Arial"/>
          <w:sz w:val="20"/>
          <w:szCs w:val="20"/>
        </w:rPr>
        <w:t>VŠ</w:t>
      </w:r>
      <w:r w:rsidR="003540AA">
        <w:rPr>
          <w:rFonts w:ascii="Arial" w:hAnsi="Arial" w:cs="Arial"/>
          <w:sz w:val="20"/>
          <w:szCs w:val="20"/>
        </w:rPr>
        <w:t xml:space="preserve"> sektoru podílely ze 2/3. S velkým odstupem následoval</w:t>
      </w:r>
      <w:r w:rsidR="00861B24">
        <w:rPr>
          <w:rFonts w:ascii="Arial" w:hAnsi="Arial" w:cs="Arial"/>
          <w:sz w:val="20"/>
          <w:szCs w:val="20"/>
        </w:rPr>
        <w:t>y</w:t>
      </w:r>
      <w:r w:rsidR="007345B8">
        <w:rPr>
          <w:rFonts w:ascii="Arial" w:hAnsi="Arial" w:cs="Arial"/>
          <w:sz w:val="20"/>
          <w:szCs w:val="20"/>
        </w:rPr>
        <w:t xml:space="preserve"> Olomoucký a </w:t>
      </w:r>
      <w:r w:rsidR="003540AA">
        <w:rPr>
          <w:rFonts w:ascii="Arial" w:hAnsi="Arial" w:cs="Arial"/>
          <w:sz w:val="20"/>
          <w:szCs w:val="20"/>
        </w:rPr>
        <w:t xml:space="preserve">Moravskoslezský </w:t>
      </w:r>
      <w:r w:rsidR="00861B24">
        <w:rPr>
          <w:rFonts w:ascii="Arial" w:hAnsi="Arial" w:cs="Arial"/>
          <w:sz w:val="20"/>
          <w:szCs w:val="20"/>
        </w:rPr>
        <w:t>kraj s výdaji lehce nad 1 miliardou</w:t>
      </w:r>
      <w:r w:rsidR="00D16151">
        <w:rPr>
          <w:rFonts w:ascii="Arial" w:hAnsi="Arial" w:cs="Arial"/>
          <w:sz w:val="20"/>
          <w:szCs w:val="20"/>
        </w:rPr>
        <w:t xml:space="preserve"> Kč. </w:t>
      </w:r>
    </w:p>
    <w:p w:rsidR="00507FC4" w:rsidRDefault="00DA2883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Evropské unii </w:t>
      </w:r>
      <w:r w:rsidR="005A6887">
        <w:rPr>
          <w:rFonts w:ascii="Arial" w:hAnsi="Arial" w:cs="Arial"/>
          <w:sz w:val="20"/>
          <w:szCs w:val="20"/>
        </w:rPr>
        <w:t xml:space="preserve">se vynaložilo v roce 2017 na </w:t>
      </w:r>
      <w:proofErr w:type="spellStart"/>
      <w:r w:rsidR="005A6887">
        <w:rPr>
          <w:rFonts w:ascii="Arial" w:hAnsi="Arial" w:cs="Arial"/>
          <w:sz w:val="20"/>
          <w:szCs w:val="20"/>
        </w:rPr>
        <w:t>VaV</w:t>
      </w:r>
      <w:proofErr w:type="spellEnd"/>
      <w:r w:rsidR="005A6887">
        <w:rPr>
          <w:rFonts w:ascii="Arial" w:hAnsi="Arial" w:cs="Arial"/>
          <w:sz w:val="20"/>
          <w:szCs w:val="20"/>
        </w:rPr>
        <w:t xml:space="preserve"> ve vysokoškolském sektoru celkem 71 m</w:t>
      </w:r>
      <w:r w:rsidR="00D16151">
        <w:rPr>
          <w:rFonts w:ascii="Arial" w:hAnsi="Arial" w:cs="Arial"/>
          <w:sz w:val="20"/>
          <w:szCs w:val="20"/>
        </w:rPr>
        <w:t>ld. EUR, více než 50% podíl měly</w:t>
      </w:r>
      <w:r w:rsidR="005A6887">
        <w:rPr>
          <w:rFonts w:ascii="Arial" w:hAnsi="Arial" w:cs="Arial"/>
          <w:sz w:val="20"/>
          <w:szCs w:val="20"/>
        </w:rPr>
        <w:t xml:space="preserve"> </w:t>
      </w:r>
      <w:r w:rsidR="0024616B">
        <w:rPr>
          <w:rFonts w:ascii="Arial" w:hAnsi="Arial" w:cs="Arial"/>
          <w:sz w:val="20"/>
          <w:szCs w:val="20"/>
        </w:rPr>
        <w:t xml:space="preserve">v souhrnu </w:t>
      </w:r>
      <w:r w:rsidR="005A6887">
        <w:rPr>
          <w:rFonts w:ascii="Arial" w:hAnsi="Arial" w:cs="Arial"/>
          <w:sz w:val="20"/>
          <w:szCs w:val="20"/>
        </w:rPr>
        <w:t>Německo, Francie a Spojené království. Česká republika byla v polovině pomyslného žebříčku států EU</w:t>
      </w:r>
      <w:r w:rsidR="00D972AF">
        <w:rPr>
          <w:rFonts w:ascii="Arial" w:hAnsi="Arial" w:cs="Arial"/>
          <w:sz w:val="20"/>
          <w:szCs w:val="20"/>
        </w:rPr>
        <w:t>, její</w:t>
      </w:r>
      <w:r w:rsidR="00266FC7">
        <w:rPr>
          <w:rFonts w:ascii="Arial" w:hAnsi="Arial" w:cs="Arial"/>
          <w:sz w:val="20"/>
          <w:szCs w:val="20"/>
        </w:rPr>
        <w:t xml:space="preserve">ch 0,7 mld. Eur tvořilo 1 % výdajů EU. </w:t>
      </w:r>
      <w:r w:rsidR="00D16151">
        <w:rPr>
          <w:rFonts w:ascii="Arial" w:hAnsi="Arial" w:cs="Arial"/>
          <w:sz w:val="20"/>
          <w:szCs w:val="20"/>
        </w:rPr>
        <w:t xml:space="preserve">V ukazateli </w:t>
      </w:r>
      <w:r w:rsidR="008B7DB6">
        <w:rPr>
          <w:rFonts w:ascii="Arial" w:hAnsi="Arial" w:cs="Arial"/>
          <w:sz w:val="20"/>
          <w:szCs w:val="20"/>
        </w:rPr>
        <w:t>podílu</w:t>
      </w:r>
      <w:r w:rsidR="00D16151">
        <w:rPr>
          <w:rFonts w:ascii="Arial" w:hAnsi="Arial" w:cs="Arial"/>
          <w:sz w:val="20"/>
          <w:szCs w:val="20"/>
        </w:rPr>
        <w:t xml:space="preserve"> výdajů na </w:t>
      </w:r>
      <w:proofErr w:type="spellStart"/>
      <w:r w:rsidR="00D16151">
        <w:rPr>
          <w:rFonts w:ascii="Arial" w:hAnsi="Arial" w:cs="Arial"/>
          <w:sz w:val="20"/>
          <w:szCs w:val="20"/>
        </w:rPr>
        <w:t>VaV</w:t>
      </w:r>
      <w:proofErr w:type="spellEnd"/>
      <w:r w:rsidR="00D16151">
        <w:rPr>
          <w:rFonts w:ascii="Arial" w:hAnsi="Arial" w:cs="Arial"/>
          <w:sz w:val="20"/>
          <w:szCs w:val="20"/>
        </w:rPr>
        <w:t xml:space="preserve"> ve VŠ sektoru na HDP </w:t>
      </w:r>
      <w:r w:rsidR="00266FC7">
        <w:rPr>
          <w:rFonts w:ascii="Arial" w:hAnsi="Arial" w:cs="Arial"/>
          <w:sz w:val="20"/>
          <w:szCs w:val="20"/>
        </w:rPr>
        <w:t>byl průměr</w:t>
      </w:r>
      <w:r w:rsidR="00DC7A27">
        <w:rPr>
          <w:rFonts w:ascii="Arial" w:hAnsi="Arial" w:cs="Arial"/>
          <w:sz w:val="20"/>
          <w:szCs w:val="20"/>
        </w:rPr>
        <w:t xml:space="preserve"> EU 0,46 %, Č</w:t>
      </w:r>
      <w:r w:rsidR="00266FC7">
        <w:rPr>
          <w:rFonts w:ascii="Arial" w:hAnsi="Arial" w:cs="Arial"/>
          <w:sz w:val="20"/>
          <w:szCs w:val="20"/>
        </w:rPr>
        <w:t>eská republika dosáhla podprůměrné hodnoty 0,35 %</w:t>
      </w:r>
      <w:r w:rsidR="00DC7A27">
        <w:rPr>
          <w:rFonts w:ascii="Arial" w:hAnsi="Arial" w:cs="Arial"/>
          <w:sz w:val="20"/>
          <w:szCs w:val="20"/>
        </w:rPr>
        <w:t>, s níž se ovšem v</w:t>
      </w:r>
      <w:r w:rsidR="0024616B">
        <w:rPr>
          <w:rFonts w:ascii="Arial" w:hAnsi="Arial" w:cs="Arial"/>
          <w:sz w:val="20"/>
          <w:szCs w:val="20"/>
        </w:rPr>
        <w:t>ešla</w:t>
      </w:r>
      <w:r w:rsidR="00014476">
        <w:rPr>
          <w:rFonts w:ascii="Arial" w:hAnsi="Arial" w:cs="Arial"/>
          <w:sz w:val="20"/>
          <w:szCs w:val="20"/>
        </w:rPr>
        <w:t xml:space="preserve"> do horní poloviny států EU. Z</w:t>
      </w:r>
      <w:r w:rsidR="00DC7A27">
        <w:rPr>
          <w:rFonts w:ascii="Arial" w:hAnsi="Arial" w:cs="Arial"/>
          <w:sz w:val="20"/>
          <w:szCs w:val="20"/>
        </w:rPr>
        <w:t>e států, které do EU přistoupily po roce 2000, překonalo</w:t>
      </w:r>
      <w:r w:rsidR="00014476">
        <w:rPr>
          <w:rFonts w:ascii="Arial" w:hAnsi="Arial" w:cs="Arial"/>
          <w:sz w:val="20"/>
          <w:szCs w:val="20"/>
        </w:rPr>
        <w:t xml:space="preserve"> Českou republiku</w:t>
      </w:r>
      <w:r w:rsidR="00DC7A27">
        <w:rPr>
          <w:rFonts w:ascii="Arial" w:hAnsi="Arial" w:cs="Arial"/>
          <w:sz w:val="20"/>
          <w:szCs w:val="20"/>
        </w:rPr>
        <w:t xml:space="preserve"> pouze Estonsko. V </w:t>
      </w:r>
      <w:r w:rsidR="00FE1963">
        <w:rPr>
          <w:rFonts w:ascii="Arial" w:hAnsi="Arial" w:cs="Arial"/>
          <w:sz w:val="20"/>
          <w:szCs w:val="20"/>
        </w:rPr>
        <w:t>devíti</w:t>
      </w:r>
      <w:r w:rsidR="00DC7A27">
        <w:rPr>
          <w:rFonts w:ascii="Arial" w:hAnsi="Arial" w:cs="Arial"/>
          <w:sz w:val="20"/>
          <w:szCs w:val="20"/>
        </w:rPr>
        <w:t xml:space="preserve"> státech</w:t>
      </w:r>
      <w:r w:rsidR="008B7DB6">
        <w:rPr>
          <w:rFonts w:ascii="Arial" w:hAnsi="Arial" w:cs="Arial"/>
          <w:sz w:val="20"/>
          <w:szCs w:val="20"/>
        </w:rPr>
        <w:t xml:space="preserve"> EU</w:t>
      </w:r>
      <w:r w:rsidR="00FE1963">
        <w:rPr>
          <w:rFonts w:ascii="Arial" w:hAnsi="Arial" w:cs="Arial"/>
          <w:sz w:val="20"/>
          <w:szCs w:val="20"/>
        </w:rPr>
        <w:t xml:space="preserve"> byl tento podíl nad úrovní 0,5 % HDP, přičemž vedoucí Dánsko dosáhlo dokonce na 1</w:t>
      </w:r>
      <w:r w:rsidR="00507FC4">
        <w:rPr>
          <w:rFonts w:ascii="Arial" w:hAnsi="Arial" w:cs="Arial"/>
          <w:sz w:val="20"/>
          <w:szCs w:val="20"/>
        </w:rPr>
        <w:t xml:space="preserve"> </w:t>
      </w:r>
      <w:r w:rsidR="00FE1963">
        <w:rPr>
          <w:rFonts w:ascii="Arial" w:hAnsi="Arial" w:cs="Arial"/>
          <w:sz w:val="20"/>
          <w:szCs w:val="20"/>
        </w:rPr>
        <w:t>% HDP.</w:t>
      </w:r>
      <w:r w:rsidR="00507FC4">
        <w:rPr>
          <w:rFonts w:ascii="Arial" w:hAnsi="Arial" w:cs="Arial"/>
          <w:sz w:val="20"/>
          <w:szCs w:val="20"/>
        </w:rPr>
        <w:t xml:space="preserve"> </w:t>
      </w:r>
      <w:r w:rsidR="008B7DB6">
        <w:rPr>
          <w:rFonts w:ascii="Arial" w:hAnsi="Arial" w:cs="Arial"/>
          <w:sz w:val="20"/>
          <w:szCs w:val="20"/>
        </w:rPr>
        <w:t xml:space="preserve">Za zmínku stojí, že </w:t>
      </w:r>
      <w:r w:rsidR="00507FC4">
        <w:rPr>
          <w:rFonts w:ascii="Arial" w:hAnsi="Arial" w:cs="Arial"/>
          <w:sz w:val="20"/>
          <w:szCs w:val="20"/>
        </w:rPr>
        <w:t xml:space="preserve">Česká </w:t>
      </w:r>
      <w:r w:rsidR="009E706F">
        <w:rPr>
          <w:rFonts w:ascii="Arial" w:hAnsi="Arial" w:cs="Arial"/>
          <w:sz w:val="20"/>
          <w:szCs w:val="20"/>
        </w:rPr>
        <w:t>r</w:t>
      </w:r>
      <w:r w:rsidR="00507FC4">
        <w:rPr>
          <w:rFonts w:ascii="Arial" w:hAnsi="Arial" w:cs="Arial"/>
          <w:sz w:val="20"/>
          <w:szCs w:val="20"/>
        </w:rPr>
        <w:t>epublika se pohybovala okolo hranice 0,5 % HDP v době intenzivního čerpání dotací EU v letech 2012</w:t>
      </w:r>
      <w:r w:rsidR="0068580E">
        <w:rPr>
          <w:rFonts w:ascii="Arial" w:hAnsi="Arial" w:cs="Arial"/>
          <w:sz w:val="20"/>
          <w:szCs w:val="20"/>
        </w:rPr>
        <w:t>–</w:t>
      </w:r>
      <w:r w:rsidR="00507FC4">
        <w:rPr>
          <w:rFonts w:ascii="Arial" w:hAnsi="Arial" w:cs="Arial"/>
          <w:sz w:val="20"/>
          <w:szCs w:val="20"/>
        </w:rPr>
        <w:t>2015.</w:t>
      </w:r>
    </w:p>
    <w:p w:rsidR="003540AA" w:rsidRDefault="00507FC4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vysokoškolském sektoru </w:t>
      </w:r>
      <w:r w:rsidR="00DD0973">
        <w:rPr>
          <w:rFonts w:ascii="Arial" w:hAnsi="Arial" w:cs="Arial"/>
          <w:sz w:val="20"/>
          <w:szCs w:val="20"/>
        </w:rPr>
        <w:t xml:space="preserve">v Česku </w:t>
      </w:r>
      <w:r>
        <w:rPr>
          <w:rFonts w:ascii="Arial" w:hAnsi="Arial" w:cs="Arial"/>
          <w:sz w:val="20"/>
          <w:szCs w:val="20"/>
        </w:rPr>
        <w:t xml:space="preserve">pracovalo na </w:t>
      </w:r>
      <w:proofErr w:type="spellStart"/>
      <w:r>
        <w:rPr>
          <w:rFonts w:ascii="Arial" w:hAnsi="Arial" w:cs="Arial"/>
          <w:sz w:val="20"/>
          <w:szCs w:val="20"/>
        </w:rPr>
        <w:t>VaV</w:t>
      </w:r>
      <w:proofErr w:type="spellEnd"/>
      <w:r>
        <w:rPr>
          <w:rFonts w:ascii="Arial" w:hAnsi="Arial" w:cs="Arial"/>
          <w:sz w:val="20"/>
          <w:szCs w:val="20"/>
        </w:rPr>
        <w:t xml:space="preserve"> v roce </w:t>
      </w:r>
      <w:r w:rsidR="00DD0973">
        <w:rPr>
          <w:rFonts w:ascii="Arial" w:hAnsi="Arial" w:cs="Arial"/>
          <w:sz w:val="20"/>
          <w:szCs w:val="20"/>
        </w:rPr>
        <w:t xml:space="preserve">2017 celkem 34,2 tis. osob (HC). </w:t>
      </w:r>
      <w:r w:rsidR="00921496">
        <w:rPr>
          <w:rFonts w:ascii="Arial" w:hAnsi="Arial" w:cs="Arial"/>
          <w:sz w:val="20"/>
          <w:szCs w:val="20"/>
        </w:rPr>
        <w:t>Kvůli možnému</w:t>
      </w:r>
      <w:r w:rsidR="00DD0973">
        <w:rPr>
          <w:rFonts w:ascii="Arial" w:hAnsi="Arial" w:cs="Arial"/>
          <w:sz w:val="20"/>
          <w:szCs w:val="20"/>
        </w:rPr>
        <w:t xml:space="preserve"> započtení některých osob vícekrát </w:t>
      </w:r>
      <w:r w:rsidR="00921496">
        <w:rPr>
          <w:rFonts w:ascii="Arial" w:hAnsi="Arial" w:cs="Arial"/>
          <w:sz w:val="20"/>
          <w:szCs w:val="20"/>
        </w:rPr>
        <w:t>z důvodu</w:t>
      </w:r>
      <w:r w:rsidR="00DD0973">
        <w:rPr>
          <w:rFonts w:ascii="Arial" w:hAnsi="Arial" w:cs="Arial"/>
          <w:sz w:val="20"/>
          <w:szCs w:val="20"/>
        </w:rPr>
        <w:t xml:space="preserve"> </w:t>
      </w:r>
      <w:r w:rsidR="00D972AF">
        <w:rPr>
          <w:rFonts w:ascii="Arial" w:hAnsi="Arial" w:cs="Arial"/>
          <w:sz w:val="20"/>
          <w:szCs w:val="20"/>
        </w:rPr>
        <w:t>několika</w:t>
      </w:r>
      <w:r w:rsidR="00DD0973">
        <w:rPr>
          <w:rFonts w:ascii="Arial" w:hAnsi="Arial" w:cs="Arial"/>
          <w:sz w:val="20"/>
          <w:szCs w:val="20"/>
        </w:rPr>
        <w:t xml:space="preserve"> pracovních </w:t>
      </w:r>
      <w:r w:rsidR="007345B8">
        <w:rPr>
          <w:rFonts w:ascii="Arial" w:hAnsi="Arial" w:cs="Arial"/>
          <w:sz w:val="20"/>
          <w:szCs w:val="20"/>
        </w:rPr>
        <w:t>úvazků na různých institucích a </w:t>
      </w:r>
      <w:r w:rsidR="00DD0973">
        <w:rPr>
          <w:rFonts w:ascii="Arial" w:hAnsi="Arial" w:cs="Arial"/>
          <w:sz w:val="20"/>
          <w:szCs w:val="20"/>
        </w:rPr>
        <w:t xml:space="preserve">zároveň </w:t>
      </w:r>
      <w:r w:rsidR="00921496">
        <w:rPr>
          <w:rFonts w:ascii="Arial" w:hAnsi="Arial" w:cs="Arial"/>
          <w:sz w:val="20"/>
          <w:szCs w:val="20"/>
        </w:rPr>
        <w:t xml:space="preserve">z důvodu </w:t>
      </w:r>
      <w:r w:rsidR="009E706F">
        <w:rPr>
          <w:rFonts w:ascii="Arial" w:hAnsi="Arial" w:cs="Arial"/>
          <w:sz w:val="20"/>
          <w:szCs w:val="20"/>
        </w:rPr>
        <w:t>častého trávení jen malé části pracovní doby</w:t>
      </w:r>
      <w:r w:rsidR="00DD0973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DD0973">
        <w:rPr>
          <w:rFonts w:ascii="Arial" w:hAnsi="Arial" w:cs="Arial"/>
          <w:sz w:val="20"/>
          <w:szCs w:val="20"/>
        </w:rPr>
        <w:t>VaV</w:t>
      </w:r>
      <w:proofErr w:type="spellEnd"/>
      <w:r w:rsidR="00DD0973">
        <w:rPr>
          <w:rFonts w:ascii="Arial" w:hAnsi="Arial" w:cs="Arial"/>
          <w:sz w:val="20"/>
          <w:szCs w:val="20"/>
        </w:rPr>
        <w:t xml:space="preserve"> činnostech, je </w:t>
      </w:r>
      <w:r w:rsidR="00A157A6">
        <w:rPr>
          <w:rFonts w:ascii="Arial" w:hAnsi="Arial" w:cs="Arial"/>
          <w:sz w:val="20"/>
          <w:szCs w:val="20"/>
        </w:rPr>
        <w:t>pro vysokoškolský sektor vhodnější používat</w:t>
      </w:r>
      <w:r w:rsidR="00F8773A">
        <w:rPr>
          <w:rFonts w:ascii="Arial" w:hAnsi="Arial" w:cs="Arial"/>
          <w:sz w:val="20"/>
          <w:szCs w:val="20"/>
        </w:rPr>
        <w:t xml:space="preserve"> ukazatel přepočtených osob (FTE). </w:t>
      </w:r>
      <w:r w:rsidR="00A157A6">
        <w:rPr>
          <w:rFonts w:ascii="Arial" w:hAnsi="Arial" w:cs="Arial"/>
          <w:sz w:val="20"/>
          <w:szCs w:val="20"/>
        </w:rPr>
        <w:t>Přepočtených</w:t>
      </w:r>
      <w:r w:rsidR="00F8773A">
        <w:rPr>
          <w:rFonts w:ascii="Arial" w:hAnsi="Arial" w:cs="Arial"/>
          <w:sz w:val="20"/>
          <w:szCs w:val="20"/>
        </w:rPr>
        <w:t xml:space="preserve"> osob bylo v roce 2017 ve vysokoškolském sektoru celkem 15,8 tis., </w:t>
      </w:r>
      <w:r w:rsidR="0024616B">
        <w:rPr>
          <w:rFonts w:ascii="Arial" w:hAnsi="Arial" w:cs="Arial"/>
          <w:sz w:val="20"/>
          <w:szCs w:val="20"/>
        </w:rPr>
        <w:t>přičemž</w:t>
      </w:r>
      <w:r w:rsidR="00F8773A">
        <w:rPr>
          <w:rFonts w:ascii="Arial" w:hAnsi="Arial" w:cs="Arial"/>
          <w:sz w:val="20"/>
          <w:szCs w:val="20"/>
        </w:rPr>
        <w:t xml:space="preserve"> 93 % z nich pracovalo na veřejných a státních vysokých školách. Přibližně 40 % pracovníků </w:t>
      </w:r>
      <w:proofErr w:type="spellStart"/>
      <w:r w:rsidR="00F8773A">
        <w:rPr>
          <w:rFonts w:ascii="Arial" w:hAnsi="Arial" w:cs="Arial"/>
          <w:sz w:val="20"/>
          <w:szCs w:val="20"/>
        </w:rPr>
        <w:t>VaV</w:t>
      </w:r>
      <w:proofErr w:type="spellEnd"/>
      <w:r w:rsidR="00F8773A">
        <w:rPr>
          <w:rFonts w:ascii="Arial" w:hAnsi="Arial" w:cs="Arial"/>
          <w:sz w:val="20"/>
          <w:szCs w:val="20"/>
        </w:rPr>
        <w:t xml:space="preserve"> (FTE)</w:t>
      </w:r>
      <w:r w:rsidR="0028617E">
        <w:rPr>
          <w:rFonts w:ascii="Arial" w:hAnsi="Arial" w:cs="Arial"/>
          <w:sz w:val="20"/>
          <w:szCs w:val="20"/>
        </w:rPr>
        <w:t xml:space="preserve"> </w:t>
      </w:r>
      <w:r w:rsidR="00D972AF">
        <w:rPr>
          <w:rFonts w:ascii="Arial" w:hAnsi="Arial" w:cs="Arial"/>
          <w:sz w:val="20"/>
          <w:szCs w:val="20"/>
        </w:rPr>
        <w:t>vysokoškolského</w:t>
      </w:r>
      <w:r w:rsidR="0028617E">
        <w:rPr>
          <w:rFonts w:ascii="Arial" w:hAnsi="Arial" w:cs="Arial"/>
          <w:sz w:val="20"/>
          <w:szCs w:val="20"/>
        </w:rPr>
        <w:t xml:space="preserve"> sektoru</w:t>
      </w:r>
      <w:r w:rsidR="00F8773A">
        <w:rPr>
          <w:rFonts w:ascii="Arial" w:hAnsi="Arial" w:cs="Arial"/>
          <w:sz w:val="20"/>
          <w:szCs w:val="20"/>
        </w:rPr>
        <w:t xml:space="preserve"> dlouhodobě tvoří ženy, což je méně než v</w:t>
      </w:r>
      <w:r w:rsidR="0028617E">
        <w:rPr>
          <w:rFonts w:ascii="Arial" w:hAnsi="Arial" w:cs="Arial"/>
          <w:sz w:val="20"/>
          <w:szCs w:val="20"/>
        </w:rPr>
        <w:t>e</w:t>
      </w:r>
      <w:r w:rsidR="00F8773A">
        <w:rPr>
          <w:rFonts w:ascii="Arial" w:hAnsi="Arial" w:cs="Arial"/>
          <w:sz w:val="20"/>
          <w:szCs w:val="20"/>
        </w:rPr>
        <w:t xml:space="preserve"> vládní</w:t>
      </w:r>
      <w:r w:rsidR="0028617E">
        <w:rPr>
          <w:rFonts w:ascii="Arial" w:hAnsi="Arial" w:cs="Arial"/>
          <w:sz w:val="20"/>
          <w:szCs w:val="20"/>
        </w:rPr>
        <w:t>m</w:t>
      </w:r>
      <w:r w:rsidR="00F8773A">
        <w:rPr>
          <w:rFonts w:ascii="Arial" w:hAnsi="Arial" w:cs="Arial"/>
          <w:sz w:val="20"/>
          <w:szCs w:val="20"/>
        </w:rPr>
        <w:t xml:space="preserve"> sektoru</w:t>
      </w:r>
      <w:r w:rsidR="00D972AF">
        <w:rPr>
          <w:rFonts w:ascii="Arial" w:hAnsi="Arial" w:cs="Arial"/>
          <w:sz w:val="20"/>
          <w:szCs w:val="20"/>
        </w:rPr>
        <w:t>,</w:t>
      </w:r>
      <w:r w:rsidR="00F8773A">
        <w:rPr>
          <w:rFonts w:ascii="Arial" w:hAnsi="Arial" w:cs="Arial"/>
          <w:sz w:val="20"/>
          <w:szCs w:val="20"/>
        </w:rPr>
        <w:t xml:space="preserve"> ale podstatně více než v podnikatelském sektoru. </w:t>
      </w:r>
    </w:p>
    <w:p w:rsidR="005A3A21" w:rsidRDefault="007B2E32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0C23A6">
        <w:rPr>
          <w:rFonts w:ascii="Arial" w:hAnsi="Arial" w:cs="Arial"/>
          <w:sz w:val="20"/>
          <w:szCs w:val="20"/>
        </w:rPr>
        <w:t>Na vysokých školách najdeme široké zastoupení všech vědních</w:t>
      </w:r>
      <w:r w:rsidR="000C23A6">
        <w:rPr>
          <w:rFonts w:ascii="Arial" w:hAnsi="Arial" w:cs="Arial"/>
          <w:sz w:val="20"/>
          <w:szCs w:val="20"/>
        </w:rPr>
        <w:t xml:space="preserve"> oblastí</w:t>
      </w:r>
      <w:r w:rsidR="00F8773A" w:rsidRPr="000C23A6">
        <w:rPr>
          <w:rFonts w:ascii="Arial" w:hAnsi="Arial" w:cs="Arial"/>
          <w:sz w:val="20"/>
          <w:szCs w:val="20"/>
        </w:rPr>
        <w:t xml:space="preserve">. </w:t>
      </w:r>
      <w:r w:rsidR="00F8773A">
        <w:rPr>
          <w:rFonts w:ascii="Arial" w:hAnsi="Arial" w:cs="Arial"/>
          <w:sz w:val="20"/>
          <w:szCs w:val="20"/>
        </w:rPr>
        <w:t>Nejvíce výzkumn</w:t>
      </w:r>
      <w:r w:rsidR="00795CE0">
        <w:rPr>
          <w:rFonts w:ascii="Arial" w:hAnsi="Arial" w:cs="Arial"/>
          <w:sz w:val="20"/>
          <w:szCs w:val="20"/>
        </w:rPr>
        <w:t>ých pracovníků</w:t>
      </w:r>
      <w:r w:rsidR="00F8773A">
        <w:rPr>
          <w:rFonts w:ascii="Arial" w:hAnsi="Arial" w:cs="Arial"/>
          <w:sz w:val="20"/>
          <w:szCs w:val="20"/>
        </w:rPr>
        <w:t xml:space="preserve"> (FTE) </w:t>
      </w:r>
      <w:r w:rsidR="006D4D91">
        <w:rPr>
          <w:rFonts w:ascii="Arial" w:hAnsi="Arial" w:cs="Arial"/>
          <w:sz w:val="20"/>
          <w:szCs w:val="20"/>
        </w:rPr>
        <w:t xml:space="preserve">vysokoškolského sektoru </w:t>
      </w:r>
      <w:r w:rsidR="00F8773A">
        <w:rPr>
          <w:rFonts w:ascii="Arial" w:hAnsi="Arial" w:cs="Arial"/>
          <w:sz w:val="20"/>
          <w:szCs w:val="20"/>
        </w:rPr>
        <w:t>bádalo v roce 2017 v technických vědách (26 %), následoval</w:t>
      </w:r>
      <w:r w:rsidR="006D4D91">
        <w:rPr>
          <w:rFonts w:ascii="Arial" w:hAnsi="Arial" w:cs="Arial"/>
          <w:sz w:val="20"/>
          <w:szCs w:val="20"/>
        </w:rPr>
        <w:t xml:space="preserve">y lékařské vědy (21 %), přírodní vědy (19 %) a sociální vědy (18 %). </w:t>
      </w:r>
      <w:r w:rsidR="00646032">
        <w:rPr>
          <w:rFonts w:ascii="Arial" w:hAnsi="Arial" w:cs="Arial"/>
          <w:sz w:val="20"/>
          <w:szCs w:val="20"/>
        </w:rPr>
        <w:t>Pokud jde o zastoupení žen</w:t>
      </w:r>
      <w:r w:rsidR="005A3A21">
        <w:rPr>
          <w:rFonts w:ascii="Arial" w:hAnsi="Arial" w:cs="Arial"/>
          <w:sz w:val="20"/>
          <w:szCs w:val="20"/>
        </w:rPr>
        <w:t>, tak ve všech vědních oblastech bylo v</w:t>
      </w:r>
      <w:r w:rsidR="00D972AF">
        <w:rPr>
          <w:rFonts w:ascii="Arial" w:hAnsi="Arial" w:cs="Arial"/>
          <w:sz w:val="20"/>
          <w:szCs w:val="20"/>
        </w:rPr>
        <w:t> </w:t>
      </w:r>
      <w:r w:rsidR="005A3A21">
        <w:rPr>
          <w:rFonts w:ascii="Arial" w:hAnsi="Arial" w:cs="Arial"/>
          <w:sz w:val="20"/>
          <w:szCs w:val="20"/>
        </w:rPr>
        <w:t>roce</w:t>
      </w:r>
      <w:r w:rsidR="00D972AF">
        <w:rPr>
          <w:rFonts w:ascii="Arial" w:hAnsi="Arial" w:cs="Arial"/>
          <w:sz w:val="20"/>
          <w:szCs w:val="20"/>
        </w:rPr>
        <w:t xml:space="preserve"> 2017</w:t>
      </w:r>
      <w:r w:rsidR="005A3A21">
        <w:rPr>
          <w:rFonts w:ascii="Arial" w:hAnsi="Arial" w:cs="Arial"/>
          <w:sz w:val="20"/>
          <w:szCs w:val="20"/>
        </w:rPr>
        <w:t xml:space="preserve"> ve vysokoškolském sektoru více </w:t>
      </w:r>
      <w:r w:rsidR="00646032">
        <w:rPr>
          <w:rFonts w:ascii="Arial" w:hAnsi="Arial" w:cs="Arial"/>
          <w:sz w:val="20"/>
          <w:szCs w:val="20"/>
        </w:rPr>
        <w:t>výzkumníků</w:t>
      </w:r>
      <w:r w:rsidR="005A3A21">
        <w:rPr>
          <w:rFonts w:ascii="Arial" w:hAnsi="Arial" w:cs="Arial"/>
          <w:sz w:val="20"/>
          <w:szCs w:val="20"/>
        </w:rPr>
        <w:t xml:space="preserve"> než </w:t>
      </w:r>
      <w:r w:rsidR="00646032">
        <w:rPr>
          <w:rFonts w:ascii="Arial" w:hAnsi="Arial" w:cs="Arial"/>
          <w:sz w:val="20"/>
          <w:szCs w:val="20"/>
        </w:rPr>
        <w:t>výzkumnic</w:t>
      </w:r>
      <w:r w:rsidR="005A3A21">
        <w:rPr>
          <w:rFonts w:ascii="Arial" w:hAnsi="Arial" w:cs="Arial"/>
          <w:sz w:val="20"/>
          <w:szCs w:val="20"/>
        </w:rPr>
        <w:t>, i kdy</w:t>
      </w:r>
      <w:r w:rsidR="00646032">
        <w:rPr>
          <w:rFonts w:ascii="Arial" w:hAnsi="Arial" w:cs="Arial"/>
          <w:sz w:val="20"/>
          <w:szCs w:val="20"/>
        </w:rPr>
        <w:t>ž</w:t>
      </w:r>
      <w:r w:rsidR="005A3A21">
        <w:rPr>
          <w:rFonts w:ascii="Arial" w:hAnsi="Arial" w:cs="Arial"/>
          <w:sz w:val="20"/>
          <w:szCs w:val="20"/>
        </w:rPr>
        <w:t xml:space="preserve"> mezi jednotlivými obory nalezneme značné rozdíly. Více než 40% </w:t>
      </w:r>
      <w:r w:rsidR="00D972AF">
        <w:rPr>
          <w:rFonts w:ascii="Arial" w:hAnsi="Arial" w:cs="Arial"/>
          <w:sz w:val="20"/>
          <w:szCs w:val="20"/>
        </w:rPr>
        <w:t>bylo</w:t>
      </w:r>
      <w:r w:rsidR="005A3A21">
        <w:rPr>
          <w:rFonts w:ascii="Arial" w:hAnsi="Arial" w:cs="Arial"/>
          <w:sz w:val="20"/>
          <w:szCs w:val="20"/>
        </w:rPr>
        <w:t xml:space="preserve"> zastoupení</w:t>
      </w:r>
      <w:r w:rsidR="007345B8">
        <w:rPr>
          <w:rFonts w:ascii="Arial" w:hAnsi="Arial" w:cs="Arial"/>
          <w:sz w:val="20"/>
          <w:szCs w:val="20"/>
        </w:rPr>
        <w:t xml:space="preserve"> žen v lékařských, sociálních a </w:t>
      </w:r>
      <w:r w:rsidR="005A3A21">
        <w:rPr>
          <w:rFonts w:ascii="Arial" w:hAnsi="Arial" w:cs="Arial"/>
          <w:sz w:val="20"/>
          <w:szCs w:val="20"/>
        </w:rPr>
        <w:t xml:space="preserve">humanitních vědách. Naopak </w:t>
      </w:r>
      <w:r w:rsidR="00D972AF">
        <w:rPr>
          <w:rFonts w:ascii="Arial" w:hAnsi="Arial" w:cs="Arial"/>
          <w:sz w:val="20"/>
          <w:szCs w:val="20"/>
        </w:rPr>
        <w:t>nejméně byly ženy zastoupeny</w:t>
      </w:r>
      <w:r w:rsidR="005A3A21">
        <w:rPr>
          <w:rFonts w:ascii="Arial" w:hAnsi="Arial" w:cs="Arial"/>
          <w:sz w:val="20"/>
          <w:szCs w:val="20"/>
        </w:rPr>
        <w:t xml:space="preserve"> v technických vědách, kde žen výzkum</w:t>
      </w:r>
      <w:r w:rsidR="00F83C47">
        <w:rPr>
          <w:rFonts w:ascii="Arial" w:hAnsi="Arial" w:cs="Arial"/>
          <w:sz w:val="20"/>
          <w:szCs w:val="20"/>
        </w:rPr>
        <w:t>n</w:t>
      </w:r>
      <w:r w:rsidR="005A3A21">
        <w:rPr>
          <w:rFonts w:ascii="Arial" w:hAnsi="Arial" w:cs="Arial"/>
          <w:sz w:val="20"/>
          <w:szCs w:val="20"/>
        </w:rPr>
        <w:t>ic bylo v roce 2017 jen 22 %.</w:t>
      </w:r>
    </w:p>
    <w:p w:rsidR="00F83C47" w:rsidRDefault="00F83C47" w:rsidP="00417FA4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Závěrem se krátce zmíníme o výzkumnících (HC) dle státního občanství. </w:t>
      </w:r>
      <w:r w:rsidR="006A1270">
        <w:rPr>
          <w:rFonts w:ascii="Arial" w:hAnsi="Arial" w:cs="Arial"/>
          <w:sz w:val="20"/>
          <w:szCs w:val="20"/>
        </w:rPr>
        <w:t xml:space="preserve">Čechů bylo mezi </w:t>
      </w:r>
      <w:r w:rsidR="00984289">
        <w:rPr>
          <w:rFonts w:ascii="Arial" w:hAnsi="Arial" w:cs="Arial"/>
          <w:sz w:val="20"/>
          <w:szCs w:val="20"/>
        </w:rPr>
        <w:t>výzkumníky</w:t>
      </w:r>
      <w:r>
        <w:rPr>
          <w:rFonts w:ascii="Arial" w:hAnsi="Arial" w:cs="Arial"/>
          <w:sz w:val="20"/>
          <w:szCs w:val="20"/>
        </w:rPr>
        <w:t xml:space="preserve"> ve vysokoškolském sektoru </w:t>
      </w:r>
      <w:r w:rsidR="006A1270">
        <w:rPr>
          <w:rFonts w:ascii="Arial" w:hAnsi="Arial" w:cs="Arial"/>
          <w:sz w:val="20"/>
          <w:szCs w:val="20"/>
        </w:rPr>
        <w:t>91 %</w:t>
      </w:r>
      <w:r>
        <w:rPr>
          <w:rFonts w:ascii="Arial" w:hAnsi="Arial" w:cs="Arial"/>
          <w:sz w:val="20"/>
          <w:szCs w:val="20"/>
        </w:rPr>
        <w:t>. Na druhém místě byli Slováci (1</w:t>
      </w:r>
      <w:r w:rsidR="00984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010</w:t>
      </w:r>
      <w:r w:rsidR="00984289">
        <w:rPr>
          <w:rFonts w:ascii="Arial" w:hAnsi="Arial" w:cs="Arial"/>
          <w:sz w:val="20"/>
          <w:szCs w:val="20"/>
        </w:rPr>
        <w:t xml:space="preserve"> výzkumníků) s </w:t>
      </w:r>
      <w:proofErr w:type="gramStart"/>
      <w:r w:rsidR="0098428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%</w:t>
      </w:r>
      <w:proofErr w:type="gramEnd"/>
      <w:r>
        <w:rPr>
          <w:rFonts w:ascii="Arial" w:hAnsi="Arial" w:cs="Arial"/>
          <w:sz w:val="20"/>
          <w:szCs w:val="20"/>
        </w:rPr>
        <w:t xml:space="preserve"> podílem. Za Slováky s velkým odstupem následovali Rusové a Ukrajinci</w:t>
      </w:r>
      <w:r w:rsidR="00984289">
        <w:rPr>
          <w:rFonts w:ascii="Arial" w:hAnsi="Arial" w:cs="Arial"/>
          <w:sz w:val="20"/>
          <w:szCs w:val="20"/>
        </w:rPr>
        <w:t>. Na každý z těchto dvou států připa</w:t>
      </w:r>
      <w:r w:rsidR="007345B8">
        <w:rPr>
          <w:rFonts w:ascii="Arial" w:hAnsi="Arial" w:cs="Arial"/>
          <w:sz w:val="20"/>
          <w:szCs w:val="20"/>
        </w:rPr>
        <w:t>dalo přibližně 100 </w:t>
      </w:r>
      <w:r w:rsidR="00984289">
        <w:rPr>
          <w:rFonts w:ascii="Arial" w:hAnsi="Arial" w:cs="Arial"/>
          <w:sz w:val="20"/>
          <w:szCs w:val="20"/>
        </w:rPr>
        <w:t>výzkumníků a 0,4% podíl</w:t>
      </w:r>
      <w:r>
        <w:rPr>
          <w:rFonts w:ascii="Arial" w:hAnsi="Arial" w:cs="Arial"/>
          <w:sz w:val="20"/>
          <w:szCs w:val="20"/>
        </w:rPr>
        <w:t xml:space="preserve"> na výzkumnících vysokoškolského sektoru. </w:t>
      </w:r>
      <w:r w:rsidR="00813AFB">
        <w:rPr>
          <w:rFonts w:ascii="Arial" w:hAnsi="Arial" w:cs="Arial"/>
          <w:sz w:val="20"/>
          <w:szCs w:val="20"/>
        </w:rPr>
        <w:t xml:space="preserve">Ve VŠ sektoru </w:t>
      </w:r>
      <w:r w:rsidR="002222C9">
        <w:rPr>
          <w:rFonts w:ascii="Arial" w:hAnsi="Arial" w:cs="Arial"/>
          <w:sz w:val="20"/>
          <w:szCs w:val="20"/>
        </w:rPr>
        <w:t>byli</w:t>
      </w:r>
      <w:r w:rsidR="00813AFB">
        <w:rPr>
          <w:rFonts w:ascii="Arial" w:hAnsi="Arial" w:cs="Arial"/>
          <w:sz w:val="20"/>
          <w:szCs w:val="20"/>
        </w:rPr>
        <w:t xml:space="preserve"> v roce 2017 </w:t>
      </w:r>
      <w:r w:rsidR="002222C9">
        <w:rPr>
          <w:rFonts w:ascii="Arial" w:hAnsi="Arial" w:cs="Arial"/>
          <w:sz w:val="20"/>
          <w:szCs w:val="20"/>
        </w:rPr>
        <w:t xml:space="preserve">zaměstnáni </w:t>
      </w:r>
      <w:r w:rsidR="00813AFB">
        <w:rPr>
          <w:rFonts w:ascii="Arial" w:hAnsi="Arial" w:cs="Arial"/>
          <w:sz w:val="20"/>
          <w:szCs w:val="20"/>
        </w:rPr>
        <w:t>výzkumníci z 89 států světa</w:t>
      </w:r>
      <w:r w:rsidR="002222C9">
        <w:rPr>
          <w:rFonts w:ascii="Arial" w:hAnsi="Arial" w:cs="Arial"/>
          <w:sz w:val="20"/>
          <w:szCs w:val="20"/>
        </w:rPr>
        <w:t>. V případě</w:t>
      </w:r>
      <w:r w:rsidR="00813AFB">
        <w:rPr>
          <w:rFonts w:ascii="Arial" w:hAnsi="Arial" w:cs="Arial"/>
          <w:sz w:val="20"/>
          <w:szCs w:val="20"/>
        </w:rPr>
        <w:t xml:space="preserve"> 62 </w:t>
      </w:r>
      <w:r w:rsidR="002222C9">
        <w:rPr>
          <w:rFonts w:ascii="Arial" w:hAnsi="Arial" w:cs="Arial"/>
          <w:sz w:val="20"/>
          <w:szCs w:val="20"/>
        </w:rPr>
        <w:t>států se zabývalo výzkumem na VŠ v ČR méně než</w:t>
      </w:r>
      <w:r w:rsidR="00813AFB">
        <w:rPr>
          <w:rFonts w:ascii="Arial" w:hAnsi="Arial" w:cs="Arial"/>
          <w:sz w:val="20"/>
          <w:szCs w:val="20"/>
        </w:rPr>
        <w:t xml:space="preserve"> 10 výzkumníků, u 16 států to bylo mezi 10</w:t>
      </w:r>
      <w:r w:rsidR="00014476">
        <w:rPr>
          <w:rFonts w:ascii="Arial" w:hAnsi="Arial" w:cs="Arial"/>
          <w:sz w:val="20"/>
          <w:szCs w:val="20"/>
        </w:rPr>
        <w:t>–</w:t>
      </w:r>
      <w:r w:rsidR="00E51FF4">
        <w:rPr>
          <w:rFonts w:ascii="Arial" w:hAnsi="Arial" w:cs="Arial"/>
          <w:sz w:val="20"/>
          <w:szCs w:val="20"/>
        </w:rPr>
        <w:t>49</w:t>
      </w:r>
      <w:r w:rsidR="00813AFB">
        <w:rPr>
          <w:rFonts w:ascii="Arial" w:hAnsi="Arial" w:cs="Arial"/>
          <w:sz w:val="20"/>
          <w:szCs w:val="20"/>
        </w:rPr>
        <w:t xml:space="preserve"> </w:t>
      </w:r>
      <w:r w:rsidR="00E51FF4">
        <w:rPr>
          <w:rFonts w:ascii="Arial" w:hAnsi="Arial" w:cs="Arial"/>
          <w:sz w:val="20"/>
          <w:szCs w:val="20"/>
        </w:rPr>
        <w:t>výzkumníky, u 7 států mezi 50</w:t>
      </w:r>
      <w:r w:rsidR="00014476">
        <w:rPr>
          <w:rFonts w:ascii="Arial" w:hAnsi="Arial" w:cs="Arial"/>
          <w:sz w:val="20"/>
          <w:szCs w:val="20"/>
        </w:rPr>
        <w:t>–</w:t>
      </w:r>
      <w:r w:rsidR="00E51FF4">
        <w:rPr>
          <w:rFonts w:ascii="Arial" w:hAnsi="Arial" w:cs="Arial"/>
          <w:sz w:val="20"/>
          <w:szCs w:val="20"/>
        </w:rPr>
        <w:t>99</w:t>
      </w:r>
      <w:r w:rsidR="007345B8">
        <w:rPr>
          <w:rFonts w:ascii="Arial" w:hAnsi="Arial" w:cs="Arial"/>
          <w:sz w:val="20"/>
          <w:szCs w:val="20"/>
        </w:rPr>
        <w:t xml:space="preserve"> výzkumníky. Více než 100 </w:t>
      </w:r>
      <w:r w:rsidR="00813AFB">
        <w:rPr>
          <w:rFonts w:ascii="Arial" w:hAnsi="Arial" w:cs="Arial"/>
          <w:sz w:val="20"/>
          <w:szCs w:val="20"/>
        </w:rPr>
        <w:t xml:space="preserve">výzkumníků bylo </w:t>
      </w:r>
      <w:r w:rsidR="00E51FF4">
        <w:rPr>
          <w:rFonts w:ascii="Arial" w:hAnsi="Arial" w:cs="Arial"/>
          <w:sz w:val="20"/>
          <w:szCs w:val="20"/>
        </w:rPr>
        <w:t>pouze</w:t>
      </w:r>
      <w:r w:rsidR="00813AFB">
        <w:rPr>
          <w:rFonts w:ascii="Arial" w:hAnsi="Arial" w:cs="Arial"/>
          <w:sz w:val="20"/>
          <w:szCs w:val="20"/>
        </w:rPr>
        <w:t xml:space="preserve"> z</w:t>
      </w:r>
      <w:r w:rsidR="002222C9">
        <w:rPr>
          <w:rFonts w:ascii="Arial" w:hAnsi="Arial" w:cs="Arial"/>
          <w:sz w:val="20"/>
          <w:szCs w:val="20"/>
        </w:rPr>
        <w:t> Česka, Slovenska, Ruska a Ukrajiny</w:t>
      </w:r>
      <w:r w:rsidR="00E51FF4">
        <w:rPr>
          <w:rFonts w:ascii="Arial" w:hAnsi="Arial" w:cs="Arial"/>
          <w:sz w:val="20"/>
          <w:szCs w:val="20"/>
        </w:rPr>
        <w:t xml:space="preserve">. </w:t>
      </w:r>
    </w:p>
    <w:sectPr w:rsidR="00F83C47" w:rsidSect="00456552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E5"/>
    <w:rsid w:val="00002C31"/>
    <w:rsid w:val="000130FC"/>
    <w:rsid w:val="00014476"/>
    <w:rsid w:val="00016348"/>
    <w:rsid w:val="000165CB"/>
    <w:rsid w:val="00016DBC"/>
    <w:rsid w:val="000170CA"/>
    <w:rsid w:val="00020B74"/>
    <w:rsid w:val="00020F15"/>
    <w:rsid w:val="000212E5"/>
    <w:rsid w:val="00023B33"/>
    <w:rsid w:val="00033AAE"/>
    <w:rsid w:val="000352AF"/>
    <w:rsid w:val="00035A5C"/>
    <w:rsid w:val="000467E4"/>
    <w:rsid w:val="0005449D"/>
    <w:rsid w:val="00063BDD"/>
    <w:rsid w:val="000642EA"/>
    <w:rsid w:val="00074173"/>
    <w:rsid w:val="00084361"/>
    <w:rsid w:val="000860AE"/>
    <w:rsid w:val="00091ED7"/>
    <w:rsid w:val="000A1146"/>
    <w:rsid w:val="000A4B8F"/>
    <w:rsid w:val="000A58B7"/>
    <w:rsid w:val="000B0076"/>
    <w:rsid w:val="000B4812"/>
    <w:rsid w:val="000C23A6"/>
    <w:rsid w:val="000C3548"/>
    <w:rsid w:val="000C68D4"/>
    <w:rsid w:val="000D156A"/>
    <w:rsid w:val="000D15B6"/>
    <w:rsid w:val="000D1F72"/>
    <w:rsid w:val="000D3254"/>
    <w:rsid w:val="000E4309"/>
    <w:rsid w:val="000E70A6"/>
    <w:rsid w:val="000F4385"/>
    <w:rsid w:val="000F764C"/>
    <w:rsid w:val="0010180C"/>
    <w:rsid w:val="00144E8B"/>
    <w:rsid w:val="00154648"/>
    <w:rsid w:val="001672B2"/>
    <w:rsid w:val="00167AF5"/>
    <w:rsid w:val="00173B82"/>
    <w:rsid w:val="001808D6"/>
    <w:rsid w:val="00183555"/>
    <w:rsid w:val="00192FAE"/>
    <w:rsid w:val="0019672D"/>
    <w:rsid w:val="001A26B3"/>
    <w:rsid w:val="001A4BD3"/>
    <w:rsid w:val="001C3F76"/>
    <w:rsid w:val="001C5497"/>
    <w:rsid w:val="001D06BF"/>
    <w:rsid w:val="001D4DB3"/>
    <w:rsid w:val="001D53CA"/>
    <w:rsid w:val="001D618F"/>
    <w:rsid w:val="001F5ED0"/>
    <w:rsid w:val="00200398"/>
    <w:rsid w:val="0020261D"/>
    <w:rsid w:val="002102BE"/>
    <w:rsid w:val="0021255B"/>
    <w:rsid w:val="00212869"/>
    <w:rsid w:val="002222C9"/>
    <w:rsid w:val="002244AA"/>
    <w:rsid w:val="0022649E"/>
    <w:rsid w:val="00235ADC"/>
    <w:rsid w:val="00243F9E"/>
    <w:rsid w:val="00244017"/>
    <w:rsid w:val="0024616B"/>
    <w:rsid w:val="00247707"/>
    <w:rsid w:val="00251933"/>
    <w:rsid w:val="00252899"/>
    <w:rsid w:val="00257C9B"/>
    <w:rsid w:val="00266EAB"/>
    <w:rsid w:val="00266FC7"/>
    <w:rsid w:val="002670AD"/>
    <w:rsid w:val="002708C5"/>
    <w:rsid w:val="00271E4D"/>
    <w:rsid w:val="00274226"/>
    <w:rsid w:val="00275F9B"/>
    <w:rsid w:val="00281DAB"/>
    <w:rsid w:val="0028617E"/>
    <w:rsid w:val="00290D97"/>
    <w:rsid w:val="00297CD3"/>
    <w:rsid w:val="002A10F5"/>
    <w:rsid w:val="002A5BB5"/>
    <w:rsid w:val="002B1288"/>
    <w:rsid w:val="002B6362"/>
    <w:rsid w:val="002C17C9"/>
    <w:rsid w:val="002C3DA2"/>
    <w:rsid w:val="002E5BD7"/>
    <w:rsid w:val="00305BD7"/>
    <w:rsid w:val="003115C7"/>
    <w:rsid w:val="00316617"/>
    <w:rsid w:val="0031734F"/>
    <w:rsid w:val="00320705"/>
    <w:rsid w:val="00323136"/>
    <w:rsid w:val="00325859"/>
    <w:rsid w:val="00330D20"/>
    <w:rsid w:val="00335AB6"/>
    <w:rsid w:val="0034242F"/>
    <w:rsid w:val="00345C9D"/>
    <w:rsid w:val="00345F14"/>
    <w:rsid w:val="003540AA"/>
    <w:rsid w:val="00355925"/>
    <w:rsid w:val="0036199C"/>
    <w:rsid w:val="00362222"/>
    <w:rsid w:val="00363FFE"/>
    <w:rsid w:val="00364975"/>
    <w:rsid w:val="003709DA"/>
    <w:rsid w:val="003729E6"/>
    <w:rsid w:val="00377EED"/>
    <w:rsid w:val="00377F18"/>
    <w:rsid w:val="00380CE0"/>
    <w:rsid w:val="00386C72"/>
    <w:rsid w:val="003957A1"/>
    <w:rsid w:val="003A2982"/>
    <w:rsid w:val="003A646A"/>
    <w:rsid w:val="003B0B56"/>
    <w:rsid w:val="003B1373"/>
    <w:rsid w:val="003B6E79"/>
    <w:rsid w:val="003D1EC0"/>
    <w:rsid w:val="003D363A"/>
    <w:rsid w:val="003D37EB"/>
    <w:rsid w:val="003D60EF"/>
    <w:rsid w:val="003D7888"/>
    <w:rsid w:val="003E3D18"/>
    <w:rsid w:val="003F15E5"/>
    <w:rsid w:val="003F2220"/>
    <w:rsid w:val="004004D2"/>
    <w:rsid w:val="004019D8"/>
    <w:rsid w:val="00405739"/>
    <w:rsid w:val="0041627E"/>
    <w:rsid w:val="00417FA4"/>
    <w:rsid w:val="00431726"/>
    <w:rsid w:val="004410EE"/>
    <w:rsid w:val="0044621F"/>
    <w:rsid w:val="00452ED0"/>
    <w:rsid w:val="00456552"/>
    <w:rsid w:val="00461F39"/>
    <w:rsid w:val="004626F7"/>
    <w:rsid w:val="004664D5"/>
    <w:rsid w:val="00466903"/>
    <w:rsid w:val="00466FF4"/>
    <w:rsid w:val="00476C41"/>
    <w:rsid w:val="00480ECE"/>
    <w:rsid w:val="00482BB3"/>
    <w:rsid w:val="00485123"/>
    <w:rsid w:val="00486978"/>
    <w:rsid w:val="004912E1"/>
    <w:rsid w:val="004970EE"/>
    <w:rsid w:val="004979E5"/>
    <w:rsid w:val="004A24DE"/>
    <w:rsid w:val="004A6732"/>
    <w:rsid w:val="004B5336"/>
    <w:rsid w:val="004C08E5"/>
    <w:rsid w:val="004C7EB8"/>
    <w:rsid w:val="004D619F"/>
    <w:rsid w:val="004E6B0A"/>
    <w:rsid w:val="00502413"/>
    <w:rsid w:val="00507FC4"/>
    <w:rsid w:val="00516399"/>
    <w:rsid w:val="00521228"/>
    <w:rsid w:val="00522AE4"/>
    <w:rsid w:val="0053456A"/>
    <w:rsid w:val="005403BD"/>
    <w:rsid w:val="005429DB"/>
    <w:rsid w:val="00544C9F"/>
    <w:rsid w:val="0055619C"/>
    <w:rsid w:val="00560ABA"/>
    <w:rsid w:val="00564A3C"/>
    <w:rsid w:val="0057055F"/>
    <w:rsid w:val="005766DB"/>
    <w:rsid w:val="00576788"/>
    <w:rsid w:val="005835AF"/>
    <w:rsid w:val="00593297"/>
    <w:rsid w:val="0059448F"/>
    <w:rsid w:val="00595A84"/>
    <w:rsid w:val="005A1D5D"/>
    <w:rsid w:val="005A3A21"/>
    <w:rsid w:val="005A6887"/>
    <w:rsid w:val="005D38CE"/>
    <w:rsid w:val="005D78D2"/>
    <w:rsid w:val="005F12CD"/>
    <w:rsid w:val="005F716D"/>
    <w:rsid w:val="006001CA"/>
    <w:rsid w:val="00601546"/>
    <w:rsid w:val="006161CC"/>
    <w:rsid w:val="006204D5"/>
    <w:rsid w:val="00622B9B"/>
    <w:rsid w:val="00627C5B"/>
    <w:rsid w:val="006368F3"/>
    <w:rsid w:val="00637627"/>
    <w:rsid w:val="00637882"/>
    <w:rsid w:val="00637C1B"/>
    <w:rsid w:val="00646032"/>
    <w:rsid w:val="00646187"/>
    <w:rsid w:val="00646E32"/>
    <w:rsid w:val="0065281E"/>
    <w:rsid w:val="00652DE7"/>
    <w:rsid w:val="00655677"/>
    <w:rsid w:val="00655986"/>
    <w:rsid w:val="006610B0"/>
    <w:rsid w:val="006721CE"/>
    <w:rsid w:val="00677122"/>
    <w:rsid w:val="00681A7D"/>
    <w:rsid w:val="00681C6A"/>
    <w:rsid w:val="00682887"/>
    <w:rsid w:val="0068580E"/>
    <w:rsid w:val="00685E5B"/>
    <w:rsid w:val="006936AB"/>
    <w:rsid w:val="00697C36"/>
    <w:rsid w:val="006A1270"/>
    <w:rsid w:val="006A1664"/>
    <w:rsid w:val="006A262A"/>
    <w:rsid w:val="006A6221"/>
    <w:rsid w:val="006B1D97"/>
    <w:rsid w:val="006D4D91"/>
    <w:rsid w:val="006D7976"/>
    <w:rsid w:val="006F49C6"/>
    <w:rsid w:val="006F5B17"/>
    <w:rsid w:val="006F6D52"/>
    <w:rsid w:val="006F7BC2"/>
    <w:rsid w:val="00701192"/>
    <w:rsid w:val="00715D0C"/>
    <w:rsid w:val="00724A7B"/>
    <w:rsid w:val="00726C95"/>
    <w:rsid w:val="007345B8"/>
    <w:rsid w:val="00740D71"/>
    <w:rsid w:val="00740E90"/>
    <w:rsid w:val="007530CC"/>
    <w:rsid w:val="007607BB"/>
    <w:rsid w:val="00770DE5"/>
    <w:rsid w:val="007725DA"/>
    <w:rsid w:val="007820B8"/>
    <w:rsid w:val="00784B9C"/>
    <w:rsid w:val="00785E5C"/>
    <w:rsid w:val="00790859"/>
    <w:rsid w:val="00793DD5"/>
    <w:rsid w:val="007952F9"/>
    <w:rsid w:val="00795CE0"/>
    <w:rsid w:val="007971DF"/>
    <w:rsid w:val="007A2D7A"/>
    <w:rsid w:val="007A50FB"/>
    <w:rsid w:val="007A5C8E"/>
    <w:rsid w:val="007B2E32"/>
    <w:rsid w:val="007B4F17"/>
    <w:rsid w:val="007C182E"/>
    <w:rsid w:val="007E0646"/>
    <w:rsid w:val="007E7DC1"/>
    <w:rsid w:val="007F2966"/>
    <w:rsid w:val="007F7702"/>
    <w:rsid w:val="008015A7"/>
    <w:rsid w:val="0080461D"/>
    <w:rsid w:val="00813AFB"/>
    <w:rsid w:val="0081506A"/>
    <w:rsid w:val="00830A1D"/>
    <w:rsid w:val="0084099F"/>
    <w:rsid w:val="00843783"/>
    <w:rsid w:val="0084752C"/>
    <w:rsid w:val="00850EE9"/>
    <w:rsid w:val="00860E20"/>
    <w:rsid w:val="00861B24"/>
    <w:rsid w:val="00862F03"/>
    <w:rsid w:val="00870396"/>
    <w:rsid w:val="008863DD"/>
    <w:rsid w:val="00887B4D"/>
    <w:rsid w:val="00890D15"/>
    <w:rsid w:val="00892DD6"/>
    <w:rsid w:val="008A6CA2"/>
    <w:rsid w:val="008B7DB6"/>
    <w:rsid w:val="008D3728"/>
    <w:rsid w:val="008D66EE"/>
    <w:rsid w:val="008D7A90"/>
    <w:rsid w:val="008E1EEF"/>
    <w:rsid w:val="008E57DA"/>
    <w:rsid w:val="008F378A"/>
    <w:rsid w:val="00902736"/>
    <w:rsid w:val="009067D4"/>
    <w:rsid w:val="009126B1"/>
    <w:rsid w:val="00913726"/>
    <w:rsid w:val="00917815"/>
    <w:rsid w:val="0092065C"/>
    <w:rsid w:val="009211F2"/>
    <w:rsid w:val="00921496"/>
    <w:rsid w:val="0092300A"/>
    <w:rsid w:val="009401E4"/>
    <w:rsid w:val="00943148"/>
    <w:rsid w:val="0094507E"/>
    <w:rsid w:val="00950B10"/>
    <w:rsid w:val="00953670"/>
    <w:rsid w:val="00954BFB"/>
    <w:rsid w:val="00960616"/>
    <w:rsid w:val="0097464D"/>
    <w:rsid w:val="00980722"/>
    <w:rsid w:val="00984289"/>
    <w:rsid w:val="00992788"/>
    <w:rsid w:val="009A50F0"/>
    <w:rsid w:val="009A6451"/>
    <w:rsid w:val="009B52FC"/>
    <w:rsid w:val="009C4DD1"/>
    <w:rsid w:val="009C6772"/>
    <w:rsid w:val="009C7B92"/>
    <w:rsid w:val="009D1918"/>
    <w:rsid w:val="009D507C"/>
    <w:rsid w:val="009D79B6"/>
    <w:rsid w:val="009E706F"/>
    <w:rsid w:val="009E7FCC"/>
    <w:rsid w:val="009F65CC"/>
    <w:rsid w:val="00A01377"/>
    <w:rsid w:val="00A0379F"/>
    <w:rsid w:val="00A1402A"/>
    <w:rsid w:val="00A157A6"/>
    <w:rsid w:val="00A375E7"/>
    <w:rsid w:val="00A47A50"/>
    <w:rsid w:val="00A51245"/>
    <w:rsid w:val="00A55739"/>
    <w:rsid w:val="00A57F71"/>
    <w:rsid w:val="00A71ECF"/>
    <w:rsid w:val="00A76FD5"/>
    <w:rsid w:val="00A85D5A"/>
    <w:rsid w:val="00A87967"/>
    <w:rsid w:val="00A97579"/>
    <w:rsid w:val="00AA55AE"/>
    <w:rsid w:val="00AA58E0"/>
    <w:rsid w:val="00AB58FF"/>
    <w:rsid w:val="00AB6B13"/>
    <w:rsid w:val="00AC214F"/>
    <w:rsid w:val="00AD1737"/>
    <w:rsid w:val="00AD1B36"/>
    <w:rsid w:val="00AE0D4A"/>
    <w:rsid w:val="00AE1C26"/>
    <w:rsid w:val="00B05FC1"/>
    <w:rsid w:val="00B10982"/>
    <w:rsid w:val="00B32088"/>
    <w:rsid w:val="00B340DE"/>
    <w:rsid w:val="00B41494"/>
    <w:rsid w:val="00B4277E"/>
    <w:rsid w:val="00B5546A"/>
    <w:rsid w:val="00B65BDA"/>
    <w:rsid w:val="00B65F7E"/>
    <w:rsid w:val="00B66F3E"/>
    <w:rsid w:val="00B82539"/>
    <w:rsid w:val="00B83F14"/>
    <w:rsid w:val="00B90558"/>
    <w:rsid w:val="00B96743"/>
    <w:rsid w:val="00BC2359"/>
    <w:rsid w:val="00BD615F"/>
    <w:rsid w:val="00BF0097"/>
    <w:rsid w:val="00BF11CC"/>
    <w:rsid w:val="00C05624"/>
    <w:rsid w:val="00C11A9D"/>
    <w:rsid w:val="00C1462C"/>
    <w:rsid w:val="00C2163A"/>
    <w:rsid w:val="00C30EAE"/>
    <w:rsid w:val="00C354B2"/>
    <w:rsid w:val="00C47CD4"/>
    <w:rsid w:val="00C5042B"/>
    <w:rsid w:val="00C51EE5"/>
    <w:rsid w:val="00C563C7"/>
    <w:rsid w:val="00C630F5"/>
    <w:rsid w:val="00C6550A"/>
    <w:rsid w:val="00C66A8A"/>
    <w:rsid w:val="00C70F14"/>
    <w:rsid w:val="00C726A8"/>
    <w:rsid w:val="00C77471"/>
    <w:rsid w:val="00C9002B"/>
    <w:rsid w:val="00CA007C"/>
    <w:rsid w:val="00CA4E1F"/>
    <w:rsid w:val="00CA553D"/>
    <w:rsid w:val="00CA5DD3"/>
    <w:rsid w:val="00CA6DB1"/>
    <w:rsid w:val="00CC696B"/>
    <w:rsid w:val="00CD0798"/>
    <w:rsid w:val="00CD428F"/>
    <w:rsid w:val="00CF3979"/>
    <w:rsid w:val="00CF6ECD"/>
    <w:rsid w:val="00D00506"/>
    <w:rsid w:val="00D07790"/>
    <w:rsid w:val="00D12152"/>
    <w:rsid w:val="00D16151"/>
    <w:rsid w:val="00D210AD"/>
    <w:rsid w:val="00D22014"/>
    <w:rsid w:val="00D25A91"/>
    <w:rsid w:val="00D32E8B"/>
    <w:rsid w:val="00D44C61"/>
    <w:rsid w:val="00D45269"/>
    <w:rsid w:val="00D458B7"/>
    <w:rsid w:val="00D50C6E"/>
    <w:rsid w:val="00D65B3D"/>
    <w:rsid w:val="00D67AF4"/>
    <w:rsid w:val="00D72116"/>
    <w:rsid w:val="00D7335D"/>
    <w:rsid w:val="00D84287"/>
    <w:rsid w:val="00D9698C"/>
    <w:rsid w:val="00D972AF"/>
    <w:rsid w:val="00DA2883"/>
    <w:rsid w:val="00DA3914"/>
    <w:rsid w:val="00DB302F"/>
    <w:rsid w:val="00DC1E2D"/>
    <w:rsid w:val="00DC41F1"/>
    <w:rsid w:val="00DC7A27"/>
    <w:rsid w:val="00DD0973"/>
    <w:rsid w:val="00DD4F07"/>
    <w:rsid w:val="00DD5DBE"/>
    <w:rsid w:val="00DD637B"/>
    <w:rsid w:val="00DF36FA"/>
    <w:rsid w:val="00DF6A53"/>
    <w:rsid w:val="00DF710F"/>
    <w:rsid w:val="00DF7444"/>
    <w:rsid w:val="00E0240E"/>
    <w:rsid w:val="00E14BEF"/>
    <w:rsid w:val="00E21C42"/>
    <w:rsid w:val="00E22577"/>
    <w:rsid w:val="00E25458"/>
    <w:rsid w:val="00E26113"/>
    <w:rsid w:val="00E3038D"/>
    <w:rsid w:val="00E41AFF"/>
    <w:rsid w:val="00E51FF4"/>
    <w:rsid w:val="00E52D7B"/>
    <w:rsid w:val="00E554F5"/>
    <w:rsid w:val="00E7448A"/>
    <w:rsid w:val="00E7583F"/>
    <w:rsid w:val="00E76270"/>
    <w:rsid w:val="00E85069"/>
    <w:rsid w:val="00E921A0"/>
    <w:rsid w:val="00E92EAB"/>
    <w:rsid w:val="00EA7B95"/>
    <w:rsid w:val="00EC3481"/>
    <w:rsid w:val="00EC3D93"/>
    <w:rsid w:val="00EC4B16"/>
    <w:rsid w:val="00ED51A9"/>
    <w:rsid w:val="00EE6079"/>
    <w:rsid w:val="00F101EE"/>
    <w:rsid w:val="00F17AEA"/>
    <w:rsid w:val="00F214F7"/>
    <w:rsid w:val="00F21AE7"/>
    <w:rsid w:val="00F2230B"/>
    <w:rsid w:val="00F31945"/>
    <w:rsid w:val="00F31EDE"/>
    <w:rsid w:val="00F33A6A"/>
    <w:rsid w:val="00F445D6"/>
    <w:rsid w:val="00F51CEE"/>
    <w:rsid w:val="00F65404"/>
    <w:rsid w:val="00F6731D"/>
    <w:rsid w:val="00F73AB0"/>
    <w:rsid w:val="00F81E40"/>
    <w:rsid w:val="00F83C47"/>
    <w:rsid w:val="00F864AE"/>
    <w:rsid w:val="00F8773A"/>
    <w:rsid w:val="00F92C63"/>
    <w:rsid w:val="00F93005"/>
    <w:rsid w:val="00FB1808"/>
    <w:rsid w:val="00FC2F5B"/>
    <w:rsid w:val="00FD49FD"/>
    <w:rsid w:val="00FE1963"/>
    <w:rsid w:val="00FE3756"/>
    <w:rsid w:val="00FE71A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F1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17"/>
    <w:rPr>
      <w:rFonts w:ascii="Calibri" w:hAnsi="Calibri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0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5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50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4F1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17"/>
    <w:rPr>
      <w:rFonts w:ascii="Calibri" w:hAnsi="Calibri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0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5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5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50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TR\publikace\publikace_2018\anal&#253;za\Analytick&#225;_grafy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VTR\publikace\publikace_2018\anal&#253;za\Analytick&#225;_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Graf</a:t>
            </a:r>
            <a:r>
              <a:rPr lang="cs-CZ" sz="1100"/>
              <a:t> 1. Výzkum a vývoj v České</a:t>
            </a:r>
            <a:r>
              <a:rPr lang="cs-CZ" sz="1100" baseline="0"/>
              <a:t> republice – základní ukazatele</a:t>
            </a:r>
            <a:endParaRPr lang="en-US" sz="1100"/>
          </a:p>
        </c:rich>
      </c:tx>
      <c:layout>
        <c:manualLayout>
          <c:xMode val="edge"/>
          <c:yMode val="edge"/>
          <c:x val="0.18604008721895296"/>
          <c:y val="0.0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7646111111111158E-2"/>
          <c:y val="0.34159953410079058"/>
          <c:w val="0.93656099999999931"/>
          <c:h val="0.55097782989892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'1'!$M$2</c:f>
              <c:strCache>
                <c:ptCount val="1"/>
                <c:pt idx="0">
                  <c:v>Výdaje na VaV (GERD) - mld.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'1'!$P$1:$Z$1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'1'!$P$2:$Z$2</c:f>
              <c:numCache>
                <c:formatCode>0.0</c:formatCode>
                <c:ptCount val="11"/>
                <c:pt idx="0">
                  <c:v>50.008887929999943</c:v>
                </c:pt>
                <c:pt idx="1">
                  <c:v>49.871977159999943</c:v>
                </c:pt>
                <c:pt idx="2">
                  <c:v>50.874619019999997</c:v>
                </c:pt>
                <c:pt idx="3">
                  <c:v>52.973567629999998</c:v>
                </c:pt>
                <c:pt idx="4">
                  <c:v>62.753402959999967</c:v>
                </c:pt>
                <c:pt idx="5">
                  <c:v>72.360307380000009</c:v>
                </c:pt>
                <c:pt idx="6">
                  <c:v>77.853386009999994</c:v>
                </c:pt>
                <c:pt idx="7">
                  <c:v>85.104466859999945</c:v>
                </c:pt>
                <c:pt idx="8">
                  <c:v>88.663389589999994</c:v>
                </c:pt>
                <c:pt idx="9">
                  <c:v>80.109157268128598</c:v>
                </c:pt>
                <c:pt idx="10">
                  <c:v>90.386024781976914</c:v>
                </c:pt>
              </c:numCache>
            </c:numRef>
          </c:val>
        </c:ser>
        <c:ser>
          <c:idx val="1"/>
          <c:order val="1"/>
          <c:tx>
            <c:strRef>
              <c:f>'1'!$M$3</c:f>
              <c:strCache>
                <c:ptCount val="1"/>
                <c:pt idx="0">
                  <c:v>Pracující ve VaV - tis. přepočtených osob (FTE)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prstDash val="solid"/>
            </a:ln>
          </c:spPr>
          <c:invertIfNegative val="0"/>
          <c:dLbls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'1'!$P$1:$Z$1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'1'!$P$3:$Z$3</c:f>
              <c:numCache>
                <c:formatCode>0.0</c:formatCode>
                <c:ptCount val="11"/>
                <c:pt idx="0">
                  <c:v>49.191564219999961</c:v>
                </c:pt>
                <c:pt idx="1">
                  <c:v>50.807877074999965</c:v>
                </c:pt>
                <c:pt idx="2">
                  <c:v>50.960834404999986</c:v>
                </c:pt>
                <c:pt idx="3">
                  <c:v>52.290130920000024</c:v>
                </c:pt>
                <c:pt idx="4">
                  <c:v>55.696942279999931</c:v>
                </c:pt>
                <c:pt idx="5">
                  <c:v>60.329443785000002</c:v>
                </c:pt>
                <c:pt idx="6">
                  <c:v>61.975855934999991</c:v>
                </c:pt>
                <c:pt idx="7">
                  <c:v>64.443451844999998</c:v>
                </c:pt>
                <c:pt idx="8">
                  <c:v>66.433399944999977</c:v>
                </c:pt>
                <c:pt idx="9">
                  <c:v>65.782994585719791</c:v>
                </c:pt>
                <c:pt idx="10">
                  <c:v>69.735652770939879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55705344"/>
        <c:axId val="155706880"/>
      </c:barChart>
      <c:lineChart>
        <c:grouping val="standard"/>
        <c:varyColors val="0"/>
        <c:ser>
          <c:idx val="2"/>
          <c:order val="2"/>
          <c:tx>
            <c:strRef>
              <c:f>'1'!$M$4</c:f>
              <c:strCache>
                <c:ptCount val="1"/>
                <c:pt idx="0">
                  <c:v>Podíl výdajů na VaV na HDP (Intenzita VaV)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'1'!$P$1:$Z$1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'1'!$P$4:$Z$4</c:f>
              <c:numCache>
                <c:formatCode>0.00%</c:formatCode>
                <c:ptCount val="11"/>
                <c:pt idx="0">
                  <c:v>1.302275111148956E-2</c:v>
                </c:pt>
                <c:pt idx="1">
                  <c:v>1.2393272153866293E-2</c:v>
                </c:pt>
                <c:pt idx="2">
                  <c:v>1.2943848596927198E-2</c:v>
                </c:pt>
                <c:pt idx="3">
                  <c:v>1.3368845150391273E-2</c:v>
                </c:pt>
                <c:pt idx="4">
                  <c:v>1.5557068527959683E-2</c:v>
                </c:pt>
                <c:pt idx="5">
                  <c:v>1.7823122121858801E-2</c:v>
                </c:pt>
                <c:pt idx="6">
                  <c:v>1.8997304625428962E-2</c:v>
                </c:pt>
                <c:pt idx="7">
                  <c:v>1.9728472315173485E-2</c:v>
                </c:pt>
                <c:pt idx="8">
                  <c:v>1.9292335950152565E-2</c:v>
                </c:pt>
                <c:pt idx="9">
                  <c:v>1.6801452450220869E-2</c:v>
                </c:pt>
                <c:pt idx="10">
                  <c:v>1.7915293698069708E-2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'1'!$M$5</c:f>
              <c:strCache>
                <c:ptCount val="1"/>
                <c:pt idx="0">
                  <c:v>Podíl pracujících ve VaV (FTE) na zaměstnaných v ČR celkem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diamond"/>
            <c:size val="10"/>
            <c:spPr>
              <a:solidFill>
                <a:schemeClr val="accent2"/>
              </a:solidFill>
              <a:ln w="15875">
                <a:noFill/>
              </a:ln>
            </c:spPr>
          </c:marker>
          <c:dLbls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'1'!$P$1:$Z$1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'1'!$P$5:$Z$5</c:f>
              <c:numCache>
                <c:formatCode>0.00%</c:formatCode>
                <c:ptCount val="11"/>
                <c:pt idx="0">
                  <c:v>9.6583905498039066E-3</c:v>
                </c:pt>
                <c:pt idx="1">
                  <c:v>9.7630872004441111E-3</c:v>
                </c:pt>
                <c:pt idx="2">
                  <c:v>9.9725708704330469E-3</c:v>
                </c:pt>
                <c:pt idx="3">
                  <c:v>1.0339655737189516E-2</c:v>
                </c:pt>
                <c:pt idx="4">
                  <c:v>1.104344740234735E-2</c:v>
                </c:pt>
                <c:pt idx="5">
                  <c:v>1.1911931803216128E-2</c:v>
                </c:pt>
                <c:pt idx="6">
                  <c:v>1.2197738590179339E-2</c:v>
                </c:pt>
                <c:pt idx="7">
                  <c:v>1.2613792934070615E-2</c:v>
                </c:pt>
                <c:pt idx="8">
                  <c:v>1.2820246103128326E-2</c:v>
                </c:pt>
                <c:pt idx="9">
                  <c:v>1.2496054953111504E-2</c:v>
                </c:pt>
                <c:pt idx="10">
                  <c:v>1.3044229835726711E-2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710208"/>
        <c:axId val="155708416"/>
      </c:lineChart>
      <c:catAx>
        <c:axId val="15570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cs-CZ"/>
          </a:p>
        </c:txPr>
        <c:crossAx val="155706880"/>
        <c:crosses val="autoZero"/>
        <c:auto val="1"/>
        <c:lblAlgn val="ctr"/>
        <c:lblOffset val="100"/>
        <c:noMultiLvlLbl val="0"/>
      </c:catAx>
      <c:valAx>
        <c:axId val="155706880"/>
        <c:scaling>
          <c:orientation val="minMax"/>
          <c:max val="105"/>
        </c:scaling>
        <c:delete val="0"/>
        <c:axPos val="l"/>
        <c:numFmt formatCode="0" sourceLinked="0"/>
        <c:majorTickMark val="none"/>
        <c:minorTickMark val="none"/>
        <c:tickLblPos val="none"/>
        <c:spPr>
          <a:ln w="25400">
            <a:noFill/>
          </a:ln>
        </c:spPr>
        <c:crossAx val="155705344"/>
        <c:crosses val="autoZero"/>
        <c:crossBetween val="between"/>
        <c:majorUnit val="10"/>
        <c:minorUnit val="1"/>
      </c:valAx>
      <c:valAx>
        <c:axId val="155708416"/>
        <c:scaling>
          <c:orientation val="minMax"/>
          <c:max val="2.2000000000000006E-2"/>
          <c:min val="0"/>
        </c:scaling>
        <c:delete val="0"/>
        <c:axPos val="r"/>
        <c:numFmt formatCode="0.00%" sourceLinked="0"/>
        <c:majorTickMark val="none"/>
        <c:minorTickMark val="none"/>
        <c:tickLblPos val="none"/>
        <c:spPr>
          <a:ln w="12700">
            <a:noFill/>
          </a:ln>
        </c:spPr>
        <c:crossAx val="155710208"/>
        <c:crosses val="max"/>
        <c:crossBetween val="between"/>
        <c:majorUnit val="1.0000000000000002E-3"/>
        <c:minorUnit val="1.0000000000000013E-4"/>
      </c:valAx>
      <c:catAx>
        <c:axId val="155710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5708416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4.0853005697911284E-3"/>
          <c:y val="0.13014461942257219"/>
          <c:w val="0.62430612546671094"/>
          <c:h val="0.20047164317226304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 i="0" baseline="0">
                <a:effectLst/>
              </a:rPr>
              <a:t>Graf 7. VaV ve vysokoškolském sektoru v ČR – základní ukazatele</a:t>
            </a:r>
            <a:endParaRPr lang="cs-CZ" sz="11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646111111111158E-2"/>
          <c:y val="0.15834645669291336"/>
          <c:w val="0.93656099999999931"/>
          <c:h val="0.657453926367312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'7'!$M$3</c:f>
              <c:strCache>
                <c:ptCount val="1"/>
                <c:pt idx="0">
                  <c:v>Výdaje na VaV (HERD) - mld.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'7'!$P$2:$Z$2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'7'!$P$3:$Z$3</c:f>
              <c:numCache>
                <c:formatCode>0.0</c:formatCode>
                <c:ptCount val="11"/>
                <c:pt idx="0">
                  <c:v>9.3094530000000013</c:v>
                </c:pt>
                <c:pt idx="1">
                  <c:v>9.2321669999999969</c:v>
                </c:pt>
                <c:pt idx="2">
                  <c:v>10.173039000000003</c:v>
                </c:pt>
                <c:pt idx="3">
                  <c:v>10.616061</c:v>
                </c:pt>
                <c:pt idx="4">
                  <c:v>15.288401</c:v>
                </c:pt>
                <c:pt idx="5">
                  <c:v>19.878533000000015</c:v>
                </c:pt>
                <c:pt idx="6">
                  <c:v>21.197760999999993</c:v>
                </c:pt>
                <c:pt idx="7">
                  <c:v>21.627737000000003</c:v>
                </c:pt>
                <c:pt idx="8">
                  <c:v>22.082697000000014</c:v>
                </c:pt>
                <c:pt idx="9">
                  <c:v>16.382228999999995</c:v>
                </c:pt>
                <c:pt idx="10">
                  <c:v>17.74125200000001</c:v>
                </c:pt>
              </c:numCache>
            </c:numRef>
          </c:val>
        </c:ser>
        <c:ser>
          <c:idx val="1"/>
          <c:order val="1"/>
          <c:tx>
            <c:strRef>
              <c:f>'7'!$M$4</c:f>
              <c:strCache>
                <c:ptCount val="1"/>
                <c:pt idx="0">
                  <c:v>Pracující ve VaV - tis. přepočtených osob (FTE)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prstDash val="solid"/>
            </a:ln>
          </c:spPr>
          <c:invertIfNegative val="0"/>
          <c:dLbls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'7'!$P$2:$Z$2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'7'!$P$4:$Z$4</c:f>
              <c:numCache>
                <c:formatCode>0.0</c:formatCode>
                <c:ptCount val="11"/>
                <c:pt idx="0">
                  <c:v>12.658668499999999</c:v>
                </c:pt>
                <c:pt idx="1">
                  <c:v>13.360087499999993</c:v>
                </c:pt>
                <c:pt idx="2">
                  <c:v>13.811537500000002</c:v>
                </c:pt>
                <c:pt idx="3">
                  <c:v>14.055616000000006</c:v>
                </c:pt>
                <c:pt idx="4">
                  <c:v>14.723644499999994</c:v>
                </c:pt>
                <c:pt idx="5">
                  <c:v>16.4412445</c:v>
                </c:pt>
                <c:pt idx="6">
                  <c:v>16.240071</c:v>
                </c:pt>
                <c:pt idx="7">
                  <c:v>16.525383500000011</c:v>
                </c:pt>
                <c:pt idx="8">
                  <c:v>16.86785600000001</c:v>
                </c:pt>
                <c:pt idx="9">
                  <c:v>15.200775499999999</c:v>
                </c:pt>
                <c:pt idx="10">
                  <c:v>15.802936500000005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8405248"/>
        <c:axId val="184946688"/>
      </c:barChart>
      <c:lineChart>
        <c:grouping val="standard"/>
        <c:varyColors val="0"/>
        <c:ser>
          <c:idx val="2"/>
          <c:order val="2"/>
          <c:tx>
            <c:strRef>
              <c:f>'7'!$M$5</c:f>
              <c:strCache>
                <c:ptCount val="1"/>
                <c:pt idx="0">
                  <c:v>Podíl výdajů na VaV na HDP (Intenzita VaV)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'7'!$P$2:$Z$2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'7'!$P$5:$Z$5</c:f>
              <c:numCache>
                <c:formatCode>0.00%</c:formatCode>
                <c:ptCount val="11"/>
                <c:pt idx="0">
                  <c:v>2.4242628544911536E-3</c:v>
                </c:pt>
                <c:pt idx="1">
                  <c:v>2.2942093880471172E-3</c:v>
                </c:pt>
                <c:pt idx="2">
                  <c:v>2.5882901753990491E-3</c:v>
                </c:pt>
                <c:pt idx="3">
                  <c:v>2.6791564541658926E-3</c:v>
                </c:pt>
                <c:pt idx="4">
                  <c:v>3.7901164051857396E-3</c:v>
                </c:pt>
                <c:pt idx="5">
                  <c:v>4.8962965207127625E-3</c:v>
                </c:pt>
                <c:pt idx="6">
                  <c:v>5.1725473191662104E-3</c:v>
                </c:pt>
                <c:pt idx="7">
                  <c:v>5.0136288538915547E-3</c:v>
                </c:pt>
                <c:pt idx="8">
                  <c:v>4.8049912278277755E-3</c:v>
                </c:pt>
                <c:pt idx="9">
                  <c:v>3.435877382293168E-3</c:v>
                </c:pt>
                <c:pt idx="10">
                  <c:v>3.5164699511693147E-3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949760"/>
        <c:axId val="184948224"/>
      </c:lineChart>
      <c:catAx>
        <c:axId val="16840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cs-CZ"/>
          </a:p>
        </c:txPr>
        <c:crossAx val="184946688"/>
        <c:crossesAt val="0"/>
        <c:auto val="1"/>
        <c:lblAlgn val="ctr"/>
        <c:lblOffset val="100"/>
        <c:noMultiLvlLbl val="0"/>
      </c:catAx>
      <c:valAx>
        <c:axId val="184946688"/>
        <c:scaling>
          <c:orientation val="minMax"/>
          <c:max val="34"/>
          <c:min val="0"/>
        </c:scaling>
        <c:delete val="0"/>
        <c:axPos val="l"/>
        <c:numFmt formatCode="0" sourceLinked="0"/>
        <c:majorTickMark val="none"/>
        <c:minorTickMark val="none"/>
        <c:tickLblPos val="none"/>
        <c:spPr>
          <a:ln w="25400">
            <a:noFill/>
          </a:ln>
        </c:spPr>
        <c:crossAx val="168405248"/>
        <c:crosses val="autoZero"/>
        <c:crossBetween val="between"/>
      </c:valAx>
      <c:valAx>
        <c:axId val="184948224"/>
        <c:scaling>
          <c:orientation val="minMax"/>
          <c:max val="5.5000000000000014E-3"/>
          <c:min val="0"/>
        </c:scaling>
        <c:delete val="0"/>
        <c:axPos val="r"/>
        <c:numFmt formatCode="0.00%" sourceLinked="0"/>
        <c:majorTickMark val="none"/>
        <c:minorTickMark val="none"/>
        <c:tickLblPos val="none"/>
        <c:spPr>
          <a:ln w="12700">
            <a:noFill/>
          </a:ln>
        </c:spPr>
        <c:crossAx val="184949760"/>
        <c:crosses val="max"/>
        <c:crossBetween val="between"/>
        <c:majorUnit val="1.0000000000000002E-3"/>
        <c:minorUnit val="1.0000000000000013E-4"/>
      </c:valAx>
      <c:catAx>
        <c:axId val="184949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84948224"/>
        <c:crossesAt val="0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6.662741923614688E-3"/>
          <c:y val="0.10950422055968766"/>
          <c:w val="0.42864391951006126"/>
          <c:h val="0.17410411198600176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67137978720403"/>
          <c:y val="2.8389884999314843E-2"/>
          <c:w val="0.70064403239917594"/>
          <c:h val="0.625251426904972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invertIfNegative val="0"/>
            <c:bubble3D val="0"/>
          </c:dPt>
          <c:cat>
            <c:strRef>
              <c:f>'8'!$M$2:$M$5</c:f>
              <c:strCache>
                <c:ptCount val="4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</c:strCache>
            </c:strRef>
          </c:cat>
          <c:val>
            <c:numRef>
              <c:f>'8'!$N$2:$N$5</c:f>
              <c:numCache>
                <c:formatCode>General</c:formatCode>
                <c:ptCount val="4"/>
                <c:pt idx="0">
                  <c:v>17.108150000000002</c:v>
                </c:pt>
                <c:pt idx="1">
                  <c:v>10.999169999999999</c:v>
                </c:pt>
                <c:pt idx="2">
                  <c:v>9.2220830000000014</c:v>
                </c:pt>
                <c:pt idx="3">
                  <c:v>5.6484480000000001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84986240"/>
        <c:axId val="184996224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 rot="-5400000" vert="horz"/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'8'!$M$2:$M$5</c:f>
              <c:strCache>
                <c:ptCount val="4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</c:strCache>
            </c:strRef>
          </c:cat>
          <c:val>
            <c:numRef>
              <c:f>'8'!$O$2:$O$5</c:f>
              <c:numCache>
                <c:formatCode>0.00%</c:formatCode>
                <c:ptCount val="4"/>
                <c:pt idx="0">
                  <c:v>5.1999999999999998E-3</c:v>
                </c:pt>
                <c:pt idx="1">
                  <c:v>4.8999999999999998E-3</c:v>
                </c:pt>
                <c:pt idx="2">
                  <c:v>4.0000000000000001E-3</c:v>
                </c:pt>
                <c:pt idx="3">
                  <c:v>3.3E-3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997760"/>
        <c:axId val="184999296"/>
      </c:lineChart>
      <c:catAx>
        <c:axId val="184986240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84996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996224"/>
        <c:scaling>
          <c:orientation val="minMax"/>
          <c:max val="2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84986240"/>
        <c:crosses val="autoZero"/>
        <c:crossBetween val="between"/>
        <c:majorUnit val="4"/>
        <c:minorUnit val="0.1"/>
      </c:valAx>
      <c:catAx>
        <c:axId val="184997760"/>
        <c:scaling>
          <c:orientation val="minMax"/>
        </c:scaling>
        <c:delete val="1"/>
        <c:axPos val="b"/>
        <c:majorTickMark val="out"/>
        <c:minorTickMark val="none"/>
        <c:tickLblPos val="none"/>
        <c:crossAx val="184999296"/>
        <c:crosses val="autoZero"/>
        <c:auto val="1"/>
        <c:lblAlgn val="ctr"/>
        <c:lblOffset val="100"/>
        <c:noMultiLvlLbl val="0"/>
      </c:catAx>
      <c:valAx>
        <c:axId val="184999296"/>
        <c:scaling>
          <c:orientation val="minMax"/>
          <c:max val="2.0000000000000004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184997760"/>
        <c:crosses val="max"/>
        <c:crossBetween val="between"/>
        <c:majorUnit val="4.000000000000001E-3"/>
      </c:valAx>
      <c:spPr>
        <a:ln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/>
              <a:t>Graf</a:t>
            </a:r>
            <a:r>
              <a:rPr lang="cs-CZ" sz="1100" b="1" baseline="0"/>
              <a:t> 8. Výdaje na VaV ve vysokoškolském sektoru (HERD), 2017 –</a:t>
            </a:r>
          </a:p>
          <a:p>
            <a:pPr>
              <a:defRPr sz="1100"/>
            </a:pPr>
            <a:r>
              <a:rPr lang="cs-CZ" sz="1100" b="1" baseline="0"/>
              <a:t> mld. EUR běžné ceny a % HDP</a:t>
            </a:r>
            <a:endParaRPr lang="cs-CZ" sz="1100" b="1"/>
          </a:p>
        </c:rich>
      </c:tx>
      <c:layout>
        <c:manualLayout>
          <c:xMode val="edge"/>
          <c:yMode val="edge"/>
          <c:x val="0.19324003267973855"/>
          <c:y val="2.812924246538148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785920164887364E-2"/>
          <c:y val="8.9342060090589939E-2"/>
          <c:w val="0.91718193968085282"/>
          <c:h val="0.6375824586761232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noFill/>
              </a:ln>
            </c:spPr>
          </c:dPt>
          <c:dPt>
            <c:idx val="11"/>
            <c:invertIfNegative val="0"/>
            <c:bubble3D val="0"/>
          </c:dPt>
          <c:dPt>
            <c:idx val="14"/>
            <c:invertIfNegative val="0"/>
            <c:bubble3D val="0"/>
          </c:dPt>
          <c:cat>
            <c:strRef>
              <c:f>'8'!$M$6:$M$29</c:f>
              <c:strCache>
                <c:ptCount val="24"/>
                <c:pt idx="0">
                  <c:v>Nizozemsko</c:v>
                </c:pt>
                <c:pt idx="1">
                  <c:v>Švédsko</c:v>
                </c:pt>
                <c:pt idx="2">
                  <c:v>Španělsko</c:v>
                </c:pt>
                <c:pt idx="3">
                  <c:v>Dánsko</c:v>
                </c:pt>
                <c:pt idx="4">
                  <c:v>Rakousko</c:v>
                </c:pt>
                <c:pt idx="5">
                  <c:v>Belgie</c:v>
                </c:pt>
                <c:pt idx="6">
                  <c:v>Polsko</c:v>
                </c:pt>
                <c:pt idx="7">
                  <c:v>Finsko</c:v>
                </c:pt>
                <c:pt idx="8">
                  <c:v>Portugalsko</c:v>
                </c:pt>
                <c:pt idx="9">
                  <c:v>Irsko</c:v>
                </c:pt>
                <c:pt idx="10">
                  <c:v>Česko</c:v>
                </c:pt>
                <c:pt idx="11">
                  <c:v>Řecko</c:v>
                </c:pt>
                <c:pt idx="12">
                  <c:v>Maďarsko</c:v>
                </c:pt>
                <c:pt idx="13">
                  <c:v>Slovensko</c:v>
                </c:pt>
                <c:pt idx="14">
                  <c:v>Lucembursko</c:v>
                </c:pt>
                <c:pt idx="15">
                  <c:v>Litva</c:v>
                </c:pt>
                <c:pt idx="16">
                  <c:v>Estonsko</c:v>
                </c:pt>
                <c:pt idx="17">
                  <c:v>Chorvatsko</c:v>
                </c:pt>
                <c:pt idx="18">
                  <c:v>Rumunsko</c:v>
                </c:pt>
                <c:pt idx="19">
                  <c:v>Slovinsko</c:v>
                </c:pt>
                <c:pt idx="20">
                  <c:v>Lotyšsko</c:v>
                </c:pt>
                <c:pt idx="21">
                  <c:v>Kypr</c:v>
                </c:pt>
                <c:pt idx="22">
                  <c:v>Malta</c:v>
                </c:pt>
                <c:pt idx="23">
                  <c:v>Bulharsko</c:v>
                </c:pt>
              </c:strCache>
            </c:strRef>
          </c:cat>
          <c:val>
            <c:numRef>
              <c:f>'8'!$N$6:$N$29</c:f>
              <c:numCache>
                <c:formatCode>General</c:formatCode>
                <c:ptCount val="24"/>
                <c:pt idx="0">
                  <c:v>4.375</c:v>
                </c:pt>
                <c:pt idx="1">
                  <c:v>4.0665899999999997</c:v>
                </c:pt>
                <c:pt idx="2">
                  <c:v>3.649</c:v>
                </c:pt>
                <c:pt idx="3">
                  <c:v>2.9509589999999997</c:v>
                </c:pt>
                <c:pt idx="4">
                  <c:v>2.59511</c:v>
                </c:pt>
                <c:pt idx="5">
                  <c:v>2.3702199999999998</c:v>
                </c:pt>
                <c:pt idx="6">
                  <c:v>1.5891220000000001</c:v>
                </c:pt>
                <c:pt idx="7">
                  <c:v>1.5672000000000001</c:v>
                </c:pt>
                <c:pt idx="8">
                  <c:v>1.091944</c:v>
                </c:pt>
                <c:pt idx="9">
                  <c:v>0.76439999999999997</c:v>
                </c:pt>
                <c:pt idx="10">
                  <c:v>0.67390599999999989</c:v>
                </c:pt>
                <c:pt idx="11">
                  <c:v>0.57769999999999999</c:v>
                </c:pt>
                <c:pt idx="12">
                  <c:v>0.22234899999999999</c:v>
                </c:pt>
                <c:pt idx="13">
                  <c:v>0.18476100000000001</c:v>
                </c:pt>
                <c:pt idx="14">
                  <c:v>0.1368</c:v>
                </c:pt>
                <c:pt idx="15">
                  <c:v>0.13364799999999999</c:v>
                </c:pt>
                <c:pt idx="16">
                  <c:v>0.1206</c:v>
                </c:pt>
                <c:pt idx="17">
                  <c:v>0.11606900000000001</c:v>
                </c:pt>
                <c:pt idx="18">
                  <c:v>0.10051300000000001</c:v>
                </c:pt>
                <c:pt idx="19">
                  <c:v>8.9885000000000007E-2</c:v>
                </c:pt>
                <c:pt idx="20">
                  <c:v>6.4399999999999999E-2</c:v>
                </c:pt>
                <c:pt idx="21">
                  <c:v>4.53E-2</c:v>
                </c:pt>
                <c:pt idx="22">
                  <c:v>2.2248E-2</c:v>
                </c:pt>
                <c:pt idx="23">
                  <c:v>2.2211999999999999E-2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85215488"/>
        <c:axId val="85229568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 rot="-5400000" vert="horz"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'8'!$M$6:$M$29</c:f>
              <c:strCache>
                <c:ptCount val="24"/>
                <c:pt idx="0">
                  <c:v>Nizozemsko</c:v>
                </c:pt>
                <c:pt idx="1">
                  <c:v>Švédsko</c:v>
                </c:pt>
                <c:pt idx="2">
                  <c:v>Španělsko</c:v>
                </c:pt>
                <c:pt idx="3">
                  <c:v>Dánsko</c:v>
                </c:pt>
                <c:pt idx="4">
                  <c:v>Rakousko</c:v>
                </c:pt>
                <c:pt idx="5">
                  <c:v>Belgie</c:v>
                </c:pt>
                <c:pt idx="6">
                  <c:v>Polsko</c:v>
                </c:pt>
                <c:pt idx="7">
                  <c:v>Finsko</c:v>
                </c:pt>
                <c:pt idx="8">
                  <c:v>Portugalsko</c:v>
                </c:pt>
                <c:pt idx="9">
                  <c:v>Irsko</c:v>
                </c:pt>
                <c:pt idx="10">
                  <c:v>Česko</c:v>
                </c:pt>
                <c:pt idx="11">
                  <c:v>Řecko</c:v>
                </c:pt>
                <c:pt idx="12">
                  <c:v>Maďarsko</c:v>
                </c:pt>
                <c:pt idx="13">
                  <c:v>Slovensko</c:v>
                </c:pt>
                <c:pt idx="14">
                  <c:v>Lucembursko</c:v>
                </c:pt>
                <c:pt idx="15">
                  <c:v>Litva</c:v>
                </c:pt>
                <c:pt idx="16">
                  <c:v>Estonsko</c:v>
                </c:pt>
                <c:pt idx="17">
                  <c:v>Chorvatsko</c:v>
                </c:pt>
                <c:pt idx="18">
                  <c:v>Rumunsko</c:v>
                </c:pt>
                <c:pt idx="19">
                  <c:v>Slovinsko</c:v>
                </c:pt>
                <c:pt idx="20">
                  <c:v>Lotyšsko</c:v>
                </c:pt>
                <c:pt idx="21">
                  <c:v>Kypr</c:v>
                </c:pt>
                <c:pt idx="22">
                  <c:v>Malta</c:v>
                </c:pt>
                <c:pt idx="23">
                  <c:v>Bulharsko</c:v>
                </c:pt>
              </c:strCache>
            </c:strRef>
          </c:cat>
          <c:val>
            <c:numRef>
              <c:f>'8'!$O$6:$O$29</c:f>
              <c:numCache>
                <c:formatCode>0.00%</c:formatCode>
                <c:ptCount val="24"/>
                <c:pt idx="0">
                  <c:v>5.8999999999999999E-3</c:v>
                </c:pt>
                <c:pt idx="1">
                  <c:v>8.6E-3</c:v>
                </c:pt>
                <c:pt idx="2">
                  <c:v>3.3E-3</c:v>
                </c:pt>
                <c:pt idx="3">
                  <c:v>1.01E-2</c:v>
                </c:pt>
                <c:pt idx="4">
                  <c:v>6.9999999999999993E-3</c:v>
                </c:pt>
                <c:pt idx="5">
                  <c:v>5.4000000000000003E-3</c:v>
                </c:pt>
                <c:pt idx="6">
                  <c:v>3.4000000000000002E-3</c:v>
                </c:pt>
                <c:pt idx="7">
                  <c:v>6.9999999999999993E-3</c:v>
                </c:pt>
                <c:pt idx="8">
                  <c:v>5.6000000000000008E-3</c:v>
                </c:pt>
                <c:pt idx="9">
                  <c:v>2.5999999999999999E-3</c:v>
                </c:pt>
                <c:pt idx="10">
                  <c:v>3.4999999999999996E-3</c:v>
                </c:pt>
                <c:pt idx="11">
                  <c:v>3.2000000000000002E-3</c:v>
                </c:pt>
                <c:pt idx="12">
                  <c:v>1.8E-3</c:v>
                </c:pt>
                <c:pt idx="13">
                  <c:v>2.2000000000000001E-3</c:v>
                </c:pt>
                <c:pt idx="14">
                  <c:v>2.5000000000000001E-3</c:v>
                </c:pt>
                <c:pt idx="15">
                  <c:v>3.2000000000000002E-3</c:v>
                </c:pt>
                <c:pt idx="16">
                  <c:v>5.1000000000000004E-3</c:v>
                </c:pt>
                <c:pt idx="17">
                  <c:v>2.3999999999999998E-3</c:v>
                </c:pt>
                <c:pt idx="18">
                  <c:v>5.0000000000000001E-4</c:v>
                </c:pt>
                <c:pt idx="19">
                  <c:v>2.0999999999999999E-3</c:v>
                </c:pt>
                <c:pt idx="20">
                  <c:v>2.3999999999999998E-3</c:v>
                </c:pt>
                <c:pt idx="21">
                  <c:v>2.3E-3</c:v>
                </c:pt>
                <c:pt idx="22">
                  <c:v>2E-3</c:v>
                </c:pt>
                <c:pt idx="23">
                  <c:v>4.0000000000000002E-4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231104"/>
        <c:axId val="85232640"/>
      </c:lineChart>
      <c:catAx>
        <c:axId val="85215488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85229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229568"/>
        <c:scaling>
          <c:orientation val="minMax"/>
          <c:max val="5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85215488"/>
        <c:crosses val="autoZero"/>
        <c:crossBetween val="between"/>
        <c:majorUnit val="1"/>
      </c:valAx>
      <c:catAx>
        <c:axId val="85231104"/>
        <c:scaling>
          <c:orientation val="minMax"/>
        </c:scaling>
        <c:delete val="1"/>
        <c:axPos val="b"/>
        <c:majorTickMark val="out"/>
        <c:minorTickMark val="none"/>
        <c:tickLblPos val="none"/>
        <c:crossAx val="85232640"/>
        <c:crosses val="autoZero"/>
        <c:auto val="1"/>
        <c:lblAlgn val="ctr"/>
        <c:lblOffset val="100"/>
        <c:noMultiLvlLbl val="0"/>
      </c:catAx>
      <c:valAx>
        <c:axId val="85232640"/>
        <c:scaling>
          <c:orientation val="minMax"/>
          <c:max val="2.0000000000000004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85231104"/>
        <c:crosses val="max"/>
        <c:crossBetween val="between"/>
        <c:majorUnit val="4.000000000000001E-3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67137978720403"/>
          <c:y val="2.8389884999314843E-2"/>
          <c:w val="0.70064403239917594"/>
          <c:h val="0.625251426904972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invertIfNegative val="0"/>
            <c:bubble3D val="0"/>
          </c:dPt>
          <c:cat>
            <c:strRef>
              <c:f>'2'!$N$3:$N$6</c:f>
              <c:strCache>
                <c:ptCount val="4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</c:strCache>
            </c:strRef>
          </c:cat>
          <c:val>
            <c:numRef>
              <c:f>'2'!$O$3:$O$6</c:f>
              <c:numCache>
                <c:formatCode>0.0</c:formatCode>
                <c:ptCount val="4"/>
                <c:pt idx="0">
                  <c:v>99.052149999999997</c:v>
                </c:pt>
                <c:pt idx="1">
                  <c:v>50.099330000000002</c:v>
                </c:pt>
                <c:pt idx="2">
                  <c:v>38.898141000000003</c:v>
                </c:pt>
                <c:pt idx="3">
                  <c:v>23.355245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7617280"/>
        <c:axId val="167618816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7.6551505131620734E-2"/>
                  <c:y val="0.13151778441487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6551505131620734E-2"/>
                  <c:y val="9.9616858237547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'2'!$N$3:$N$6</c:f>
              <c:strCache>
                <c:ptCount val="4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</c:strCache>
            </c:strRef>
          </c:cat>
          <c:val>
            <c:numRef>
              <c:f>'2'!$P$3:$P$6</c:f>
              <c:numCache>
                <c:formatCode>0.00%</c:formatCode>
                <c:ptCount val="4"/>
                <c:pt idx="0">
                  <c:v>3.0200000000000001E-2</c:v>
                </c:pt>
                <c:pt idx="1">
                  <c:v>2.2499999999999999E-2</c:v>
                </c:pt>
                <c:pt idx="2">
                  <c:v>1.67E-2</c:v>
                </c:pt>
                <c:pt idx="3">
                  <c:v>1.3500000000000002E-2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632896"/>
        <c:axId val="167634432"/>
      </c:lineChart>
      <c:catAx>
        <c:axId val="167617280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618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618816"/>
        <c:scaling>
          <c:orientation val="minMax"/>
          <c:max val="10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617280"/>
        <c:crosses val="autoZero"/>
        <c:crossBetween val="between"/>
        <c:majorUnit val="20"/>
        <c:minorUnit val="0.1"/>
      </c:valAx>
      <c:catAx>
        <c:axId val="167632896"/>
        <c:scaling>
          <c:orientation val="minMax"/>
        </c:scaling>
        <c:delete val="1"/>
        <c:axPos val="b"/>
        <c:majorTickMark val="out"/>
        <c:minorTickMark val="none"/>
        <c:tickLblPos val="none"/>
        <c:crossAx val="167634432"/>
        <c:crosses val="autoZero"/>
        <c:auto val="1"/>
        <c:lblAlgn val="ctr"/>
        <c:lblOffset val="100"/>
        <c:noMultiLvlLbl val="0"/>
      </c:catAx>
      <c:valAx>
        <c:axId val="167634432"/>
        <c:scaling>
          <c:orientation val="minMax"/>
          <c:max val="5.000000000000001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167632896"/>
        <c:crosses val="max"/>
        <c:crossBetween val="between"/>
        <c:majorUnit val="1.0000000000000002E-2"/>
      </c:valAx>
      <c:spPr>
        <a:ln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/>
              <a:t>Graf</a:t>
            </a:r>
            <a:r>
              <a:rPr lang="cs-CZ" sz="1100" b="1" baseline="0"/>
              <a:t> 2. Celkové výdaje na VaV (GERD), 2017 –</a:t>
            </a:r>
          </a:p>
          <a:p>
            <a:pPr>
              <a:defRPr sz="1100"/>
            </a:pPr>
            <a:r>
              <a:rPr lang="cs-CZ" sz="1100" b="1" baseline="0"/>
              <a:t>mld. EUR běžné ceny a % HDP</a:t>
            </a:r>
            <a:endParaRPr lang="cs-CZ" sz="1100" b="1"/>
          </a:p>
        </c:rich>
      </c:tx>
      <c:layout>
        <c:manualLayout>
          <c:xMode val="edge"/>
          <c:yMode val="edge"/>
          <c:x val="0.23059304703476483"/>
          <c:y val="2.8129395218002813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785920164887364E-2"/>
          <c:y val="8.9342060090589939E-2"/>
          <c:w val="0.91718193968085282"/>
          <c:h val="0.6326937581078226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noFill/>
              </a:ln>
            </c:spPr>
          </c:dPt>
          <c:dPt>
            <c:idx val="9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4"/>
            <c:invertIfNegative val="0"/>
            <c:bubble3D val="0"/>
          </c:dPt>
          <c:cat>
            <c:strRef>
              <c:f>'2'!$N$7:$N$29</c:f>
              <c:strCache>
                <c:ptCount val="23"/>
                <c:pt idx="0">
                  <c:v>Švédsko</c:v>
                </c:pt>
                <c:pt idx="1">
                  <c:v>Nizozemsko</c:v>
                </c:pt>
                <c:pt idx="2">
                  <c:v>Španělsko</c:v>
                </c:pt>
                <c:pt idx="3">
                  <c:v>Rakousko</c:v>
                </c:pt>
                <c:pt idx="4">
                  <c:v>Belgie</c:v>
                </c:pt>
                <c:pt idx="5">
                  <c:v>Dánsko</c:v>
                </c:pt>
                <c:pt idx="6">
                  <c:v>Finsko</c:v>
                </c:pt>
                <c:pt idx="7">
                  <c:v>Polsko</c:v>
                </c:pt>
                <c:pt idx="8">
                  <c:v>Česko</c:v>
                </c:pt>
                <c:pt idx="9">
                  <c:v>Irsko</c:v>
                </c:pt>
                <c:pt idx="10">
                  <c:v>Portugalsko</c:v>
                </c:pt>
                <c:pt idx="11">
                  <c:v>Řecko</c:v>
                </c:pt>
                <c:pt idx="12">
                  <c:v>Maďarsko</c:v>
                </c:pt>
                <c:pt idx="13">
                  <c:v>Rumunsko</c:v>
                </c:pt>
                <c:pt idx="14">
                  <c:v>Slovinsko</c:v>
                </c:pt>
                <c:pt idx="15">
                  <c:v>Slovensko</c:v>
                </c:pt>
                <c:pt idx="16">
                  <c:v>Lucembursko</c:v>
                </c:pt>
                <c:pt idx="17">
                  <c:v>Chorvatsko</c:v>
                </c:pt>
                <c:pt idx="18">
                  <c:v>Bulharsko</c:v>
                </c:pt>
                <c:pt idx="19">
                  <c:v>Litva</c:v>
                </c:pt>
                <c:pt idx="20">
                  <c:v>Estonsko</c:v>
                </c:pt>
                <c:pt idx="21">
                  <c:v>Lotyšsko</c:v>
                </c:pt>
                <c:pt idx="22">
                  <c:v>Kypr</c:v>
                </c:pt>
              </c:strCache>
            </c:strRef>
          </c:cat>
          <c:val>
            <c:numRef>
              <c:f>'2'!$O$7:$O$29</c:f>
              <c:numCache>
                <c:formatCode>0.0</c:formatCode>
                <c:ptCount val="23"/>
                <c:pt idx="0">
                  <c:v>15.811045</c:v>
                </c:pt>
                <c:pt idx="1">
                  <c:v>14.6755</c:v>
                </c:pt>
                <c:pt idx="2">
                  <c:v>13.26</c:v>
                </c:pt>
                <c:pt idx="3">
                  <c:v>11.679309999999999</c:v>
                </c:pt>
                <c:pt idx="4">
                  <c:v>11.336399999999999</c:v>
                </c:pt>
                <c:pt idx="5">
                  <c:v>8.9476510000000005</c:v>
                </c:pt>
                <c:pt idx="6">
                  <c:v>6.1731999999999996</c:v>
                </c:pt>
                <c:pt idx="7">
                  <c:v>4.829796</c:v>
                </c:pt>
                <c:pt idx="8">
                  <c:v>3.4333369999999999</c:v>
                </c:pt>
                <c:pt idx="9">
                  <c:v>3.0913000000000004</c:v>
                </c:pt>
                <c:pt idx="10">
                  <c:v>2.5627109999999997</c:v>
                </c:pt>
                <c:pt idx="11">
                  <c:v>2.0329999999999999</c:v>
                </c:pt>
                <c:pt idx="12">
                  <c:v>1.6729449999999999</c:v>
                </c:pt>
                <c:pt idx="13">
                  <c:v>0.94490599999999991</c:v>
                </c:pt>
                <c:pt idx="14">
                  <c:v>0.80113299999999998</c:v>
                </c:pt>
                <c:pt idx="15">
                  <c:v>0.74895500000000004</c:v>
                </c:pt>
                <c:pt idx="16">
                  <c:v>0.6946</c:v>
                </c:pt>
                <c:pt idx="17">
                  <c:v>0.41976400000000003</c:v>
                </c:pt>
                <c:pt idx="18">
                  <c:v>0.38870699999999997</c:v>
                </c:pt>
                <c:pt idx="19">
                  <c:v>0.37173500000000004</c:v>
                </c:pt>
                <c:pt idx="20">
                  <c:v>0.27033999999999997</c:v>
                </c:pt>
                <c:pt idx="21">
                  <c:v>0.13789999999999999</c:v>
                </c:pt>
                <c:pt idx="22">
                  <c:v>0.1087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7661952"/>
        <c:axId val="167663488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 rot="-5400000" vert="horz"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'2'!$N$7:$N$29</c:f>
              <c:strCache>
                <c:ptCount val="23"/>
                <c:pt idx="0">
                  <c:v>Švédsko</c:v>
                </c:pt>
                <c:pt idx="1">
                  <c:v>Nizozemsko</c:v>
                </c:pt>
                <c:pt idx="2">
                  <c:v>Španělsko</c:v>
                </c:pt>
                <c:pt idx="3">
                  <c:v>Rakousko</c:v>
                </c:pt>
                <c:pt idx="4">
                  <c:v>Belgie</c:v>
                </c:pt>
                <c:pt idx="5">
                  <c:v>Dánsko</c:v>
                </c:pt>
                <c:pt idx="6">
                  <c:v>Finsko</c:v>
                </c:pt>
                <c:pt idx="7">
                  <c:v>Polsko</c:v>
                </c:pt>
                <c:pt idx="8">
                  <c:v>Česko</c:v>
                </c:pt>
                <c:pt idx="9">
                  <c:v>Irsko</c:v>
                </c:pt>
                <c:pt idx="10">
                  <c:v>Portugalsko</c:v>
                </c:pt>
                <c:pt idx="11">
                  <c:v>Řecko</c:v>
                </c:pt>
                <c:pt idx="12">
                  <c:v>Maďarsko</c:v>
                </c:pt>
                <c:pt idx="13">
                  <c:v>Rumunsko</c:v>
                </c:pt>
                <c:pt idx="14">
                  <c:v>Slovinsko</c:v>
                </c:pt>
                <c:pt idx="15">
                  <c:v>Slovensko</c:v>
                </c:pt>
                <c:pt idx="16">
                  <c:v>Lucembursko</c:v>
                </c:pt>
                <c:pt idx="17">
                  <c:v>Chorvatsko</c:v>
                </c:pt>
                <c:pt idx="18">
                  <c:v>Bulharsko</c:v>
                </c:pt>
                <c:pt idx="19">
                  <c:v>Litva</c:v>
                </c:pt>
                <c:pt idx="20">
                  <c:v>Estonsko</c:v>
                </c:pt>
                <c:pt idx="21">
                  <c:v>Lotyšsko</c:v>
                </c:pt>
                <c:pt idx="22">
                  <c:v>Kypr</c:v>
                </c:pt>
              </c:strCache>
            </c:strRef>
          </c:cat>
          <c:val>
            <c:numRef>
              <c:f>'2'!$P$7:$P$29</c:f>
              <c:numCache>
                <c:formatCode>0.00%</c:formatCode>
                <c:ptCount val="23"/>
                <c:pt idx="0">
                  <c:v>3.3300000000000003E-2</c:v>
                </c:pt>
                <c:pt idx="1">
                  <c:v>1.9900000000000001E-2</c:v>
                </c:pt>
                <c:pt idx="2">
                  <c:v>1.1899999999999999E-2</c:v>
                </c:pt>
                <c:pt idx="3">
                  <c:v>3.1600000000000003E-2</c:v>
                </c:pt>
                <c:pt idx="4">
                  <c:v>2.58E-2</c:v>
                </c:pt>
                <c:pt idx="5">
                  <c:v>3.0600000000000002E-2</c:v>
                </c:pt>
                <c:pt idx="6">
                  <c:v>2.76E-2</c:v>
                </c:pt>
                <c:pt idx="7">
                  <c:v>1.03E-2</c:v>
                </c:pt>
                <c:pt idx="8">
                  <c:v>1.7899999999999999E-2</c:v>
                </c:pt>
                <c:pt idx="9">
                  <c:v>1.0500000000000001E-2</c:v>
                </c:pt>
                <c:pt idx="10">
                  <c:v>1.32E-2</c:v>
                </c:pt>
                <c:pt idx="11">
                  <c:v>1.1299999999999999E-2</c:v>
                </c:pt>
                <c:pt idx="12">
                  <c:v>1.3500000000000002E-2</c:v>
                </c:pt>
                <c:pt idx="13">
                  <c:v>5.0000000000000001E-3</c:v>
                </c:pt>
                <c:pt idx="14">
                  <c:v>1.8600000000000002E-2</c:v>
                </c:pt>
                <c:pt idx="15">
                  <c:v>8.8000000000000005E-3</c:v>
                </c:pt>
                <c:pt idx="16">
                  <c:v>1.26E-2</c:v>
                </c:pt>
                <c:pt idx="17">
                  <c:v>8.6E-3</c:v>
                </c:pt>
                <c:pt idx="18">
                  <c:v>7.4999999999999997E-3</c:v>
                </c:pt>
                <c:pt idx="19">
                  <c:v>8.8000000000000005E-3</c:v>
                </c:pt>
                <c:pt idx="20">
                  <c:v>1.2500000000000001E-2</c:v>
                </c:pt>
                <c:pt idx="21">
                  <c:v>5.1000000000000004E-3</c:v>
                </c:pt>
                <c:pt idx="22">
                  <c:v>5.6000000000000008E-3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665024"/>
        <c:axId val="167670912"/>
      </c:lineChart>
      <c:catAx>
        <c:axId val="167661952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663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663488"/>
        <c:scaling>
          <c:orientation val="minMax"/>
          <c:max val="2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661952"/>
        <c:crosses val="autoZero"/>
        <c:crossBetween val="between"/>
        <c:majorUnit val="2"/>
      </c:valAx>
      <c:catAx>
        <c:axId val="167665024"/>
        <c:scaling>
          <c:orientation val="minMax"/>
        </c:scaling>
        <c:delete val="1"/>
        <c:axPos val="b"/>
        <c:majorTickMark val="out"/>
        <c:minorTickMark val="none"/>
        <c:tickLblPos val="none"/>
        <c:crossAx val="167670912"/>
        <c:crosses val="autoZero"/>
        <c:auto val="1"/>
        <c:lblAlgn val="ctr"/>
        <c:lblOffset val="100"/>
        <c:noMultiLvlLbl val="0"/>
      </c:catAx>
      <c:valAx>
        <c:axId val="167670912"/>
        <c:scaling>
          <c:orientation val="minMax"/>
          <c:max val="5.000000000000001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167665024"/>
        <c:crosses val="max"/>
        <c:crossBetween val="between"/>
        <c:majorUnit val="5.000000000000001E-3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>
                <a:latin typeface="Arial" panose="020B0604020202020204" pitchFamily="34" charset="0"/>
                <a:cs typeface="Arial" panose="020B0604020202020204" pitchFamily="34" charset="0"/>
              </a:rPr>
              <a:t>Graf.</a:t>
            </a:r>
            <a:r>
              <a:rPr lang="cs-CZ" sz="1100" baseline="0">
                <a:latin typeface="Arial" panose="020B0604020202020204" pitchFamily="34" charset="0"/>
                <a:cs typeface="Arial" panose="020B0604020202020204" pitchFamily="34" charset="0"/>
              </a:rPr>
              <a:t> 3 VaV v podnikatelském sektoru v ČR – základní ukazatele</a:t>
            </a:r>
            <a:endParaRPr lang="cs-CZ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646111111111158E-2"/>
          <c:y val="0.14809696540741396"/>
          <c:w val="0.93656099999999931"/>
          <c:h val="0.72200831637618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'3'!$M$3</c:f>
              <c:strCache>
                <c:ptCount val="1"/>
                <c:pt idx="0">
                  <c:v>Výdaje na VaV (BERD) - mld.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'3'!$P$2:$Z$2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'3'!$P$3:$Z$3</c:f>
              <c:numCache>
                <c:formatCode>0.0</c:formatCode>
                <c:ptCount val="11"/>
                <c:pt idx="0">
                  <c:v>28.830971069999947</c:v>
                </c:pt>
                <c:pt idx="1">
                  <c:v>28.728395389999935</c:v>
                </c:pt>
                <c:pt idx="2">
                  <c:v>28.125531299999992</c:v>
                </c:pt>
                <c:pt idx="3">
                  <c:v>30.013273679999994</c:v>
                </c:pt>
                <c:pt idx="4">
                  <c:v>34.148021219999968</c:v>
                </c:pt>
                <c:pt idx="5">
                  <c:v>38.227991750000008</c:v>
                </c:pt>
                <c:pt idx="6">
                  <c:v>41.512703839999986</c:v>
                </c:pt>
                <c:pt idx="7">
                  <c:v>46.980508809999925</c:v>
                </c:pt>
                <c:pt idx="8">
                  <c:v>48.147505049999978</c:v>
                </c:pt>
                <c:pt idx="9">
                  <c:v>48.980262270849551</c:v>
                </c:pt>
                <c:pt idx="10">
                  <c:v>56.810126667346253</c:v>
                </c:pt>
              </c:numCache>
            </c:numRef>
          </c:val>
        </c:ser>
        <c:ser>
          <c:idx val="1"/>
          <c:order val="1"/>
          <c:tx>
            <c:strRef>
              <c:f>'3'!$M$4</c:f>
              <c:strCache>
                <c:ptCount val="1"/>
                <c:pt idx="0">
                  <c:v>Pracující ve VaV - tis. přepočtených osob (FTE)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prstDash val="solid"/>
            </a:ln>
          </c:spPr>
          <c:invertIfNegative val="0"/>
          <c:dLbls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'3'!$P$2:$Z$2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'3'!$P$4:$Z$4</c:f>
              <c:numCache>
                <c:formatCode>0.0</c:formatCode>
                <c:ptCount val="11"/>
                <c:pt idx="0">
                  <c:v>24.602159344999961</c:v>
                </c:pt>
                <c:pt idx="1">
                  <c:v>25.54225969499997</c:v>
                </c:pt>
                <c:pt idx="2">
                  <c:v>25.382320524999972</c:v>
                </c:pt>
                <c:pt idx="3">
                  <c:v>26.540851345000014</c:v>
                </c:pt>
                <c:pt idx="4">
                  <c:v>29.01449732999993</c:v>
                </c:pt>
                <c:pt idx="5">
                  <c:v>31.705078565000001</c:v>
                </c:pt>
                <c:pt idx="6">
                  <c:v>33.18782908999998</c:v>
                </c:pt>
                <c:pt idx="7">
                  <c:v>35.25638820999999</c:v>
                </c:pt>
                <c:pt idx="8">
                  <c:v>36.365329954999972</c:v>
                </c:pt>
                <c:pt idx="9">
                  <c:v>37.263212953067359</c:v>
                </c:pt>
                <c:pt idx="10">
                  <c:v>39.967771617079883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7719680"/>
        <c:axId val="167721216"/>
      </c:barChart>
      <c:lineChart>
        <c:grouping val="standard"/>
        <c:varyColors val="0"/>
        <c:ser>
          <c:idx val="2"/>
          <c:order val="2"/>
          <c:tx>
            <c:strRef>
              <c:f>'3'!$M$5</c:f>
              <c:strCache>
                <c:ptCount val="1"/>
                <c:pt idx="0">
                  <c:v>Podíl výdajů na VaV na HDP (Intenzita VaV)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'3'!$P$2:$Z$2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'3'!$P$5:$Z$5</c:f>
              <c:numCache>
                <c:formatCode>0.00%</c:formatCode>
                <c:ptCount val="11"/>
                <c:pt idx="0">
                  <c:v>7.5078366284152143E-3</c:v>
                </c:pt>
                <c:pt idx="1">
                  <c:v>7.139055695945206E-3</c:v>
                </c:pt>
                <c:pt idx="2">
                  <c:v>7.1558790192063956E-3</c:v>
                </c:pt>
                <c:pt idx="3">
                  <c:v>7.5743965572936424E-3</c:v>
                </c:pt>
                <c:pt idx="4">
                  <c:v>8.4655665056504337E-3</c:v>
                </c:pt>
                <c:pt idx="5">
                  <c:v>9.4159656046732074E-3</c:v>
                </c:pt>
                <c:pt idx="6">
                  <c:v>1.0129674778337814E-2</c:v>
                </c:pt>
                <c:pt idx="7">
                  <c:v>1.0890775791305492E-2</c:v>
                </c:pt>
                <c:pt idx="8">
                  <c:v>1.0476453098416522E-2</c:v>
                </c:pt>
                <c:pt idx="9">
                  <c:v>1.0272727558331612E-2</c:v>
                </c:pt>
                <c:pt idx="10">
                  <c:v>1.1260259611207007E-2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728640"/>
        <c:axId val="167727104"/>
      </c:lineChart>
      <c:catAx>
        <c:axId val="16771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cs-CZ"/>
          </a:p>
        </c:txPr>
        <c:crossAx val="167721216"/>
        <c:crosses val="autoZero"/>
        <c:auto val="1"/>
        <c:lblAlgn val="ctr"/>
        <c:lblOffset val="100"/>
        <c:noMultiLvlLbl val="0"/>
      </c:catAx>
      <c:valAx>
        <c:axId val="167721216"/>
        <c:scaling>
          <c:orientation val="minMax"/>
          <c:max val="65"/>
        </c:scaling>
        <c:delete val="0"/>
        <c:axPos val="l"/>
        <c:numFmt formatCode="0" sourceLinked="0"/>
        <c:majorTickMark val="none"/>
        <c:minorTickMark val="none"/>
        <c:tickLblPos val="none"/>
        <c:spPr>
          <a:ln w="25400">
            <a:noFill/>
          </a:ln>
        </c:spPr>
        <c:crossAx val="167719680"/>
        <c:crosses val="autoZero"/>
        <c:crossBetween val="between"/>
        <c:majorUnit val="10"/>
        <c:minorUnit val="1"/>
      </c:valAx>
      <c:valAx>
        <c:axId val="167727104"/>
        <c:scaling>
          <c:orientation val="minMax"/>
          <c:max val="1.2000000000000002E-2"/>
          <c:min val="0"/>
        </c:scaling>
        <c:delete val="0"/>
        <c:axPos val="r"/>
        <c:numFmt formatCode="0.00%" sourceLinked="0"/>
        <c:majorTickMark val="none"/>
        <c:minorTickMark val="none"/>
        <c:tickLblPos val="none"/>
        <c:spPr>
          <a:ln w="12700">
            <a:noFill/>
          </a:ln>
        </c:spPr>
        <c:crossAx val="167728640"/>
        <c:crosses val="max"/>
        <c:crossBetween val="between"/>
        <c:majorUnit val="1.0000000000000002E-3"/>
        <c:minorUnit val="1.0000000000000013E-4"/>
      </c:valAx>
      <c:catAx>
        <c:axId val="1677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7727104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1.2893273627079685E-2"/>
          <c:y val="0.11235083353000494"/>
          <c:w val="0.44525873791035853"/>
          <c:h val="0.15133986998219229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67137978720403"/>
          <c:y val="2.8389884999314843E-2"/>
          <c:w val="0.70064403239917594"/>
          <c:h val="0.625251426904972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invertIfNegative val="0"/>
            <c:bubble3D val="0"/>
          </c:dPt>
          <c:cat>
            <c:strRef>
              <c:f>'4'!$M$2:$M$6</c:f>
              <c:strCache>
                <c:ptCount val="5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  <c:pt idx="4">
                  <c:v>Švédsko</c:v>
                </c:pt>
              </c:strCache>
            </c:strRef>
          </c:cat>
          <c:val>
            <c:numRef>
              <c:f>'4'!$N$2:$N$6</c:f>
              <c:numCache>
                <c:formatCode>General</c:formatCode>
                <c:ptCount val="5"/>
                <c:pt idx="0">
                  <c:v>68.644000000000005</c:v>
                </c:pt>
                <c:pt idx="1">
                  <c:v>31.8658</c:v>
                </c:pt>
                <c:pt idx="2">
                  <c:v>26.286073000000002</c:v>
                </c:pt>
                <c:pt idx="3">
                  <c:v>14.347082</c:v>
                </c:pt>
                <c:pt idx="4">
                  <c:v>11.159822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7769216"/>
        <c:axId val="167770752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7.6551505131620734E-2"/>
                  <c:y val="0.131517784414879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6551505131620734E-2"/>
                  <c:y val="9.9616858237547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'4'!$M$2:$M$6</c:f>
              <c:strCache>
                <c:ptCount val="5"/>
                <c:pt idx="0">
                  <c:v>Německo</c:v>
                </c:pt>
                <c:pt idx="1">
                  <c:v>Francie</c:v>
                </c:pt>
                <c:pt idx="2">
                  <c:v>V. Británie</c:v>
                </c:pt>
                <c:pt idx="3">
                  <c:v>Itálie</c:v>
                </c:pt>
                <c:pt idx="4">
                  <c:v>Švédsko</c:v>
                </c:pt>
              </c:strCache>
            </c:strRef>
          </c:cat>
          <c:val>
            <c:numRef>
              <c:f>'4'!$O$2:$O$6</c:f>
              <c:numCache>
                <c:formatCode>0.00%</c:formatCode>
                <c:ptCount val="5"/>
                <c:pt idx="0">
                  <c:v>2.0899999999999998E-2</c:v>
                </c:pt>
                <c:pt idx="1">
                  <c:v>1.43E-2</c:v>
                </c:pt>
                <c:pt idx="2">
                  <c:v>1.1299999999999999E-2</c:v>
                </c:pt>
                <c:pt idx="3">
                  <c:v>8.3000000000000001E-3</c:v>
                </c:pt>
                <c:pt idx="4">
                  <c:v>2.35E-2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805312"/>
        <c:axId val="167806848"/>
      </c:lineChart>
      <c:catAx>
        <c:axId val="167769216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770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770752"/>
        <c:scaling>
          <c:orientation val="minMax"/>
          <c:max val="7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769216"/>
        <c:crosses val="autoZero"/>
        <c:crossBetween val="between"/>
        <c:majorUnit val="15"/>
        <c:minorUnit val="0.1"/>
      </c:valAx>
      <c:catAx>
        <c:axId val="167805312"/>
        <c:scaling>
          <c:orientation val="minMax"/>
        </c:scaling>
        <c:delete val="1"/>
        <c:axPos val="b"/>
        <c:majorTickMark val="out"/>
        <c:minorTickMark val="none"/>
        <c:tickLblPos val="none"/>
        <c:crossAx val="167806848"/>
        <c:crosses val="autoZero"/>
        <c:auto val="1"/>
        <c:lblAlgn val="ctr"/>
        <c:lblOffset val="100"/>
        <c:noMultiLvlLbl val="0"/>
      </c:catAx>
      <c:valAx>
        <c:axId val="167806848"/>
        <c:scaling>
          <c:orientation val="minMax"/>
          <c:max val="2.5000000000000005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167805312"/>
        <c:crosses val="max"/>
        <c:crossBetween val="between"/>
        <c:majorUnit val="5.000000000000001E-3"/>
      </c:valAx>
      <c:spPr>
        <a:ln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/>
              <a:t>Graf</a:t>
            </a:r>
            <a:r>
              <a:rPr lang="cs-CZ" sz="1100" b="1" baseline="0"/>
              <a:t> 4. Výdaje na VaV v podnikatelském sektoru (BERD), 2017 –</a:t>
            </a:r>
          </a:p>
          <a:p>
            <a:pPr>
              <a:defRPr sz="1100"/>
            </a:pPr>
            <a:r>
              <a:rPr lang="cs-CZ" sz="1100" b="1" baseline="0"/>
              <a:t> mld. EUR běžné ceny a % HDP</a:t>
            </a:r>
            <a:endParaRPr lang="cs-CZ" sz="1100" b="1"/>
          </a:p>
        </c:rich>
      </c:tx>
      <c:layout>
        <c:manualLayout>
          <c:xMode val="edge"/>
          <c:yMode val="edge"/>
          <c:x val="0.19946552287581698"/>
          <c:y val="2.812924246538148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785920164887364E-2"/>
          <c:y val="8.9342060090589939E-2"/>
          <c:w val="0.91718193968085282"/>
          <c:h val="0.6326937581078226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noFill/>
              </a:ln>
            </c:spPr>
          </c:dPt>
          <c:dPt>
            <c:idx val="9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4"/>
            <c:invertIfNegative val="0"/>
            <c:bubble3D val="0"/>
          </c:dPt>
          <c:cat>
            <c:strRef>
              <c:f>'4'!$M$7:$M$29</c:f>
              <c:strCache>
                <c:ptCount val="23"/>
                <c:pt idx="0">
                  <c:v>Nizozemsko</c:v>
                </c:pt>
                <c:pt idx="1">
                  <c:v>Rakousko</c:v>
                </c:pt>
                <c:pt idx="2">
                  <c:v>Belgie</c:v>
                </c:pt>
                <c:pt idx="3">
                  <c:v>Španělsko</c:v>
                </c:pt>
                <c:pt idx="4">
                  <c:v>Dánsko</c:v>
                </c:pt>
                <c:pt idx="5">
                  <c:v>Finsko</c:v>
                </c:pt>
                <c:pt idx="6">
                  <c:v>Polsko</c:v>
                </c:pt>
                <c:pt idx="7">
                  <c:v>Irsko</c:v>
                </c:pt>
                <c:pt idx="8">
                  <c:v>Česko</c:v>
                </c:pt>
                <c:pt idx="9">
                  <c:v>Portugalsko</c:v>
                </c:pt>
                <c:pt idx="10">
                  <c:v>Maďarsko</c:v>
                </c:pt>
                <c:pt idx="11">
                  <c:v>Řecko</c:v>
                </c:pt>
                <c:pt idx="12">
                  <c:v>Slovinsko</c:v>
                </c:pt>
                <c:pt idx="13">
                  <c:v>Rumunsko</c:v>
                </c:pt>
                <c:pt idx="14">
                  <c:v>Slovensko</c:v>
                </c:pt>
                <c:pt idx="15">
                  <c:v>Lucembursko</c:v>
                </c:pt>
                <c:pt idx="16">
                  <c:v>Bulharsko</c:v>
                </c:pt>
                <c:pt idx="17">
                  <c:v>Chorvatsko</c:v>
                </c:pt>
                <c:pt idx="18">
                  <c:v>Estonsko</c:v>
                </c:pt>
                <c:pt idx="19">
                  <c:v>Litva</c:v>
                </c:pt>
                <c:pt idx="20">
                  <c:v>Kypr</c:v>
                </c:pt>
                <c:pt idx="21">
                  <c:v>Malta</c:v>
                </c:pt>
                <c:pt idx="22">
                  <c:v>Lotyšsko</c:v>
                </c:pt>
              </c:strCache>
            </c:strRef>
          </c:cat>
          <c:val>
            <c:numRef>
              <c:f>'4'!$N$7:$N$29</c:f>
              <c:numCache>
                <c:formatCode>General</c:formatCode>
                <c:ptCount val="23"/>
                <c:pt idx="0">
                  <c:v>8.626100000000001</c:v>
                </c:pt>
                <c:pt idx="1">
                  <c:v>8.1996099999999998</c:v>
                </c:pt>
                <c:pt idx="2">
                  <c:v>7.71089</c:v>
                </c:pt>
                <c:pt idx="3">
                  <c:v>7.1260000000000003</c:v>
                </c:pt>
                <c:pt idx="4">
                  <c:v>5.7661389999999999</c:v>
                </c:pt>
                <c:pt idx="5">
                  <c:v>4.0282999999999998</c:v>
                </c:pt>
                <c:pt idx="6">
                  <c:v>3.114484</c:v>
                </c:pt>
                <c:pt idx="7">
                  <c:v>2.1844999999999999</c:v>
                </c:pt>
                <c:pt idx="8">
                  <c:v>2.1579479999999998</c:v>
                </c:pt>
                <c:pt idx="9">
                  <c:v>1.295247</c:v>
                </c:pt>
                <c:pt idx="10">
                  <c:v>1.223104</c:v>
                </c:pt>
                <c:pt idx="11">
                  <c:v>0.99080999999999997</c:v>
                </c:pt>
                <c:pt idx="12">
                  <c:v>0.59842799999999996</c:v>
                </c:pt>
                <c:pt idx="13">
                  <c:v>0.53592300000000004</c:v>
                </c:pt>
                <c:pt idx="14">
                  <c:v>0.40532100000000004</c:v>
                </c:pt>
                <c:pt idx="15">
                  <c:v>0.37489999999999996</c:v>
                </c:pt>
                <c:pt idx="16">
                  <c:v>0.27306999999999998</c:v>
                </c:pt>
                <c:pt idx="17">
                  <c:v>0.209562</c:v>
                </c:pt>
                <c:pt idx="18">
                  <c:v>0.13921</c:v>
                </c:pt>
                <c:pt idx="19">
                  <c:v>0.13229299999999999</c:v>
                </c:pt>
                <c:pt idx="20">
                  <c:v>3.9700000000000006E-2</c:v>
                </c:pt>
                <c:pt idx="21">
                  <c:v>3.8143999999999997E-2</c:v>
                </c:pt>
                <c:pt idx="22">
                  <c:v>3.7499999999999999E-2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7826176"/>
        <c:axId val="167827712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 rot="-5400000" vert="horz"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'4'!$M$7:$M$29</c:f>
              <c:strCache>
                <c:ptCount val="23"/>
                <c:pt idx="0">
                  <c:v>Nizozemsko</c:v>
                </c:pt>
                <c:pt idx="1">
                  <c:v>Rakousko</c:v>
                </c:pt>
                <c:pt idx="2">
                  <c:v>Belgie</c:v>
                </c:pt>
                <c:pt idx="3">
                  <c:v>Španělsko</c:v>
                </c:pt>
                <c:pt idx="4">
                  <c:v>Dánsko</c:v>
                </c:pt>
                <c:pt idx="5">
                  <c:v>Finsko</c:v>
                </c:pt>
                <c:pt idx="6">
                  <c:v>Polsko</c:v>
                </c:pt>
                <c:pt idx="7">
                  <c:v>Irsko</c:v>
                </c:pt>
                <c:pt idx="8">
                  <c:v>Česko</c:v>
                </c:pt>
                <c:pt idx="9">
                  <c:v>Portugalsko</c:v>
                </c:pt>
                <c:pt idx="10">
                  <c:v>Maďarsko</c:v>
                </c:pt>
                <c:pt idx="11">
                  <c:v>Řecko</c:v>
                </c:pt>
                <c:pt idx="12">
                  <c:v>Slovinsko</c:v>
                </c:pt>
                <c:pt idx="13">
                  <c:v>Rumunsko</c:v>
                </c:pt>
                <c:pt idx="14">
                  <c:v>Slovensko</c:v>
                </c:pt>
                <c:pt idx="15">
                  <c:v>Lucembursko</c:v>
                </c:pt>
                <c:pt idx="16">
                  <c:v>Bulharsko</c:v>
                </c:pt>
                <c:pt idx="17">
                  <c:v>Chorvatsko</c:v>
                </c:pt>
                <c:pt idx="18">
                  <c:v>Estonsko</c:v>
                </c:pt>
                <c:pt idx="19">
                  <c:v>Litva</c:v>
                </c:pt>
                <c:pt idx="20">
                  <c:v>Kypr</c:v>
                </c:pt>
                <c:pt idx="21">
                  <c:v>Malta</c:v>
                </c:pt>
                <c:pt idx="22">
                  <c:v>Lotyšsko</c:v>
                </c:pt>
              </c:strCache>
            </c:strRef>
          </c:cat>
          <c:val>
            <c:numRef>
              <c:f>'4'!$O$7:$O$29</c:f>
              <c:numCache>
                <c:formatCode>0.00%</c:formatCode>
                <c:ptCount val="23"/>
                <c:pt idx="0">
                  <c:v>1.1699999999999999E-2</c:v>
                </c:pt>
                <c:pt idx="1">
                  <c:v>2.2200000000000001E-2</c:v>
                </c:pt>
                <c:pt idx="2">
                  <c:v>1.7600000000000001E-2</c:v>
                </c:pt>
                <c:pt idx="3">
                  <c:v>6.4000000000000003E-3</c:v>
                </c:pt>
                <c:pt idx="4">
                  <c:v>1.9699999999999999E-2</c:v>
                </c:pt>
                <c:pt idx="5">
                  <c:v>1.8000000000000002E-2</c:v>
                </c:pt>
                <c:pt idx="6">
                  <c:v>6.7000000000000002E-3</c:v>
                </c:pt>
                <c:pt idx="7">
                  <c:v>7.4000000000000003E-3</c:v>
                </c:pt>
                <c:pt idx="8">
                  <c:v>1.1299999999999999E-2</c:v>
                </c:pt>
                <c:pt idx="9">
                  <c:v>6.7000000000000002E-3</c:v>
                </c:pt>
                <c:pt idx="10">
                  <c:v>9.8999999999999991E-3</c:v>
                </c:pt>
                <c:pt idx="11">
                  <c:v>5.5000000000000005E-3</c:v>
                </c:pt>
                <c:pt idx="12">
                  <c:v>1.3899999999999999E-2</c:v>
                </c:pt>
                <c:pt idx="13">
                  <c:v>2.8999999999999998E-3</c:v>
                </c:pt>
                <c:pt idx="14">
                  <c:v>4.7999999999999996E-3</c:v>
                </c:pt>
                <c:pt idx="15">
                  <c:v>6.8000000000000005E-3</c:v>
                </c:pt>
                <c:pt idx="16">
                  <c:v>5.3E-3</c:v>
                </c:pt>
                <c:pt idx="17">
                  <c:v>4.3E-3</c:v>
                </c:pt>
                <c:pt idx="18">
                  <c:v>6.4000000000000003E-3</c:v>
                </c:pt>
                <c:pt idx="19">
                  <c:v>3.0999999999999999E-3</c:v>
                </c:pt>
                <c:pt idx="20">
                  <c:v>2E-3</c:v>
                </c:pt>
                <c:pt idx="21">
                  <c:v>3.4000000000000002E-3</c:v>
                </c:pt>
                <c:pt idx="22">
                  <c:v>1.4000000000000002E-3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829504"/>
        <c:axId val="167831040"/>
      </c:lineChart>
      <c:catAx>
        <c:axId val="167826176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827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827712"/>
        <c:scaling>
          <c:orientation val="minMax"/>
          <c:max val="1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7826176"/>
        <c:crosses val="autoZero"/>
        <c:crossBetween val="between"/>
        <c:majorUnit val="2"/>
      </c:valAx>
      <c:catAx>
        <c:axId val="167829504"/>
        <c:scaling>
          <c:orientation val="minMax"/>
        </c:scaling>
        <c:delete val="1"/>
        <c:axPos val="b"/>
        <c:majorTickMark val="out"/>
        <c:minorTickMark val="none"/>
        <c:tickLblPos val="none"/>
        <c:crossAx val="167831040"/>
        <c:crosses val="autoZero"/>
        <c:auto val="1"/>
        <c:lblAlgn val="ctr"/>
        <c:lblOffset val="100"/>
        <c:noMultiLvlLbl val="0"/>
      </c:catAx>
      <c:valAx>
        <c:axId val="167831040"/>
        <c:scaling>
          <c:orientation val="minMax"/>
          <c:max val="2.5000000000000005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167829504"/>
        <c:crosses val="max"/>
        <c:crossBetween val="between"/>
        <c:majorUnit val="5.000000000000001E-3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Graf 5. VaV ve vládním sektoru v ČR – základní ukazatele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646111111111158E-2"/>
          <c:y val="0.13023474593765666"/>
          <c:w val="0.93656099999999931"/>
          <c:h val="0.68116749804180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'5'!$M$3</c:f>
              <c:strCache>
                <c:ptCount val="1"/>
                <c:pt idx="0">
                  <c:v>Výdaje na VaV (GOVERD) - mld.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'5'!$P$3:$Z$3</c:f>
              <c:numCache>
                <c:formatCode>0.0</c:formatCode>
                <c:ptCount val="11"/>
                <c:pt idx="0">
                  <c:v>11.66952</c:v>
                </c:pt>
                <c:pt idx="1">
                  <c:v>11.703318080000006</c:v>
                </c:pt>
                <c:pt idx="2">
                  <c:v>12.302210680000002</c:v>
                </c:pt>
                <c:pt idx="3">
                  <c:v>12.020049999999999</c:v>
                </c:pt>
                <c:pt idx="4">
                  <c:v>12.971688390000002</c:v>
                </c:pt>
                <c:pt idx="5">
                  <c:v>13.884387999999996</c:v>
                </c:pt>
                <c:pt idx="6">
                  <c:v>14.875443690000003</c:v>
                </c:pt>
                <c:pt idx="7">
                  <c:v>16.145349639999996</c:v>
                </c:pt>
                <c:pt idx="8">
                  <c:v>18.090630999999988</c:v>
                </c:pt>
                <c:pt idx="9">
                  <c:v>14.549474000000004</c:v>
                </c:pt>
                <c:pt idx="10">
                  <c:v>15.58229800000001</c:v>
                </c:pt>
              </c:numCache>
            </c:numRef>
          </c:val>
        </c:ser>
        <c:ser>
          <c:idx val="1"/>
          <c:order val="1"/>
          <c:tx>
            <c:strRef>
              <c:f>'5'!$M$4</c:f>
              <c:strCache>
                <c:ptCount val="1"/>
                <c:pt idx="0">
                  <c:v>Pracující ve VaV - tis. přepočtených osob (FTE)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prstDash val="solid"/>
            </a:ln>
          </c:spPr>
          <c:invertIfNegative val="0"/>
          <c:dLbls>
            <c:txPr>
              <a:bodyPr rot="-5400000" vert="horz"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'5'!$P$4:$Z$4</c:f>
              <c:numCache>
                <c:formatCode>0.0</c:formatCode>
                <c:ptCount val="11"/>
                <c:pt idx="0">
                  <c:v>11.762767000000004</c:v>
                </c:pt>
                <c:pt idx="1">
                  <c:v>11.699569640000004</c:v>
                </c:pt>
                <c:pt idx="2">
                  <c:v>11.518050285000006</c:v>
                </c:pt>
                <c:pt idx="3">
                  <c:v>11.383917499999997</c:v>
                </c:pt>
                <c:pt idx="4">
                  <c:v>11.627284345000007</c:v>
                </c:pt>
                <c:pt idx="5">
                  <c:v>11.864140000000001</c:v>
                </c:pt>
                <c:pt idx="6">
                  <c:v>12.275075000000012</c:v>
                </c:pt>
                <c:pt idx="7">
                  <c:v>12.379623670000003</c:v>
                </c:pt>
                <c:pt idx="8">
                  <c:v>12.953131000000003</c:v>
                </c:pt>
                <c:pt idx="9">
                  <c:v>13.098984500000004</c:v>
                </c:pt>
                <c:pt idx="10">
                  <c:v>13.6893505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7876096"/>
        <c:axId val="167877632"/>
      </c:barChart>
      <c:lineChart>
        <c:grouping val="standard"/>
        <c:varyColors val="0"/>
        <c:ser>
          <c:idx val="2"/>
          <c:order val="2"/>
          <c:tx>
            <c:strRef>
              <c:f>'5'!$M$5</c:f>
              <c:strCache>
                <c:ptCount val="1"/>
                <c:pt idx="0">
                  <c:v>Podíl výdajů na VaV na HDP (Intenzita VaV)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'5'!$P$2:$Z$2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'5'!$P$5:$Z$5</c:f>
              <c:numCache>
                <c:formatCode>0.00%</c:formatCode>
                <c:ptCount val="11"/>
                <c:pt idx="0">
                  <c:v>3.0388449101941412E-3</c:v>
                </c:pt>
                <c:pt idx="1">
                  <c:v>2.9082946842748356E-3</c:v>
                </c:pt>
                <c:pt idx="2">
                  <c:v>3.1300077625509206E-3</c:v>
                </c:pt>
                <c:pt idx="3">
                  <c:v>3.03347866378092E-3</c:v>
                </c:pt>
                <c:pt idx="4">
                  <c:v>3.2157848927364214E-3</c:v>
                </c:pt>
                <c:pt idx="5">
                  <c:v>3.4198741253504976E-3</c:v>
                </c:pt>
                <c:pt idx="6">
                  <c:v>3.6298143176591844E-3</c:v>
                </c:pt>
                <c:pt idx="7">
                  <c:v>3.7427304951633024E-3</c:v>
                </c:pt>
                <c:pt idx="8">
                  <c:v>3.9363544797480637E-3</c:v>
                </c:pt>
                <c:pt idx="9">
                  <c:v>3.0514900408767638E-3</c:v>
                </c:pt>
                <c:pt idx="10">
                  <c:v>3.0885465516844982E-3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901440"/>
        <c:axId val="167899904"/>
      </c:lineChart>
      <c:catAx>
        <c:axId val="16787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cs-CZ"/>
          </a:p>
        </c:txPr>
        <c:crossAx val="167877632"/>
        <c:crossesAt val="0"/>
        <c:auto val="1"/>
        <c:lblAlgn val="ctr"/>
        <c:lblOffset val="100"/>
        <c:noMultiLvlLbl val="0"/>
      </c:catAx>
      <c:valAx>
        <c:axId val="167877632"/>
        <c:scaling>
          <c:orientation val="minMax"/>
          <c:max val="27"/>
          <c:min val="0"/>
        </c:scaling>
        <c:delete val="0"/>
        <c:axPos val="l"/>
        <c:numFmt formatCode="0" sourceLinked="0"/>
        <c:majorTickMark val="none"/>
        <c:minorTickMark val="none"/>
        <c:tickLblPos val="none"/>
        <c:spPr>
          <a:ln w="25400">
            <a:noFill/>
          </a:ln>
        </c:spPr>
        <c:crossAx val="167876096"/>
        <c:crosses val="autoZero"/>
        <c:crossBetween val="between"/>
        <c:minorUnit val="1"/>
      </c:valAx>
      <c:valAx>
        <c:axId val="167899904"/>
        <c:scaling>
          <c:orientation val="minMax"/>
          <c:max val="5.000000000000001E-3"/>
          <c:min val="0"/>
        </c:scaling>
        <c:delete val="0"/>
        <c:axPos val="r"/>
        <c:numFmt formatCode="0.00%" sourceLinked="0"/>
        <c:majorTickMark val="none"/>
        <c:minorTickMark val="none"/>
        <c:tickLblPos val="none"/>
        <c:spPr>
          <a:ln w="12700">
            <a:noFill/>
          </a:ln>
        </c:spPr>
        <c:crossAx val="167901440"/>
        <c:crosses val="max"/>
        <c:crossBetween val="between"/>
        <c:majorUnit val="1.0000000000000002E-3"/>
        <c:minorUnit val="1.0000000000000013E-4"/>
      </c:valAx>
      <c:catAx>
        <c:axId val="167901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7899904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6.6678104575163388E-3"/>
          <c:y val="0.11974960349207686"/>
          <c:w val="0.45966014811528838"/>
          <c:h val="0.16418965009053013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767137978720403"/>
          <c:y val="2.8389884999314843E-2"/>
          <c:w val="0.70064403239917594"/>
          <c:h val="0.625251426904972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invertIfNegative val="0"/>
            <c:bubble3D val="0"/>
            <c:spPr>
              <a:solidFill>
                <a:srgbClr val="93CDDD"/>
              </a:solidFill>
              <a:ln w="25400">
                <a:noFill/>
              </a:ln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invertIfNegative val="0"/>
            <c:bubble3D val="0"/>
          </c:dPt>
          <c:cat>
            <c:strRef>
              <c:f>'6'!$M$2:$M$6</c:f>
              <c:strCache>
                <c:ptCount val="5"/>
                <c:pt idx="0">
                  <c:v>Německo</c:v>
                </c:pt>
                <c:pt idx="1">
                  <c:v>Francie</c:v>
                </c:pt>
                <c:pt idx="2">
                  <c:v>Itálie</c:v>
                </c:pt>
                <c:pt idx="3">
                  <c:v>V. Británie</c:v>
                </c:pt>
                <c:pt idx="4">
                  <c:v>Španělsko</c:v>
                </c:pt>
              </c:strCache>
            </c:strRef>
          </c:cat>
          <c:val>
            <c:numRef>
              <c:f>'6'!$N$2:$N$6</c:f>
              <c:numCache>
                <c:formatCode>General</c:formatCode>
                <c:ptCount val="5"/>
                <c:pt idx="0">
                  <c:v>13.3</c:v>
                </c:pt>
                <c:pt idx="1">
                  <c:v>6.4538400000000005</c:v>
                </c:pt>
                <c:pt idx="2">
                  <c:v>2.964156</c:v>
                </c:pt>
                <c:pt idx="3">
                  <c:v>2.5367860000000002</c:v>
                </c:pt>
                <c:pt idx="4">
                  <c:v>2.4529999999999998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8204160"/>
        <c:axId val="168205696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 rot="-5400000" vert="horz"/>
              <a:lstStyle/>
              <a:p>
                <a:pPr>
                  <a:defRPr sz="8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'6'!$M$2:$M$6</c:f>
              <c:strCache>
                <c:ptCount val="5"/>
                <c:pt idx="0">
                  <c:v>Německo</c:v>
                </c:pt>
                <c:pt idx="1">
                  <c:v>Francie</c:v>
                </c:pt>
                <c:pt idx="2">
                  <c:v>Itálie</c:v>
                </c:pt>
                <c:pt idx="3">
                  <c:v>V. Británie</c:v>
                </c:pt>
                <c:pt idx="4">
                  <c:v>Španělsko</c:v>
                </c:pt>
              </c:strCache>
            </c:strRef>
          </c:cat>
          <c:val>
            <c:numRef>
              <c:f>'6'!$O$2:$O$6</c:f>
              <c:numCache>
                <c:formatCode>0.00%</c:formatCode>
                <c:ptCount val="5"/>
                <c:pt idx="0">
                  <c:v>4.0999999999999995E-3</c:v>
                </c:pt>
                <c:pt idx="1">
                  <c:v>2.8999999999999998E-3</c:v>
                </c:pt>
                <c:pt idx="2">
                  <c:v>1.7000000000000001E-3</c:v>
                </c:pt>
                <c:pt idx="3">
                  <c:v>1.1000000000000001E-3</c:v>
                </c:pt>
                <c:pt idx="4">
                  <c:v>2.2000000000000001E-3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211584"/>
        <c:axId val="168213120"/>
      </c:lineChart>
      <c:catAx>
        <c:axId val="168204160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8205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205696"/>
        <c:scaling>
          <c:orientation val="minMax"/>
          <c:max val="1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8204160"/>
        <c:crosses val="autoZero"/>
        <c:crossBetween val="between"/>
        <c:majorUnit val="3"/>
        <c:minorUnit val="0.1"/>
      </c:valAx>
      <c:catAx>
        <c:axId val="168211584"/>
        <c:scaling>
          <c:orientation val="minMax"/>
        </c:scaling>
        <c:delete val="1"/>
        <c:axPos val="b"/>
        <c:majorTickMark val="out"/>
        <c:minorTickMark val="none"/>
        <c:tickLblPos val="none"/>
        <c:crossAx val="168213120"/>
        <c:crosses val="autoZero"/>
        <c:auto val="1"/>
        <c:lblAlgn val="ctr"/>
        <c:lblOffset val="100"/>
        <c:noMultiLvlLbl val="0"/>
      </c:catAx>
      <c:valAx>
        <c:axId val="168213120"/>
        <c:scaling>
          <c:orientation val="minMax"/>
          <c:max val="1.0000000000000002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168211584"/>
        <c:crosses val="max"/>
        <c:crossBetween val="between"/>
        <c:majorUnit val="2.0000000000000005E-3"/>
      </c:valAx>
      <c:spPr>
        <a:ln>
          <a:solidFill>
            <a:srgbClr val="808080"/>
          </a:solidFill>
        </a:ln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bg1">
          <a:lumMod val="65000"/>
        </a:schemeClr>
      </a:solidFill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cs-CZ" sz="1100" b="1"/>
              <a:t>Graf</a:t>
            </a:r>
            <a:r>
              <a:rPr lang="cs-CZ" sz="1100" b="1" baseline="0"/>
              <a:t> 6. Výdaje na VaV ve vládním sektoru (GOVERD), 2017 –</a:t>
            </a:r>
          </a:p>
          <a:p>
            <a:pPr>
              <a:defRPr sz="1100"/>
            </a:pPr>
            <a:r>
              <a:rPr lang="cs-CZ" sz="1100" b="1" baseline="0"/>
              <a:t> mld. EUR běžné ceny a % HDP</a:t>
            </a:r>
            <a:endParaRPr lang="cs-CZ" sz="1100" b="1"/>
          </a:p>
        </c:rich>
      </c:tx>
      <c:layout>
        <c:manualLayout>
          <c:xMode val="edge"/>
          <c:yMode val="edge"/>
          <c:x val="0.2015406862745098"/>
          <c:y val="2.812924246538148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785920164887364E-2"/>
          <c:y val="8.9342060090589939E-2"/>
          <c:w val="0.91718193968085282"/>
          <c:h val="0.6326937581078226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60000"/>
                <a:lumOff val="40000"/>
              </a:schemeClr>
            </a:solidFill>
            <a:ln w="25400">
              <a:noFill/>
            </a:ln>
          </c:spPr>
          <c:invertIfNegative val="0"/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noFill/>
              </a:ln>
            </c:spPr>
          </c:dPt>
          <c:dPt>
            <c:idx val="9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4"/>
            <c:invertIfNegative val="0"/>
            <c:bubble3D val="0"/>
          </c:dPt>
          <c:cat>
            <c:strRef>
              <c:f>'6'!$M$7:$M$29</c:f>
              <c:strCache>
                <c:ptCount val="23"/>
                <c:pt idx="0">
                  <c:v>Nizozemsko</c:v>
                </c:pt>
                <c:pt idx="1">
                  <c:v>Belgie</c:v>
                </c:pt>
                <c:pt idx="2">
                  <c:v>Rakousko</c:v>
                </c:pt>
                <c:pt idx="3">
                  <c:v>Česko</c:v>
                </c:pt>
                <c:pt idx="4">
                  <c:v>Švédsko</c:v>
                </c:pt>
                <c:pt idx="5">
                  <c:v>Finsko</c:v>
                </c:pt>
                <c:pt idx="6">
                  <c:v>Řecko</c:v>
                </c:pt>
                <c:pt idx="7">
                  <c:v>Rumunsko</c:v>
                </c:pt>
                <c:pt idx="8">
                  <c:v>Maďarsko</c:v>
                </c:pt>
                <c:pt idx="9">
                  <c:v>Dánsko</c:v>
                </c:pt>
                <c:pt idx="10">
                  <c:v>Lucembursko</c:v>
                </c:pt>
                <c:pt idx="11">
                  <c:v>Slovensko</c:v>
                </c:pt>
                <c:pt idx="12">
                  <c:v>Irsko</c:v>
                </c:pt>
                <c:pt idx="13">
                  <c:v>Portugalsko</c:v>
                </c:pt>
                <c:pt idx="14">
                  <c:v>Slovinsko</c:v>
                </c:pt>
                <c:pt idx="15">
                  <c:v>Polsko</c:v>
                </c:pt>
                <c:pt idx="16">
                  <c:v>Litva</c:v>
                </c:pt>
                <c:pt idx="17">
                  <c:v>Chorvatsko</c:v>
                </c:pt>
                <c:pt idx="18">
                  <c:v>Bulharsko</c:v>
                </c:pt>
                <c:pt idx="19">
                  <c:v>Lotyšsko</c:v>
                </c:pt>
                <c:pt idx="20">
                  <c:v>Estonsko</c:v>
                </c:pt>
                <c:pt idx="21">
                  <c:v>Kypr</c:v>
                </c:pt>
                <c:pt idx="22">
                  <c:v>Malta</c:v>
                </c:pt>
              </c:strCache>
            </c:strRef>
          </c:cat>
          <c:val>
            <c:numRef>
              <c:f>'6'!$N$7:$N$29</c:f>
              <c:numCache>
                <c:formatCode>General</c:formatCode>
                <c:ptCount val="23"/>
                <c:pt idx="0">
                  <c:v>1.6744000000000001</c:v>
                </c:pt>
                <c:pt idx="1">
                  <c:v>1.25529</c:v>
                </c:pt>
                <c:pt idx="2">
                  <c:v>0.82747999999999999</c:v>
                </c:pt>
                <c:pt idx="3">
                  <c:v>0.59189800000000004</c:v>
                </c:pt>
                <c:pt idx="4">
                  <c:v>0.58463300000000007</c:v>
                </c:pt>
                <c:pt idx="5">
                  <c:v>0.52710000000000001</c:v>
                </c:pt>
                <c:pt idx="6">
                  <c:v>0.44808999999999999</c:v>
                </c:pt>
                <c:pt idx="7">
                  <c:v>0.30573600000000001</c:v>
                </c:pt>
                <c:pt idx="8">
                  <c:v>0.21008399999999999</c:v>
                </c:pt>
                <c:pt idx="9">
                  <c:v>0.198962</c:v>
                </c:pt>
                <c:pt idx="10">
                  <c:v>0.18290000000000001</c:v>
                </c:pt>
                <c:pt idx="11">
                  <c:v>0.15582699999999999</c:v>
                </c:pt>
                <c:pt idx="12">
                  <c:v>0.1424</c:v>
                </c:pt>
                <c:pt idx="13">
                  <c:v>0.13528999999999999</c:v>
                </c:pt>
                <c:pt idx="14">
                  <c:v>0.110681</c:v>
                </c:pt>
                <c:pt idx="15">
                  <c:v>0.109414</c:v>
                </c:pt>
                <c:pt idx="16">
                  <c:v>0.105794</c:v>
                </c:pt>
                <c:pt idx="17">
                  <c:v>9.4132000000000007E-2</c:v>
                </c:pt>
                <c:pt idx="18">
                  <c:v>9.0123000000000009E-2</c:v>
                </c:pt>
                <c:pt idx="19">
                  <c:v>3.5999999999999997E-2</c:v>
                </c:pt>
                <c:pt idx="20">
                  <c:v>3.5799999999999998E-2</c:v>
                </c:pt>
                <c:pt idx="21">
                  <c:v>1.0800000000000001E-2</c:v>
                </c:pt>
                <c:pt idx="22">
                  <c:v>7.2199999999999999E-4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8326656"/>
        <c:axId val="168328192"/>
      </c:barChart>
      <c:lineChart>
        <c:grouping val="stacked"/>
        <c:varyColors val="0"/>
        <c:ser>
          <c:idx val="1"/>
          <c:order val="1"/>
          <c:spPr>
            <a:ln w="28575">
              <a:noFill/>
            </a:ln>
          </c:spPr>
          <c:marker>
            <c:symbol val="diamond"/>
            <c:size val="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txPr>
              <a:bodyPr rot="-5400000" vert="horz"/>
              <a:lstStyle/>
              <a:p>
                <a:pPr>
                  <a:defRPr sz="1000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'6'!$M$7:$M$29</c:f>
              <c:strCache>
                <c:ptCount val="23"/>
                <c:pt idx="0">
                  <c:v>Nizozemsko</c:v>
                </c:pt>
                <c:pt idx="1">
                  <c:v>Belgie</c:v>
                </c:pt>
                <c:pt idx="2">
                  <c:v>Rakousko</c:v>
                </c:pt>
                <c:pt idx="3">
                  <c:v>Česko</c:v>
                </c:pt>
                <c:pt idx="4">
                  <c:v>Švédsko</c:v>
                </c:pt>
                <c:pt idx="5">
                  <c:v>Finsko</c:v>
                </c:pt>
                <c:pt idx="6">
                  <c:v>Řecko</c:v>
                </c:pt>
                <c:pt idx="7">
                  <c:v>Rumunsko</c:v>
                </c:pt>
                <c:pt idx="8">
                  <c:v>Maďarsko</c:v>
                </c:pt>
                <c:pt idx="9">
                  <c:v>Dánsko</c:v>
                </c:pt>
                <c:pt idx="10">
                  <c:v>Lucembursko</c:v>
                </c:pt>
                <c:pt idx="11">
                  <c:v>Slovensko</c:v>
                </c:pt>
                <c:pt idx="12">
                  <c:v>Irsko</c:v>
                </c:pt>
                <c:pt idx="13">
                  <c:v>Portugalsko</c:v>
                </c:pt>
                <c:pt idx="14">
                  <c:v>Slovinsko</c:v>
                </c:pt>
                <c:pt idx="15">
                  <c:v>Polsko</c:v>
                </c:pt>
                <c:pt idx="16">
                  <c:v>Litva</c:v>
                </c:pt>
                <c:pt idx="17">
                  <c:v>Chorvatsko</c:v>
                </c:pt>
                <c:pt idx="18">
                  <c:v>Bulharsko</c:v>
                </c:pt>
                <c:pt idx="19">
                  <c:v>Lotyšsko</c:v>
                </c:pt>
                <c:pt idx="20">
                  <c:v>Estonsko</c:v>
                </c:pt>
                <c:pt idx="21">
                  <c:v>Kypr</c:v>
                </c:pt>
                <c:pt idx="22">
                  <c:v>Malta</c:v>
                </c:pt>
              </c:strCache>
            </c:strRef>
          </c:cat>
          <c:val>
            <c:numRef>
              <c:f>'6'!$O$7:$O$29</c:f>
              <c:numCache>
                <c:formatCode>0.00%</c:formatCode>
                <c:ptCount val="23"/>
                <c:pt idx="0">
                  <c:v>2.3E-3</c:v>
                </c:pt>
                <c:pt idx="1">
                  <c:v>2.8999999999999998E-3</c:v>
                </c:pt>
                <c:pt idx="2">
                  <c:v>2.2000000000000001E-3</c:v>
                </c:pt>
                <c:pt idx="3">
                  <c:v>3.0999999999999999E-3</c:v>
                </c:pt>
                <c:pt idx="4">
                  <c:v>1.1999999999999999E-3</c:v>
                </c:pt>
                <c:pt idx="5">
                  <c:v>2.3999999999999998E-3</c:v>
                </c:pt>
                <c:pt idx="6">
                  <c:v>2.5000000000000001E-3</c:v>
                </c:pt>
                <c:pt idx="7">
                  <c:v>1.6000000000000001E-3</c:v>
                </c:pt>
                <c:pt idx="8">
                  <c:v>1.7000000000000001E-3</c:v>
                </c:pt>
                <c:pt idx="9">
                  <c:v>7.000000000000001E-4</c:v>
                </c:pt>
                <c:pt idx="10">
                  <c:v>3.3E-3</c:v>
                </c:pt>
                <c:pt idx="11">
                  <c:v>1.8E-3</c:v>
                </c:pt>
                <c:pt idx="12">
                  <c:v>5.0000000000000001E-4</c:v>
                </c:pt>
                <c:pt idx="13">
                  <c:v>7.000000000000001E-4</c:v>
                </c:pt>
                <c:pt idx="14">
                  <c:v>2.5999999999999999E-3</c:v>
                </c:pt>
                <c:pt idx="15">
                  <c:v>2.0000000000000001E-4</c:v>
                </c:pt>
                <c:pt idx="16">
                  <c:v>2.5000000000000001E-3</c:v>
                </c:pt>
                <c:pt idx="17">
                  <c:v>1.9E-3</c:v>
                </c:pt>
                <c:pt idx="18">
                  <c:v>1.7000000000000001E-3</c:v>
                </c:pt>
                <c:pt idx="19">
                  <c:v>1.2999999999999999E-3</c:v>
                </c:pt>
                <c:pt idx="20">
                  <c:v>1.5E-3</c:v>
                </c:pt>
                <c:pt idx="21">
                  <c:v>5.9999999999999995E-4</c:v>
                </c:pt>
                <c:pt idx="22">
                  <c:v>1E-4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342272"/>
        <c:axId val="168343808"/>
      </c:lineChart>
      <c:catAx>
        <c:axId val="168326656"/>
        <c:scaling>
          <c:orientation val="minMax"/>
        </c:scaling>
        <c:delete val="0"/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832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328192"/>
        <c:scaling>
          <c:orientation val="minMax"/>
          <c:max val="2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#,##0.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68326656"/>
        <c:crosses val="autoZero"/>
        <c:crossBetween val="between"/>
        <c:majorUnit val="0.4"/>
      </c:valAx>
      <c:catAx>
        <c:axId val="168342272"/>
        <c:scaling>
          <c:orientation val="minMax"/>
        </c:scaling>
        <c:delete val="1"/>
        <c:axPos val="b"/>
        <c:majorTickMark val="out"/>
        <c:minorTickMark val="none"/>
        <c:tickLblPos val="none"/>
        <c:crossAx val="168343808"/>
        <c:crosses val="autoZero"/>
        <c:auto val="1"/>
        <c:lblAlgn val="ctr"/>
        <c:lblOffset val="100"/>
        <c:noMultiLvlLbl val="0"/>
      </c:catAx>
      <c:valAx>
        <c:axId val="168343808"/>
        <c:scaling>
          <c:orientation val="minMax"/>
          <c:max val="1.0000000000000002E-2"/>
        </c:scaling>
        <c:delete val="0"/>
        <c:axPos val="r"/>
        <c:numFmt formatCode="0.0%" sourceLinked="0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>
              <a:defRPr sz="900"/>
            </a:pPr>
            <a:endParaRPr lang="cs-CZ"/>
          </a:p>
        </c:txPr>
        <c:crossAx val="168342272"/>
        <c:crosses val="max"/>
        <c:crossBetween val="between"/>
        <c:majorUnit val="2.0000000000000005E-3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0.34424</cdr:x>
      <cdr:y>0.92954</cdr:y>
    </cdr:from>
    <cdr:to>
      <cdr:x>0.9704</cdr:x>
      <cdr:y>0.98374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05024" y="3267075"/>
          <a:ext cx="38290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</a:p>
      </cdr:txBody>
    </cdr:sp>
  </cdr:relSizeAnchor>
  <cdr:relSizeAnchor xmlns:cdr="http://schemas.openxmlformats.org/drawingml/2006/chartDrawing">
    <cdr:from>
      <cdr:x>0.04401</cdr:x>
      <cdr:y>0.00912</cdr:y>
    </cdr:from>
    <cdr:to>
      <cdr:x>0.88556</cdr:x>
      <cdr:y>0.09726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38125" y="28575"/>
          <a:ext cx="45529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0.03374</cdr:x>
      <cdr:y>0.88331</cdr:y>
    </cdr:from>
    <cdr:to>
      <cdr:x>1</cdr:x>
      <cdr:y>0.92972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06964" y="4391869"/>
          <a:ext cx="5927136" cy="2307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Pozn.:</a:t>
          </a:r>
          <a:r>
            <a:rPr lang="cs-CZ" sz="900" i="1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místo roku 2017: Estonsko, Francie a Španělsko rok 2016</a:t>
          </a:r>
          <a:endParaRPr lang="cs-CZ" sz="9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0.65835</cdr:x>
      <cdr:y>0.89214</cdr:y>
    </cdr:from>
    <cdr:to>
      <cdr:x>0.99066</cdr:x>
      <cdr:y>0.9499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4029075" y="4410295"/>
          <a:ext cx="2033770" cy="285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Zdroj: Eurostat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0.35098</cdr:x>
      <cdr:y>0.89464</cdr:y>
    </cdr:from>
    <cdr:to>
      <cdr:x>0.97714</cdr:x>
      <cdr:y>0.94914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48020" y="3127364"/>
          <a:ext cx="3832099" cy="1905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0.01824</cdr:x>
      <cdr:y>0.88527</cdr:y>
    </cdr:from>
    <cdr:to>
      <cdr:x>0.9845</cdr:x>
      <cdr:y>0.93168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12036" y="4292011"/>
          <a:ext cx="5936339" cy="2250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Pozn.:</a:t>
          </a:r>
          <a:r>
            <a:rPr lang="cs-CZ" sz="900" i="1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místo roku 2017: Estonsko, Francie a Španělsko rok 2016</a:t>
          </a:r>
          <a:endParaRPr lang="cs-CZ" sz="9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0.65056</cdr:x>
      <cdr:y>0.89999</cdr:y>
    </cdr:from>
    <cdr:to>
      <cdr:x>1</cdr:x>
      <cdr:y>0.94636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3981450" y="4474811"/>
          <a:ext cx="2138550" cy="230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Zdroj: Eurostat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0.34632</cdr:x>
      <cdr:y>0.88403</cdr:y>
    </cdr:from>
    <cdr:to>
      <cdr:x>0.97248</cdr:x>
      <cdr:y>0.93751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07868" y="3216590"/>
          <a:ext cx="3811107" cy="1945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0.03218</cdr:x>
      <cdr:y>0.88331</cdr:y>
    </cdr:from>
    <cdr:to>
      <cdr:x>0.99844</cdr:x>
      <cdr:y>0.92972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96964" y="4391861"/>
          <a:ext cx="5913511" cy="2307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Pozn.:</a:t>
          </a:r>
          <a:r>
            <a:rPr lang="cs-CZ" sz="900" i="1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místo roku 2017: Estonsko, Francie a Španělsko rok 2016</a:t>
          </a:r>
          <a:endParaRPr lang="cs-CZ" sz="9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0.68792</cdr:x>
      <cdr:y>0.90574</cdr:y>
    </cdr:from>
    <cdr:to>
      <cdr:x>0.99533</cdr:x>
      <cdr:y>0.95211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4210050" y="4503406"/>
          <a:ext cx="1881392" cy="2305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Zdroj: Eurostat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0.35721</cdr:x>
      <cdr:y>0.8935</cdr:y>
    </cdr:from>
    <cdr:to>
      <cdr:x>0.98337</cdr:x>
      <cdr:y>0.94905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186120" y="3148909"/>
          <a:ext cx="3832099" cy="195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latin typeface="Arial" panose="020B0604020202020204" pitchFamily="34" charset="0"/>
              <a:cs typeface="Arial" panose="020B0604020202020204" pitchFamily="34" charset="0"/>
            </a:rPr>
            <a:t>Zdroj: ČSÚ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0.01928</cdr:x>
      <cdr:y>0.89289</cdr:y>
    </cdr:from>
    <cdr:to>
      <cdr:x>0.98554</cdr:x>
      <cdr:y>0.9393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15163" y="4250100"/>
          <a:ext cx="5771287" cy="2209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Pozn.:</a:t>
          </a:r>
          <a:r>
            <a:rPr lang="cs-CZ" sz="900" i="1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místo roku 2017: Estonsko, Francie a Španělsko rok 2016</a:t>
          </a:r>
          <a:endParaRPr lang="cs-CZ" sz="90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0.63022</cdr:x>
      <cdr:y>0.90178</cdr:y>
    </cdr:from>
    <cdr:to>
      <cdr:x>0.99989</cdr:x>
      <cdr:y>0.94814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3764206" y="4292459"/>
          <a:ext cx="2207969" cy="2206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cs-CZ" sz="900" i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Zdroj: Eurostat</a:t>
          </a: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4350-583D-472D-81FE-2E601E66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2667</TotalTime>
  <Pages>10</Pages>
  <Words>3958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Štampach</dc:creator>
  <cp:lastModifiedBy>Mgr. Marek Štampach</cp:lastModifiedBy>
  <cp:revision>95</cp:revision>
  <cp:lastPrinted>2018-01-19T13:29:00Z</cp:lastPrinted>
  <dcterms:created xsi:type="dcterms:W3CDTF">2018-01-19T10:37:00Z</dcterms:created>
  <dcterms:modified xsi:type="dcterms:W3CDTF">2019-01-15T08:55:00Z</dcterms:modified>
</cp:coreProperties>
</file>