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E6E" w:rsidRDefault="005C2E6E">
      <w:pPr>
        <w:pStyle w:val="Nadpis1"/>
        <w:rPr>
          <w:rFonts w:ascii="Arial" w:hAnsi="Arial" w:cs="Arial"/>
          <w:b/>
          <w:bCs/>
          <w:i w:val="0"/>
          <w:iCs w:val="0"/>
          <w:sz w:val="32"/>
          <w:lang w:val="cs-CZ"/>
        </w:rPr>
      </w:pPr>
      <w:bookmarkStart w:id="0" w:name="_GoBack"/>
      <w:bookmarkEnd w:id="0"/>
      <w:r>
        <w:rPr>
          <w:rFonts w:ascii="Arial" w:hAnsi="Arial" w:cs="Arial"/>
          <w:b/>
          <w:bCs/>
          <w:i w:val="0"/>
          <w:iCs w:val="0"/>
          <w:sz w:val="32"/>
          <w:lang w:val="cs-CZ"/>
        </w:rPr>
        <w:t>Metodické vysvětlivky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Cs w:val="20"/>
          <w:lang w:val="cs-CZ"/>
        </w:rPr>
      </w:pP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u w:val="single"/>
          <w:lang w:val="cs-CZ"/>
        </w:rPr>
      </w:pPr>
      <w:r>
        <w:rPr>
          <w:rFonts w:ascii="Arial" w:hAnsi="Arial" w:cs="Arial"/>
          <w:sz w:val="20"/>
          <w:szCs w:val="20"/>
          <w:u w:val="single"/>
          <w:lang w:val="cs-CZ"/>
        </w:rPr>
        <w:t>Tabulka 1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u w:val="single"/>
          <w:lang w:val="cs-CZ"/>
        </w:rPr>
      </w:pP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u w:val="single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Průměrný evidenční počet zaměstnanců - přepočtený, ve fyzických osobách.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u w:val="single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Do evidenčního počtu zaměstnanců se zahrnují všichni stálí i dočasní zaměstnanci, kteří jsou v pracovním nebo členském poměru (kde součástí členství je též pracovní vztah) k zaměstnavateli. Avšak nezáleží na tom, zda jsou skutečně přítomni v práci či nikoliv (např. pro nemoc, dovolenou na zotavenou, vojenské cvičení apod.). Nezahrnují </w:t>
      </w:r>
      <w:proofErr w:type="gramStart"/>
      <w:r>
        <w:rPr>
          <w:rFonts w:ascii="Arial" w:hAnsi="Arial" w:cs="Arial"/>
          <w:sz w:val="20"/>
          <w:szCs w:val="20"/>
          <w:lang w:val="cs-CZ"/>
        </w:rPr>
        <w:t>se  např.</w:t>
      </w:r>
      <w:proofErr w:type="gramEnd"/>
      <w:r>
        <w:rPr>
          <w:rFonts w:ascii="Arial" w:hAnsi="Arial" w:cs="Arial"/>
          <w:sz w:val="20"/>
          <w:szCs w:val="20"/>
          <w:lang w:val="cs-CZ"/>
        </w:rPr>
        <w:t xml:space="preserve"> ženy na mateřské, osoby na rodičovské dovolené (vykonávají-li ale současně práci v pracovním poměru, zahrnují se do evidenčního počtu zaměstnanců tohoto zaměstnavatele, pro kterého práci vykonávají), osoby pracující podle dohod o pracích konaných mimo pracovní poměr a apod. Průměrný evidenční počet zaměstnanců ve fyzických osobách se vypočítává jako aritmetický průměr průměrného počtu zaměstnanců za jednotlivé měsíce. Průměrný evidenční počet zaměstnanců za měsíc se rovná součtu počtu fyzických osob v jednotlivých dnech měsíce sledovaného období (včetně dnů pracovního klidu), který se dělí plným počtem kalendářních dnů příslušného měsíce. Za dny pracovního klidu a pracovního volna se při výpočtu vezme počet zaměstnanců z předcházejícího dne. Přepočet na plně zaměstnané se provádí u zaměstnanců s kratší pracovní dobou, u zaměstnanců v pracovním poměru vykonávajících práci jen příležitostně na výzvu, u mladších zaměstnanců do </w:t>
      </w:r>
      <w:r>
        <w:rPr>
          <w:rFonts w:ascii="Arial" w:hAnsi="Arial" w:cs="Arial"/>
          <w:i/>
          <w:iCs/>
          <w:sz w:val="20"/>
          <w:szCs w:val="20"/>
          <w:lang w:val="cs-CZ"/>
        </w:rPr>
        <w:t>18</w:t>
      </w:r>
      <w:r>
        <w:rPr>
          <w:rFonts w:ascii="Arial" w:hAnsi="Arial" w:cs="Arial"/>
          <w:sz w:val="20"/>
          <w:szCs w:val="20"/>
          <w:lang w:val="cs-CZ"/>
        </w:rPr>
        <w:t xml:space="preserve"> let, u zaměstnanců vykonávajících vedlejší činnost v souběžném pracovním poměru.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 xml:space="preserve">Předepsané pojistné </w:t>
      </w:r>
      <w:r>
        <w:rPr>
          <w:rFonts w:ascii="Arial" w:hAnsi="Arial" w:cs="Arial"/>
          <w:sz w:val="20"/>
          <w:szCs w:val="20"/>
          <w:lang w:val="cs-CZ"/>
        </w:rPr>
        <w:t xml:space="preserve">- příjmy </w:t>
      </w:r>
      <w:r>
        <w:rPr>
          <w:rFonts w:ascii="Arial" w:hAnsi="Arial" w:cs="Arial"/>
          <w:b/>
          <w:bCs/>
          <w:sz w:val="20"/>
          <w:szCs w:val="20"/>
          <w:lang w:val="cs-CZ"/>
        </w:rPr>
        <w:t>(předpis)</w:t>
      </w:r>
      <w:r>
        <w:rPr>
          <w:rFonts w:ascii="Arial" w:hAnsi="Arial" w:cs="Arial"/>
          <w:sz w:val="20"/>
          <w:szCs w:val="20"/>
          <w:lang w:val="cs-CZ"/>
        </w:rPr>
        <w:t xml:space="preserve"> zdravotních pojišťoven (bez plateb pojistného státem) z pojistného, tj. tržby ze zákonného pojistného na všeobecné zdravotní pojištění zjišťované výnosovou metodou z příslušných fondů zdravotních pojišťoven (z příslušných účtů třídy 6 - Výnosy).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 xml:space="preserve">Náklady celkem </w:t>
      </w:r>
      <w:r>
        <w:rPr>
          <w:rFonts w:ascii="Arial" w:hAnsi="Arial" w:cs="Arial"/>
          <w:sz w:val="20"/>
          <w:szCs w:val="20"/>
          <w:lang w:val="cs-CZ"/>
        </w:rPr>
        <w:t>- výdaje (předpis) zjišťované nákladovou metodou z příslušných fondů zdravotních pojišťoven a náklady zjišťované z příslušných účtů účtové třídy 5 - Náklady.</w:t>
      </w:r>
    </w:p>
    <w:p w:rsidR="005C2E6E" w:rsidRPr="0099733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 xml:space="preserve">Náklady na zdravotní </w:t>
      </w:r>
      <w:r w:rsidR="0099733E">
        <w:rPr>
          <w:rFonts w:ascii="Arial" w:hAnsi="Arial" w:cs="Arial"/>
          <w:b/>
          <w:bCs/>
          <w:sz w:val="20"/>
          <w:szCs w:val="20"/>
          <w:lang w:val="cs-CZ"/>
        </w:rPr>
        <w:t>služby</w:t>
      </w:r>
      <w:r>
        <w:rPr>
          <w:rFonts w:ascii="Arial" w:hAnsi="Arial" w:cs="Arial"/>
          <w:sz w:val="20"/>
          <w:szCs w:val="20"/>
          <w:lang w:val="cs-CZ"/>
        </w:rPr>
        <w:t xml:space="preserve"> - zahrnují výdaje zdravotních pojišťoven na zdravotní </w:t>
      </w:r>
      <w:r w:rsidR="00650D0D">
        <w:rPr>
          <w:rFonts w:ascii="Arial" w:hAnsi="Arial" w:cs="Arial"/>
          <w:sz w:val="20"/>
          <w:szCs w:val="20"/>
          <w:lang w:val="cs-CZ"/>
        </w:rPr>
        <w:t>služby</w:t>
      </w:r>
      <w:r>
        <w:rPr>
          <w:rFonts w:ascii="Arial" w:hAnsi="Arial" w:cs="Arial"/>
          <w:sz w:val="20"/>
          <w:szCs w:val="20"/>
          <w:lang w:val="cs-CZ"/>
        </w:rPr>
        <w:t xml:space="preserve"> (předpis) z příslušného fondu a náklady na pojistná plnění z příslušného nákladového účtu.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Mzdy (bez OON)</w:t>
      </w:r>
      <w:r>
        <w:rPr>
          <w:rFonts w:ascii="Arial" w:hAnsi="Arial" w:cs="Arial"/>
          <w:sz w:val="20"/>
          <w:szCs w:val="20"/>
          <w:lang w:val="cs-CZ"/>
        </w:rPr>
        <w:t xml:space="preserve"> - jsou peněžitá plnění nebo plnění peněžité hodnoty (naturální mzdy) poskytovaná zaměstnavatelem zaměstnancům (vedeným v evidenčním počtu zaměstnanců) za práci. Ve statistickém výkaznictví se zahrnují do mezd základní mzdy a platy, příplatky a doplatky ke mzdě nebo platu, prémie a odměny, náhrady mezd a platů, odměny za pracovní pohotovost a jiné složky mzdy nebo platu. Nákladové mzdy se vedou na účtě společně s ostatními osobními náklady (OON); OON se však do mezd nezahrnují a vykazují se samostatně. Do mezd se zahrnují také plnění mající charakter mezd (odměn za práci), hrazená ze zisku, fondu odměn nebo jiného fondu vytvořeného z použitelného zisku.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Mzdy se uvádějí v hrubých částkách, tj. před snížením o pojistné na všeobecné zdravotní pojištění a sociální zabezpečení, zálohové splátky daně z příjmů fyzických osob a další zákonné nebo se zaměstnancem dohodnuté srážky. Za sledované období se uvádějí částky v tomto období zúčtované k výplatě.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Ostatní osobní náklady</w:t>
      </w:r>
      <w:r>
        <w:rPr>
          <w:rFonts w:ascii="Arial" w:hAnsi="Arial" w:cs="Arial"/>
          <w:sz w:val="20"/>
          <w:szCs w:val="20"/>
          <w:lang w:val="cs-CZ"/>
        </w:rPr>
        <w:t xml:space="preserve"> - odměny za práce poskytované na základě jiného vztahu než pracovního, služebního a členského poměru k zaměstnavateli. Nejčastěji jsou to odměny za práce podle dohod o pracích konaných mimo pracovní poměr, odměny podle předpisů o autorském právu, odstupné aj.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 xml:space="preserve">Odpisy nehmotného a hmotného majetku </w:t>
      </w:r>
      <w:r>
        <w:rPr>
          <w:rFonts w:ascii="Arial" w:hAnsi="Arial" w:cs="Arial"/>
          <w:sz w:val="20"/>
          <w:szCs w:val="20"/>
          <w:lang w:val="cs-CZ"/>
        </w:rPr>
        <w:t>- rozdíl obratů strany Má dáti mínus Dal položek odpisů (na příslušných účtech účtové třídy 5 - Náklady) vč. zůstatkové ceny vyřazeného majetku.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u w:val="single"/>
          <w:lang w:val="cs-CZ"/>
        </w:rPr>
      </w:pP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u w:val="single"/>
          <w:lang w:val="cs-CZ"/>
        </w:rPr>
      </w:pP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u w:val="single"/>
          <w:lang w:val="cs-CZ"/>
        </w:rPr>
        <w:t>Tabulka 2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cs-CZ"/>
        </w:rPr>
      </w:pP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 xml:space="preserve">Předepsané </w:t>
      </w:r>
      <w:proofErr w:type="gramStart"/>
      <w:r>
        <w:rPr>
          <w:rFonts w:ascii="Arial" w:hAnsi="Arial" w:cs="Arial"/>
          <w:b/>
          <w:bCs/>
          <w:sz w:val="20"/>
          <w:szCs w:val="20"/>
          <w:lang w:val="cs-CZ"/>
        </w:rPr>
        <w:t xml:space="preserve">pojistné </w:t>
      </w:r>
      <w:r>
        <w:rPr>
          <w:rFonts w:ascii="Arial" w:hAnsi="Arial" w:cs="Arial"/>
          <w:sz w:val="20"/>
          <w:szCs w:val="20"/>
          <w:lang w:val="cs-CZ"/>
        </w:rPr>
        <w:t xml:space="preserve"> (viz</w:t>
      </w:r>
      <w:proofErr w:type="gramEnd"/>
      <w:r>
        <w:rPr>
          <w:rFonts w:ascii="Arial" w:hAnsi="Arial" w:cs="Arial"/>
          <w:sz w:val="20"/>
          <w:szCs w:val="20"/>
          <w:lang w:val="cs-CZ"/>
        </w:rPr>
        <w:t xml:space="preserve"> popis k tabulce 1).</w:t>
      </w:r>
    </w:p>
    <w:p w:rsidR="005C2E6E" w:rsidRDefault="005C2E6E">
      <w:pPr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b/>
          <w:bCs/>
          <w:sz w:val="20"/>
          <w:lang w:val="cs-CZ"/>
        </w:rPr>
        <w:t>Předpis pokut, penále a přirážek souvisejících se zdravotním pojištěním</w:t>
      </w:r>
      <w:r>
        <w:rPr>
          <w:rFonts w:ascii="Arial" w:hAnsi="Arial" w:cs="Arial"/>
          <w:sz w:val="20"/>
          <w:lang w:val="cs-CZ"/>
        </w:rPr>
        <w:t xml:space="preserve"> </w:t>
      </w:r>
      <w:r>
        <w:rPr>
          <w:rFonts w:ascii="Arial" w:hAnsi="Arial" w:cs="Arial"/>
          <w:b/>
          <w:bCs/>
          <w:sz w:val="20"/>
          <w:lang w:val="cs-CZ"/>
        </w:rPr>
        <w:t xml:space="preserve">- </w:t>
      </w:r>
      <w:r>
        <w:rPr>
          <w:rFonts w:ascii="Arial" w:hAnsi="Arial" w:cs="Arial"/>
          <w:sz w:val="20"/>
          <w:lang w:val="cs-CZ"/>
        </w:rPr>
        <w:t>uvádějí se z účtu Základní fond.</w:t>
      </w:r>
    </w:p>
    <w:p w:rsidR="005C2E6E" w:rsidRDefault="005C2E6E">
      <w:pPr>
        <w:rPr>
          <w:rFonts w:ascii="Arial" w:hAnsi="Arial" w:cs="Arial"/>
          <w:b/>
          <w:bCs/>
          <w:sz w:val="20"/>
          <w:lang w:val="cs-CZ"/>
        </w:rPr>
      </w:pPr>
      <w:r>
        <w:rPr>
          <w:rFonts w:ascii="Arial" w:hAnsi="Arial" w:cs="Arial"/>
          <w:b/>
          <w:bCs/>
          <w:sz w:val="20"/>
          <w:lang w:val="cs-CZ"/>
        </w:rPr>
        <w:t>Inkaso z pokut, penále a přirážek souvisejících se zdravotním pojištěním</w:t>
      </w:r>
      <w:r>
        <w:rPr>
          <w:rFonts w:ascii="Arial" w:hAnsi="Arial" w:cs="Arial"/>
          <w:sz w:val="20"/>
          <w:lang w:val="cs-CZ"/>
        </w:rPr>
        <w:t xml:space="preserve"> – uvádí se z účtu Základní fond</w:t>
      </w:r>
    </w:p>
    <w:p w:rsidR="005C2E6E" w:rsidRDefault="005C2E6E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Zúčtování se zvláštním účtem zdravotního pojištění</w:t>
      </w:r>
      <w:r>
        <w:rPr>
          <w:rFonts w:ascii="Arial" w:hAnsi="Arial" w:cs="Arial"/>
          <w:sz w:val="20"/>
        </w:rPr>
        <w:t xml:space="preserve"> - příjmy (předpis) pojistného </w:t>
      </w:r>
      <w:proofErr w:type="gramStart"/>
      <w:r>
        <w:rPr>
          <w:rFonts w:ascii="Arial" w:hAnsi="Arial" w:cs="Arial"/>
          <w:sz w:val="20"/>
        </w:rPr>
        <w:t>na</w:t>
      </w:r>
      <w:proofErr w:type="gramEnd"/>
      <w:r>
        <w:rPr>
          <w:rFonts w:ascii="Arial" w:hAnsi="Arial" w:cs="Arial"/>
          <w:sz w:val="20"/>
        </w:rPr>
        <w:t xml:space="preserve"> veřejné zdravotní pojištění, které platí za své pojištěnce stát.</w:t>
      </w:r>
    </w:p>
    <w:p w:rsidR="005C2E6E" w:rsidRDefault="005C2E6E">
      <w:pPr>
        <w:rPr>
          <w:rFonts w:ascii="Arial" w:hAnsi="Arial" w:cs="Arial"/>
          <w:sz w:val="20"/>
          <w:szCs w:val="20"/>
          <w:u w:val="single"/>
          <w:lang w:val="cs-CZ"/>
        </w:rPr>
      </w:pP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u w:val="single"/>
          <w:lang w:val="cs-CZ"/>
        </w:rPr>
      </w:pP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u w:val="single"/>
          <w:lang w:val="cs-CZ"/>
        </w:rPr>
        <w:t>Tabulka 3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 xml:space="preserve">Náklady na zdravotní </w:t>
      </w:r>
      <w:r w:rsidR="0099733E">
        <w:rPr>
          <w:rFonts w:ascii="Arial" w:hAnsi="Arial" w:cs="Arial"/>
          <w:b/>
          <w:bCs/>
          <w:sz w:val="20"/>
          <w:szCs w:val="20"/>
          <w:lang w:val="cs-CZ"/>
        </w:rPr>
        <w:t>služby</w:t>
      </w:r>
      <w:r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>- zahrnují výdaje zdravotních pojišťoven hrazené z prostředků všeobecného zdravotního pojištění v členěn</w:t>
      </w:r>
      <w:r w:rsidR="00611068">
        <w:rPr>
          <w:rFonts w:ascii="Arial" w:hAnsi="Arial" w:cs="Arial"/>
          <w:sz w:val="20"/>
          <w:szCs w:val="20"/>
          <w:lang w:val="cs-CZ"/>
        </w:rPr>
        <w:t>í na jednotlivé druhy zdravotn</w:t>
      </w:r>
      <w:r w:rsidR="00650D0D">
        <w:rPr>
          <w:rFonts w:ascii="Arial" w:hAnsi="Arial" w:cs="Arial"/>
          <w:sz w:val="20"/>
          <w:szCs w:val="20"/>
          <w:lang w:val="cs-CZ"/>
        </w:rPr>
        <w:t>ích</w:t>
      </w:r>
      <w:r w:rsidR="00611068">
        <w:rPr>
          <w:rFonts w:ascii="Arial" w:hAnsi="Arial" w:cs="Arial"/>
          <w:sz w:val="20"/>
          <w:szCs w:val="20"/>
          <w:lang w:val="cs-CZ"/>
        </w:rPr>
        <w:t xml:space="preserve"> služeb</w:t>
      </w:r>
      <w:r>
        <w:rPr>
          <w:rFonts w:ascii="Arial" w:hAnsi="Arial" w:cs="Arial"/>
          <w:sz w:val="20"/>
          <w:szCs w:val="20"/>
          <w:lang w:val="cs-CZ"/>
        </w:rPr>
        <w:t>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 xml:space="preserve">Preventivní programy </w:t>
      </w:r>
      <w:r>
        <w:rPr>
          <w:rFonts w:ascii="Arial" w:hAnsi="Arial" w:cs="Arial"/>
          <w:sz w:val="20"/>
          <w:szCs w:val="20"/>
          <w:lang w:val="cs-CZ"/>
        </w:rPr>
        <w:t>- uvádí se čerpání fondu prevence, případně fondu na úhradu preventivní péče na preventivní programy. Jedná se např. o ozdravné pobyty dětí, preventivní vyšetření, rehabilitačně rekondiční plavání, očkování, příspěvky na léky, léčebné přípravky, apod.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u w:val="single"/>
          <w:lang w:val="cs-CZ"/>
        </w:rPr>
      </w:pP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u w:val="single"/>
          <w:lang w:val="cs-CZ"/>
        </w:rPr>
      </w:pP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sz w:val="18"/>
          <w:szCs w:val="20"/>
          <w:lang w:val="cs-CZ"/>
        </w:rPr>
      </w:pP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u w:val="single"/>
          <w:lang w:val="cs-CZ"/>
        </w:rPr>
        <w:t>Tabulka 4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cs-CZ"/>
        </w:rPr>
      </w:pP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 xml:space="preserve">Dlouhodobý nehmotný majetek (bez poskytnutých záloh) – </w:t>
      </w:r>
      <w:r>
        <w:rPr>
          <w:rFonts w:ascii="Arial" w:hAnsi="Arial" w:cs="Arial"/>
          <w:sz w:val="20"/>
          <w:szCs w:val="20"/>
          <w:lang w:val="cs-CZ"/>
        </w:rPr>
        <w:t xml:space="preserve">stav dlouhodobého nehmotného majetku zahrnuje zřizovací výdaje, nehmotné výsledky výzkumu a vývoje, software, ocenitelná práva, goodwill, jiný dlouhodobý nehmotný majetek (včetně emisních povolenek a preferenčních </w:t>
      </w:r>
      <w:proofErr w:type="gramStart"/>
      <w:r>
        <w:rPr>
          <w:rFonts w:ascii="Arial" w:hAnsi="Arial" w:cs="Arial"/>
          <w:sz w:val="20"/>
          <w:szCs w:val="20"/>
          <w:lang w:val="cs-CZ"/>
        </w:rPr>
        <w:t>limitů) a  nedokončený</w:t>
      </w:r>
      <w:proofErr w:type="gramEnd"/>
      <w:r>
        <w:rPr>
          <w:rFonts w:ascii="Arial" w:hAnsi="Arial" w:cs="Arial"/>
          <w:sz w:val="20"/>
          <w:szCs w:val="20"/>
          <w:lang w:val="cs-CZ"/>
        </w:rPr>
        <w:t xml:space="preserve"> dlouhodobý nehmotný majetek. Zálohy poskytnuté na DNM se nezapočítávají.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proofErr w:type="gramStart"/>
      <w:r>
        <w:rPr>
          <w:rFonts w:ascii="Arial" w:hAnsi="Arial" w:cs="Arial"/>
          <w:sz w:val="20"/>
          <w:szCs w:val="20"/>
          <w:lang w:val="cs-CZ"/>
        </w:rPr>
        <w:t>Netto  princip</w:t>
      </w:r>
      <w:proofErr w:type="gramEnd"/>
      <w:r>
        <w:rPr>
          <w:rFonts w:ascii="Arial" w:hAnsi="Arial" w:cs="Arial"/>
          <w:sz w:val="20"/>
          <w:szCs w:val="20"/>
          <w:lang w:val="cs-CZ"/>
        </w:rPr>
        <w:t xml:space="preserve">  představuje  ocenění  jednotlivých  majetkových  složek  aktiv  po  odpočtu oprávek a opravných položek k dlouhodobému majetku.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 xml:space="preserve">Dlouhodobý hmotný majetek (bez poskytnutých záloh)  - </w:t>
      </w:r>
      <w:r>
        <w:rPr>
          <w:rFonts w:ascii="Arial" w:hAnsi="Arial" w:cs="Arial"/>
          <w:sz w:val="20"/>
          <w:szCs w:val="20"/>
          <w:lang w:val="cs-CZ"/>
        </w:rPr>
        <w:t xml:space="preserve">Stav DHM </w:t>
      </w:r>
      <w:proofErr w:type="gramStart"/>
      <w:r>
        <w:rPr>
          <w:rFonts w:ascii="Arial" w:hAnsi="Arial" w:cs="Arial"/>
          <w:sz w:val="20"/>
          <w:szCs w:val="20"/>
          <w:lang w:val="cs-CZ"/>
        </w:rPr>
        <w:t>zahrnuje  hodnotu</w:t>
      </w:r>
      <w:proofErr w:type="gramEnd"/>
      <w:r>
        <w:rPr>
          <w:rFonts w:ascii="Arial" w:hAnsi="Arial" w:cs="Arial"/>
          <w:sz w:val="20"/>
          <w:szCs w:val="20"/>
          <w:lang w:val="cs-CZ"/>
        </w:rPr>
        <w:t xml:space="preserve"> DHM, kam patří pozemky, stavby, samostatné movité věci, soubory movitých věcí, pěstitelské celky trvalých porostů, dospělá zvířata a jejich skupiny, jiný DHM a oceňovací rozdíl k nabytému majetku. Zálohy poskytnuté na DHM se nezapočítávají.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cs-CZ"/>
        </w:rPr>
      </w:pPr>
      <w:proofErr w:type="gramStart"/>
      <w:r>
        <w:rPr>
          <w:rFonts w:ascii="Arial" w:hAnsi="Arial" w:cs="Arial"/>
          <w:sz w:val="20"/>
          <w:szCs w:val="20"/>
          <w:lang w:val="cs-CZ"/>
        </w:rPr>
        <w:t>Netto  princip</w:t>
      </w:r>
      <w:proofErr w:type="gramEnd"/>
      <w:r>
        <w:rPr>
          <w:rFonts w:ascii="Arial" w:hAnsi="Arial" w:cs="Arial"/>
          <w:sz w:val="20"/>
          <w:szCs w:val="20"/>
          <w:lang w:val="cs-CZ"/>
        </w:rPr>
        <w:t xml:space="preserve">  představuje  ocenění  jednotlivých  majetkových  složek  aktiv  po  odpočtu oprávek a opravných položek k dlouhodobému majetku.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Dlouhodobé a krátkodobé pohledávky, poskytnuté zálohy a časové rozlišení</w:t>
      </w:r>
      <w:r>
        <w:rPr>
          <w:rFonts w:ascii="Arial" w:hAnsi="Arial" w:cs="Arial"/>
          <w:sz w:val="20"/>
          <w:szCs w:val="20"/>
          <w:lang w:val="cs-CZ"/>
        </w:rPr>
        <w:t xml:space="preserve"> – stav pohledávek za odběrateli, pohledávek z veřejného zdravotního pojištění, pohledávek vůči poskytovatelům zdravotní péče, pohledávek z přerozdělení, poskytnutých záloh, pohledávky z příslušenství k pojistnému veřejného zdravotního pojištění, ostatních pohledávek, přechodných účtů aktiv a jiných aktiv ke konci sledovaného období.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 xml:space="preserve">Pasiva </w:t>
      </w:r>
      <w:r>
        <w:rPr>
          <w:rFonts w:ascii="Arial" w:hAnsi="Arial" w:cs="Arial"/>
          <w:sz w:val="20"/>
          <w:szCs w:val="20"/>
          <w:lang w:val="cs-CZ"/>
        </w:rPr>
        <w:t>- souhrn vlastního kapitálu, cizích zdrojů a ostatních pasiv ke konci sledovaného období.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 xml:space="preserve">Vlastní kapitál </w:t>
      </w:r>
      <w:r>
        <w:rPr>
          <w:rFonts w:ascii="Arial" w:hAnsi="Arial" w:cs="Arial"/>
          <w:sz w:val="20"/>
          <w:szCs w:val="20"/>
          <w:lang w:val="cs-CZ"/>
        </w:rPr>
        <w:t>– souhrn základního kapitálu, kapitálových fondů, fondů ze zisku, fondů veřejného zdravotního pojištění, nerozděleného zisku (neuhrazené ztráty) minulých účetních období a hospodářského výsledku běžného účetního období.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 xml:space="preserve">Fondy veřejného zdravotního pojištění </w:t>
      </w:r>
      <w:r>
        <w:rPr>
          <w:rFonts w:ascii="Arial" w:hAnsi="Arial" w:cs="Arial"/>
          <w:sz w:val="20"/>
          <w:szCs w:val="20"/>
          <w:lang w:val="cs-CZ"/>
        </w:rPr>
        <w:t>- zahrnují základní fond a rezervní fond.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Dlouhodobé a krátkodobé závazky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cs-CZ"/>
        </w:rPr>
        <w:t xml:space="preserve">a přechodné účty pasiv </w:t>
      </w:r>
      <w:r>
        <w:rPr>
          <w:rFonts w:ascii="Arial" w:hAnsi="Arial" w:cs="Arial"/>
          <w:sz w:val="20"/>
          <w:szCs w:val="20"/>
          <w:lang w:val="cs-CZ"/>
        </w:rPr>
        <w:t xml:space="preserve">- stav dlouhodobých a krátkodobých závazků z obchodního styku, přijatých záloh, závazků z veřejného zdravotního pojištění, daňových, vůči zaměstnancům, ostatních </w:t>
      </w:r>
      <w:proofErr w:type="gramStart"/>
      <w:r>
        <w:rPr>
          <w:rFonts w:ascii="Arial" w:hAnsi="Arial" w:cs="Arial"/>
          <w:sz w:val="20"/>
          <w:szCs w:val="20"/>
          <w:lang w:val="cs-CZ"/>
        </w:rPr>
        <w:t>závazků a  přechodných</w:t>
      </w:r>
      <w:proofErr w:type="gramEnd"/>
      <w:r>
        <w:rPr>
          <w:rFonts w:ascii="Arial" w:hAnsi="Arial" w:cs="Arial"/>
          <w:sz w:val="20"/>
          <w:szCs w:val="20"/>
          <w:lang w:val="cs-CZ"/>
        </w:rPr>
        <w:t xml:space="preserve"> účtů pasiv ke konci sledovaného období.</w:t>
      </w:r>
      <w:r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</w:p>
    <w:p w:rsidR="005C2E6E" w:rsidRDefault="005C2E6E">
      <w:pPr>
        <w:rPr>
          <w:rFonts w:ascii="Arial" w:hAnsi="Arial" w:cs="Arial"/>
          <w:sz w:val="20"/>
          <w:u w:val="single"/>
          <w:lang w:val="cs-CZ"/>
        </w:rPr>
      </w:pPr>
    </w:p>
    <w:p w:rsidR="005C2E6E" w:rsidRDefault="005C2E6E">
      <w:pPr>
        <w:rPr>
          <w:rFonts w:ascii="Arial" w:hAnsi="Arial" w:cs="Arial"/>
          <w:sz w:val="28"/>
          <w:u w:val="single"/>
          <w:lang w:val="cs-CZ"/>
        </w:rPr>
      </w:pPr>
    </w:p>
    <w:p w:rsidR="005C2E6E" w:rsidRDefault="005C2E6E">
      <w:pPr>
        <w:pStyle w:val="Nadpis3"/>
        <w:jc w:val="left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>Poznámka:</w:t>
      </w:r>
    </w:p>
    <w:p w:rsidR="005C2E6E" w:rsidRDefault="005C2E6E">
      <w:pPr>
        <w:rPr>
          <w:rFonts w:ascii="Arial" w:hAnsi="Arial" w:cs="Arial"/>
          <w:u w:val="single"/>
          <w:lang w:val="cs-CZ"/>
        </w:rPr>
      </w:pPr>
    </w:p>
    <w:p w:rsidR="005C2E6E" w:rsidRDefault="005C2E6E">
      <w:pPr>
        <w:ind w:left="240" w:hanging="240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1. Označení údaje v políčku tabulky znakem (X) znamená, že údaj se nemůže vyskytnout z logických důvodů (např. v indexu, pro který v základním období hodnota dosahovala „0“ nebo se vyskytl údaj s opačným znaménkem, případně index vyšší než 999,9).</w:t>
      </w:r>
    </w:p>
    <w:p w:rsidR="005C2E6E" w:rsidRDefault="005C2E6E">
      <w:pPr>
        <w:rPr>
          <w:rFonts w:ascii="Arial" w:hAnsi="Arial" w:cs="Arial"/>
          <w:sz w:val="20"/>
          <w:lang w:val="cs-CZ"/>
        </w:rPr>
      </w:pPr>
    </w:p>
    <w:p w:rsidR="005C2E6E" w:rsidRDefault="005C2E6E">
      <w:pPr>
        <w:pStyle w:val="Zkladntext2"/>
        <w:rPr>
          <w:lang w:val="cs-CZ"/>
        </w:rPr>
      </w:pPr>
      <w:r>
        <w:rPr>
          <w:lang w:val="cs-CZ"/>
        </w:rPr>
        <w:t xml:space="preserve">2. Označení údaje v políčku </w:t>
      </w:r>
      <w:proofErr w:type="gramStart"/>
      <w:r>
        <w:rPr>
          <w:lang w:val="cs-CZ"/>
        </w:rPr>
        <w:t>tabulky (.) znamená</w:t>
      </w:r>
      <w:proofErr w:type="gramEnd"/>
      <w:r>
        <w:rPr>
          <w:lang w:val="cs-CZ"/>
        </w:rPr>
        <w:t>, že se údaj v daném období nesledoval.</w:t>
      </w:r>
    </w:p>
    <w:p w:rsidR="005C2E6E" w:rsidRDefault="005C2E6E">
      <w:pPr>
        <w:rPr>
          <w:rFonts w:ascii="Arial" w:hAnsi="Arial" w:cs="Arial"/>
          <w:sz w:val="20"/>
          <w:lang w:val="cs-CZ"/>
        </w:rPr>
      </w:pPr>
    </w:p>
    <w:p w:rsidR="005C2E6E" w:rsidRDefault="005C2E6E">
      <w:pPr>
        <w:rPr>
          <w:rFonts w:ascii="Arial" w:hAnsi="Arial" w:cs="Arial"/>
          <w:sz w:val="20"/>
          <w:lang w:val="cs-CZ"/>
        </w:rPr>
      </w:pPr>
    </w:p>
    <w:p w:rsidR="005C2E6E" w:rsidRDefault="005C2E6E">
      <w:pPr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.</w:t>
      </w:r>
    </w:p>
    <w:p w:rsidR="005C2E6E" w:rsidRDefault="005C2E6E">
      <w:pPr>
        <w:pStyle w:val="Nadpis1"/>
        <w:rPr>
          <w:lang w:val="cs-CZ"/>
        </w:rPr>
      </w:pPr>
    </w:p>
    <w:p w:rsidR="005C2E6E" w:rsidRDefault="005C2E6E">
      <w:pPr>
        <w:pStyle w:val="Nadpis1"/>
        <w:rPr>
          <w:lang w:val="cs-CZ"/>
        </w:rPr>
      </w:pPr>
    </w:p>
    <w:p w:rsidR="005C2E6E" w:rsidRDefault="005C2E6E">
      <w:pPr>
        <w:pStyle w:val="Nadpis1"/>
        <w:rPr>
          <w:lang w:val="cs-CZ"/>
        </w:rPr>
      </w:pPr>
    </w:p>
    <w:p w:rsidR="005C2E6E" w:rsidRDefault="005C2E6E">
      <w:pPr>
        <w:pStyle w:val="Nadpis1"/>
        <w:rPr>
          <w:lang w:val="cs-CZ"/>
        </w:rPr>
      </w:pPr>
    </w:p>
    <w:p w:rsidR="005C2E6E" w:rsidRDefault="005C2E6E">
      <w:pPr>
        <w:pStyle w:val="Nadpis1"/>
        <w:rPr>
          <w:lang w:val="cs-CZ"/>
        </w:rPr>
      </w:pPr>
    </w:p>
    <w:p w:rsidR="005C2E6E" w:rsidRDefault="005C2E6E">
      <w:pPr>
        <w:pStyle w:val="Nadpis1"/>
        <w:rPr>
          <w:lang w:val="cs-CZ"/>
        </w:rPr>
      </w:pPr>
    </w:p>
    <w:p w:rsidR="005C2E6E" w:rsidRDefault="005C2E6E">
      <w:pPr>
        <w:pStyle w:val="Nadpis1"/>
        <w:rPr>
          <w:lang w:val="cs-CZ"/>
        </w:rPr>
      </w:pPr>
    </w:p>
    <w:p w:rsidR="005C2E6E" w:rsidRDefault="005C2E6E">
      <w:pPr>
        <w:pStyle w:val="Nadpis1"/>
        <w:rPr>
          <w:lang w:val="cs-CZ"/>
        </w:rPr>
      </w:pPr>
    </w:p>
    <w:p w:rsidR="005C2E6E" w:rsidRDefault="005C2E6E">
      <w:pPr>
        <w:pStyle w:val="Nadpis1"/>
        <w:rPr>
          <w:lang w:val="cs-CZ"/>
        </w:rPr>
      </w:pPr>
    </w:p>
    <w:p w:rsidR="005C2E6E" w:rsidRDefault="005C2E6E">
      <w:pPr>
        <w:pStyle w:val="Nadpis1"/>
        <w:rPr>
          <w:lang w:val="cs-CZ"/>
        </w:rPr>
      </w:pPr>
    </w:p>
    <w:p w:rsidR="005C2E6E" w:rsidRDefault="005C2E6E">
      <w:pPr>
        <w:pStyle w:val="Nadpis1"/>
        <w:rPr>
          <w:lang w:val="cs-CZ"/>
        </w:rPr>
      </w:pPr>
    </w:p>
    <w:p w:rsidR="005C2E6E" w:rsidRDefault="005C2E6E">
      <w:pPr>
        <w:pStyle w:val="Nadpis1"/>
        <w:rPr>
          <w:lang w:val="cs-CZ"/>
        </w:rPr>
      </w:pPr>
    </w:p>
    <w:p w:rsidR="005C2E6E" w:rsidRDefault="005C2E6E">
      <w:pPr>
        <w:pStyle w:val="Nadpis1"/>
        <w:rPr>
          <w:lang w:val="cs-CZ"/>
        </w:rPr>
      </w:pPr>
    </w:p>
    <w:p w:rsidR="005C2E6E" w:rsidRDefault="005C2E6E">
      <w:pPr>
        <w:pStyle w:val="Nadpis1"/>
        <w:rPr>
          <w:lang w:val="cs-CZ"/>
        </w:rPr>
      </w:pPr>
    </w:p>
    <w:p w:rsidR="005C2E6E" w:rsidRDefault="005C2E6E">
      <w:pPr>
        <w:pStyle w:val="Nadpis1"/>
        <w:rPr>
          <w:lang w:val="cs-CZ"/>
        </w:rPr>
      </w:pPr>
    </w:p>
    <w:p w:rsidR="005C2E6E" w:rsidRDefault="005C2E6E">
      <w:pPr>
        <w:pStyle w:val="Nadpis1"/>
        <w:rPr>
          <w:lang w:val="cs-CZ"/>
        </w:rPr>
      </w:pPr>
    </w:p>
    <w:p w:rsidR="005C2E6E" w:rsidRDefault="005C2E6E">
      <w:pPr>
        <w:pStyle w:val="Nadpis1"/>
        <w:rPr>
          <w:lang w:val="cs-CZ"/>
        </w:rPr>
      </w:pPr>
    </w:p>
    <w:p w:rsidR="005C2E6E" w:rsidRDefault="005C2E6E">
      <w:pPr>
        <w:pStyle w:val="Nadpis1"/>
        <w:rPr>
          <w:lang w:val="cs-CZ"/>
        </w:rPr>
      </w:pPr>
    </w:p>
    <w:p w:rsidR="005C2E6E" w:rsidRDefault="005C2E6E">
      <w:pPr>
        <w:pStyle w:val="Nadpis1"/>
        <w:rPr>
          <w:lang w:val="cs-CZ"/>
        </w:rPr>
      </w:pPr>
    </w:p>
    <w:p w:rsidR="005C2E6E" w:rsidRDefault="005C2E6E">
      <w:pPr>
        <w:pStyle w:val="Nadpis1"/>
        <w:rPr>
          <w:i w:val="0"/>
          <w:iCs w:val="0"/>
          <w:lang w:val="cs-CZ"/>
        </w:rPr>
      </w:pPr>
    </w:p>
    <w:p w:rsidR="005C2E6E" w:rsidRDefault="005C2E6E">
      <w:pPr>
        <w:pStyle w:val="Nadpis1"/>
        <w:rPr>
          <w:i w:val="0"/>
          <w:iCs w:val="0"/>
          <w:lang w:val="cs-CZ"/>
        </w:rPr>
      </w:pPr>
    </w:p>
    <w:p w:rsidR="005C2E6E" w:rsidRDefault="005C2E6E">
      <w:pPr>
        <w:pStyle w:val="Nadpis1"/>
        <w:rPr>
          <w:i w:val="0"/>
          <w:iCs w:val="0"/>
          <w:lang w:val="cs-CZ"/>
        </w:rPr>
      </w:pPr>
    </w:p>
    <w:p w:rsidR="005C2E6E" w:rsidRDefault="005C2E6E">
      <w:pPr>
        <w:pStyle w:val="Nadpis1"/>
        <w:rPr>
          <w:rFonts w:ascii="Arial" w:hAnsi="Arial" w:cs="Arial"/>
          <w:sz w:val="18"/>
          <w:lang w:val="cs-CZ"/>
        </w:rPr>
      </w:pPr>
      <w:r>
        <w:rPr>
          <w:rFonts w:ascii="Arial" w:hAnsi="Arial" w:cs="Arial"/>
          <w:sz w:val="18"/>
          <w:lang w:val="cs-CZ"/>
        </w:rPr>
        <w:br w:type="page"/>
      </w:r>
    </w:p>
    <w:p w:rsidR="005C2E6E" w:rsidRDefault="005C2E6E">
      <w:pPr>
        <w:rPr>
          <w:i/>
          <w:iCs/>
        </w:rPr>
      </w:pPr>
    </w:p>
    <w:p w:rsidR="005C2E6E" w:rsidRDefault="005C2E6E">
      <w:pPr>
        <w:rPr>
          <w:i/>
          <w:iCs/>
        </w:rPr>
      </w:pPr>
    </w:p>
    <w:p w:rsidR="005C2E6E" w:rsidRDefault="005C2E6E">
      <w:pPr>
        <w:rPr>
          <w:i/>
          <w:iCs/>
        </w:rPr>
      </w:pPr>
    </w:p>
    <w:p w:rsidR="005C2E6E" w:rsidRDefault="005C2E6E">
      <w:pPr>
        <w:rPr>
          <w:i/>
          <w:iCs/>
        </w:rPr>
      </w:pPr>
    </w:p>
    <w:p w:rsidR="005C2E6E" w:rsidRDefault="005C2E6E">
      <w:pPr>
        <w:rPr>
          <w:i/>
          <w:iCs/>
        </w:rPr>
      </w:pPr>
    </w:p>
    <w:p w:rsidR="005C2E6E" w:rsidRDefault="005C2E6E">
      <w:pPr>
        <w:rPr>
          <w:i/>
          <w:iCs/>
        </w:rPr>
      </w:pPr>
    </w:p>
    <w:p w:rsidR="005C2E6E" w:rsidRDefault="005C2E6E">
      <w:pPr>
        <w:rPr>
          <w:i/>
          <w:iCs/>
        </w:rPr>
      </w:pPr>
    </w:p>
    <w:p w:rsidR="005C2E6E" w:rsidRDefault="005C2E6E">
      <w:pPr>
        <w:rPr>
          <w:i/>
          <w:iCs/>
        </w:rPr>
      </w:pPr>
    </w:p>
    <w:p w:rsidR="005C2E6E" w:rsidRDefault="005C2E6E">
      <w:pPr>
        <w:rPr>
          <w:i/>
          <w:iCs/>
        </w:rPr>
      </w:pPr>
    </w:p>
    <w:p w:rsidR="005C2E6E" w:rsidRDefault="005C2E6E">
      <w:pPr>
        <w:rPr>
          <w:i/>
          <w:iCs/>
        </w:rPr>
      </w:pPr>
    </w:p>
    <w:p w:rsidR="005C2E6E" w:rsidRDefault="005C2E6E">
      <w:pPr>
        <w:rPr>
          <w:i/>
          <w:iCs/>
        </w:rPr>
      </w:pPr>
    </w:p>
    <w:p w:rsidR="005C2E6E" w:rsidRDefault="005C2E6E">
      <w:pPr>
        <w:rPr>
          <w:i/>
          <w:iCs/>
        </w:rPr>
      </w:pPr>
    </w:p>
    <w:p w:rsidR="005C2E6E" w:rsidRDefault="005C2E6E">
      <w:pPr>
        <w:rPr>
          <w:i/>
          <w:iCs/>
        </w:rPr>
      </w:pPr>
    </w:p>
    <w:p w:rsidR="005C2E6E" w:rsidRDefault="005C2E6E">
      <w:pPr>
        <w:rPr>
          <w:i/>
          <w:iCs/>
        </w:rPr>
      </w:pPr>
    </w:p>
    <w:sectPr w:rsidR="005C2E6E">
      <w:footerReference w:type="even" r:id="rId6"/>
      <w:footerReference w:type="default" r:id="rId7"/>
      <w:pgSz w:w="11905" w:h="16837"/>
      <w:pgMar w:top="1134" w:right="1134" w:bottom="1134" w:left="1134" w:header="1134" w:footer="851" w:gutter="0"/>
      <w:pgNumType w:start="9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9C7" w:rsidRDefault="002939C7">
      <w:r>
        <w:separator/>
      </w:r>
    </w:p>
  </w:endnote>
  <w:endnote w:type="continuationSeparator" w:id="0">
    <w:p w:rsidR="002939C7" w:rsidRDefault="0029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E6E" w:rsidRDefault="005C2E6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2E6E" w:rsidRDefault="005C2E6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E6E" w:rsidRDefault="005C2E6E">
    <w:pPr>
      <w:pStyle w:val="Zpat"/>
      <w:framePr w:wrap="around" w:vAnchor="text" w:hAnchor="page" w:x="5935" w:y="99"/>
      <w:rPr>
        <w:rStyle w:val="slostrnky"/>
        <w:rFonts w:ascii="Arial" w:hAnsi="Arial"/>
        <w:sz w:val="16"/>
      </w:rPr>
    </w:pPr>
  </w:p>
  <w:p w:rsidR="005C2E6E" w:rsidRDefault="005C2E6E">
    <w:pPr>
      <w:pStyle w:val="Zpat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9C7" w:rsidRDefault="002939C7">
      <w:r>
        <w:separator/>
      </w:r>
    </w:p>
  </w:footnote>
  <w:footnote w:type="continuationSeparator" w:id="0">
    <w:p w:rsidR="002939C7" w:rsidRDefault="00293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33E"/>
    <w:rsid w:val="002939C7"/>
    <w:rsid w:val="005C2E6E"/>
    <w:rsid w:val="00611068"/>
    <w:rsid w:val="00650D0D"/>
    <w:rsid w:val="009536BD"/>
    <w:rsid w:val="0099733E"/>
    <w:rsid w:val="00A01BF9"/>
    <w:rsid w:val="00BB7C66"/>
    <w:rsid w:val="00C64684"/>
    <w:rsid w:val="00F225B9"/>
    <w:rsid w:val="00FD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1" w:lineRule="atLeast"/>
      <w:jc w:val="center"/>
      <w:outlineLvl w:val="0"/>
    </w:pPr>
    <w:rPr>
      <w:i/>
      <w:iCs/>
      <w:sz w:val="26"/>
      <w:szCs w:val="26"/>
    </w:rPr>
  </w:style>
  <w:style w:type="paragraph" w:styleId="Nadpis2">
    <w:name w:val="heading 2"/>
    <w:basedOn w:val="Normln"/>
    <w:next w:val="Normln"/>
    <w:qFormat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1" w:lineRule="atLeast"/>
      <w:jc w:val="center"/>
      <w:outlineLvl w:val="1"/>
    </w:pPr>
    <w:rPr>
      <w:b/>
      <w:bCs/>
      <w:i/>
      <w:iCs/>
      <w:sz w:val="32"/>
      <w:szCs w:val="26"/>
    </w:rPr>
  </w:style>
  <w:style w:type="paragraph" w:styleId="Nadpis3">
    <w:name w:val="heading 3"/>
    <w:basedOn w:val="Normln"/>
    <w:next w:val="Normln"/>
    <w:qFormat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1" w:lineRule="atLeast"/>
      <w:jc w:val="center"/>
      <w:outlineLvl w:val="2"/>
    </w:pPr>
    <w:rPr>
      <w:sz w:val="32"/>
      <w:lang w:val="cs-CZ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utlineLvl w:val="4"/>
    </w:pPr>
    <w:rPr>
      <w:rFonts w:ascii="Arial" w:hAnsi="Arial"/>
      <w:b/>
      <w:bCs/>
      <w:szCs w:val="20"/>
      <w:lang w:val="cs-CZ"/>
    </w:rPr>
  </w:style>
  <w:style w:type="paragraph" w:styleId="Nadpis6">
    <w:name w:val="heading 6"/>
    <w:basedOn w:val="Normln"/>
    <w:next w:val="Normln"/>
    <w:qFormat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  <w:outlineLvl w:val="5"/>
    </w:pPr>
    <w:rPr>
      <w:rFonts w:ascii="Arial" w:hAnsi="Arial"/>
      <w:b/>
      <w:bCs/>
      <w:sz w:val="28"/>
      <w:szCs w:val="20"/>
      <w:lang w:val="cs-CZ"/>
    </w:rPr>
  </w:style>
  <w:style w:type="paragraph" w:styleId="Nadpis7">
    <w:name w:val="heading 7"/>
    <w:basedOn w:val="Normln"/>
    <w:next w:val="Normln"/>
    <w:qFormat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utlineLvl w:val="6"/>
    </w:pPr>
    <w:rPr>
      <w:rFonts w:ascii="Arial" w:hAnsi="Arial" w:cs="Arial"/>
      <w:szCs w:val="20"/>
      <w:u w:val="single"/>
    </w:rPr>
  </w:style>
  <w:style w:type="paragraph" w:styleId="Nadpis8">
    <w:name w:val="heading 8"/>
    <w:basedOn w:val="Normln"/>
    <w:next w:val="Normln"/>
    <w:qFormat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utlineLvl w:val="7"/>
    </w:pPr>
    <w:rPr>
      <w:rFonts w:ascii="Arial" w:hAnsi="Arial" w:cs="Arial"/>
      <w:sz w:val="28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left"/>
    </w:pPr>
    <w:rPr>
      <w:rFonts w:ascii="Times New Roman obyčejné" w:hAnsi="Times New Roman obyčejné"/>
      <w:sz w:val="20"/>
      <w:szCs w:val="20"/>
      <w:lang w:val="cs-CZ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spacing w:before="120" w:line="360" w:lineRule="auto"/>
    </w:pPr>
    <w:rPr>
      <w:rFonts w:ascii="Arial" w:hAnsi="Arial"/>
      <w:b/>
      <w:szCs w:val="20"/>
      <w:lang w:val="cs-CZ"/>
    </w:rPr>
  </w:style>
  <w:style w:type="paragraph" w:styleId="Zkladntextodsazen">
    <w:name w:val="Body Text Indent"/>
    <w:basedOn w:val="Normln"/>
    <w:semiHidden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360" w:lineRule="auto"/>
      <w:ind w:firstLine="708"/>
    </w:pPr>
    <w:rPr>
      <w:rFonts w:ascii="Arial" w:hAnsi="Arial"/>
      <w:szCs w:val="20"/>
    </w:rPr>
  </w:style>
  <w:style w:type="paragraph" w:customStyle="1" w:styleId="Styl1">
    <w:name w:val="Styl1"/>
    <w:pPr>
      <w:suppressAutoHyphens/>
      <w:autoSpaceDE w:val="0"/>
    </w:pPr>
    <w:rPr>
      <w:rFonts w:ascii="Arial" w:hAnsi="Arial"/>
      <w:sz w:val="24"/>
      <w:szCs w:val="24"/>
      <w:lang w:eastAsia="ar-SA"/>
    </w:rPr>
  </w:style>
  <w:style w:type="paragraph" w:styleId="Zkladntextodsazen2">
    <w:name w:val="Body Text Indent 2"/>
    <w:basedOn w:val="Normln"/>
    <w:semiHidden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firstLine="708"/>
    </w:pPr>
    <w:rPr>
      <w:rFonts w:ascii="Arial" w:hAnsi="Arial" w:cs="Arial"/>
      <w:sz w:val="20"/>
      <w:szCs w:val="20"/>
      <w:lang w:val="cs-CZ"/>
    </w:rPr>
  </w:style>
  <w:style w:type="paragraph" w:styleId="Zkladntextodsazen3">
    <w:name w:val="Body Text Indent 3"/>
    <w:basedOn w:val="Normln"/>
    <w:semiHidden/>
    <w:pPr>
      <w:ind w:left="240" w:hanging="240"/>
    </w:pPr>
    <w:rPr>
      <w:rFonts w:ascii="Arial" w:hAnsi="Arial" w:cs="Arial"/>
      <w:i/>
      <w:iCs/>
      <w:sz w:val="20"/>
    </w:rPr>
  </w:style>
  <w:style w:type="paragraph" w:styleId="Zkladntext2">
    <w:name w:val="Body Text 2"/>
    <w:basedOn w:val="Normln"/>
    <w:semiHidden/>
    <w:rPr>
      <w:rFonts w:ascii="Arial" w:hAnsi="Arial" w:cs="Arial"/>
      <w:sz w:val="20"/>
    </w:rPr>
  </w:style>
  <w:style w:type="paragraph" w:styleId="Textpoznpodarou">
    <w:name w:val="footnote text"/>
    <w:aliases w:val="Text pozn. pod čarou_martin_ang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3">
    <w:name w:val="Body Text 3"/>
    <w:basedOn w:val="Normln"/>
    <w:semiHidden/>
    <w:rPr>
      <w:rFonts w:ascii="Arial" w:hAnsi="Arial" w:cs="Arial"/>
      <w:b/>
      <w:bCs/>
      <w:i/>
      <w:iCs/>
      <w:color w:val="800000"/>
      <w:sz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yrpekl\Data%20aplikac&#237;\Microsoft\&#352;ablony\Normal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4</Pages>
  <Words>1002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TEMATICKÉ SKUPINY ČESKY</vt:lpstr>
    </vt:vector>
  </TitlesOfParts>
  <Company>csu</Company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TEMATICKÉ SKUPINY ČESKY</dc:title>
  <dc:creator>csu</dc:creator>
  <cp:lastModifiedBy>bus830</cp:lastModifiedBy>
  <cp:revision>2</cp:revision>
  <cp:lastPrinted>2008-09-19T13:23:00Z</cp:lastPrinted>
  <dcterms:created xsi:type="dcterms:W3CDTF">2014-12-08T07:49:00Z</dcterms:created>
  <dcterms:modified xsi:type="dcterms:W3CDTF">2014-12-08T07:49:00Z</dcterms:modified>
</cp:coreProperties>
</file>