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797" w:rsidRPr="009110F7" w:rsidRDefault="00965797" w:rsidP="00965797">
      <w:pPr>
        <w:pStyle w:val="Nadpis11"/>
      </w:pPr>
      <w:bookmarkStart w:id="0" w:name="_Toc517166415"/>
      <w:r w:rsidRPr="009110F7">
        <w:t>8. Státní rozpočet</w:t>
      </w:r>
      <w:bookmarkEnd w:id="0"/>
    </w:p>
    <w:tbl>
      <w:tblPr>
        <w:tblW w:w="9639" w:type="dxa"/>
        <w:tblInd w:w="-15" w:type="dxa"/>
        <w:tblCellMar>
          <w:left w:w="0" w:type="dxa"/>
          <w:right w:w="0" w:type="dxa"/>
        </w:tblCellMar>
        <w:tblLook w:val="00A0"/>
      </w:tblPr>
      <w:tblGrid>
        <w:gridCol w:w="1870"/>
        <w:gridCol w:w="245"/>
        <w:gridCol w:w="7524"/>
      </w:tblGrid>
      <w:tr w:rsidR="00965797" w:rsidRPr="009110F7" w:rsidTr="00676D76">
        <w:trPr>
          <w:trHeight w:val="145"/>
        </w:trPr>
        <w:tc>
          <w:tcPr>
            <w:tcW w:w="1870" w:type="dxa"/>
            <w:shd w:val="clear" w:color="auto" w:fill="auto"/>
            <w:tcMar>
              <w:left w:w="0" w:type="dxa"/>
            </w:tcMar>
          </w:tcPr>
          <w:p w:rsidR="00965797" w:rsidRPr="009110F7" w:rsidRDefault="00965797" w:rsidP="00965797">
            <w:pPr>
              <w:pStyle w:val="Marginlie"/>
            </w:pPr>
            <w:r w:rsidRPr="009110F7">
              <w:t>Přebytkové hospodaření státního rozpočtu v první čtvrtině roku pokračovalo již pošesté v řadě.</w:t>
            </w:r>
          </w:p>
        </w:tc>
        <w:tc>
          <w:tcPr>
            <w:tcW w:w="245" w:type="dxa"/>
            <w:shd w:val="clear" w:color="auto" w:fill="auto"/>
            <w:tcMar>
              <w:left w:w="0" w:type="dxa"/>
            </w:tcMar>
          </w:tcPr>
          <w:p w:rsidR="00965797" w:rsidRPr="009110F7" w:rsidRDefault="00965797" w:rsidP="0096579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24" w:type="dxa"/>
            <w:shd w:val="clear" w:color="auto" w:fill="auto"/>
            <w:tcMar>
              <w:left w:w="0" w:type="dxa"/>
            </w:tcMar>
          </w:tcPr>
          <w:p w:rsidR="00965797" w:rsidRPr="009110F7" w:rsidRDefault="00965797" w:rsidP="00B10C90">
            <w:r w:rsidRPr="009110F7">
              <w:t>Státní rozpočet (SR)</w:t>
            </w:r>
            <w:r w:rsidRPr="009110F7">
              <w:rPr>
                <w:rStyle w:val="Znakapoznpodarou"/>
              </w:rPr>
              <w:footnoteReference w:id="1"/>
            </w:r>
            <w:r w:rsidRPr="009110F7">
              <w:t xml:space="preserve"> udržel v prvních třech měsících roku přebytkové hospodaření již pošesté v řadě</w:t>
            </w:r>
            <w:r w:rsidRPr="009110F7">
              <w:rPr>
                <w:rStyle w:val="Znakapoznpodarou"/>
              </w:rPr>
              <w:footnoteReference w:id="2"/>
            </w:r>
            <w:r w:rsidRPr="009110F7">
              <w:t xml:space="preserve">. Při relativně dynamickém růstu příjmů </w:t>
            </w:r>
            <w:r w:rsidR="00716F48" w:rsidRPr="009110F7">
              <w:t>i </w:t>
            </w:r>
            <w:r w:rsidRPr="009110F7">
              <w:t>výdajů čítalo letos kladné saldo SR 16,3</w:t>
            </w:r>
            <w:r w:rsidR="00167CB9" w:rsidRPr="009110F7">
              <w:t> mld.</w:t>
            </w:r>
            <w:r w:rsidRPr="009110F7">
              <w:t xml:space="preserve"> korun </w:t>
            </w:r>
            <w:r w:rsidR="00716F48" w:rsidRPr="009110F7">
              <w:t>a </w:t>
            </w:r>
            <w:r w:rsidRPr="009110F7">
              <w:t>meziročně bylo o bezmál</w:t>
            </w:r>
            <w:r w:rsidR="00A05EE4" w:rsidRPr="009110F7">
              <w:t>a 12</w:t>
            </w:r>
            <w:r w:rsidR="00167CB9" w:rsidRPr="009110F7">
              <w:t> mld.</w:t>
            </w:r>
            <w:r w:rsidRPr="009110F7">
              <w:t xml:space="preserve"> příznivější. Nadále platilo, že příjmová </w:t>
            </w:r>
            <w:r w:rsidR="00716F48" w:rsidRPr="009110F7">
              <w:t>i </w:t>
            </w:r>
            <w:r w:rsidRPr="009110F7">
              <w:t>výdajová strana rozpočtu byly výrazně ovlivněny jak nepravidelnostmi čerpání prostředků z evropských fondů</w:t>
            </w:r>
            <w:r w:rsidRPr="009110F7">
              <w:rPr>
                <w:rStyle w:val="Znakapoznpodarou"/>
              </w:rPr>
              <w:footnoteReference w:id="3"/>
            </w:r>
            <w:r w:rsidRPr="009110F7">
              <w:t>, tak pokračujícími solidními růstovými tempy ekonomiky.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 xml:space="preserve"> Saldo SR, tvořící klíčovou složku deficitu či přebytku hospodaření sektoru vládních institucí, činilo loni v</w:t>
            </w:r>
            <w:r w:rsidRPr="009110F7">
              <w:rPr>
                <w:color w:val="0D0D0D" w:themeColor="text1" w:themeTint="F2"/>
                <w:spacing w:val="-4"/>
              </w:rPr>
              <w:t> 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>relaci k</w:t>
            </w:r>
            <w:r w:rsidRPr="009110F7">
              <w:rPr>
                <w:color w:val="0D0D0D" w:themeColor="text1" w:themeTint="F2"/>
                <w:spacing w:val="-4"/>
              </w:rPr>
              <w:t> </w:t>
            </w:r>
            <w:r w:rsidRPr="009110F7">
              <w:rPr>
                <w:rFonts w:cs="Arial"/>
                <w:color w:val="000000" w:themeColor="text1"/>
                <w:spacing w:val="-4"/>
              </w:rPr>
              <w:t>nominálnímu HDP +1,3 % (o rok dříve +0,4</w:t>
            </w:r>
            <w:r w:rsidR="00167CB9" w:rsidRPr="009110F7">
              <w:rPr>
                <w:rFonts w:cs="Arial"/>
                <w:color w:val="000000" w:themeColor="text1"/>
                <w:spacing w:val="-4"/>
              </w:rPr>
              <w:t> %</w:t>
            </w:r>
            <w:r w:rsidRPr="009110F7">
              <w:rPr>
                <w:rFonts w:cs="Arial"/>
                <w:color w:val="000000" w:themeColor="text1"/>
                <w:spacing w:val="-4"/>
              </w:rPr>
              <w:t>).</w:t>
            </w:r>
          </w:p>
        </w:tc>
      </w:tr>
      <w:tr w:rsidR="00965797" w:rsidRPr="009110F7" w:rsidTr="00676D76">
        <w:trPr>
          <w:trHeight w:val="170"/>
        </w:trPr>
        <w:tc>
          <w:tcPr>
            <w:tcW w:w="1870" w:type="dxa"/>
            <w:shd w:val="clear" w:color="auto" w:fill="auto"/>
            <w:tcMar>
              <w:left w:w="0" w:type="dxa"/>
            </w:tcMar>
          </w:tcPr>
          <w:p w:rsidR="00965797" w:rsidRPr="009110F7" w:rsidRDefault="00965797" w:rsidP="00965797">
            <w:pPr>
              <w:pStyle w:val="Marginlie"/>
            </w:pPr>
            <w:r w:rsidRPr="009110F7">
              <w:t xml:space="preserve">Tempo růstu celostátního výběru všech daňových příjmů se zvyšovalo. Vyšší transfery z rozpočtu EU zatím neindikovaly zrychlení čerpání prostředků v současném programovém období. </w:t>
            </w:r>
          </w:p>
        </w:tc>
        <w:tc>
          <w:tcPr>
            <w:tcW w:w="245" w:type="dxa"/>
            <w:shd w:val="clear" w:color="auto" w:fill="auto"/>
            <w:tcMar>
              <w:left w:w="0" w:type="dxa"/>
            </w:tcMar>
          </w:tcPr>
          <w:p w:rsidR="00965797" w:rsidRPr="009110F7" w:rsidRDefault="00965797" w:rsidP="0096579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24" w:type="dxa"/>
            <w:shd w:val="clear" w:color="auto" w:fill="auto"/>
            <w:tcMar>
              <w:left w:w="0" w:type="dxa"/>
            </w:tcMar>
          </w:tcPr>
          <w:p w:rsidR="00965797" w:rsidRPr="009110F7" w:rsidRDefault="00965797" w:rsidP="00B10C90">
            <w:pPr>
              <w:rPr>
                <w:rFonts w:cs="Arial"/>
                <w:spacing w:val="-4"/>
              </w:rPr>
            </w:pPr>
            <w:r w:rsidRPr="009110F7">
              <w:t>Celkové příjmy SR v 1</w:t>
            </w:r>
            <w:r w:rsidR="00716F48" w:rsidRPr="009110F7">
              <w:t>. čtvrt</w:t>
            </w:r>
            <w:r w:rsidRPr="009110F7">
              <w:t xml:space="preserve">letí meziročně </w:t>
            </w:r>
            <w:r w:rsidR="00716F48" w:rsidRPr="009110F7">
              <w:t>o </w:t>
            </w:r>
            <w:r w:rsidRPr="009110F7">
              <w:t>osminu posílily (na 345,7</w:t>
            </w:r>
            <w:r w:rsidR="00167CB9" w:rsidRPr="009110F7">
              <w:t> mld.</w:t>
            </w:r>
            <w:r w:rsidRPr="009110F7">
              <w:t xml:space="preserve"> korun). Přispěl k tomu nejen vyšší výběr daní, ale na rozdíl od loňského roku </w:t>
            </w:r>
            <w:r w:rsidR="00E03D73">
              <w:t xml:space="preserve">rovněž </w:t>
            </w:r>
            <w:r w:rsidRPr="009110F7">
              <w:t xml:space="preserve">růst nedaňových příjmů tažených vyšším přílivem prostředků z EU. Nešlo však o zrychlení čerpání evropských fondů, nýbrž </w:t>
            </w:r>
            <w:r w:rsidR="00716F48" w:rsidRPr="009110F7">
              <w:t>o </w:t>
            </w:r>
            <w:r w:rsidRPr="009110F7">
              <w:t>dobíhající platby vztahující se k již skončenému programovému období</w:t>
            </w:r>
            <w:r w:rsidRPr="009110F7">
              <w:rPr>
                <w:rStyle w:val="Znakapoznpodarou"/>
              </w:rPr>
              <w:footnoteReference w:id="4"/>
            </w:r>
            <w:r w:rsidRPr="009110F7">
              <w:t xml:space="preserve">. Na všech daňových příjmech (bez pojistného) získal SR meziročně </w:t>
            </w:r>
            <w:r w:rsidR="00716F48" w:rsidRPr="009110F7">
              <w:t>o </w:t>
            </w:r>
            <w:r w:rsidRPr="009110F7">
              <w:t>11,6</w:t>
            </w:r>
            <w:r w:rsidR="00167CB9" w:rsidRPr="009110F7">
              <w:t> mld.</w:t>
            </w:r>
            <w:r w:rsidRPr="009110F7">
              <w:t xml:space="preserve"> korun více, k čemuž téměř z poloviny přispěl vyšší výběr DPH. Rostlo však inkaso všech objemově významných daní, vyjma daně z příjmu fyzických osob (DPFO) ze </w:t>
            </w:r>
            <w:r w:rsidRPr="009110F7">
              <w:rPr>
                <w:rFonts w:cs="Arial"/>
                <w:spacing w:val="-4"/>
              </w:rPr>
              <w:t xml:space="preserve">samostatné výdělečné činnosti. Příznivý vývoj ekonomiky se nejlépe odráží v celostátním výběru daňových příjmů, jehož meziroční </w:t>
            </w:r>
            <w:r w:rsidR="00A05EE4" w:rsidRPr="009110F7">
              <w:rPr>
                <w:rFonts w:cs="Arial"/>
                <w:spacing w:val="-4"/>
              </w:rPr>
              <w:t>tempo vzrostlo ze</w:t>
            </w:r>
            <w:r w:rsidRPr="009110F7">
              <w:rPr>
                <w:rFonts w:cs="Arial"/>
                <w:spacing w:val="-4"/>
              </w:rPr>
              <w:t> 7,7</w:t>
            </w:r>
            <w:r w:rsidR="00167CB9" w:rsidRPr="009110F7">
              <w:rPr>
                <w:rFonts w:cs="Arial"/>
                <w:spacing w:val="-4"/>
              </w:rPr>
              <w:t> %</w:t>
            </w:r>
            <w:r w:rsidRPr="009110F7">
              <w:rPr>
                <w:rFonts w:cs="Arial"/>
                <w:spacing w:val="-4"/>
              </w:rPr>
              <w:t xml:space="preserve"> (z</w:t>
            </w:r>
            <w:r w:rsidRPr="009110F7">
              <w:t> </w:t>
            </w:r>
            <w:r w:rsidRPr="009110F7">
              <w:rPr>
                <w:rFonts w:cs="Arial"/>
                <w:spacing w:val="-4"/>
              </w:rPr>
              <w:t>1.</w:t>
            </w:r>
            <w:r w:rsidRPr="009110F7">
              <w:t> </w:t>
            </w:r>
            <w:r w:rsidRPr="009110F7">
              <w:rPr>
                <w:rFonts w:cs="Arial"/>
                <w:spacing w:val="-4"/>
              </w:rPr>
              <w:t>čtvrtletí 2017) na letošních 9,1</w:t>
            </w:r>
            <w:r w:rsidR="00167CB9" w:rsidRPr="009110F7">
              <w:rPr>
                <w:rFonts w:cs="Arial"/>
                <w:spacing w:val="-4"/>
              </w:rPr>
              <w:t> %</w:t>
            </w:r>
            <w:r w:rsidRPr="009110F7">
              <w:rPr>
                <w:rFonts w:cs="Arial"/>
                <w:spacing w:val="-4"/>
              </w:rPr>
              <w:t>.</w:t>
            </w:r>
          </w:p>
        </w:tc>
      </w:tr>
      <w:tr w:rsidR="00965797" w:rsidRPr="009110F7" w:rsidTr="00676D76">
        <w:trPr>
          <w:trHeight w:val="170"/>
        </w:trPr>
        <w:tc>
          <w:tcPr>
            <w:tcW w:w="1870" w:type="dxa"/>
            <w:vMerge w:val="restart"/>
            <w:shd w:val="clear" w:color="auto" w:fill="auto"/>
            <w:tcMar>
              <w:left w:w="0" w:type="dxa"/>
            </w:tcMar>
          </w:tcPr>
          <w:p w:rsidR="00965797" w:rsidRPr="009110F7" w:rsidRDefault="00965797" w:rsidP="00965797">
            <w:pPr>
              <w:pStyle w:val="Marginlie"/>
            </w:pPr>
          </w:p>
        </w:tc>
        <w:tc>
          <w:tcPr>
            <w:tcW w:w="245" w:type="dxa"/>
            <w:vMerge w:val="restart"/>
            <w:shd w:val="clear" w:color="auto" w:fill="auto"/>
            <w:tcMar>
              <w:left w:w="0" w:type="dxa"/>
            </w:tcMar>
          </w:tcPr>
          <w:p w:rsidR="00965797" w:rsidRPr="009110F7" w:rsidRDefault="00965797" w:rsidP="0096579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24" w:type="dxa"/>
            <w:shd w:val="clear" w:color="auto" w:fill="auto"/>
            <w:tcMar>
              <w:left w:w="0" w:type="dxa"/>
            </w:tcMar>
          </w:tcPr>
          <w:p w:rsidR="00167CB9" w:rsidRPr="009110F7" w:rsidRDefault="00B8561A" w:rsidP="00965797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Graf </w:t>
            </w:r>
            <w:r w:rsidR="00167CB9" w:rsidRPr="009110F7">
              <w:rPr>
                <w:rFonts w:cs="Arial"/>
                <w:b/>
                <w:bCs/>
                <w:color w:val="000000"/>
                <w:szCs w:val="20"/>
              </w:rPr>
              <w:t>č. </w:t>
            </w:r>
            <w:proofErr w:type="gramStart"/>
            <w:r w:rsidR="00965797" w:rsidRPr="009110F7">
              <w:rPr>
                <w:rFonts w:cs="Arial"/>
                <w:b/>
                <w:bCs/>
                <w:color w:val="000000"/>
                <w:szCs w:val="20"/>
              </w:rPr>
              <w:t>18</w:t>
            </w:r>
            <w:r w:rsidR="00676D76">
              <w:rPr>
                <w:rFonts w:cs="Arial"/>
                <w:b/>
                <w:bCs/>
                <w:color w:val="000000"/>
                <w:szCs w:val="20"/>
              </w:rPr>
              <w:t xml:space="preserve">  </w:t>
            </w:r>
            <w:r w:rsidR="00965797" w:rsidRPr="009110F7">
              <w:rPr>
                <w:rFonts w:cs="Arial"/>
                <w:b/>
                <w:bCs/>
              </w:rPr>
              <w:t>Celostátní</w:t>
            </w:r>
            <w:proofErr w:type="gramEnd"/>
            <w:r w:rsidR="00965797" w:rsidRPr="009110F7">
              <w:rPr>
                <w:rFonts w:cs="Arial"/>
                <w:b/>
                <w:bCs/>
              </w:rPr>
              <w:t xml:space="preserve"> inkasa vybraných daňových příjmů </w:t>
            </w:r>
            <w:r w:rsidR="00965797" w:rsidRPr="009110F7">
              <w:rPr>
                <w:rFonts w:cs="Arial"/>
                <w:bCs/>
              </w:rPr>
              <w:t>(</w:t>
            </w:r>
            <w:r w:rsidR="00965797" w:rsidRPr="009110F7">
              <w:rPr>
                <w:spacing w:val="-2"/>
              </w:rPr>
              <w:t>meziročně</w:t>
            </w:r>
            <w:r w:rsidR="00965797" w:rsidRPr="009110F7">
              <w:rPr>
                <w:bCs/>
                <w:spacing w:val="-2"/>
              </w:rPr>
              <w:t xml:space="preserve"> v %)</w:t>
            </w:r>
          </w:p>
          <w:p w:rsidR="00965797" w:rsidRPr="009110F7" w:rsidRDefault="00716F48" w:rsidP="00965797">
            <w:pPr>
              <w:spacing w:after="0" w:line="240" w:lineRule="auto"/>
              <w:rPr>
                <w:rFonts w:cs="Arial"/>
                <w:bCs/>
              </w:rPr>
            </w:pPr>
            <w:r w:rsidRPr="009110F7">
              <w:rPr>
                <w:rFonts w:cs="Arial"/>
                <w:b/>
                <w:bCs/>
              </w:rPr>
              <w:t>a </w:t>
            </w:r>
            <w:r w:rsidR="00965797" w:rsidRPr="009110F7">
              <w:rPr>
                <w:rFonts w:cs="Arial"/>
                <w:b/>
                <w:bCs/>
              </w:rPr>
              <w:t>saldo státního rozpočtu</w:t>
            </w:r>
            <w:r w:rsidR="00965797" w:rsidRPr="009110F7">
              <w:t xml:space="preserve"> </w:t>
            </w:r>
            <w:r w:rsidR="00965797" w:rsidRPr="009110F7">
              <w:rPr>
                <w:rFonts w:cs="Arial"/>
                <w:bCs/>
              </w:rPr>
              <w:t>(v mld. korun)</w:t>
            </w:r>
            <w:r w:rsidR="00965797" w:rsidRPr="009110F7">
              <w:rPr>
                <w:rFonts w:cs="Arial"/>
                <w:b/>
                <w:bCs/>
              </w:rPr>
              <w:t xml:space="preserve"> v rámci 1</w:t>
            </w:r>
            <w:r w:rsidRPr="009110F7">
              <w:rPr>
                <w:rFonts w:cs="Arial"/>
                <w:b/>
                <w:bCs/>
              </w:rPr>
              <w:t>. čtvrt</w:t>
            </w:r>
            <w:r w:rsidR="00965797" w:rsidRPr="009110F7">
              <w:rPr>
                <w:rFonts w:cs="Arial"/>
                <w:b/>
                <w:bCs/>
              </w:rPr>
              <w:t>letí</w:t>
            </w:r>
          </w:p>
        </w:tc>
      </w:tr>
      <w:tr w:rsidR="00965797" w:rsidRPr="009110F7" w:rsidTr="00676D76">
        <w:trPr>
          <w:trHeight w:val="170"/>
        </w:trPr>
        <w:tc>
          <w:tcPr>
            <w:tcW w:w="1870" w:type="dxa"/>
            <w:vMerge/>
            <w:shd w:val="clear" w:color="auto" w:fill="auto"/>
            <w:tcMar>
              <w:left w:w="0" w:type="dxa"/>
            </w:tcMar>
          </w:tcPr>
          <w:p w:rsidR="00965797" w:rsidRPr="009110F7" w:rsidRDefault="00965797" w:rsidP="00965797">
            <w:pPr>
              <w:pStyle w:val="Marginlie"/>
            </w:pPr>
          </w:p>
        </w:tc>
        <w:tc>
          <w:tcPr>
            <w:tcW w:w="245" w:type="dxa"/>
            <w:vMerge/>
            <w:shd w:val="clear" w:color="auto" w:fill="auto"/>
            <w:tcMar>
              <w:left w:w="0" w:type="dxa"/>
            </w:tcMar>
          </w:tcPr>
          <w:p w:rsidR="00965797" w:rsidRPr="009110F7" w:rsidRDefault="00965797" w:rsidP="0096579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24" w:type="dxa"/>
            <w:shd w:val="clear" w:color="auto" w:fill="auto"/>
            <w:tcMar>
              <w:left w:w="0" w:type="dxa"/>
            </w:tcMar>
          </w:tcPr>
          <w:p w:rsidR="00965797" w:rsidRPr="009110F7" w:rsidRDefault="00965797" w:rsidP="00965797">
            <w:pPr>
              <w:spacing w:after="0"/>
            </w:pPr>
            <w:r w:rsidRPr="009110F7">
              <w:rPr>
                <w:noProof/>
              </w:rPr>
              <w:drawing>
                <wp:inline distT="0" distB="0" distL="0" distR="0">
                  <wp:extent cx="4752000" cy="3551605"/>
                  <wp:effectExtent l="19050" t="0" r="0" b="0"/>
                  <wp:docPr id="14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965797" w:rsidRPr="009110F7" w:rsidTr="00676D76">
        <w:trPr>
          <w:trHeight w:val="170"/>
        </w:trPr>
        <w:tc>
          <w:tcPr>
            <w:tcW w:w="1870" w:type="dxa"/>
            <w:vMerge/>
            <w:shd w:val="clear" w:color="auto" w:fill="auto"/>
            <w:tcMar>
              <w:left w:w="0" w:type="dxa"/>
            </w:tcMar>
          </w:tcPr>
          <w:p w:rsidR="00965797" w:rsidRPr="009110F7" w:rsidRDefault="00965797" w:rsidP="00965797">
            <w:pPr>
              <w:pStyle w:val="Marginlie"/>
            </w:pPr>
          </w:p>
        </w:tc>
        <w:tc>
          <w:tcPr>
            <w:tcW w:w="245" w:type="dxa"/>
            <w:vMerge/>
            <w:shd w:val="clear" w:color="auto" w:fill="auto"/>
            <w:tcMar>
              <w:left w:w="0" w:type="dxa"/>
            </w:tcMar>
          </w:tcPr>
          <w:p w:rsidR="00965797" w:rsidRPr="009110F7" w:rsidRDefault="00965797" w:rsidP="0096579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24" w:type="dxa"/>
            <w:shd w:val="clear" w:color="auto" w:fill="auto"/>
            <w:tcMar>
              <w:left w:w="0" w:type="dxa"/>
            </w:tcMar>
          </w:tcPr>
          <w:p w:rsidR="00965797" w:rsidRPr="009110F7" w:rsidRDefault="00965797" w:rsidP="005D5AA9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9110F7">
              <w:rPr>
                <w:sz w:val="14"/>
                <w:szCs w:val="14"/>
              </w:rPr>
              <w:t>Zdroj: MF</w:t>
            </w:r>
            <w:r w:rsidR="00CA0346">
              <w:rPr>
                <w:sz w:val="14"/>
                <w:szCs w:val="14"/>
              </w:rPr>
              <w:t> Č</w:t>
            </w:r>
            <w:r w:rsidRPr="009110F7">
              <w:rPr>
                <w:sz w:val="14"/>
                <w:szCs w:val="14"/>
              </w:rPr>
              <w:t>R</w:t>
            </w:r>
          </w:p>
        </w:tc>
      </w:tr>
      <w:tr w:rsidR="00965797" w:rsidRPr="009110F7" w:rsidTr="00676D76">
        <w:trPr>
          <w:trHeight w:val="145"/>
        </w:trPr>
        <w:tc>
          <w:tcPr>
            <w:tcW w:w="1870" w:type="dxa"/>
            <w:shd w:val="clear" w:color="auto" w:fill="auto"/>
            <w:tcMar>
              <w:left w:w="0" w:type="dxa"/>
            </w:tcMar>
          </w:tcPr>
          <w:p w:rsidR="00965797" w:rsidRPr="009110F7" w:rsidRDefault="00965797" w:rsidP="00965797">
            <w:pPr>
              <w:pStyle w:val="Marginlie"/>
            </w:pPr>
            <w:r w:rsidRPr="009110F7">
              <w:lastRenderedPageBreak/>
              <w:t>Dynamický růst výběr</w:t>
            </w:r>
            <w:r w:rsidR="008F2A5D">
              <w:t>u</w:t>
            </w:r>
            <w:r w:rsidRPr="009110F7">
              <w:t xml:space="preserve"> DPH odrážel rostoucí výdaje na konečnou spotřebu </w:t>
            </w:r>
            <w:r w:rsidR="00716F48" w:rsidRPr="009110F7">
              <w:t>i </w:t>
            </w:r>
            <w:r w:rsidRPr="009110F7">
              <w:t xml:space="preserve">nedávná opatření zavedená na straně výběru daně. </w:t>
            </w:r>
          </w:p>
        </w:tc>
        <w:tc>
          <w:tcPr>
            <w:tcW w:w="245" w:type="dxa"/>
            <w:shd w:val="clear" w:color="auto" w:fill="auto"/>
            <w:tcMar>
              <w:left w:w="0" w:type="dxa"/>
            </w:tcMar>
          </w:tcPr>
          <w:p w:rsidR="00965797" w:rsidRPr="009110F7" w:rsidRDefault="00965797" w:rsidP="0096579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24" w:type="dxa"/>
            <w:shd w:val="clear" w:color="auto" w:fill="auto"/>
            <w:tcMar>
              <w:left w:w="0" w:type="dxa"/>
            </w:tcMar>
          </w:tcPr>
          <w:p w:rsidR="00965797" w:rsidRPr="009110F7" w:rsidRDefault="00965797" w:rsidP="009A4D57">
            <w:pPr>
              <w:spacing w:after="160"/>
              <w:rPr>
                <w:spacing w:val="-3"/>
              </w:rPr>
            </w:pPr>
            <w:r w:rsidRPr="009110F7">
              <w:rPr>
                <w:rFonts w:cs="Arial"/>
                <w:color w:val="000000" w:themeColor="text1"/>
                <w:spacing w:val="-3"/>
              </w:rPr>
              <w:t xml:space="preserve">Celostátní výběr váhově nejvýznamnější daně – DPH – meziročně posílil </w:t>
            </w:r>
            <w:r w:rsidR="00716F48" w:rsidRPr="009110F7">
              <w:rPr>
                <w:rFonts w:cs="Arial"/>
                <w:color w:val="000000" w:themeColor="text1"/>
                <w:spacing w:val="-3"/>
              </w:rPr>
              <w:t>o </w:t>
            </w:r>
            <w:r w:rsidRPr="009110F7">
              <w:rPr>
                <w:rFonts w:cs="Arial"/>
                <w:color w:val="000000" w:themeColor="text1"/>
                <w:spacing w:val="-3"/>
              </w:rPr>
              <w:t>13,2</w:t>
            </w:r>
            <w:r w:rsidR="00167CB9" w:rsidRPr="009110F7">
              <w:rPr>
                <w:rFonts w:cs="Arial"/>
                <w:color w:val="000000" w:themeColor="text1"/>
                <w:spacing w:val="-3"/>
              </w:rPr>
              <w:t> %</w:t>
            </w:r>
            <w:r w:rsidRPr="009110F7">
              <w:rPr>
                <w:rFonts w:cs="Arial"/>
                <w:color w:val="000000" w:themeColor="text1"/>
                <w:spacing w:val="-3"/>
              </w:rPr>
              <w:t xml:space="preserve"> (na úrovni SR </w:t>
            </w:r>
            <w:r w:rsidR="00716F48" w:rsidRPr="009110F7">
              <w:rPr>
                <w:rFonts w:cs="Arial"/>
                <w:color w:val="000000" w:themeColor="text1"/>
                <w:spacing w:val="-3"/>
              </w:rPr>
              <w:t>o </w:t>
            </w:r>
            <w:r w:rsidRPr="009110F7">
              <w:rPr>
                <w:rFonts w:cs="Arial"/>
                <w:color w:val="000000" w:themeColor="text1"/>
                <w:spacing w:val="-3"/>
              </w:rPr>
              <w:t>9,9</w:t>
            </w:r>
            <w:r w:rsidR="00167CB9" w:rsidRPr="009110F7">
              <w:rPr>
                <w:rFonts w:cs="Arial"/>
                <w:color w:val="000000" w:themeColor="text1"/>
                <w:spacing w:val="-3"/>
              </w:rPr>
              <w:t> %</w:t>
            </w:r>
            <w:r w:rsidRPr="009110F7">
              <w:rPr>
                <w:rFonts w:cs="Arial"/>
                <w:color w:val="000000" w:themeColor="text1"/>
                <w:spacing w:val="-3"/>
              </w:rPr>
              <w:t>)</w:t>
            </w:r>
            <w:r w:rsidRPr="009110F7">
              <w:rPr>
                <w:rStyle w:val="Znakapoznpodarou"/>
                <w:color w:val="000000" w:themeColor="text1"/>
                <w:spacing w:val="-3"/>
              </w:rPr>
              <w:footnoteReference w:id="5"/>
            </w:r>
            <w:r w:rsidRPr="009110F7">
              <w:rPr>
                <w:rFonts w:cs="Arial"/>
                <w:color w:val="000000" w:themeColor="text1"/>
                <w:spacing w:val="-3"/>
              </w:rPr>
              <w:t>. Podobně jako po většinu loňského roku rostl dynamičtěji než výdaje na konečnou spotřebu domácností či vlády. Ve vysokém tempu inkasa DPH v 1</w:t>
            </w:r>
            <w:r w:rsidR="00716F48" w:rsidRPr="009110F7">
              <w:rPr>
                <w:rFonts w:cs="Arial"/>
                <w:color w:val="000000" w:themeColor="text1"/>
                <w:spacing w:val="-3"/>
              </w:rPr>
              <w:t>. čtvrt</w:t>
            </w:r>
            <w:r w:rsidRPr="009110F7">
              <w:rPr>
                <w:rFonts w:cs="Arial"/>
                <w:color w:val="000000" w:themeColor="text1"/>
                <w:spacing w:val="-3"/>
              </w:rPr>
              <w:t xml:space="preserve">letí 2018 </w:t>
            </w:r>
            <w:r w:rsidRPr="009110F7">
              <w:rPr>
                <w:rFonts w:cs="Arial"/>
                <w:color w:val="0D0D0D" w:themeColor="text1" w:themeTint="F2"/>
                <w:spacing w:val="-3"/>
              </w:rPr>
              <w:t xml:space="preserve">se promítl </w:t>
            </w:r>
            <w:r w:rsidR="00A05EE4" w:rsidRPr="009110F7">
              <w:rPr>
                <w:rFonts w:cs="Arial"/>
                <w:color w:val="0D0D0D" w:themeColor="text1" w:themeTint="F2"/>
                <w:spacing w:val="-3"/>
              </w:rPr>
              <w:t xml:space="preserve">vliv příznivého vývoje hospodářství </w:t>
            </w:r>
            <w:r w:rsidRPr="009110F7">
              <w:rPr>
                <w:rFonts w:cs="Arial"/>
                <w:color w:val="000000" w:themeColor="text1"/>
                <w:spacing w:val="-3"/>
              </w:rPr>
              <w:t>i</w:t>
            </w:r>
            <w:r w:rsidRPr="009110F7">
              <w:rPr>
                <w:spacing w:val="-3"/>
              </w:rPr>
              <w:t> </w:t>
            </w:r>
            <w:r w:rsidRPr="009110F7">
              <w:rPr>
                <w:rFonts w:cs="Arial"/>
                <w:color w:val="000000" w:themeColor="text1"/>
                <w:spacing w:val="-3"/>
              </w:rPr>
              <w:t>přesun některých aktivit z šedé ekonomiky vlivem nedávných opatření zavedených na straně výběru daně</w:t>
            </w:r>
            <w:r w:rsidRPr="009110F7">
              <w:rPr>
                <w:rStyle w:val="Znakapoznpodarou"/>
                <w:color w:val="000000" w:themeColor="text1"/>
                <w:spacing w:val="-3"/>
              </w:rPr>
              <w:footnoteReference w:id="6"/>
            </w:r>
            <w:r w:rsidRPr="009110F7">
              <w:rPr>
                <w:rFonts w:cs="Arial"/>
                <w:color w:val="000000" w:themeColor="text1"/>
                <w:spacing w:val="-3"/>
              </w:rPr>
              <w:t xml:space="preserve">. </w:t>
            </w:r>
          </w:p>
        </w:tc>
      </w:tr>
      <w:tr w:rsidR="00965797" w:rsidRPr="009110F7" w:rsidTr="00676D76">
        <w:trPr>
          <w:trHeight w:val="145"/>
        </w:trPr>
        <w:tc>
          <w:tcPr>
            <w:tcW w:w="1870" w:type="dxa"/>
            <w:shd w:val="clear" w:color="auto" w:fill="auto"/>
            <w:tcMar>
              <w:left w:w="0" w:type="dxa"/>
            </w:tcMar>
          </w:tcPr>
          <w:p w:rsidR="00965797" w:rsidRPr="009110F7" w:rsidRDefault="00965797" w:rsidP="00965797">
            <w:pPr>
              <w:pStyle w:val="Marginlie"/>
            </w:pPr>
            <w:r w:rsidRPr="009110F7">
              <w:t xml:space="preserve">Mírný růst inkasa spotřebních daní byl zajištěn navýšením sazeb daně </w:t>
            </w:r>
            <w:r w:rsidR="00716F48" w:rsidRPr="009110F7">
              <w:t>u </w:t>
            </w:r>
            <w:r w:rsidRPr="009110F7">
              <w:t xml:space="preserve">tabákových výrobků. Vyššímu růstu výběru daně z minerálních olejů bránilo zavedení „zelené nafty“. </w:t>
            </w:r>
          </w:p>
        </w:tc>
        <w:tc>
          <w:tcPr>
            <w:tcW w:w="245" w:type="dxa"/>
            <w:shd w:val="clear" w:color="auto" w:fill="auto"/>
            <w:tcMar>
              <w:left w:w="0" w:type="dxa"/>
            </w:tcMar>
          </w:tcPr>
          <w:p w:rsidR="00965797" w:rsidRPr="009110F7" w:rsidRDefault="00965797" w:rsidP="0096579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24" w:type="dxa"/>
            <w:shd w:val="clear" w:color="auto" w:fill="auto"/>
            <w:tcMar>
              <w:left w:w="0" w:type="dxa"/>
            </w:tcMar>
          </w:tcPr>
          <w:p w:rsidR="00965797" w:rsidRPr="009110F7" w:rsidRDefault="00965797" w:rsidP="009A4D57">
            <w:pPr>
              <w:tabs>
                <w:tab w:val="left" w:pos="2730"/>
              </w:tabs>
              <w:spacing w:after="160"/>
              <w:rPr>
                <w:spacing w:val="-2"/>
              </w:rPr>
            </w:pPr>
            <w:r w:rsidRPr="009110F7">
              <w:rPr>
                <w:rFonts w:cs="Arial"/>
                <w:color w:val="000000" w:themeColor="text1"/>
                <w:spacing w:val="-2"/>
              </w:rPr>
              <w:t>Ze všech spotřebních daní získal SR v 1</w:t>
            </w:r>
            <w:r w:rsidR="00716F48" w:rsidRPr="009110F7">
              <w:rPr>
                <w:rFonts w:cs="Arial"/>
                <w:color w:val="000000" w:themeColor="text1"/>
                <w:spacing w:val="-2"/>
              </w:rPr>
              <w:t>. čtvrt</w:t>
            </w:r>
            <w:r w:rsidRPr="009110F7">
              <w:rPr>
                <w:rFonts w:cs="Arial"/>
                <w:color w:val="000000" w:themeColor="text1"/>
                <w:spacing w:val="-2"/>
              </w:rPr>
              <w:t>letí meziročně o 3,5</w:t>
            </w:r>
            <w:r w:rsidR="00167CB9" w:rsidRPr="009110F7">
              <w:rPr>
                <w:rFonts w:cs="Arial"/>
                <w:color w:val="000000" w:themeColor="text1"/>
                <w:spacing w:val="-2"/>
              </w:rPr>
              <w:t> %</w:t>
            </w:r>
            <w:r w:rsidRPr="009110F7">
              <w:rPr>
                <w:rFonts w:cs="Arial"/>
                <w:color w:val="000000" w:themeColor="text1"/>
                <w:spacing w:val="-2"/>
              </w:rPr>
              <w:t xml:space="preserve"> více. Na rozdíl od loňského roku byl tento růst tažen inkasem daně z tabákových výrobků (meziročně o 1,1 mld. korun vyšším). Růst sazeb daně z tabákových výrobků (platný od počátku roku 2018) se prozatím ukazuje jako významnější faktor nežli restrikce spojené s přijetím protikuřáckého zákona (platného od června 2017). Naopak výběr daně z minerálních olejů (+0,5</w:t>
            </w:r>
            <w:r w:rsidR="00167CB9" w:rsidRPr="009110F7">
              <w:rPr>
                <w:rFonts w:cs="Arial"/>
                <w:color w:val="000000" w:themeColor="text1"/>
                <w:spacing w:val="-2"/>
              </w:rPr>
              <w:t> %</w:t>
            </w:r>
            <w:r w:rsidRPr="009110F7">
              <w:rPr>
                <w:rFonts w:cs="Arial"/>
                <w:color w:val="000000" w:themeColor="text1"/>
                <w:spacing w:val="-2"/>
              </w:rPr>
              <w:t>) jakožto váhově dominantní položky spotřebních daní zůstal v 1</w:t>
            </w:r>
            <w:r w:rsidR="00716F48" w:rsidRPr="009110F7">
              <w:rPr>
                <w:rFonts w:cs="Arial"/>
                <w:color w:val="000000" w:themeColor="text1"/>
                <w:spacing w:val="-2"/>
              </w:rPr>
              <w:t>. čtvrt</w:t>
            </w:r>
            <w:r w:rsidRPr="009110F7">
              <w:rPr>
                <w:rFonts w:cs="Arial"/>
                <w:color w:val="000000" w:themeColor="text1"/>
                <w:spacing w:val="-2"/>
              </w:rPr>
              <w:t xml:space="preserve">letí mírně za rozpočtovým očekáváním. Efekt příznivého ekonomického vývoje na rostoucí mobilitu podpořený </w:t>
            </w:r>
            <w:r w:rsidR="00716F48" w:rsidRPr="009110F7">
              <w:rPr>
                <w:rFonts w:cs="Arial"/>
                <w:color w:val="000000" w:themeColor="text1"/>
                <w:spacing w:val="-2"/>
              </w:rPr>
              <w:t>i </w:t>
            </w:r>
            <w:r w:rsidRPr="009110F7">
              <w:rPr>
                <w:rFonts w:cs="Arial"/>
                <w:color w:val="000000" w:themeColor="text1"/>
                <w:spacing w:val="-2"/>
              </w:rPr>
              <w:t>teplým počasím v první polovině jara byl převýšen administrativními vlivy</w:t>
            </w:r>
            <w:r w:rsidRPr="009110F7">
              <w:rPr>
                <w:rStyle w:val="Znakapoznpodarou"/>
                <w:color w:val="000000" w:themeColor="text1"/>
                <w:spacing w:val="-2"/>
              </w:rPr>
              <w:footnoteReference w:id="7"/>
            </w:r>
            <w:r w:rsidRPr="009110F7">
              <w:rPr>
                <w:rFonts w:cs="Arial"/>
                <w:color w:val="000000" w:themeColor="text1"/>
                <w:spacing w:val="-2"/>
              </w:rPr>
              <w:t xml:space="preserve">. </w:t>
            </w:r>
          </w:p>
        </w:tc>
      </w:tr>
      <w:tr w:rsidR="00965797" w:rsidRPr="009110F7" w:rsidTr="00676D76">
        <w:trPr>
          <w:trHeight w:val="145"/>
        </w:trPr>
        <w:tc>
          <w:tcPr>
            <w:tcW w:w="1870" w:type="dxa"/>
            <w:shd w:val="clear" w:color="auto" w:fill="auto"/>
            <w:tcMar>
              <w:left w:w="0" w:type="dxa"/>
            </w:tcMar>
          </w:tcPr>
          <w:p w:rsidR="00965797" w:rsidRPr="009110F7" w:rsidRDefault="00965797" w:rsidP="00965797">
            <w:pPr>
              <w:pStyle w:val="Marginlie"/>
            </w:pPr>
            <w:r w:rsidRPr="009110F7">
              <w:t>Tempo růstu výběr</w:t>
            </w:r>
            <w:r w:rsidR="00CC655F">
              <w:t>u</w:t>
            </w:r>
            <w:r w:rsidRPr="009110F7">
              <w:t xml:space="preserve"> </w:t>
            </w:r>
            <w:proofErr w:type="spellStart"/>
            <w:r w:rsidRPr="009110F7">
              <w:t>korporátní</w:t>
            </w:r>
            <w:proofErr w:type="spellEnd"/>
            <w:r w:rsidRPr="009110F7">
              <w:t xml:space="preserve"> daně sláblo a v 1</w:t>
            </w:r>
            <w:r w:rsidR="00716F48" w:rsidRPr="009110F7">
              <w:t>. čtvrt</w:t>
            </w:r>
            <w:r w:rsidRPr="009110F7">
              <w:t>letí dosáhlo nejslabšího výsledk</w:t>
            </w:r>
            <w:r w:rsidR="00CC655F">
              <w:t>u</w:t>
            </w:r>
            <w:r w:rsidRPr="009110F7">
              <w:t xml:space="preserve"> za posledních pět let.</w:t>
            </w:r>
            <w:r w:rsidR="00161553" w:rsidRPr="009110F7">
              <w:t xml:space="preserve"> </w:t>
            </w:r>
          </w:p>
        </w:tc>
        <w:tc>
          <w:tcPr>
            <w:tcW w:w="245" w:type="dxa"/>
            <w:shd w:val="clear" w:color="auto" w:fill="auto"/>
            <w:tcMar>
              <w:left w:w="0" w:type="dxa"/>
            </w:tcMar>
          </w:tcPr>
          <w:p w:rsidR="00965797" w:rsidRPr="009110F7" w:rsidRDefault="00965797" w:rsidP="0096579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24" w:type="dxa"/>
            <w:shd w:val="clear" w:color="auto" w:fill="auto"/>
            <w:tcMar>
              <w:left w:w="0" w:type="dxa"/>
            </w:tcMar>
          </w:tcPr>
          <w:p w:rsidR="00965797" w:rsidRPr="009110F7" w:rsidRDefault="00965797" w:rsidP="009A4D57">
            <w:pPr>
              <w:spacing w:after="160"/>
            </w:pPr>
            <w:r w:rsidRPr="009110F7">
              <w:t xml:space="preserve">Tempo růstu celostátního inkasa daně z příjmu právnických osob sláblo již v průběhu loňského roku. Za tři letošní měsíce vzrostlo meziročně jen </w:t>
            </w:r>
            <w:r w:rsidR="00716F48" w:rsidRPr="009110F7">
              <w:t>o </w:t>
            </w:r>
            <w:r w:rsidRPr="009110F7">
              <w:t>1,2</w:t>
            </w:r>
            <w:r w:rsidR="00167CB9" w:rsidRPr="009110F7">
              <w:t> %</w:t>
            </w:r>
            <w:r w:rsidRPr="009110F7">
              <w:rPr>
                <w:rStyle w:val="Znakapoznpodarou"/>
              </w:rPr>
              <w:footnoteReference w:id="8"/>
            </w:r>
            <w:r w:rsidRPr="009110F7">
              <w:t xml:space="preserve"> (o rok dříve +10,2</w:t>
            </w:r>
            <w:r w:rsidR="00167CB9" w:rsidRPr="009110F7">
              <w:t> %</w:t>
            </w:r>
            <w:r w:rsidRPr="009110F7">
              <w:t xml:space="preserve">), v tomto období roku šlo </w:t>
            </w:r>
            <w:r w:rsidR="00716F48" w:rsidRPr="009110F7">
              <w:t>o </w:t>
            </w:r>
            <w:r w:rsidRPr="009110F7">
              <w:t xml:space="preserve">nejslabší výsledek za posledních pět let. 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 xml:space="preserve">V inkasu se </w:t>
            </w:r>
            <w:r w:rsidR="00CC655F">
              <w:rPr>
                <w:rFonts w:cs="Arial"/>
                <w:color w:val="0D0D0D" w:themeColor="text1" w:themeTint="F2"/>
                <w:spacing w:val="-4"/>
              </w:rPr>
              <w:t xml:space="preserve">ve 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>větší míře již začala projevovat mírně klesající ziskovost podniků z let 2016 a 2017 způsobená především vlivem sílících mzdových nákladů</w:t>
            </w:r>
            <w:r w:rsidRPr="009110F7">
              <w:t xml:space="preserve">. </w:t>
            </w:r>
          </w:p>
        </w:tc>
      </w:tr>
      <w:tr w:rsidR="00965797" w:rsidRPr="009110F7" w:rsidTr="00676D76">
        <w:trPr>
          <w:trHeight w:val="145"/>
        </w:trPr>
        <w:tc>
          <w:tcPr>
            <w:tcW w:w="1870" w:type="dxa"/>
            <w:shd w:val="clear" w:color="auto" w:fill="auto"/>
            <w:tcMar>
              <w:left w:w="0" w:type="dxa"/>
            </w:tcMar>
          </w:tcPr>
          <w:p w:rsidR="00965797" w:rsidRPr="009110F7" w:rsidRDefault="00965797" w:rsidP="00965797">
            <w:pPr>
              <w:pStyle w:val="Marginlie"/>
            </w:pPr>
            <w:r w:rsidRPr="009110F7">
              <w:t>Vývoj na pracovním trhu se příznivě promítl do inkasa DPFO ze závislé činnosti. T</w:t>
            </w:r>
            <w:r w:rsidR="002E5846">
              <w:t>o</w:t>
            </w:r>
            <w:r w:rsidRPr="009110F7">
              <w:t xml:space="preserve"> vzrostl</w:t>
            </w:r>
            <w:r w:rsidR="002E5846">
              <w:t>o</w:t>
            </w:r>
            <w:r w:rsidRPr="009110F7">
              <w:t xml:space="preserve"> meziročně </w:t>
            </w:r>
            <w:r w:rsidR="00716F48" w:rsidRPr="009110F7">
              <w:t>o </w:t>
            </w:r>
            <w:r w:rsidRPr="009110F7">
              <w:t>rekordních 15,4</w:t>
            </w:r>
            <w:r w:rsidR="00167CB9" w:rsidRPr="009110F7">
              <w:t> %</w:t>
            </w:r>
            <w:r w:rsidRPr="009110F7">
              <w:t>.</w:t>
            </w:r>
          </w:p>
        </w:tc>
        <w:tc>
          <w:tcPr>
            <w:tcW w:w="245" w:type="dxa"/>
            <w:shd w:val="clear" w:color="auto" w:fill="auto"/>
            <w:tcMar>
              <w:left w:w="0" w:type="dxa"/>
            </w:tcMar>
          </w:tcPr>
          <w:p w:rsidR="00965797" w:rsidRPr="009110F7" w:rsidRDefault="00965797" w:rsidP="0096579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24" w:type="dxa"/>
            <w:shd w:val="clear" w:color="auto" w:fill="auto"/>
            <w:tcMar>
              <w:left w:w="0" w:type="dxa"/>
            </w:tcMar>
          </w:tcPr>
          <w:p w:rsidR="00965797" w:rsidRPr="009110F7" w:rsidRDefault="00965797" w:rsidP="009A4D57">
            <w:pPr>
              <w:spacing w:after="160"/>
            </w:pPr>
            <w:r w:rsidRPr="009110F7">
              <w:rPr>
                <w:rFonts w:cs="Arial"/>
                <w:color w:val="0D0D0D" w:themeColor="text1" w:themeTint="F2"/>
                <w:spacing w:val="-4"/>
              </w:rPr>
              <w:t>Naproti tomu ve výběru daně z příjmů fyzických osob (DPFO) ze závislé činnosti se vývoj na trhu práce projevoval stále pozitivně. Rekordní počet pracujících doplněný sílícími tlaky na mzdový růst vyústily v rekordní 15,4% růst inkasa. Vedle tržních tlaků působí na růst průměrný</w:t>
            </w:r>
            <w:r w:rsidR="00A05EE4" w:rsidRPr="009110F7">
              <w:rPr>
                <w:rFonts w:cs="Arial"/>
                <w:color w:val="0D0D0D" w:themeColor="text1" w:themeTint="F2"/>
                <w:spacing w:val="-4"/>
              </w:rPr>
              <w:t>ch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 xml:space="preserve"> mezd (vyplývajících z nerovnováhy na pracovním trhu) i administrativní vlivy (opakované navyšování minimální mzdy). Naopak výběr </w:t>
            </w:r>
            <w:r w:rsidRPr="009110F7">
              <w:rPr>
                <w:rFonts w:cs="Arial"/>
                <w:spacing w:val="-4"/>
              </w:rPr>
              <w:t>DPFO ze samostatné výdělečné činnosti dosáhl v 1</w:t>
            </w:r>
            <w:r w:rsidR="00716F48" w:rsidRPr="009110F7">
              <w:rPr>
                <w:rFonts w:cs="Arial"/>
                <w:spacing w:val="-4"/>
              </w:rPr>
              <w:t>. čtvrt</w:t>
            </w:r>
            <w:r w:rsidRPr="009110F7">
              <w:rPr>
                <w:rFonts w:cs="Arial"/>
                <w:spacing w:val="-4"/>
              </w:rPr>
              <w:t>letí 6,8</w:t>
            </w:r>
            <w:r w:rsidR="00167CB9" w:rsidRPr="009110F7">
              <w:rPr>
                <w:rFonts w:cs="Arial"/>
                <w:spacing w:val="-4"/>
              </w:rPr>
              <w:t> mld.</w:t>
            </w:r>
            <w:r w:rsidRPr="009110F7">
              <w:rPr>
                <w:rFonts w:cs="Arial"/>
                <w:spacing w:val="-4"/>
              </w:rPr>
              <w:t xml:space="preserve"> korun </w:t>
            </w:r>
            <w:r w:rsidR="00716F48" w:rsidRPr="009110F7">
              <w:rPr>
                <w:rFonts w:cs="Arial"/>
                <w:spacing w:val="-4"/>
              </w:rPr>
              <w:t>a </w:t>
            </w:r>
            <w:r w:rsidRPr="009110F7">
              <w:rPr>
                <w:rFonts w:cs="Arial"/>
                <w:spacing w:val="-4"/>
              </w:rPr>
              <w:t>meziročně se o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> </w:t>
            </w:r>
            <w:r w:rsidRPr="009110F7">
              <w:rPr>
                <w:rFonts w:cs="Arial"/>
                <w:spacing w:val="-4"/>
              </w:rPr>
              <w:t>3,4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> </w:t>
            </w:r>
            <w:r w:rsidRPr="009110F7">
              <w:rPr>
                <w:rFonts w:cs="Arial"/>
                <w:spacing w:val="-4"/>
              </w:rPr>
              <w:t>% snížil</w:t>
            </w:r>
            <w:r w:rsidRPr="009110F7">
              <w:rPr>
                <w:rStyle w:val="Znakapoznpodarou"/>
                <w:spacing w:val="-4"/>
              </w:rPr>
              <w:footnoteReference w:id="9"/>
            </w:r>
            <w:r w:rsidRPr="009110F7">
              <w:rPr>
                <w:rFonts w:cs="Arial"/>
                <w:spacing w:val="-4"/>
              </w:rPr>
              <w:t>. Vzhledem k relativně nižšímu ob</w:t>
            </w:r>
            <w:r w:rsidR="00A05EE4" w:rsidRPr="009110F7">
              <w:rPr>
                <w:rFonts w:cs="Arial"/>
                <w:spacing w:val="-4"/>
              </w:rPr>
              <w:t>jemu této daně je její meziroční</w:t>
            </w:r>
            <w:r w:rsidRPr="009110F7">
              <w:rPr>
                <w:rFonts w:cs="Arial"/>
                <w:spacing w:val="-4"/>
              </w:rPr>
              <w:t xml:space="preserve"> srovnání citlivé na změny v možnostech daňových odpočtů (</w:t>
            </w:r>
            <w:r w:rsidRPr="009110F7">
              <w:t>slev</w:t>
            </w:r>
            <w:r w:rsidR="002E5846">
              <w:t>y</w:t>
            </w:r>
            <w:r w:rsidRPr="009110F7">
              <w:t xml:space="preserve"> na druhého z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> </w:t>
            </w:r>
            <w:r w:rsidRPr="009110F7">
              <w:t>manželů a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> </w:t>
            </w:r>
            <w:r w:rsidRPr="009110F7">
              <w:t>daňového zvýhodnění na děti).</w:t>
            </w:r>
          </w:p>
        </w:tc>
      </w:tr>
      <w:tr w:rsidR="00965797" w:rsidRPr="009110F7" w:rsidTr="00676D76">
        <w:trPr>
          <w:trHeight w:val="145"/>
        </w:trPr>
        <w:tc>
          <w:tcPr>
            <w:tcW w:w="1870" w:type="dxa"/>
            <w:shd w:val="clear" w:color="auto" w:fill="auto"/>
            <w:tcMar>
              <w:left w:w="0" w:type="dxa"/>
            </w:tcMar>
          </w:tcPr>
          <w:p w:rsidR="00965797" w:rsidRPr="009110F7" w:rsidRDefault="00965797" w:rsidP="00965797">
            <w:pPr>
              <w:pStyle w:val="Marginlie"/>
            </w:pPr>
            <w:r w:rsidRPr="009110F7">
              <w:t>Investiční výdaje proti rekordně nízké loňské základně mírně vzrostly. Jejich podíl na celkových výdajích SR ale zůstal druhý nejnižší za posledních třináct let.</w:t>
            </w:r>
          </w:p>
        </w:tc>
        <w:tc>
          <w:tcPr>
            <w:tcW w:w="245" w:type="dxa"/>
            <w:shd w:val="clear" w:color="auto" w:fill="auto"/>
            <w:tcMar>
              <w:left w:w="0" w:type="dxa"/>
            </w:tcMar>
          </w:tcPr>
          <w:p w:rsidR="00965797" w:rsidRPr="009110F7" w:rsidRDefault="00965797" w:rsidP="0096579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24" w:type="dxa"/>
            <w:shd w:val="clear" w:color="auto" w:fill="auto"/>
            <w:tcMar>
              <w:left w:w="0" w:type="dxa"/>
            </w:tcMar>
          </w:tcPr>
          <w:p w:rsidR="00B10C90" w:rsidRPr="009110F7" w:rsidRDefault="00965797" w:rsidP="00B10C90">
            <w:pPr>
              <w:spacing w:after="0"/>
              <w:rPr>
                <w:rFonts w:cs="Arial"/>
                <w:color w:val="000000" w:themeColor="text1"/>
              </w:rPr>
            </w:pPr>
            <w:r w:rsidRPr="009110F7">
              <w:rPr>
                <w:szCs w:val="20"/>
              </w:rPr>
              <w:t>Růst celkových výdajů SR v 1</w:t>
            </w:r>
            <w:r w:rsidR="00716F48" w:rsidRPr="009110F7">
              <w:rPr>
                <w:szCs w:val="20"/>
              </w:rPr>
              <w:t>. čtvrt</w:t>
            </w:r>
            <w:r w:rsidRPr="009110F7">
              <w:rPr>
                <w:szCs w:val="20"/>
              </w:rPr>
              <w:t>letí výrazně zrychlil (na 8,7</w:t>
            </w:r>
            <w:r w:rsidR="00167CB9" w:rsidRPr="009110F7">
              <w:rPr>
                <w:szCs w:val="20"/>
              </w:rPr>
              <w:t> %</w:t>
            </w:r>
            <w:r w:rsidRPr="009110F7">
              <w:rPr>
                <w:szCs w:val="20"/>
              </w:rPr>
              <w:t xml:space="preserve"> meziročně, </w:t>
            </w:r>
            <w:r w:rsidR="00716F48" w:rsidRPr="009110F7">
              <w:rPr>
                <w:szCs w:val="20"/>
              </w:rPr>
              <w:t>o </w:t>
            </w:r>
            <w:r w:rsidRPr="009110F7">
              <w:rPr>
                <w:szCs w:val="20"/>
              </w:rPr>
              <w:t>rok dříve jen 1,6</w:t>
            </w:r>
            <w:r w:rsidR="00167CB9" w:rsidRPr="009110F7">
              <w:rPr>
                <w:szCs w:val="20"/>
              </w:rPr>
              <w:t> %</w:t>
            </w:r>
            <w:r w:rsidRPr="009110F7">
              <w:rPr>
                <w:szCs w:val="20"/>
              </w:rPr>
              <w:t xml:space="preserve">) </w:t>
            </w:r>
            <w:r w:rsidR="00716F48" w:rsidRPr="009110F7">
              <w:rPr>
                <w:szCs w:val="20"/>
              </w:rPr>
              <w:t>a </w:t>
            </w:r>
            <w:r w:rsidRPr="009110F7">
              <w:rPr>
                <w:szCs w:val="20"/>
              </w:rPr>
              <w:t>dosáhl v tomto období roku desetiletého maxima. Přispěly k tomu jak běžné (ze čtyř pětin), tak kapitálové výdaje. Výše investic rostla (+5,5</w:t>
            </w:r>
            <w:r w:rsidR="00167CB9" w:rsidRPr="009110F7">
              <w:rPr>
                <w:szCs w:val="20"/>
              </w:rPr>
              <w:t> mld.</w:t>
            </w:r>
            <w:r w:rsidRPr="009110F7">
              <w:rPr>
                <w:szCs w:val="20"/>
              </w:rPr>
              <w:t xml:space="preserve"> korun) primárně vlivem rekordně nízké loňské základny. Letošní čerpání odpovídalo zatím jen osmině rozpočtově očekávané celoroční částky (90</w:t>
            </w:r>
            <w:r w:rsidR="00167CB9" w:rsidRPr="009110F7">
              <w:rPr>
                <w:szCs w:val="20"/>
              </w:rPr>
              <w:t> mld.</w:t>
            </w:r>
            <w:r w:rsidRPr="009110F7">
              <w:rPr>
                <w:szCs w:val="20"/>
              </w:rPr>
              <w:t xml:space="preserve">). Velmi nízké bylo zejména čerpání financí na </w:t>
            </w:r>
            <w:r w:rsidRPr="009110F7">
              <w:t>výhradně národní projekty (bez vztahu k EU)</w:t>
            </w:r>
            <w:r w:rsidRPr="009110F7">
              <w:rPr>
                <w:szCs w:val="20"/>
              </w:rPr>
              <w:t xml:space="preserve">. Na společné programy ČR </w:t>
            </w:r>
            <w:r w:rsidR="00716F48" w:rsidRPr="009110F7">
              <w:rPr>
                <w:szCs w:val="20"/>
              </w:rPr>
              <w:t>a </w:t>
            </w:r>
            <w:r w:rsidRPr="009110F7">
              <w:rPr>
                <w:szCs w:val="20"/>
              </w:rPr>
              <w:t>EU</w:t>
            </w:r>
            <w:r w:rsidRPr="009110F7">
              <w:rPr>
                <w:rStyle w:val="Znakapoznpodarou"/>
                <w:szCs w:val="20"/>
              </w:rPr>
              <w:footnoteReference w:id="10"/>
            </w:r>
            <w:r w:rsidRPr="009110F7">
              <w:rPr>
                <w:szCs w:val="20"/>
              </w:rPr>
              <w:t xml:space="preserve"> vydal SR 8,7</w:t>
            </w:r>
            <w:r w:rsidR="00167CB9" w:rsidRPr="009110F7">
              <w:rPr>
                <w:szCs w:val="20"/>
              </w:rPr>
              <w:t> mld.</w:t>
            </w:r>
            <w:r w:rsidRPr="009110F7">
              <w:rPr>
                <w:szCs w:val="20"/>
              </w:rPr>
              <w:t xml:space="preserve"> korun, tedy čtvrtinu rozpočtově očekávaného celoročního objemu. </w:t>
            </w:r>
            <w:r w:rsidRPr="009110F7">
              <w:rPr>
                <w:rFonts w:cs="Arial"/>
                <w:color w:val="000000" w:themeColor="text1"/>
              </w:rPr>
              <w:t xml:space="preserve">Podíl investic na celkových výdajích SR činil letos </w:t>
            </w:r>
            <w:r w:rsidR="00EA35A7">
              <w:rPr>
                <w:rFonts w:cs="Arial"/>
                <w:color w:val="000000" w:themeColor="text1"/>
              </w:rPr>
              <w:t xml:space="preserve">zatím </w:t>
            </w:r>
            <w:r w:rsidRPr="009110F7">
              <w:rPr>
                <w:rFonts w:cs="Arial"/>
                <w:color w:val="000000" w:themeColor="text1"/>
              </w:rPr>
              <w:t>3,6</w:t>
            </w:r>
            <w:r w:rsidR="00167CB9" w:rsidRPr="009110F7">
              <w:rPr>
                <w:rFonts w:cs="Arial"/>
                <w:color w:val="000000" w:themeColor="text1"/>
              </w:rPr>
              <w:t> %</w:t>
            </w:r>
            <w:r w:rsidR="006C469D">
              <w:rPr>
                <w:rFonts w:cs="Arial"/>
                <w:color w:val="000000" w:themeColor="text1"/>
              </w:rPr>
              <w:t>,</w:t>
            </w:r>
            <w:r w:rsidRPr="009110F7">
              <w:rPr>
                <w:rFonts w:cs="Arial"/>
                <w:color w:val="000000" w:themeColor="text1"/>
              </w:rPr>
              <w:t xml:space="preserve"> </w:t>
            </w:r>
            <w:r w:rsidR="00716F48" w:rsidRPr="009110F7">
              <w:rPr>
                <w:rFonts w:cs="Arial"/>
                <w:color w:val="000000" w:themeColor="text1"/>
              </w:rPr>
              <w:t>a </w:t>
            </w:r>
            <w:r w:rsidR="00EA35A7">
              <w:rPr>
                <w:rFonts w:cs="Arial"/>
                <w:color w:val="000000" w:themeColor="text1"/>
              </w:rPr>
              <w:t xml:space="preserve">i když </w:t>
            </w:r>
            <w:r w:rsidRPr="009110F7">
              <w:rPr>
                <w:rFonts w:cs="Arial"/>
                <w:color w:val="000000" w:themeColor="text1"/>
              </w:rPr>
              <w:t>oproti 1</w:t>
            </w:r>
            <w:r w:rsidR="00716F48" w:rsidRPr="009110F7">
              <w:rPr>
                <w:rFonts w:cs="Arial"/>
                <w:color w:val="000000" w:themeColor="text1"/>
              </w:rPr>
              <w:t>. čtvrt</w:t>
            </w:r>
            <w:r w:rsidRPr="009110F7">
              <w:rPr>
                <w:rFonts w:cs="Arial"/>
                <w:color w:val="000000" w:themeColor="text1"/>
              </w:rPr>
              <w:t xml:space="preserve">letí 2017 mírně vzrostl, šlo </w:t>
            </w:r>
            <w:r w:rsidR="00716F48" w:rsidRPr="009110F7">
              <w:rPr>
                <w:rFonts w:cs="Arial"/>
                <w:color w:val="000000" w:themeColor="text1"/>
              </w:rPr>
              <w:t>o </w:t>
            </w:r>
            <w:r w:rsidRPr="009110F7">
              <w:rPr>
                <w:rFonts w:cs="Arial"/>
                <w:color w:val="000000" w:themeColor="text1"/>
              </w:rPr>
              <w:t>druhou nejnižší relaci po roce 2005.</w:t>
            </w:r>
          </w:p>
        </w:tc>
      </w:tr>
      <w:tr w:rsidR="00965797" w:rsidRPr="009110F7" w:rsidTr="00676D76">
        <w:trPr>
          <w:trHeight w:val="145"/>
        </w:trPr>
        <w:tc>
          <w:tcPr>
            <w:tcW w:w="1870" w:type="dxa"/>
            <w:shd w:val="clear" w:color="auto" w:fill="auto"/>
            <w:tcMar>
              <w:left w:w="0" w:type="dxa"/>
            </w:tcMar>
          </w:tcPr>
          <w:p w:rsidR="00965797" w:rsidRPr="009110F7" w:rsidRDefault="00965797" w:rsidP="00965797">
            <w:pPr>
              <w:pStyle w:val="Marginlie"/>
            </w:pPr>
          </w:p>
        </w:tc>
        <w:tc>
          <w:tcPr>
            <w:tcW w:w="245" w:type="dxa"/>
            <w:shd w:val="clear" w:color="auto" w:fill="auto"/>
            <w:tcMar>
              <w:left w:w="0" w:type="dxa"/>
            </w:tcMar>
          </w:tcPr>
          <w:p w:rsidR="00965797" w:rsidRPr="009110F7" w:rsidRDefault="00965797" w:rsidP="0096579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24" w:type="dxa"/>
            <w:shd w:val="clear" w:color="auto" w:fill="auto"/>
            <w:tcMar>
              <w:left w:w="0" w:type="dxa"/>
            </w:tcMar>
          </w:tcPr>
          <w:p w:rsidR="00965797" w:rsidRPr="009110F7" w:rsidRDefault="00B8561A" w:rsidP="00676D76">
            <w:pPr>
              <w:pStyle w:val="Textpoznpodarou"/>
            </w:pPr>
            <w:r>
              <w:rPr>
                <w:b/>
              </w:rPr>
              <w:t>Graf </w:t>
            </w:r>
            <w:r w:rsidR="00167CB9" w:rsidRPr="009110F7">
              <w:rPr>
                <w:b/>
              </w:rPr>
              <w:t>č. </w:t>
            </w:r>
            <w:proofErr w:type="gramStart"/>
            <w:r w:rsidR="00965797" w:rsidRPr="009110F7">
              <w:rPr>
                <w:b/>
              </w:rPr>
              <w:t>19</w:t>
            </w:r>
            <w:r w:rsidR="00676D76">
              <w:rPr>
                <w:b/>
              </w:rPr>
              <w:t xml:space="preserve">  </w:t>
            </w:r>
            <w:r w:rsidR="00965797" w:rsidRPr="009110F7">
              <w:rPr>
                <w:rFonts w:cs="Arial"/>
                <w:b/>
                <w:bCs/>
              </w:rPr>
              <w:t>Vybrané</w:t>
            </w:r>
            <w:proofErr w:type="gramEnd"/>
            <w:r w:rsidR="00965797" w:rsidRPr="009110F7">
              <w:rPr>
                <w:rFonts w:cs="Arial"/>
                <w:b/>
                <w:bCs/>
              </w:rPr>
              <w:t xml:space="preserve"> výdaje státního rozpočtu v rámci 1</w:t>
            </w:r>
            <w:r w:rsidR="00716F48" w:rsidRPr="009110F7">
              <w:rPr>
                <w:rFonts w:cs="Arial"/>
                <w:b/>
                <w:bCs/>
              </w:rPr>
              <w:t>. čtvrt</w:t>
            </w:r>
            <w:r w:rsidR="00965797" w:rsidRPr="009110F7">
              <w:rPr>
                <w:rFonts w:cs="Arial"/>
                <w:b/>
                <w:bCs/>
              </w:rPr>
              <w:t>letí</w:t>
            </w:r>
            <w:r w:rsidR="00965797" w:rsidRPr="009110F7">
              <w:rPr>
                <w:rFonts w:cs="Arial"/>
                <w:bCs/>
              </w:rPr>
              <w:t xml:space="preserve"> (v mld. korun</w:t>
            </w:r>
            <w:r w:rsidR="007E1788">
              <w:rPr>
                <w:rFonts w:cs="Arial"/>
                <w:bCs/>
              </w:rPr>
              <w:t>)</w:t>
            </w:r>
          </w:p>
        </w:tc>
      </w:tr>
      <w:tr w:rsidR="00965797" w:rsidRPr="009110F7" w:rsidTr="00676D76">
        <w:trPr>
          <w:trHeight w:val="145"/>
        </w:trPr>
        <w:tc>
          <w:tcPr>
            <w:tcW w:w="1870" w:type="dxa"/>
            <w:shd w:val="clear" w:color="auto" w:fill="auto"/>
            <w:tcMar>
              <w:left w:w="0" w:type="dxa"/>
            </w:tcMar>
          </w:tcPr>
          <w:p w:rsidR="00965797" w:rsidRPr="009110F7" w:rsidRDefault="00965797" w:rsidP="00965797">
            <w:pPr>
              <w:pStyle w:val="Marginlie"/>
            </w:pPr>
          </w:p>
        </w:tc>
        <w:tc>
          <w:tcPr>
            <w:tcW w:w="245" w:type="dxa"/>
            <w:shd w:val="clear" w:color="auto" w:fill="auto"/>
            <w:tcMar>
              <w:left w:w="0" w:type="dxa"/>
            </w:tcMar>
          </w:tcPr>
          <w:p w:rsidR="00965797" w:rsidRPr="009110F7" w:rsidRDefault="00965797" w:rsidP="0096579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24" w:type="dxa"/>
            <w:shd w:val="clear" w:color="auto" w:fill="auto"/>
            <w:tcMar>
              <w:left w:w="0" w:type="dxa"/>
            </w:tcMar>
          </w:tcPr>
          <w:p w:rsidR="00965797" w:rsidRPr="009110F7" w:rsidRDefault="00965797" w:rsidP="00965797">
            <w:pPr>
              <w:spacing w:after="0" w:line="240" w:lineRule="auto"/>
              <w:rPr>
                <w:spacing w:val="-2"/>
                <w:szCs w:val="20"/>
              </w:rPr>
            </w:pPr>
            <w:r w:rsidRPr="009110F7">
              <w:rPr>
                <w:noProof/>
                <w:spacing w:val="-2"/>
                <w:szCs w:val="20"/>
              </w:rPr>
              <w:drawing>
                <wp:inline distT="0" distB="0" distL="0" distR="0">
                  <wp:extent cx="4762195" cy="3394252"/>
                  <wp:effectExtent l="0" t="0" r="305" b="0"/>
                  <wp:docPr id="17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965797" w:rsidRPr="009110F7" w:rsidTr="00676D76">
        <w:trPr>
          <w:trHeight w:val="145"/>
        </w:trPr>
        <w:tc>
          <w:tcPr>
            <w:tcW w:w="1870" w:type="dxa"/>
            <w:shd w:val="clear" w:color="auto" w:fill="auto"/>
            <w:tcMar>
              <w:left w:w="0" w:type="dxa"/>
            </w:tcMar>
          </w:tcPr>
          <w:p w:rsidR="00965797" w:rsidRPr="009110F7" w:rsidRDefault="00965797" w:rsidP="00965797">
            <w:pPr>
              <w:pStyle w:val="Marginlie"/>
            </w:pPr>
          </w:p>
        </w:tc>
        <w:tc>
          <w:tcPr>
            <w:tcW w:w="245" w:type="dxa"/>
            <w:shd w:val="clear" w:color="auto" w:fill="auto"/>
            <w:tcMar>
              <w:left w:w="0" w:type="dxa"/>
            </w:tcMar>
          </w:tcPr>
          <w:p w:rsidR="00965797" w:rsidRPr="009110F7" w:rsidRDefault="00965797" w:rsidP="0096579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24" w:type="dxa"/>
            <w:shd w:val="clear" w:color="auto" w:fill="auto"/>
            <w:tcMar>
              <w:left w:w="0" w:type="dxa"/>
            </w:tcMar>
          </w:tcPr>
          <w:p w:rsidR="00965797" w:rsidRPr="009110F7" w:rsidRDefault="00965797" w:rsidP="00965797">
            <w:pPr>
              <w:pStyle w:val="Textpoznpodarou"/>
              <w:rPr>
                <w:sz w:val="14"/>
                <w:szCs w:val="14"/>
              </w:rPr>
            </w:pPr>
            <w:r w:rsidRPr="009110F7">
              <w:rPr>
                <w:sz w:val="14"/>
                <w:szCs w:val="14"/>
              </w:rPr>
              <w:t xml:space="preserve">*Zahrnuje </w:t>
            </w:r>
            <w:r w:rsidR="00716F48" w:rsidRPr="009110F7">
              <w:rPr>
                <w:sz w:val="14"/>
                <w:szCs w:val="14"/>
              </w:rPr>
              <w:t>i </w:t>
            </w:r>
            <w:r w:rsidRPr="009110F7">
              <w:rPr>
                <w:sz w:val="14"/>
                <w:szCs w:val="14"/>
              </w:rPr>
              <w:t xml:space="preserve">dávky pěstounské péče. **Zahrnuje dávky pomoci v hmotné nouzi, dávky osobám se zdravotním postižením, příspěvek na péči dle zákona </w:t>
            </w:r>
            <w:r w:rsidR="00716F48" w:rsidRPr="009110F7">
              <w:rPr>
                <w:sz w:val="14"/>
                <w:szCs w:val="14"/>
              </w:rPr>
              <w:t>o </w:t>
            </w:r>
            <w:r w:rsidRPr="009110F7">
              <w:rPr>
                <w:sz w:val="14"/>
                <w:szCs w:val="14"/>
              </w:rPr>
              <w:t>sociálních službách. ***</w:t>
            </w:r>
            <w:r w:rsidR="00716F48" w:rsidRPr="009110F7">
              <w:rPr>
                <w:sz w:val="14"/>
                <w:szCs w:val="14"/>
              </w:rPr>
              <w:t>V </w:t>
            </w:r>
            <w:r w:rsidRPr="009110F7">
              <w:rPr>
                <w:sz w:val="14"/>
                <w:szCs w:val="14"/>
              </w:rPr>
              <w:t xml:space="preserve">čistých výdajích jsou započítány </w:t>
            </w:r>
            <w:r w:rsidR="00716F48" w:rsidRPr="009110F7">
              <w:rPr>
                <w:sz w:val="14"/>
                <w:szCs w:val="14"/>
              </w:rPr>
              <w:t>i </w:t>
            </w:r>
            <w:r w:rsidRPr="009110F7">
              <w:rPr>
                <w:sz w:val="14"/>
                <w:szCs w:val="14"/>
              </w:rPr>
              <w:t>příjmy kapitoly Státní dluh.</w:t>
            </w:r>
            <w:r w:rsidR="00161553" w:rsidRPr="009110F7">
              <w:rPr>
                <w:rFonts w:cs="Arial"/>
                <w:sz w:val="14"/>
                <w:szCs w:val="14"/>
              </w:rPr>
              <w:t xml:space="preserve"> </w:t>
            </w:r>
            <w:r w:rsidRPr="009110F7">
              <w:rPr>
                <w:rFonts w:cs="Arial"/>
                <w:sz w:val="14"/>
                <w:szCs w:val="14"/>
              </w:rPr>
              <w:t xml:space="preserve">                                                                                                                      </w:t>
            </w:r>
          </w:p>
          <w:p w:rsidR="00965797" w:rsidRPr="009110F7" w:rsidRDefault="00965797" w:rsidP="005D5AA9">
            <w:pPr>
              <w:spacing w:after="200"/>
              <w:jc w:val="left"/>
              <w:rPr>
                <w:spacing w:val="-2"/>
                <w:szCs w:val="20"/>
              </w:rPr>
            </w:pPr>
            <w:r w:rsidRPr="009110F7">
              <w:rPr>
                <w:sz w:val="14"/>
                <w:szCs w:val="14"/>
              </w:rPr>
              <w:t>Zdroj: MF</w:t>
            </w:r>
            <w:r w:rsidR="006B74AC">
              <w:rPr>
                <w:sz w:val="14"/>
                <w:szCs w:val="14"/>
              </w:rPr>
              <w:t> Č</w:t>
            </w:r>
            <w:r w:rsidRPr="009110F7">
              <w:rPr>
                <w:sz w:val="14"/>
                <w:szCs w:val="14"/>
              </w:rPr>
              <w:t>R</w:t>
            </w:r>
          </w:p>
        </w:tc>
      </w:tr>
      <w:tr w:rsidR="00965797" w:rsidRPr="009110F7" w:rsidTr="00676D76">
        <w:trPr>
          <w:trHeight w:val="145"/>
        </w:trPr>
        <w:tc>
          <w:tcPr>
            <w:tcW w:w="1870" w:type="dxa"/>
            <w:shd w:val="clear" w:color="auto" w:fill="auto"/>
            <w:tcMar>
              <w:left w:w="0" w:type="dxa"/>
            </w:tcMar>
          </w:tcPr>
          <w:p w:rsidR="00965797" w:rsidRPr="009110F7" w:rsidRDefault="00965797" w:rsidP="00965797">
            <w:pPr>
              <w:pStyle w:val="Marginlie"/>
            </w:pPr>
            <w:r w:rsidRPr="009110F7">
              <w:t>Růst běžných výdajů SR směřoval z poloviny na navýšení platů zaměstnanců rozpočtové sféry.</w:t>
            </w:r>
          </w:p>
        </w:tc>
        <w:tc>
          <w:tcPr>
            <w:tcW w:w="245" w:type="dxa"/>
            <w:shd w:val="clear" w:color="auto" w:fill="auto"/>
            <w:tcMar>
              <w:left w:w="0" w:type="dxa"/>
            </w:tcMar>
          </w:tcPr>
          <w:p w:rsidR="00965797" w:rsidRPr="009110F7" w:rsidRDefault="00965797" w:rsidP="0096579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24" w:type="dxa"/>
            <w:shd w:val="clear" w:color="auto" w:fill="auto"/>
            <w:tcMar>
              <w:left w:w="0" w:type="dxa"/>
            </w:tcMar>
          </w:tcPr>
          <w:p w:rsidR="00965797" w:rsidRPr="009110F7" w:rsidRDefault="00965797" w:rsidP="006A7EE2">
            <w:pPr>
              <w:rPr>
                <w:spacing w:val="-3"/>
                <w:szCs w:val="20"/>
              </w:rPr>
            </w:pPr>
            <w:r w:rsidRPr="009110F7">
              <w:rPr>
                <w:spacing w:val="-3"/>
                <w:szCs w:val="20"/>
              </w:rPr>
              <w:t>Růst běžných výdajů SR nadále sílil (</w:t>
            </w:r>
            <w:r w:rsidR="00716F48" w:rsidRPr="009110F7">
              <w:rPr>
                <w:spacing w:val="-3"/>
                <w:szCs w:val="20"/>
              </w:rPr>
              <w:t>z </w:t>
            </w:r>
            <w:r w:rsidRPr="009110F7">
              <w:rPr>
                <w:spacing w:val="-3"/>
                <w:szCs w:val="20"/>
              </w:rPr>
              <w:t>loňských 6,6</w:t>
            </w:r>
            <w:r w:rsidR="00167CB9" w:rsidRPr="009110F7">
              <w:rPr>
                <w:spacing w:val="-3"/>
                <w:szCs w:val="20"/>
              </w:rPr>
              <w:t> %</w:t>
            </w:r>
            <w:r w:rsidRPr="009110F7">
              <w:rPr>
                <w:spacing w:val="-3"/>
                <w:szCs w:val="20"/>
              </w:rPr>
              <w:t xml:space="preserve"> na 7,1</w:t>
            </w:r>
            <w:r w:rsidR="00167CB9" w:rsidRPr="009110F7">
              <w:rPr>
                <w:spacing w:val="-3"/>
                <w:szCs w:val="20"/>
              </w:rPr>
              <w:t> %</w:t>
            </w:r>
            <w:r w:rsidRPr="009110F7">
              <w:rPr>
                <w:spacing w:val="-3"/>
                <w:szCs w:val="20"/>
              </w:rPr>
              <w:t>). Z meziročního růstu (</w:t>
            </w:r>
            <w:r w:rsidR="00716F48" w:rsidRPr="009110F7">
              <w:rPr>
                <w:spacing w:val="-3"/>
                <w:szCs w:val="20"/>
              </w:rPr>
              <w:t>o </w:t>
            </w:r>
            <w:r w:rsidRPr="009110F7">
              <w:rPr>
                <w:spacing w:val="-3"/>
                <w:szCs w:val="20"/>
              </w:rPr>
              <w:t>21</w:t>
            </w:r>
            <w:r w:rsidR="00167CB9" w:rsidRPr="009110F7">
              <w:rPr>
                <w:spacing w:val="-3"/>
                <w:szCs w:val="20"/>
              </w:rPr>
              <w:t> mld.</w:t>
            </w:r>
            <w:r w:rsidRPr="009110F7">
              <w:rPr>
                <w:spacing w:val="-3"/>
                <w:szCs w:val="20"/>
              </w:rPr>
              <w:t xml:space="preserve"> korun) směřovala zhruba polovina na posílení platů zaměstnanců rozpočtové sféry. Šlo zejména </w:t>
            </w:r>
            <w:r w:rsidR="00716F48" w:rsidRPr="009110F7">
              <w:rPr>
                <w:spacing w:val="-3"/>
                <w:szCs w:val="20"/>
              </w:rPr>
              <w:t>o </w:t>
            </w:r>
            <w:r w:rsidR="00A05EE4" w:rsidRPr="009110F7">
              <w:rPr>
                <w:spacing w:val="-3"/>
                <w:szCs w:val="20"/>
              </w:rPr>
              <w:t>neinvestiční transfery veřejným</w:t>
            </w:r>
            <w:r w:rsidRPr="009110F7">
              <w:rPr>
                <w:spacing w:val="-3"/>
                <w:szCs w:val="20"/>
              </w:rPr>
              <w:t xml:space="preserve"> rozpočtům územní úrovně (meziročně vyšší </w:t>
            </w:r>
            <w:r w:rsidR="00716F48" w:rsidRPr="009110F7">
              <w:rPr>
                <w:spacing w:val="-3"/>
                <w:szCs w:val="20"/>
              </w:rPr>
              <w:t>o </w:t>
            </w:r>
            <w:r w:rsidRPr="009110F7">
              <w:rPr>
                <w:spacing w:val="-3"/>
                <w:szCs w:val="20"/>
              </w:rPr>
              <w:t xml:space="preserve">pětinu), </w:t>
            </w:r>
            <w:r w:rsidR="00716F48" w:rsidRPr="009110F7">
              <w:rPr>
                <w:spacing w:val="-3"/>
                <w:szCs w:val="20"/>
              </w:rPr>
              <w:t>u </w:t>
            </w:r>
            <w:r w:rsidRPr="009110F7">
              <w:rPr>
                <w:spacing w:val="-3"/>
                <w:szCs w:val="20"/>
              </w:rPr>
              <w:t xml:space="preserve">nichž rostly jak </w:t>
            </w:r>
            <w:r w:rsidRPr="009110F7">
              <w:rPr>
                <w:spacing w:val="-3"/>
              </w:rPr>
              <w:t>dotace na přímé náklady základních a</w:t>
            </w:r>
            <w:r w:rsidRPr="009110F7">
              <w:rPr>
                <w:spacing w:val="-2"/>
                <w:szCs w:val="20"/>
              </w:rPr>
              <w:t> </w:t>
            </w:r>
            <w:r w:rsidRPr="009110F7">
              <w:rPr>
                <w:spacing w:val="-3"/>
              </w:rPr>
              <w:t>středních škol (+5,3</w:t>
            </w:r>
            <w:r w:rsidR="00167CB9" w:rsidRPr="009110F7">
              <w:rPr>
                <w:spacing w:val="-3"/>
              </w:rPr>
              <w:t> mld.</w:t>
            </w:r>
            <w:r w:rsidRPr="009110F7">
              <w:rPr>
                <w:spacing w:val="-3"/>
              </w:rPr>
              <w:t xml:space="preserve"> korun)</w:t>
            </w:r>
            <w:r w:rsidR="006858A4">
              <w:rPr>
                <w:spacing w:val="-3"/>
              </w:rPr>
              <w:t>,</w:t>
            </w:r>
            <w:r w:rsidRPr="009110F7">
              <w:rPr>
                <w:spacing w:val="-3"/>
              </w:rPr>
              <w:t xml:space="preserve"> </w:t>
            </w:r>
            <w:r w:rsidR="006858A4">
              <w:rPr>
                <w:spacing w:val="-3"/>
              </w:rPr>
              <w:t>tak</w:t>
            </w:r>
            <w:r w:rsidR="008354FB">
              <w:rPr>
                <w:spacing w:val="-3"/>
              </w:rPr>
              <w:t xml:space="preserve"> </w:t>
            </w:r>
            <w:r w:rsidRPr="009110F7">
              <w:rPr>
                <w:spacing w:val="-3"/>
              </w:rPr>
              <w:t xml:space="preserve">transfery obcím </w:t>
            </w:r>
            <w:r w:rsidR="00716F48" w:rsidRPr="009110F7">
              <w:rPr>
                <w:spacing w:val="-3"/>
              </w:rPr>
              <w:t>a </w:t>
            </w:r>
            <w:r w:rsidRPr="009110F7">
              <w:rPr>
                <w:spacing w:val="-3"/>
              </w:rPr>
              <w:t>krajům dle zákona o</w:t>
            </w:r>
            <w:r w:rsidRPr="009110F7">
              <w:rPr>
                <w:spacing w:val="-3"/>
                <w:szCs w:val="20"/>
              </w:rPr>
              <w:t> </w:t>
            </w:r>
            <w:r w:rsidRPr="009110F7">
              <w:rPr>
                <w:spacing w:val="-3"/>
              </w:rPr>
              <w:t>sociálních službách (+3,3</w:t>
            </w:r>
            <w:r w:rsidR="00167CB9" w:rsidRPr="009110F7">
              <w:rPr>
                <w:spacing w:val="-3"/>
              </w:rPr>
              <w:t> mld.</w:t>
            </w:r>
            <w:r w:rsidRPr="009110F7">
              <w:rPr>
                <w:spacing w:val="-3"/>
              </w:rPr>
              <w:t xml:space="preserve">). Vedle toho sílily </w:t>
            </w:r>
            <w:r w:rsidR="00716F48" w:rsidRPr="009110F7">
              <w:rPr>
                <w:spacing w:val="-3"/>
              </w:rPr>
              <w:t>i </w:t>
            </w:r>
            <w:r w:rsidRPr="009110F7">
              <w:rPr>
                <w:rFonts w:cs="Arial"/>
                <w:color w:val="000000" w:themeColor="text1"/>
                <w:spacing w:val="-3"/>
              </w:rPr>
              <w:t>výdaje na platy</w:t>
            </w:r>
            <w:r w:rsidRPr="009110F7">
              <w:rPr>
                <w:bCs/>
                <w:spacing w:val="-3"/>
              </w:rPr>
              <w:t xml:space="preserve"> státních zaměstnanců (o</w:t>
            </w:r>
            <w:r w:rsidRPr="009110F7">
              <w:rPr>
                <w:spacing w:val="-2"/>
                <w:szCs w:val="20"/>
              </w:rPr>
              <w:t> </w:t>
            </w:r>
            <w:r w:rsidRPr="009110F7">
              <w:rPr>
                <w:bCs/>
                <w:spacing w:val="-3"/>
              </w:rPr>
              <w:t>sedminu, resp. 2,6</w:t>
            </w:r>
            <w:r w:rsidR="00167CB9" w:rsidRPr="009110F7">
              <w:rPr>
                <w:bCs/>
                <w:spacing w:val="-3"/>
              </w:rPr>
              <w:t> mld.</w:t>
            </w:r>
            <w:r w:rsidRPr="009110F7">
              <w:rPr>
                <w:bCs/>
                <w:spacing w:val="-3"/>
              </w:rPr>
              <w:t xml:space="preserve">), </w:t>
            </w:r>
            <w:r w:rsidR="00716F48" w:rsidRPr="009110F7">
              <w:rPr>
                <w:bCs/>
                <w:spacing w:val="-3"/>
              </w:rPr>
              <w:t>a </w:t>
            </w:r>
            <w:r w:rsidRPr="009110F7">
              <w:rPr>
                <w:bCs/>
                <w:spacing w:val="-3"/>
              </w:rPr>
              <w:t>to primárně vlivem navýšení platových tarifů.</w:t>
            </w:r>
          </w:p>
        </w:tc>
      </w:tr>
      <w:tr w:rsidR="00965797" w:rsidRPr="009110F7" w:rsidTr="00676D76">
        <w:trPr>
          <w:trHeight w:val="145"/>
        </w:trPr>
        <w:tc>
          <w:tcPr>
            <w:tcW w:w="1870" w:type="dxa"/>
            <w:shd w:val="clear" w:color="auto" w:fill="auto"/>
            <w:tcMar>
              <w:left w:w="0" w:type="dxa"/>
            </w:tcMar>
          </w:tcPr>
          <w:p w:rsidR="00965797" w:rsidRPr="009110F7" w:rsidRDefault="00965797" w:rsidP="00965797">
            <w:pPr>
              <w:pStyle w:val="Marginlie"/>
            </w:pPr>
            <w:r w:rsidRPr="009110F7">
              <w:t>Tempo růstu výběru pojistného na důchody nadále rostlo. Důchodový účet se v rámci 1</w:t>
            </w:r>
            <w:r w:rsidR="00716F48" w:rsidRPr="009110F7">
              <w:t>. čtvrt</w:t>
            </w:r>
            <w:r w:rsidRPr="009110F7">
              <w:t>letí poprvé po deseti letech vymanil z deficitů.</w:t>
            </w:r>
          </w:p>
        </w:tc>
        <w:tc>
          <w:tcPr>
            <w:tcW w:w="245" w:type="dxa"/>
            <w:shd w:val="clear" w:color="auto" w:fill="auto"/>
            <w:tcMar>
              <w:left w:w="0" w:type="dxa"/>
            </w:tcMar>
          </w:tcPr>
          <w:p w:rsidR="00965797" w:rsidRPr="009110F7" w:rsidRDefault="00965797" w:rsidP="0096579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24" w:type="dxa"/>
            <w:shd w:val="clear" w:color="auto" w:fill="auto"/>
            <w:tcMar>
              <w:left w:w="0" w:type="dxa"/>
            </w:tcMar>
          </w:tcPr>
          <w:p w:rsidR="00B10C90" w:rsidRDefault="00965797" w:rsidP="006A7EE2">
            <w:pPr>
              <w:rPr>
                <w:rFonts w:cs="Arial"/>
                <w:color w:val="0D0D0D" w:themeColor="text1" w:themeTint="F2"/>
                <w:spacing w:val="-2"/>
              </w:rPr>
            </w:pPr>
            <w:r w:rsidRPr="009110F7">
              <w:rPr>
                <w:rFonts w:cs="Arial"/>
                <w:color w:val="0D0D0D" w:themeColor="text1" w:themeTint="F2"/>
                <w:spacing w:val="-2"/>
              </w:rPr>
              <w:t>Na sociální dávky loni směřovalo 41,9 % veškerých výdajů SR (meziročně o 1,8 p. </w:t>
            </w:r>
            <w:proofErr w:type="spellStart"/>
            <w:r w:rsidRPr="009110F7">
              <w:rPr>
                <w:rFonts w:cs="Arial"/>
                <w:color w:val="0D0D0D" w:themeColor="text1" w:themeTint="F2"/>
                <w:spacing w:val="-2"/>
              </w:rPr>
              <w:t>b</w:t>
            </w:r>
            <w:proofErr w:type="spellEnd"/>
            <w:r w:rsidRPr="009110F7">
              <w:rPr>
                <w:rFonts w:cs="Arial"/>
                <w:color w:val="0D0D0D" w:themeColor="text1" w:themeTint="F2"/>
                <w:spacing w:val="-2"/>
              </w:rPr>
              <w:t xml:space="preserve">. </w:t>
            </w:r>
            <w:proofErr w:type="gramStart"/>
            <w:r w:rsidRPr="009110F7">
              <w:rPr>
                <w:rFonts w:cs="Arial"/>
                <w:color w:val="0D0D0D" w:themeColor="text1" w:themeTint="F2"/>
                <w:spacing w:val="-2"/>
              </w:rPr>
              <w:t>méně</w:t>
            </w:r>
            <w:proofErr w:type="gramEnd"/>
            <w:r w:rsidRPr="009110F7">
              <w:rPr>
                <w:rFonts w:cs="Arial"/>
                <w:color w:val="0D0D0D" w:themeColor="text1" w:themeTint="F2"/>
                <w:spacing w:val="-2"/>
              </w:rPr>
              <w:t>). Téměř čtyři pětiny sociálních dávek putoval</w:t>
            </w:r>
            <w:r w:rsidR="006F1C27">
              <w:rPr>
                <w:rFonts w:cs="Arial"/>
                <w:color w:val="0D0D0D" w:themeColor="text1" w:themeTint="F2"/>
                <w:spacing w:val="-2"/>
              </w:rPr>
              <w:t>y</w:t>
            </w:r>
            <w:r w:rsidRPr="009110F7">
              <w:rPr>
                <w:rFonts w:cs="Arial"/>
                <w:color w:val="0D0D0D" w:themeColor="text1" w:themeTint="F2"/>
                <w:spacing w:val="-2"/>
              </w:rPr>
              <w:t xml:space="preserve"> na důchody, na které stát vydal meziročně </w:t>
            </w:r>
            <w:r w:rsidR="00716F48" w:rsidRPr="009110F7">
              <w:rPr>
                <w:rFonts w:cs="Arial"/>
                <w:color w:val="0D0D0D" w:themeColor="text1" w:themeTint="F2"/>
                <w:spacing w:val="-2"/>
              </w:rPr>
              <w:t>o </w:t>
            </w:r>
            <w:r w:rsidRPr="009110F7">
              <w:rPr>
                <w:rFonts w:cs="Arial"/>
                <w:color w:val="0D0D0D" w:themeColor="text1" w:themeTint="F2"/>
                <w:spacing w:val="-2"/>
              </w:rPr>
              <w:t>5,0</w:t>
            </w:r>
            <w:r w:rsidR="00167CB9" w:rsidRPr="009110F7">
              <w:rPr>
                <w:rFonts w:cs="Arial"/>
                <w:color w:val="0D0D0D" w:themeColor="text1" w:themeTint="F2"/>
                <w:spacing w:val="-2"/>
              </w:rPr>
              <w:t> %</w:t>
            </w:r>
            <w:r w:rsidRPr="009110F7">
              <w:rPr>
                <w:rFonts w:cs="Arial"/>
                <w:color w:val="0D0D0D" w:themeColor="text1" w:themeTint="F2"/>
                <w:spacing w:val="-2"/>
              </w:rPr>
              <w:t xml:space="preserve"> více. Tento růst </w:t>
            </w:r>
            <w:r w:rsidR="00A05EE4" w:rsidRPr="009110F7">
              <w:rPr>
                <w:rFonts w:cs="Arial"/>
                <w:color w:val="0D0D0D" w:themeColor="text1" w:themeTint="F2"/>
                <w:spacing w:val="-2"/>
              </w:rPr>
              <w:t xml:space="preserve">byl téměř výhradně tažen </w:t>
            </w:r>
            <w:r w:rsidR="004826A7" w:rsidRPr="009110F7">
              <w:rPr>
                <w:rFonts w:cs="Arial"/>
                <w:color w:val="0D0D0D" w:themeColor="text1" w:themeTint="F2"/>
                <w:spacing w:val="-2"/>
              </w:rPr>
              <w:t xml:space="preserve">úpravou </w:t>
            </w:r>
            <w:r w:rsidR="00A05EE4" w:rsidRPr="009110F7">
              <w:rPr>
                <w:rFonts w:cs="Arial"/>
                <w:color w:val="0D0D0D" w:themeColor="text1" w:themeTint="F2"/>
                <w:spacing w:val="-2"/>
              </w:rPr>
              <w:t>valorizac</w:t>
            </w:r>
            <w:r w:rsidR="004826A7" w:rsidRPr="009110F7">
              <w:rPr>
                <w:rFonts w:cs="Arial"/>
                <w:color w:val="0D0D0D" w:themeColor="text1" w:themeTint="F2"/>
                <w:spacing w:val="-2"/>
              </w:rPr>
              <w:t>e</w:t>
            </w:r>
            <w:r w:rsidRPr="009110F7">
              <w:rPr>
                <w:rStyle w:val="Znakapoznpodarou"/>
                <w:color w:val="0D0D0D" w:themeColor="text1" w:themeTint="F2"/>
                <w:spacing w:val="-2"/>
              </w:rPr>
              <w:footnoteReference w:id="11"/>
            </w:r>
            <w:r w:rsidR="006F1C27">
              <w:rPr>
                <w:rFonts w:cs="Arial"/>
                <w:color w:val="0D0D0D" w:themeColor="text1" w:themeTint="F2"/>
                <w:spacing w:val="-2"/>
              </w:rPr>
              <w:t>, n</w:t>
            </w:r>
            <w:r w:rsidRPr="009110F7">
              <w:rPr>
                <w:rFonts w:cs="Arial"/>
                <w:color w:val="0D0D0D" w:themeColor="text1" w:themeTint="F2"/>
                <w:spacing w:val="-2"/>
              </w:rPr>
              <w:t xml:space="preserve">eboť počet osob pobírajících důchody se zvýšil jen </w:t>
            </w:r>
            <w:r w:rsidR="00716F48" w:rsidRPr="009110F7">
              <w:rPr>
                <w:rFonts w:cs="Arial"/>
                <w:color w:val="0D0D0D" w:themeColor="text1" w:themeTint="F2"/>
                <w:spacing w:val="-2"/>
              </w:rPr>
              <w:t>o </w:t>
            </w:r>
            <w:r w:rsidRPr="009110F7">
              <w:rPr>
                <w:rFonts w:cs="Arial"/>
                <w:color w:val="0D0D0D" w:themeColor="text1" w:themeTint="F2"/>
                <w:spacing w:val="-2"/>
              </w:rPr>
              <w:t>0,3</w:t>
            </w:r>
            <w:r w:rsidR="00167CB9" w:rsidRPr="009110F7">
              <w:rPr>
                <w:rFonts w:cs="Arial"/>
                <w:color w:val="0D0D0D" w:themeColor="text1" w:themeTint="F2"/>
                <w:spacing w:val="-2"/>
              </w:rPr>
              <w:t> %</w:t>
            </w:r>
            <w:r w:rsidRPr="009110F7">
              <w:rPr>
                <w:rFonts w:cs="Arial"/>
                <w:color w:val="0D0D0D" w:themeColor="text1" w:themeTint="F2"/>
                <w:spacing w:val="-2"/>
              </w:rPr>
              <w:t xml:space="preserve"> (mírný růst </w:t>
            </w:r>
            <w:r w:rsidR="00716F48" w:rsidRPr="009110F7">
              <w:rPr>
                <w:rFonts w:cs="Arial"/>
                <w:color w:val="0D0D0D" w:themeColor="text1" w:themeTint="F2"/>
                <w:spacing w:val="-2"/>
              </w:rPr>
              <w:t>u </w:t>
            </w:r>
            <w:r w:rsidRPr="009110F7">
              <w:rPr>
                <w:rFonts w:cs="Arial"/>
                <w:color w:val="0D0D0D" w:themeColor="text1" w:themeTint="F2"/>
                <w:spacing w:val="-2"/>
              </w:rPr>
              <w:t>příjemců starobních důchodů převýšil vliv meziročně nižšího počtu příjemců všech ostatních druhů důchodů). Příznivá situace na pracovním trhu stimulovala růst výběru pojistného na důchody – to v 1</w:t>
            </w:r>
            <w:r w:rsidR="00716F48" w:rsidRPr="009110F7">
              <w:rPr>
                <w:rFonts w:cs="Arial"/>
                <w:color w:val="0D0D0D" w:themeColor="text1" w:themeTint="F2"/>
                <w:spacing w:val="-2"/>
              </w:rPr>
              <w:t>. čtvrt</w:t>
            </w:r>
            <w:r w:rsidRPr="009110F7">
              <w:rPr>
                <w:rFonts w:cs="Arial"/>
                <w:color w:val="0D0D0D" w:themeColor="text1" w:themeTint="F2"/>
                <w:spacing w:val="-2"/>
              </w:rPr>
              <w:t xml:space="preserve">letí posílilo meziročně téměř </w:t>
            </w:r>
            <w:r w:rsidR="006F1C27">
              <w:rPr>
                <w:rFonts w:cs="Arial"/>
                <w:color w:val="0D0D0D" w:themeColor="text1" w:themeTint="F2"/>
                <w:spacing w:val="-2"/>
              </w:rPr>
              <w:t>o </w:t>
            </w:r>
            <w:r w:rsidRPr="009110F7">
              <w:rPr>
                <w:rFonts w:cs="Arial"/>
                <w:color w:val="0D0D0D" w:themeColor="text1" w:themeTint="F2"/>
                <w:spacing w:val="-2"/>
              </w:rPr>
              <w:t>desetinu (podobným tempem jako za konjunktury v minulé dekádě). Saldo důchodového účtu</w:t>
            </w:r>
            <w:r w:rsidRPr="009110F7">
              <w:rPr>
                <w:rStyle w:val="Znakapoznpodarou"/>
                <w:color w:val="0D0D0D" w:themeColor="text1" w:themeTint="F2"/>
                <w:spacing w:val="-2"/>
              </w:rPr>
              <w:footnoteReference w:id="12"/>
            </w:r>
            <w:r w:rsidRPr="009110F7">
              <w:rPr>
                <w:rFonts w:cs="Arial"/>
                <w:color w:val="0D0D0D" w:themeColor="text1" w:themeTint="F2"/>
                <w:spacing w:val="-2"/>
              </w:rPr>
              <w:t xml:space="preserve"> tak poprvé za poslední</w:t>
            </w:r>
            <w:r w:rsidR="004826A7" w:rsidRPr="009110F7">
              <w:rPr>
                <w:rFonts w:cs="Arial"/>
                <w:color w:val="0D0D0D" w:themeColor="text1" w:themeTint="F2"/>
                <w:spacing w:val="-2"/>
              </w:rPr>
              <w:t>ch</w:t>
            </w:r>
            <w:r w:rsidRPr="009110F7">
              <w:rPr>
                <w:rFonts w:cs="Arial"/>
                <w:color w:val="0D0D0D" w:themeColor="text1" w:themeTint="F2"/>
                <w:spacing w:val="-2"/>
              </w:rPr>
              <w:t xml:space="preserve"> deset let skončilo v kladných hodnotách.</w:t>
            </w:r>
          </w:p>
          <w:p w:rsidR="00C07749" w:rsidRDefault="00C07749">
            <w:pPr>
              <w:spacing w:after="0" w:line="240" w:lineRule="auto"/>
              <w:rPr>
                <w:rFonts w:cs="Arial"/>
                <w:color w:val="0D0D0D" w:themeColor="text1" w:themeTint="F2"/>
                <w:spacing w:val="-2"/>
              </w:rPr>
            </w:pPr>
          </w:p>
          <w:p w:rsidR="00C07749" w:rsidRDefault="00C07749">
            <w:pPr>
              <w:spacing w:after="0" w:line="240" w:lineRule="auto"/>
              <w:rPr>
                <w:rFonts w:cs="Arial"/>
                <w:color w:val="0D0D0D" w:themeColor="text1" w:themeTint="F2"/>
                <w:spacing w:val="-2"/>
              </w:rPr>
            </w:pPr>
          </w:p>
          <w:p w:rsidR="00C07749" w:rsidRDefault="00C07749">
            <w:pPr>
              <w:spacing w:after="0" w:line="240" w:lineRule="auto"/>
              <w:rPr>
                <w:rFonts w:cs="Arial"/>
                <w:color w:val="0D0D0D" w:themeColor="text1" w:themeTint="F2"/>
                <w:spacing w:val="-2"/>
              </w:rPr>
            </w:pPr>
          </w:p>
          <w:p w:rsidR="00C07749" w:rsidRDefault="00C07749">
            <w:pPr>
              <w:spacing w:after="0" w:line="240" w:lineRule="auto"/>
              <w:rPr>
                <w:rFonts w:cs="Arial"/>
                <w:color w:val="0D0D0D" w:themeColor="text1" w:themeTint="F2"/>
                <w:spacing w:val="-2"/>
              </w:rPr>
            </w:pPr>
          </w:p>
          <w:p w:rsidR="00C07749" w:rsidRDefault="00C07749">
            <w:pPr>
              <w:spacing w:after="0" w:line="240" w:lineRule="auto"/>
              <w:rPr>
                <w:rFonts w:cs="Arial"/>
                <w:color w:val="0D0D0D" w:themeColor="text1" w:themeTint="F2"/>
                <w:spacing w:val="-2"/>
              </w:rPr>
            </w:pPr>
          </w:p>
          <w:p w:rsidR="00C07749" w:rsidRDefault="00C07749">
            <w:pPr>
              <w:spacing w:after="0" w:line="240" w:lineRule="auto"/>
              <w:rPr>
                <w:rFonts w:cs="Arial"/>
                <w:color w:val="0D0D0D" w:themeColor="text1" w:themeTint="F2"/>
                <w:spacing w:val="-2"/>
              </w:rPr>
            </w:pPr>
          </w:p>
          <w:p w:rsidR="00C07749" w:rsidRDefault="00C07749">
            <w:pPr>
              <w:spacing w:after="0" w:line="240" w:lineRule="auto"/>
              <w:rPr>
                <w:rFonts w:cs="Arial"/>
                <w:color w:val="0D0D0D" w:themeColor="text1" w:themeTint="F2"/>
                <w:spacing w:val="-2"/>
              </w:rPr>
            </w:pPr>
          </w:p>
          <w:p w:rsidR="00C07749" w:rsidRDefault="00C07749">
            <w:pPr>
              <w:spacing w:after="0" w:line="240" w:lineRule="auto"/>
              <w:rPr>
                <w:rFonts w:cs="Arial"/>
                <w:color w:val="0D0D0D" w:themeColor="text1" w:themeTint="F2"/>
                <w:spacing w:val="-2"/>
              </w:rPr>
            </w:pPr>
          </w:p>
          <w:p w:rsidR="00C07749" w:rsidRDefault="00C07749">
            <w:pPr>
              <w:spacing w:after="0" w:line="240" w:lineRule="auto"/>
              <w:rPr>
                <w:rFonts w:cs="Arial"/>
                <w:color w:val="0D0D0D" w:themeColor="text1" w:themeTint="F2"/>
                <w:spacing w:val="-2"/>
              </w:rPr>
            </w:pPr>
          </w:p>
          <w:p w:rsidR="00C07749" w:rsidRDefault="00C07749">
            <w:pPr>
              <w:spacing w:after="0" w:line="240" w:lineRule="auto"/>
              <w:rPr>
                <w:rFonts w:cs="Arial"/>
                <w:color w:val="0D0D0D" w:themeColor="text1" w:themeTint="F2"/>
                <w:spacing w:val="-2"/>
              </w:rPr>
            </w:pPr>
          </w:p>
        </w:tc>
      </w:tr>
      <w:tr w:rsidR="00965797" w:rsidRPr="009110F7" w:rsidTr="00676D76">
        <w:trPr>
          <w:trHeight w:val="145"/>
        </w:trPr>
        <w:tc>
          <w:tcPr>
            <w:tcW w:w="1870" w:type="dxa"/>
            <w:shd w:val="clear" w:color="auto" w:fill="auto"/>
            <w:tcMar>
              <w:left w:w="0" w:type="dxa"/>
            </w:tcMar>
          </w:tcPr>
          <w:p w:rsidR="00965797" w:rsidRPr="009110F7" w:rsidRDefault="00965797" w:rsidP="00965797">
            <w:pPr>
              <w:pStyle w:val="Marginlie"/>
            </w:pPr>
          </w:p>
        </w:tc>
        <w:tc>
          <w:tcPr>
            <w:tcW w:w="245" w:type="dxa"/>
            <w:shd w:val="clear" w:color="auto" w:fill="auto"/>
            <w:tcMar>
              <w:left w:w="0" w:type="dxa"/>
            </w:tcMar>
          </w:tcPr>
          <w:p w:rsidR="00965797" w:rsidRPr="009110F7" w:rsidRDefault="00965797" w:rsidP="0096579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24" w:type="dxa"/>
            <w:shd w:val="clear" w:color="auto" w:fill="auto"/>
            <w:tcMar>
              <w:left w:w="0" w:type="dxa"/>
            </w:tcMar>
          </w:tcPr>
          <w:p w:rsidR="00167CB9" w:rsidRPr="009110F7" w:rsidRDefault="00B8561A" w:rsidP="00965797">
            <w:pPr>
              <w:spacing w:after="0" w:line="240" w:lineRule="auto"/>
              <w:rPr>
                <w:rFonts w:cs="Arial"/>
                <w:bCs/>
                <w:spacing w:val="-4"/>
              </w:rPr>
            </w:pPr>
            <w:r>
              <w:rPr>
                <w:b/>
              </w:rPr>
              <w:t>Graf </w:t>
            </w:r>
            <w:r w:rsidR="00167CB9" w:rsidRPr="009110F7">
              <w:rPr>
                <w:b/>
              </w:rPr>
              <w:t>č. </w:t>
            </w:r>
            <w:proofErr w:type="gramStart"/>
            <w:r w:rsidR="00965797" w:rsidRPr="009110F7">
              <w:rPr>
                <w:b/>
              </w:rPr>
              <w:t>20</w:t>
            </w:r>
            <w:r w:rsidR="00676D76">
              <w:rPr>
                <w:b/>
              </w:rPr>
              <w:t xml:space="preserve">  </w:t>
            </w:r>
            <w:r w:rsidR="00965797" w:rsidRPr="009110F7">
              <w:rPr>
                <w:rFonts w:cs="Arial"/>
                <w:b/>
                <w:bCs/>
                <w:spacing w:val="-4"/>
              </w:rPr>
              <w:t>Příjemci</w:t>
            </w:r>
            <w:proofErr w:type="gramEnd"/>
            <w:r w:rsidR="00965797" w:rsidRPr="009110F7">
              <w:rPr>
                <w:rFonts w:cs="Arial"/>
                <w:b/>
                <w:bCs/>
                <w:spacing w:val="-4"/>
              </w:rPr>
              <w:t xml:space="preserve"> důchod</w:t>
            </w:r>
            <w:r w:rsidR="00965797" w:rsidRPr="006F1C27">
              <w:rPr>
                <w:rFonts w:cs="Arial"/>
                <w:b/>
                <w:bCs/>
                <w:spacing w:val="-4"/>
              </w:rPr>
              <w:t>ů</w:t>
            </w:r>
            <w:r w:rsidR="00965797" w:rsidRPr="006F1C27">
              <w:rPr>
                <w:b/>
                <w:spacing w:val="-4"/>
              </w:rPr>
              <w:t>,</w:t>
            </w:r>
            <w:r w:rsidR="00965797" w:rsidRPr="006F1C27">
              <w:rPr>
                <w:rFonts w:cs="Arial"/>
                <w:b/>
                <w:bCs/>
                <w:spacing w:val="-4"/>
              </w:rPr>
              <w:t xml:space="preserve"> příjmy</w:t>
            </w:r>
            <w:r w:rsidR="00965797" w:rsidRPr="009110F7">
              <w:rPr>
                <w:rFonts w:cs="Arial"/>
                <w:b/>
                <w:bCs/>
                <w:spacing w:val="-4"/>
              </w:rPr>
              <w:t xml:space="preserve"> </w:t>
            </w:r>
            <w:r w:rsidR="00716F48" w:rsidRPr="009110F7">
              <w:rPr>
                <w:rFonts w:cs="Arial"/>
                <w:b/>
                <w:bCs/>
                <w:spacing w:val="-4"/>
              </w:rPr>
              <w:t>i </w:t>
            </w:r>
            <w:r w:rsidR="00965797" w:rsidRPr="009110F7">
              <w:rPr>
                <w:rFonts w:cs="Arial"/>
                <w:b/>
                <w:bCs/>
                <w:spacing w:val="-4"/>
              </w:rPr>
              <w:t xml:space="preserve">výdaje na důchody ze SR </w:t>
            </w:r>
            <w:r w:rsidR="00965797" w:rsidRPr="009110F7">
              <w:rPr>
                <w:rFonts w:cs="Arial"/>
                <w:bCs/>
                <w:spacing w:val="-4"/>
              </w:rPr>
              <w:t>(</w:t>
            </w:r>
            <w:r w:rsidR="00965797" w:rsidRPr="009110F7">
              <w:rPr>
                <w:spacing w:val="-4"/>
              </w:rPr>
              <w:t>meziročně</w:t>
            </w:r>
            <w:r w:rsidR="00965797" w:rsidRPr="009110F7">
              <w:rPr>
                <w:bCs/>
                <w:spacing w:val="-4"/>
              </w:rPr>
              <w:t xml:space="preserve"> v %)</w:t>
            </w:r>
          </w:p>
          <w:p w:rsidR="00965797" w:rsidRPr="009110F7" w:rsidRDefault="00716F48" w:rsidP="00965797">
            <w:pPr>
              <w:spacing w:after="0" w:line="240" w:lineRule="auto"/>
              <w:rPr>
                <w:sz w:val="14"/>
                <w:szCs w:val="14"/>
              </w:rPr>
            </w:pPr>
            <w:r w:rsidRPr="009110F7">
              <w:rPr>
                <w:rFonts w:cs="Arial"/>
                <w:b/>
                <w:bCs/>
                <w:spacing w:val="-4"/>
              </w:rPr>
              <w:t>a </w:t>
            </w:r>
            <w:r w:rsidR="00965797" w:rsidRPr="009110F7">
              <w:rPr>
                <w:rFonts w:cs="Arial"/>
                <w:b/>
                <w:bCs/>
                <w:spacing w:val="-4"/>
              </w:rPr>
              <w:t xml:space="preserve">bilance důchodového účtu </w:t>
            </w:r>
            <w:r w:rsidR="00965797" w:rsidRPr="009110F7">
              <w:rPr>
                <w:rFonts w:cs="Arial"/>
                <w:bCs/>
                <w:spacing w:val="-4"/>
              </w:rPr>
              <w:t xml:space="preserve">(v mld. korun) </w:t>
            </w:r>
            <w:r w:rsidR="00965797" w:rsidRPr="009110F7">
              <w:rPr>
                <w:rFonts w:cs="Arial"/>
                <w:b/>
                <w:bCs/>
              </w:rPr>
              <w:t>v rámci 1</w:t>
            </w:r>
            <w:r w:rsidRPr="009110F7">
              <w:rPr>
                <w:rFonts w:cs="Arial"/>
                <w:b/>
                <w:bCs/>
              </w:rPr>
              <w:t>. čtvrt</w:t>
            </w:r>
            <w:r w:rsidR="00965797" w:rsidRPr="009110F7">
              <w:rPr>
                <w:rFonts w:cs="Arial"/>
                <w:b/>
                <w:bCs/>
              </w:rPr>
              <w:t>letí</w:t>
            </w:r>
          </w:p>
        </w:tc>
      </w:tr>
      <w:tr w:rsidR="00965797" w:rsidRPr="009110F7" w:rsidTr="00676D76">
        <w:trPr>
          <w:trHeight w:val="145"/>
        </w:trPr>
        <w:tc>
          <w:tcPr>
            <w:tcW w:w="1870" w:type="dxa"/>
            <w:shd w:val="clear" w:color="auto" w:fill="auto"/>
            <w:tcMar>
              <w:left w:w="0" w:type="dxa"/>
            </w:tcMar>
          </w:tcPr>
          <w:p w:rsidR="00965797" w:rsidRPr="009110F7" w:rsidRDefault="00965797" w:rsidP="00965797">
            <w:pPr>
              <w:pStyle w:val="Marginlie"/>
            </w:pPr>
          </w:p>
        </w:tc>
        <w:tc>
          <w:tcPr>
            <w:tcW w:w="245" w:type="dxa"/>
            <w:shd w:val="clear" w:color="auto" w:fill="auto"/>
            <w:tcMar>
              <w:left w:w="0" w:type="dxa"/>
            </w:tcMar>
          </w:tcPr>
          <w:p w:rsidR="00965797" w:rsidRPr="009110F7" w:rsidRDefault="00965797" w:rsidP="0096579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24" w:type="dxa"/>
            <w:shd w:val="clear" w:color="auto" w:fill="auto"/>
            <w:tcMar>
              <w:left w:w="0" w:type="dxa"/>
            </w:tcMar>
          </w:tcPr>
          <w:p w:rsidR="00965797" w:rsidRPr="009110F7" w:rsidRDefault="00965797" w:rsidP="00965797">
            <w:pPr>
              <w:spacing w:after="0" w:line="240" w:lineRule="auto"/>
              <w:rPr>
                <w:sz w:val="14"/>
                <w:szCs w:val="14"/>
              </w:rPr>
            </w:pPr>
            <w:r w:rsidRPr="009110F7">
              <w:rPr>
                <w:noProof/>
                <w:sz w:val="14"/>
                <w:szCs w:val="14"/>
              </w:rPr>
              <w:drawing>
                <wp:inline distT="0" distB="0" distL="0" distR="0">
                  <wp:extent cx="4742597" cy="3534770"/>
                  <wp:effectExtent l="0" t="0" r="0" b="0"/>
                  <wp:docPr id="18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965797" w:rsidRPr="009110F7" w:rsidTr="00676D76">
        <w:trPr>
          <w:trHeight w:val="145"/>
        </w:trPr>
        <w:tc>
          <w:tcPr>
            <w:tcW w:w="1870" w:type="dxa"/>
            <w:shd w:val="clear" w:color="auto" w:fill="auto"/>
            <w:tcMar>
              <w:left w:w="0" w:type="dxa"/>
            </w:tcMar>
          </w:tcPr>
          <w:p w:rsidR="00965797" w:rsidRPr="009110F7" w:rsidRDefault="00965797" w:rsidP="00965797">
            <w:pPr>
              <w:pStyle w:val="Marginlie"/>
            </w:pPr>
          </w:p>
        </w:tc>
        <w:tc>
          <w:tcPr>
            <w:tcW w:w="245" w:type="dxa"/>
            <w:shd w:val="clear" w:color="auto" w:fill="auto"/>
            <w:tcMar>
              <w:left w:w="0" w:type="dxa"/>
            </w:tcMar>
          </w:tcPr>
          <w:p w:rsidR="00965797" w:rsidRPr="009110F7" w:rsidRDefault="00965797" w:rsidP="0096579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24" w:type="dxa"/>
            <w:shd w:val="clear" w:color="auto" w:fill="auto"/>
            <w:tcMar>
              <w:left w:w="0" w:type="dxa"/>
            </w:tcMar>
          </w:tcPr>
          <w:p w:rsidR="00167CB9" w:rsidRPr="009110F7" w:rsidRDefault="00965797" w:rsidP="00965797">
            <w:pPr>
              <w:spacing w:after="0" w:line="240" w:lineRule="auto"/>
              <w:rPr>
                <w:sz w:val="14"/>
                <w:szCs w:val="14"/>
              </w:rPr>
            </w:pPr>
            <w:r w:rsidRPr="009110F7">
              <w:rPr>
                <w:sz w:val="14"/>
                <w:szCs w:val="14"/>
              </w:rPr>
              <w:t xml:space="preserve">*Jde </w:t>
            </w:r>
            <w:r w:rsidR="00716F48" w:rsidRPr="009110F7">
              <w:rPr>
                <w:sz w:val="14"/>
                <w:szCs w:val="14"/>
              </w:rPr>
              <w:t>o </w:t>
            </w:r>
            <w:r w:rsidRPr="009110F7">
              <w:rPr>
                <w:sz w:val="14"/>
                <w:szCs w:val="14"/>
              </w:rPr>
              <w:t xml:space="preserve">starobní důchod přiznaný před dosažením důchodového věku </w:t>
            </w:r>
            <w:r w:rsidR="00716F48" w:rsidRPr="009110F7">
              <w:rPr>
                <w:sz w:val="14"/>
                <w:szCs w:val="14"/>
              </w:rPr>
              <w:t>a </w:t>
            </w:r>
            <w:r w:rsidRPr="009110F7">
              <w:rPr>
                <w:sz w:val="14"/>
                <w:szCs w:val="14"/>
              </w:rPr>
              <w:t>krácený za předčasnost po celou dobu</w:t>
            </w:r>
          </w:p>
          <w:p w:rsidR="00965797" w:rsidRPr="009110F7" w:rsidRDefault="00965797" w:rsidP="00044183">
            <w:pPr>
              <w:spacing w:after="200"/>
              <w:rPr>
                <w:sz w:val="14"/>
                <w:szCs w:val="14"/>
              </w:rPr>
            </w:pPr>
            <w:r w:rsidRPr="009110F7">
              <w:rPr>
                <w:sz w:val="14"/>
                <w:szCs w:val="14"/>
              </w:rPr>
              <w:t>pobírání důchodu.                                                                                                                          Zdroj: MF, ČSSZ</w:t>
            </w:r>
          </w:p>
        </w:tc>
      </w:tr>
      <w:tr w:rsidR="00965797" w:rsidRPr="009110F7" w:rsidTr="00676D76">
        <w:trPr>
          <w:trHeight w:val="145"/>
        </w:trPr>
        <w:tc>
          <w:tcPr>
            <w:tcW w:w="1870" w:type="dxa"/>
            <w:shd w:val="clear" w:color="auto" w:fill="auto"/>
            <w:tcMar>
              <w:left w:w="0" w:type="dxa"/>
            </w:tcMar>
          </w:tcPr>
          <w:p w:rsidR="00965797" w:rsidRPr="009110F7" w:rsidRDefault="00965797" w:rsidP="00965797">
            <w:pPr>
              <w:pStyle w:val="Marginlie"/>
            </w:pPr>
            <w:r w:rsidRPr="009110F7">
              <w:t>Tempo růstu výdajů na ostatní sociální dávky sláblo. Projevil se pozitivní vliv hospodářs</w:t>
            </w:r>
            <w:r w:rsidR="004826A7" w:rsidRPr="009110F7">
              <w:t>kého růstu na příjmy domácností.</w:t>
            </w:r>
          </w:p>
          <w:p w:rsidR="00965797" w:rsidRPr="009110F7" w:rsidRDefault="00965797" w:rsidP="00965797">
            <w:pPr>
              <w:pStyle w:val="Marginlie"/>
            </w:pPr>
          </w:p>
          <w:p w:rsidR="00965797" w:rsidRPr="009110F7" w:rsidRDefault="00965797" w:rsidP="00965797">
            <w:pPr>
              <w:pStyle w:val="Marginlie"/>
            </w:pPr>
          </w:p>
          <w:p w:rsidR="00965797" w:rsidRPr="009110F7" w:rsidRDefault="00965797" w:rsidP="00965797">
            <w:pPr>
              <w:pStyle w:val="Marginlie"/>
            </w:pPr>
          </w:p>
          <w:p w:rsidR="00965797" w:rsidRPr="009110F7" w:rsidRDefault="004826A7" w:rsidP="00965797">
            <w:pPr>
              <w:pStyle w:val="Marginlie"/>
            </w:pPr>
            <w:r w:rsidRPr="009110F7">
              <w:t>N</w:t>
            </w:r>
            <w:r w:rsidR="00965797" w:rsidRPr="009110F7">
              <w:t xml:space="preserve">a růst sociálních dávek naopak působila vyšší nemocnost </w:t>
            </w:r>
            <w:r w:rsidR="00716F48" w:rsidRPr="009110F7">
              <w:t>i </w:t>
            </w:r>
            <w:r w:rsidR="00965797" w:rsidRPr="009110F7">
              <w:t>mírně rostoucí porodnost.</w:t>
            </w:r>
          </w:p>
        </w:tc>
        <w:tc>
          <w:tcPr>
            <w:tcW w:w="245" w:type="dxa"/>
            <w:shd w:val="clear" w:color="auto" w:fill="auto"/>
            <w:tcMar>
              <w:left w:w="0" w:type="dxa"/>
            </w:tcMar>
          </w:tcPr>
          <w:p w:rsidR="00965797" w:rsidRPr="009110F7" w:rsidRDefault="00965797" w:rsidP="0096579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24" w:type="dxa"/>
            <w:shd w:val="clear" w:color="auto" w:fill="auto"/>
            <w:tcMar>
              <w:left w:w="0" w:type="dxa"/>
            </w:tcMar>
          </w:tcPr>
          <w:p w:rsidR="00965797" w:rsidRPr="009110F7" w:rsidRDefault="00965797" w:rsidP="00965797">
            <w:pPr>
              <w:rPr>
                <w:spacing w:val="-4"/>
              </w:rPr>
            </w:pPr>
            <w:r w:rsidRPr="009110F7">
              <w:rPr>
                <w:spacing w:val="-4"/>
              </w:rPr>
              <w:t>Na ostatní sociální dávky (mimo důchody) vydal SR 30,5</w:t>
            </w:r>
            <w:r w:rsidR="00167CB9" w:rsidRPr="009110F7">
              <w:rPr>
                <w:spacing w:val="-4"/>
              </w:rPr>
              <w:t> mld.</w:t>
            </w:r>
            <w:r w:rsidRPr="009110F7">
              <w:rPr>
                <w:spacing w:val="-4"/>
              </w:rPr>
              <w:t xml:space="preserve"> korun, meziročně </w:t>
            </w:r>
            <w:r w:rsidR="00716F48" w:rsidRPr="009110F7">
              <w:rPr>
                <w:spacing w:val="-4"/>
              </w:rPr>
              <w:t>o </w:t>
            </w:r>
            <w:r w:rsidR="004826A7" w:rsidRPr="009110F7">
              <w:rPr>
                <w:spacing w:val="-4"/>
              </w:rPr>
              <w:t>2,1</w:t>
            </w:r>
            <w:r w:rsidR="00167CB9" w:rsidRPr="009110F7">
              <w:rPr>
                <w:spacing w:val="-4"/>
              </w:rPr>
              <w:t> %</w:t>
            </w:r>
            <w:r w:rsidR="004826A7" w:rsidRPr="009110F7">
              <w:rPr>
                <w:spacing w:val="-4"/>
              </w:rPr>
              <w:t xml:space="preserve"> více, </w:t>
            </w:r>
            <w:r w:rsidR="00716F48" w:rsidRPr="009110F7">
              <w:rPr>
                <w:spacing w:val="-4"/>
              </w:rPr>
              <w:t>o </w:t>
            </w:r>
            <w:r w:rsidR="004826A7" w:rsidRPr="009110F7">
              <w:rPr>
                <w:spacing w:val="-4"/>
              </w:rPr>
              <w:t xml:space="preserve">rok dříve </w:t>
            </w:r>
            <w:r w:rsidR="00716F48" w:rsidRPr="009110F7">
              <w:rPr>
                <w:spacing w:val="-4"/>
              </w:rPr>
              <w:t>o </w:t>
            </w:r>
            <w:r w:rsidR="004826A7" w:rsidRPr="009110F7">
              <w:rPr>
                <w:spacing w:val="-4"/>
              </w:rPr>
              <w:t>4,1</w:t>
            </w:r>
            <w:r w:rsidR="00167CB9" w:rsidRPr="009110F7">
              <w:rPr>
                <w:spacing w:val="-4"/>
              </w:rPr>
              <w:t> %</w:t>
            </w:r>
            <w:r w:rsidRPr="009110F7">
              <w:rPr>
                <w:spacing w:val="-4"/>
              </w:rPr>
              <w:t>. Tempo růstu výdajů na tyto dávky je zároveň již čtvrtým rokem v</w:t>
            </w:r>
            <w:r w:rsidR="004826A7" w:rsidRPr="009110F7">
              <w:rPr>
                <w:spacing w:val="-4"/>
              </w:rPr>
              <w:t xml:space="preserve"> řadě slabší než </w:t>
            </w:r>
            <w:r w:rsidR="00716F48" w:rsidRPr="009110F7">
              <w:rPr>
                <w:spacing w:val="-4"/>
              </w:rPr>
              <w:t>v </w:t>
            </w:r>
            <w:r w:rsidR="004826A7" w:rsidRPr="009110F7">
              <w:rPr>
                <w:spacing w:val="-4"/>
              </w:rPr>
              <w:t>případě</w:t>
            </w:r>
            <w:r w:rsidRPr="009110F7">
              <w:rPr>
                <w:spacing w:val="-4"/>
              </w:rPr>
              <w:t xml:space="preserve"> důchodů. </w:t>
            </w:r>
            <w:r w:rsidR="00716F48" w:rsidRPr="009110F7">
              <w:rPr>
                <w:spacing w:val="-4"/>
              </w:rPr>
              <w:t>K </w:t>
            </w:r>
            <w:r w:rsidRPr="009110F7">
              <w:rPr>
                <w:spacing w:val="-4"/>
              </w:rPr>
              <w:t xml:space="preserve">růstu výdajů na ostatní sociální dávky letos (podobně jako v předchozích třech letech) přispěly nejvíce dávky nemocenského pojištění (meziročně vyšší </w:t>
            </w:r>
            <w:r w:rsidR="00716F48" w:rsidRPr="009110F7">
              <w:rPr>
                <w:spacing w:val="-4"/>
              </w:rPr>
              <w:t>o </w:t>
            </w:r>
            <w:r w:rsidRPr="009110F7">
              <w:rPr>
                <w:spacing w:val="-4"/>
              </w:rPr>
              <w:t>11</w:t>
            </w:r>
            <w:r w:rsidR="00167CB9" w:rsidRPr="009110F7">
              <w:rPr>
                <w:spacing w:val="-4"/>
              </w:rPr>
              <w:t> %</w:t>
            </w:r>
            <w:r w:rsidRPr="009110F7">
              <w:rPr>
                <w:spacing w:val="-4"/>
              </w:rPr>
              <w:t xml:space="preserve">). V pozadí toho stála jak vyšší nemocnost, tak </w:t>
            </w:r>
            <w:r w:rsidR="00716F48" w:rsidRPr="009110F7">
              <w:rPr>
                <w:spacing w:val="-4"/>
              </w:rPr>
              <w:t>i </w:t>
            </w:r>
            <w:r w:rsidRPr="009110F7">
              <w:rPr>
                <w:color w:val="000000" w:themeColor="text1"/>
                <w:spacing w:val="-4"/>
              </w:rPr>
              <w:t>silněj</w:t>
            </w:r>
            <w:r w:rsidRPr="009110F7">
              <w:rPr>
                <w:spacing w:val="-4"/>
              </w:rPr>
              <w:t>ší čerpání peněžité pomoci v mateřství vlivem mírně vyšší porodnost</w:t>
            </w:r>
            <w:r w:rsidR="004826A7" w:rsidRPr="009110F7">
              <w:rPr>
                <w:spacing w:val="-4"/>
              </w:rPr>
              <w:t>i. SR vydal více také na dávky</w:t>
            </w:r>
            <w:r w:rsidRPr="009110F7">
              <w:rPr>
                <w:spacing w:val="-4"/>
              </w:rPr>
              <w:t xml:space="preserve"> pro zdravotně postižené </w:t>
            </w:r>
            <w:r w:rsidR="00716F48" w:rsidRPr="009110F7">
              <w:rPr>
                <w:spacing w:val="-4"/>
              </w:rPr>
              <w:t>i </w:t>
            </w:r>
            <w:r w:rsidR="004826A7" w:rsidRPr="009110F7">
              <w:rPr>
                <w:spacing w:val="-4"/>
              </w:rPr>
              <w:t>na příspěvky</w:t>
            </w:r>
            <w:r w:rsidRPr="009110F7">
              <w:rPr>
                <w:spacing w:val="-4"/>
              </w:rPr>
              <w:t xml:space="preserve"> na péči (pro dlouhodobě nemocné). V ostatníc</w:t>
            </w:r>
            <w:r w:rsidR="004826A7" w:rsidRPr="009110F7">
              <w:rPr>
                <w:spacing w:val="-4"/>
              </w:rPr>
              <w:t>h druzích dávek se stále více</w:t>
            </w:r>
            <w:r w:rsidRPr="009110F7">
              <w:rPr>
                <w:spacing w:val="-4"/>
              </w:rPr>
              <w:t xml:space="preserve"> projevoval vliv hospodářského růstu na příjmy domácností. Méně bylo spotřebováno na podpor</w:t>
            </w:r>
            <w:r w:rsidR="00112CAB">
              <w:rPr>
                <w:spacing w:val="-4"/>
              </w:rPr>
              <w:t>y</w:t>
            </w:r>
            <w:r w:rsidRPr="009110F7">
              <w:rPr>
                <w:spacing w:val="-4"/>
              </w:rPr>
              <w:t xml:space="preserve"> v nezaměstnanosti (</w:t>
            </w:r>
            <w:r w:rsidR="00CA37FF">
              <w:rPr>
                <w:spacing w:val="-4"/>
              </w:rPr>
              <w:t>-</w:t>
            </w:r>
            <w:r w:rsidRPr="009110F7">
              <w:rPr>
                <w:spacing w:val="-4"/>
              </w:rPr>
              <w:t>9</w:t>
            </w:r>
            <w:r w:rsidR="00167CB9" w:rsidRPr="009110F7">
              <w:rPr>
                <w:spacing w:val="-4"/>
              </w:rPr>
              <w:t> %</w:t>
            </w:r>
            <w:r w:rsidRPr="009110F7">
              <w:rPr>
                <w:spacing w:val="-4"/>
              </w:rPr>
              <w:t xml:space="preserve">) </w:t>
            </w:r>
            <w:r w:rsidR="00716F48" w:rsidRPr="009110F7">
              <w:rPr>
                <w:spacing w:val="-4"/>
              </w:rPr>
              <w:t>i </w:t>
            </w:r>
            <w:r w:rsidRPr="009110F7">
              <w:rPr>
                <w:spacing w:val="-4"/>
              </w:rPr>
              <w:t>na dávk</w:t>
            </w:r>
            <w:r w:rsidR="00112CAB">
              <w:rPr>
                <w:spacing w:val="-4"/>
              </w:rPr>
              <w:t>y</w:t>
            </w:r>
            <w:r w:rsidRPr="009110F7">
              <w:rPr>
                <w:spacing w:val="-4"/>
              </w:rPr>
              <w:t xml:space="preserve"> pomoci </w:t>
            </w:r>
            <w:r w:rsidR="00716F48" w:rsidRPr="009110F7">
              <w:rPr>
                <w:spacing w:val="-4"/>
              </w:rPr>
              <w:t>v </w:t>
            </w:r>
            <w:r w:rsidRPr="009110F7">
              <w:rPr>
                <w:spacing w:val="-4"/>
              </w:rPr>
              <w:t>hmotné nouzi (</w:t>
            </w:r>
            <w:r w:rsidR="00CA37FF">
              <w:rPr>
                <w:spacing w:val="-4"/>
              </w:rPr>
              <w:t>-</w:t>
            </w:r>
            <w:r w:rsidRPr="009110F7">
              <w:rPr>
                <w:spacing w:val="-4"/>
              </w:rPr>
              <w:t>15</w:t>
            </w:r>
            <w:r w:rsidR="00167CB9" w:rsidRPr="009110F7">
              <w:rPr>
                <w:spacing w:val="-4"/>
              </w:rPr>
              <w:t> %</w:t>
            </w:r>
            <w:r w:rsidRPr="009110F7">
              <w:rPr>
                <w:spacing w:val="-4"/>
              </w:rPr>
              <w:t xml:space="preserve">, </w:t>
            </w:r>
            <w:r w:rsidR="00716F48" w:rsidRPr="009110F7">
              <w:rPr>
                <w:spacing w:val="-4"/>
              </w:rPr>
              <w:t>o </w:t>
            </w:r>
            <w:r w:rsidRPr="009110F7">
              <w:rPr>
                <w:spacing w:val="-4"/>
              </w:rPr>
              <w:t xml:space="preserve">rok dříve </w:t>
            </w:r>
            <w:r w:rsidR="00CA37FF">
              <w:rPr>
                <w:spacing w:val="-4"/>
              </w:rPr>
              <w:t>-</w:t>
            </w:r>
            <w:r w:rsidRPr="009110F7">
              <w:rPr>
                <w:spacing w:val="-4"/>
              </w:rPr>
              <w:t>11</w:t>
            </w:r>
            <w:r w:rsidR="00167CB9" w:rsidRPr="009110F7">
              <w:rPr>
                <w:spacing w:val="-4"/>
              </w:rPr>
              <w:t> %</w:t>
            </w:r>
            <w:r w:rsidRPr="009110F7">
              <w:rPr>
                <w:spacing w:val="-4"/>
              </w:rPr>
              <w:t xml:space="preserve">). Zhruba </w:t>
            </w:r>
            <w:r w:rsidR="00716F48" w:rsidRPr="009110F7">
              <w:rPr>
                <w:spacing w:val="-4"/>
              </w:rPr>
              <w:t>o </w:t>
            </w:r>
            <w:r w:rsidRPr="009110F7">
              <w:rPr>
                <w:spacing w:val="-4"/>
              </w:rPr>
              <w:t xml:space="preserve">desetinu vydal SR méně </w:t>
            </w:r>
            <w:r w:rsidR="00716F48" w:rsidRPr="009110F7">
              <w:rPr>
                <w:spacing w:val="-4"/>
              </w:rPr>
              <w:t>i </w:t>
            </w:r>
            <w:r w:rsidRPr="009110F7">
              <w:rPr>
                <w:spacing w:val="-4"/>
              </w:rPr>
              <w:t>na dávk</w:t>
            </w:r>
            <w:r w:rsidR="00112CAB">
              <w:rPr>
                <w:spacing w:val="-4"/>
              </w:rPr>
              <w:t>y</w:t>
            </w:r>
            <w:r w:rsidRPr="009110F7">
              <w:rPr>
                <w:spacing w:val="-4"/>
              </w:rPr>
              <w:t xml:space="preserve"> státní sociální podpory, které jsou vypláceny ve vazbě na příjem domácnosti (přídavek na dítě, příspěvek na bydlení). Navyšoval se naopak objem váhově významných rodičovských pří</w:t>
            </w:r>
            <w:r w:rsidR="006A7691">
              <w:rPr>
                <w:spacing w:val="-4"/>
              </w:rPr>
              <w:t>s</w:t>
            </w:r>
            <w:r w:rsidRPr="009110F7">
              <w:rPr>
                <w:spacing w:val="-4"/>
              </w:rPr>
              <w:t>pěvků (+6,4</w:t>
            </w:r>
            <w:r w:rsidR="00167CB9" w:rsidRPr="009110F7">
              <w:rPr>
                <w:spacing w:val="-4"/>
              </w:rPr>
              <w:t> %</w:t>
            </w:r>
            <w:r w:rsidRPr="009110F7">
              <w:rPr>
                <w:spacing w:val="-4"/>
              </w:rPr>
              <w:t xml:space="preserve">), </w:t>
            </w:r>
            <w:r w:rsidR="00716F48" w:rsidRPr="009110F7">
              <w:rPr>
                <w:spacing w:val="-4"/>
              </w:rPr>
              <w:t>o </w:t>
            </w:r>
            <w:r w:rsidRPr="009110F7">
              <w:rPr>
                <w:spacing w:val="-4"/>
              </w:rPr>
              <w:t xml:space="preserve">pětinu více šlo meziročně </w:t>
            </w:r>
            <w:r w:rsidR="00716F48" w:rsidRPr="009110F7">
              <w:rPr>
                <w:spacing w:val="-4"/>
              </w:rPr>
              <w:t>i </w:t>
            </w:r>
            <w:r w:rsidRPr="009110F7">
              <w:rPr>
                <w:spacing w:val="-4"/>
              </w:rPr>
              <w:t>na podporu pěstounské péče.</w:t>
            </w:r>
          </w:p>
        </w:tc>
      </w:tr>
      <w:tr w:rsidR="00965797" w:rsidRPr="009110F7" w:rsidTr="00676D76">
        <w:trPr>
          <w:trHeight w:val="145"/>
        </w:trPr>
        <w:tc>
          <w:tcPr>
            <w:tcW w:w="1870" w:type="dxa"/>
            <w:shd w:val="clear" w:color="auto" w:fill="auto"/>
            <w:tcMar>
              <w:left w:w="0" w:type="dxa"/>
            </w:tcMar>
          </w:tcPr>
          <w:p w:rsidR="00965797" w:rsidRPr="009110F7" w:rsidRDefault="00965797" w:rsidP="00965797">
            <w:pPr>
              <w:pStyle w:val="Marginlie"/>
            </w:pPr>
            <w:r w:rsidRPr="009110F7">
              <w:t>Výše státního dluhu podobně jako v průběhu loňského roku kolísala.</w:t>
            </w:r>
          </w:p>
          <w:p w:rsidR="00965797" w:rsidRPr="009110F7" w:rsidRDefault="00965797" w:rsidP="00965797">
            <w:pPr>
              <w:pStyle w:val="Marginlie"/>
            </w:pPr>
            <w:r w:rsidRPr="009110F7">
              <w:t>Mezi držiteli korunových dluhopisů klesala váha nerezidentů.</w:t>
            </w:r>
          </w:p>
        </w:tc>
        <w:tc>
          <w:tcPr>
            <w:tcW w:w="245" w:type="dxa"/>
            <w:shd w:val="clear" w:color="auto" w:fill="auto"/>
            <w:tcMar>
              <w:left w:w="0" w:type="dxa"/>
            </w:tcMar>
          </w:tcPr>
          <w:p w:rsidR="00965797" w:rsidRPr="009110F7" w:rsidRDefault="00965797" w:rsidP="0096579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24" w:type="dxa"/>
            <w:shd w:val="clear" w:color="auto" w:fill="auto"/>
            <w:tcMar>
              <w:left w:w="0" w:type="dxa"/>
            </w:tcMar>
          </w:tcPr>
          <w:p w:rsidR="00965797" w:rsidRPr="009110F7" w:rsidRDefault="00965797" w:rsidP="00044183">
            <w:pPr>
              <w:spacing w:after="0"/>
              <w:rPr>
                <w:color w:val="0D0D0D" w:themeColor="text1" w:themeTint="F2"/>
                <w:spacing w:val="-4"/>
              </w:rPr>
            </w:pPr>
            <w:r w:rsidRPr="009110F7">
              <w:t>Státní dluh činil na konci 1</w:t>
            </w:r>
            <w:r w:rsidR="00716F48" w:rsidRPr="009110F7">
              <w:t>. čtvrt</w:t>
            </w:r>
            <w:r w:rsidRPr="009110F7">
              <w:t>letí 1 712</w:t>
            </w:r>
            <w:r w:rsidR="00167CB9" w:rsidRPr="009110F7">
              <w:t> mld.</w:t>
            </w:r>
            <w:r w:rsidRPr="009110F7">
              <w:t xml:space="preserve"> korun </w:t>
            </w:r>
            <w:r w:rsidR="00716F48" w:rsidRPr="009110F7">
              <w:t>a </w:t>
            </w:r>
            <w:r w:rsidRPr="009110F7">
              <w:t>proti „nestandardně zvýšené“ loňské základně</w:t>
            </w:r>
            <w:r w:rsidRPr="009110F7">
              <w:rPr>
                <w:rStyle w:val="Znakapoznpodarou"/>
              </w:rPr>
              <w:footnoteReference w:id="13"/>
            </w:r>
            <w:r w:rsidRPr="009110F7">
              <w:t xml:space="preserve"> klesl </w:t>
            </w:r>
            <w:r w:rsidR="00716F48" w:rsidRPr="009110F7">
              <w:t>o </w:t>
            </w:r>
            <w:r w:rsidRPr="009110F7">
              <w:t>4,3</w:t>
            </w:r>
            <w:r w:rsidR="00167CB9" w:rsidRPr="009110F7">
              <w:t> %</w:t>
            </w:r>
            <w:r w:rsidRPr="009110F7">
              <w:t xml:space="preserve">. Ve srovnání s posledním čtvrtletím loňského roku však </w:t>
            </w:r>
            <w:r w:rsidR="00716F48" w:rsidRPr="009110F7">
              <w:t>o </w:t>
            </w:r>
            <w:r w:rsidRPr="009110F7">
              <w:t>87</w:t>
            </w:r>
            <w:r w:rsidR="00167CB9" w:rsidRPr="009110F7">
              <w:t> mld.</w:t>
            </w:r>
            <w:r w:rsidRPr="009110F7">
              <w:t xml:space="preserve"> korun vzrostl. Toto navýšení bylo financováno primárně prostřednictvím státních pokladničních poukázek </w:t>
            </w:r>
            <w:r w:rsidR="00716F48" w:rsidRPr="009110F7">
              <w:t>a </w:t>
            </w:r>
            <w:r w:rsidRPr="009110F7">
              <w:t xml:space="preserve">projevilo se výhradně ve výši vnitřního dluhu, naopak 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>korunová hodnota vnějšího dluhu se nadále mírně snižovala. V</w:t>
            </w:r>
            <w:r w:rsidRPr="009110F7">
              <w:rPr>
                <w:color w:val="0D0D0D" w:themeColor="text1" w:themeTint="F2"/>
                <w:spacing w:val="-4"/>
              </w:rPr>
              <w:t>nější dluh se na celkové zadluženosti státu podílel 14,7 %, nejméně</w:t>
            </w:r>
            <w:r w:rsidR="008C7569" w:rsidRPr="009110F7">
              <w:rPr>
                <w:color w:val="0D0D0D" w:themeColor="text1" w:themeTint="F2"/>
                <w:spacing w:val="-4"/>
              </w:rPr>
              <w:t xml:space="preserve"> za posledních deset let</w:t>
            </w:r>
            <w:r w:rsidRPr="009110F7">
              <w:rPr>
                <w:color w:val="0D0D0D" w:themeColor="text1" w:themeTint="F2"/>
                <w:spacing w:val="-4"/>
              </w:rPr>
              <w:t xml:space="preserve">. Měnila se </w:t>
            </w:r>
            <w:r w:rsidR="00716F48" w:rsidRPr="009110F7">
              <w:rPr>
                <w:color w:val="0D0D0D" w:themeColor="text1" w:themeTint="F2"/>
                <w:spacing w:val="-4"/>
              </w:rPr>
              <w:t>i </w:t>
            </w:r>
            <w:r w:rsidRPr="009110F7">
              <w:rPr>
                <w:color w:val="0D0D0D" w:themeColor="text1" w:themeTint="F2"/>
                <w:spacing w:val="-4"/>
              </w:rPr>
              <w:t xml:space="preserve">skladba dluhu dle jeho držitelů. </w:t>
            </w:r>
            <w:r w:rsidR="00716F48" w:rsidRPr="009110F7">
              <w:rPr>
                <w:color w:val="0D0D0D" w:themeColor="text1" w:themeTint="F2"/>
                <w:spacing w:val="-4"/>
              </w:rPr>
              <w:t>V </w:t>
            </w:r>
            <w:r w:rsidRPr="009110F7">
              <w:rPr>
                <w:color w:val="0D0D0D" w:themeColor="text1" w:themeTint="F2"/>
                <w:spacing w:val="-4"/>
              </w:rPr>
              <w:t>souvislosti s odlivem spekulativního kapitálu výrazně klesl podíl korunových dluhopisů v držbě nerezidentů (z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> </w:t>
            </w:r>
            <w:r w:rsidRPr="009110F7">
              <w:rPr>
                <w:color w:val="0D0D0D" w:themeColor="text1" w:themeTint="F2"/>
                <w:spacing w:val="-4"/>
              </w:rPr>
              <w:t>51,4 % na konci 3</w:t>
            </w:r>
            <w:r w:rsidR="00716F48" w:rsidRPr="009110F7">
              <w:rPr>
                <w:color w:val="0D0D0D" w:themeColor="text1" w:themeTint="F2"/>
                <w:spacing w:val="-4"/>
              </w:rPr>
              <w:t>. čtvrt</w:t>
            </w:r>
            <w:r w:rsidRPr="009110F7">
              <w:rPr>
                <w:color w:val="0D0D0D" w:themeColor="text1" w:themeTint="F2"/>
                <w:spacing w:val="-4"/>
              </w:rPr>
              <w:t>letí 2017 na 35,5</w:t>
            </w:r>
            <w:r w:rsidR="00167CB9" w:rsidRPr="009110F7">
              <w:rPr>
                <w:color w:val="0D0D0D" w:themeColor="text1" w:themeTint="F2"/>
                <w:spacing w:val="-4"/>
              </w:rPr>
              <w:t> %</w:t>
            </w:r>
            <w:r w:rsidRPr="009110F7">
              <w:rPr>
                <w:color w:val="0D0D0D" w:themeColor="text1" w:themeTint="F2"/>
                <w:spacing w:val="-4"/>
              </w:rPr>
              <w:t xml:space="preserve"> </w:t>
            </w:r>
            <w:r w:rsidR="00716F48" w:rsidRPr="009110F7">
              <w:rPr>
                <w:color w:val="0D0D0D" w:themeColor="text1" w:themeTint="F2"/>
                <w:spacing w:val="-4"/>
              </w:rPr>
              <w:t>o </w:t>
            </w:r>
            <w:r w:rsidRPr="009110F7">
              <w:rPr>
                <w:color w:val="0D0D0D" w:themeColor="text1" w:themeTint="F2"/>
                <w:spacing w:val="-4"/>
              </w:rPr>
              <w:t xml:space="preserve">půl roku později) </w:t>
            </w:r>
            <w:r w:rsidR="00716F48" w:rsidRPr="009110F7">
              <w:rPr>
                <w:color w:val="0D0D0D" w:themeColor="text1" w:themeTint="F2"/>
                <w:spacing w:val="-4"/>
              </w:rPr>
              <w:t>a </w:t>
            </w:r>
            <w:r w:rsidRPr="009110F7">
              <w:rPr>
                <w:color w:val="0D0D0D" w:themeColor="text1" w:themeTint="F2"/>
                <w:spacing w:val="-4"/>
              </w:rPr>
              <w:t xml:space="preserve">přiblížil se úrovni </w:t>
            </w:r>
            <w:r w:rsidR="00716F48" w:rsidRPr="009110F7">
              <w:rPr>
                <w:color w:val="0D0D0D" w:themeColor="text1" w:themeTint="F2"/>
                <w:spacing w:val="-4"/>
              </w:rPr>
              <w:t>z </w:t>
            </w:r>
            <w:r w:rsidRPr="009110F7">
              <w:rPr>
                <w:color w:val="0D0D0D" w:themeColor="text1" w:themeTint="F2"/>
                <w:spacing w:val="-4"/>
              </w:rPr>
              <w:t xml:space="preserve">druhé poloviny roku 2016. </w:t>
            </w:r>
          </w:p>
        </w:tc>
      </w:tr>
      <w:tr w:rsidR="00965797" w:rsidRPr="009110F7" w:rsidTr="00676D76">
        <w:trPr>
          <w:trHeight w:val="145"/>
        </w:trPr>
        <w:tc>
          <w:tcPr>
            <w:tcW w:w="1870" w:type="dxa"/>
            <w:shd w:val="clear" w:color="auto" w:fill="auto"/>
            <w:tcMar>
              <w:left w:w="0" w:type="dxa"/>
            </w:tcMar>
          </w:tcPr>
          <w:p w:rsidR="00965797" w:rsidRPr="009110F7" w:rsidRDefault="00965797" w:rsidP="00965797">
            <w:pPr>
              <w:pStyle w:val="Marginlie"/>
            </w:pPr>
          </w:p>
        </w:tc>
        <w:tc>
          <w:tcPr>
            <w:tcW w:w="245" w:type="dxa"/>
            <w:shd w:val="clear" w:color="auto" w:fill="auto"/>
            <w:tcMar>
              <w:left w:w="0" w:type="dxa"/>
            </w:tcMar>
          </w:tcPr>
          <w:p w:rsidR="00965797" w:rsidRPr="009110F7" w:rsidRDefault="00965797" w:rsidP="0096579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24" w:type="dxa"/>
            <w:shd w:val="clear" w:color="auto" w:fill="auto"/>
            <w:tcMar>
              <w:left w:w="0" w:type="dxa"/>
            </w:tcMar>
          </w:tcPr>
          <w:p w:rsidR="00167CB9" w:rsidRPr="009110F7" w:rsidRDefault="00B8561A" w:rsidP="00965797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b/>
                <w:szCs w:val="20"/>
              </w:rPr>
              <w:t>Graf </w:t>
            </w:r>
            <w:r w:rsidR="00167CB9" w:rsidRPr="009110F7">
              <w:rPr>
                <w:b/>
                <w:szCs w:val="20"/>
              </w:rPr>
              <w:t>č. </w:t>
            </w:r>
            <w:proofErr w:type="gramStart"/>
            <w:r w:rsidR="00965797" w:rsidRPr="009110F7">
              <w:rPr>
                <w:b/>
                <w:szCs w:val="20"/>
              </w:rPr>
              <w:t>21</w:t>
            </w:r>
            <w:r w:rsidR="00676D76">
              <w:rPr>
                <w:b/>
              </w:rPr>
              <w:t xml:space="preserve">  S</w:t>
            </w:r>
            <w:r w:rsidR="00965797" w:rsidRPr="009110F7">
              <w:rPr>
                <w:rFonts w:cs="Arial"/>
                <w:b/>
                <w:bCs/>
              </w:rPr>
              <w:t>truktura</w:t>
            </w:r>
            <w:proofErr w:type="gramEnd"/>
            <w:r w:rsidR="00965797" w:rsidRPr="009110F7">
              <w:rPr>
                <w:rFonts w:cs="Arial"/>
                <w:b/>
                <w:bCs/>
              </w:rPr>
              <w:t xml:space="preserve"> státního dluh</w:t>
            </w:r>
            <w:r w:rsidR="006A7691">
              <w:rPr>
                <w:rFonts w:cs="Arial"/>
                <w:b/>
                <w:bCs/>
              </w:rPr>
              <w:t>u</w:t>
            </w:r>
            <w:r w:rsidR="00965797" w:rsidRPr="009110F7">
              <w:rPr>
                <w:rFonts w:cs="Arial"/>
                <w:b/>
                <w:bCs/>
              </w:rPr>
              <w:t xml:space="preserve"> ČR </w:t>
            </w:r>
            <w:r w:rsidR="00965797" w:rsidRPr="009110F7">
              <w:rPr>
                <w:rFonts w:cs="Arial"/>
                <w:bCs/>
              </w:rPr>
              <w:t>(stav na konci čtvrtletí, v</w:t>
            </w:r>
            <w:r w:rsidR="00167CB9" w:rsidRPr="009110F7">
              <w:rPr>
                <w:rFonts w:cs="Arial"/>
                <w:bCs/>
              </w:rPr>
              <w:t> mld.</w:t>
            </w:r>
            <w:r w:rsidR="00965797" w:rsidRPr="009110F7">
              <w:rPr>
                <w:rFonts w:cs="Arial"/>
                <w:bCs/>
              </w:rPr>
              <w:t xml:space="preserve"> korun)</w:t>
            </w:r>
          </w:p>
          <w:p w:rsidR="00965797" w:rsidRPr="009110F7" w:rsidRDefault="00716F48" w:rsidP="00965797">
            <w:pPr>
              <w:spacing w:after="0" w:line="240" w:lineRule="auto"/>
              <w:rPr>
                <w:szCs w:val="20"/>
              </w:rPr>
            </w:pPr>
            <w:r w:rsidRPr="009110F7">
              <w:rPr>
                <w:rFonts w:cs="Arial"/>
                <w:b/>
                <w:bCs/>
              </w:rPr>
              <w:t>a </w:t>
            </w:r>
            <w:r w:rsidR="00965797" w:rsidRPr="009110F7">
              <w:rPr>
                <w:rFonts w:cs="Arial"/>
                <w:b/>
                <w:bCs/>
              </w:rPr>
              <w:t xml:space="preserve">podíl korunových dluhopisů v držbě nerezidentů </w:t>
            </w:r>
            <w:r w:rsidR="00965797" w:rsidRPr="009110F7">
              <w:rPr>
                <w:rFonts w:cs="Arial"/>
                <w:bCs/>
              </w:rPr>
              <w:t>(v</w:t>
            </w:r>
            <w:r w:rsidR="00167CB9" w:rsidRPr="009110F7">
              <w:rPr>
                <w:rFonts w:cs="Arial"/>
                <w:bCs/>
              </w:rPr>
              <w:t> %</w:t>
            </w:r>
            <w:r w:rsidR="00965797" w:rsidRPr="009110F7">
              <w:rPr>
                <w:rFonts w:cs="Arial"/>
                <w:bCs/>
              </w:rPr>
              <w:t>, pravá osa)</w:t>
            </w:r>
          </w:p>
        </w:tc>
      </w:tr>
      <w:tr w:rsidR="00965797" w:rsidRPr="009110F7" w:rsidTr="00676D76">
        <w:trPr>
          <w:trHeight w:val="145"/>
        </w:trPr>
        <w:tc>
          <w:tcPr>
            <w:tcW w:w="1870" w:type="dxa"/>
            <w:shd w:val="clear" w:color="auto" w:fill="auto"/>
            <w:tcMar>
              <w:left w:w="0" w:type="dxa"/>
            </w:tcMar>
          </w:tcPr>
          <w:p w:rsidR="00965797" w:rsidRPr="009110F7" w:rsidRDefault="00965797" w:rsidP="00965797">
            <w:pPr>
              <w:pStyle w:val="Marginlie"/>
            </w:pPr>
          </w:p>
        </w:tc>
        <w:tc>
          <w:tcPr>
            <w:tcW w:w="245" w:type="dxa"/>
            <w:shd w:val="clear" w:color="auto" w:fill="auto"/>
            <w:tcMar>
              <w:left w:w="0" w:type="dxa"/>
            </w:tcMar>
          </w:tcPr>
          <w:p w:rsidR="00965797" w:rsidRPr="009110F7" w:rsidRDefault="00965797" w:rsidP="0096579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24" w:type="dxa"/>
            <w:shd w:val="clear" w:color="auto" w:fill="auto"/>
            <w:tcMar>
              <w:left w:w="0" w:type="dxa"/>
            </w:tcMar>
          </w:tcPr>
          <w:p w:rsidR="00965797" w:rsidRPr="009110F7" w:rsidRDefault="00965797" w:rsidP="00965797">
            <w:pPr>
              <w:spacing w:after="0" w:line="240" w:lineRule="auto"/>
              <w:rPr>
                <w:sz w:val="14"/>
                <w:szCs w:val="14"/>
              </w:rPr>
            </w:pPr>
            <w:r w:rsidRPr="009110F7">
              <w:rPr>
                <w:noProof/>
                <w:sz w:val="14"/>
                <w:szCs w:val="14"/>
              </w:rPr>
              <w:drawing>
                <wp:inline distT="0" distB="0" distL="0" distR="0">
                  <wp:extent cx="4762513" cy="3528000"/>
                  <wp:effectExtent l="0" t="0" r="0" b="0"/>
                  <wp:docPr id="19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965797" w:rsidRPr="009110F7" w:rsidTr="00676D76">
        <w:trPr>
          <w:trHeight w:val="145"/>
        </w:trPr>
        <w:tc>
          <w:tcPr>
            <w:tcW w:w="1870" w:type="dxa"/>
            <w:shd w:val="clear" w:color="auto" w:fill="auto"/>
            <w:tcMar>
              <w:left w:w="0" w:type="dxa"/>
            </w:tcMar>
          </w:tcPr>
          <w:p w:rsidR="00965797" w:rsidRPr="009110F7" w:rsidRDefault="00965797" w:rsidP="00965797">
            <w:pPr>
              <w:pStyle w:val="Marginlie"/>
            </w:pPr>
          </w:p>
        </w:tc>
        <w:tc>
          <w:tcPr>
            <w:tcW w:w="245" w:type="dxa"/>
            <w:shd w:val="clear" w:color="auto" w:fill="auto"/>
            <w:tcMar>
              <w:left w:w="0" w:type="dxa"/>
            </w:tcMar>
          </w:tcPr>
          <w:p w:rsidR="00965797" w:rsidRPr="009110F7" w:rsidRDefault="00965797" w:rsidP="0096579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24" w:type="dxa"/>
            <w:shd w:val="clear" w:color="auto" w:fill="auto"/>
            <w:tcMar>
              <w:left w:w="0" w:type="dxa"/>
            </w:tcMar>
          </w:tcPr>
          <w:p w:rsidR="00965797" w:rsidRPr="009110F7" w:rsidRDefault="00965797" w:rsidP="00965797">
            <w:pPr>
              <w:rPr>
                <w:sz w:val="14"/>
                <w:szCs w:val="14"/>
              </w:rPr>
            </w:pPr>
            <w:r w:rsidRPr="009110F7">
              <w:rPr>
                <w:sz w:val="14"/>
                <w:szCs w:val="14"/>
              </w:rPr>
              <w:t>Zdroj: MF</w:t>
            </w:r>
            <w:r w:rsidR="00CE62FA">
              <w:rPr>
                <w:sz w:val="14"/>
                <w:szCs w:val="14"/>
              </w:rPr>
              <w:t> Č</w:t>
            </w:r>
            <w:r w:rsidRPr="009110F7">
              <w:rPr>
                <w:sz w:val="14"/>
                <w:szCs w:val="14"/>
              </w:rPr>
              <w:t>R</w:t>
            </w:r>
          </w:p>
        </w:tc>
      </w:tr>
      <w:tr w:rsidR="0093033E" w:rsidRPr="009110F7" w:rsidTr="00676D76">
        <w:trPr>
          <w:trHeight w:val="145"/>
        </w:trPr>
        <w:tc>
          <w:tcPr>
            <w:tcW w:w="1870" w:type="dxa"/>
            <w:shd w:val="clear" w:color="auto" w:fill="auto"/>
            <w:tcMar>
              <w:left w:w="0" w:type="dxa"/>
            </w:tcMar>
          </w:tcPr>
          <w:p w:rsidR="0093033E" w:rsidRPr="009110F7" w:rsidRDefault="0093033E" w:rsidP="00161553">
            <w:pPr>
              <w:pStyle w:val="Marginlie"/>
              <w:rPr>
                <w:color w:val="0D0D0D" w:themeColor="text1" w:themeTint="F2"/>
              </w:rPr>
            </w:pPr>
            <w:r w:rsidRPr="009110F7">
              <w:rPr>
                <w:color w:val="0D0D0D" w:themeColor="text1" w:themeTint="F2"/>
              </w:rPr>
              <w:t>Relativní dluh sektoru vládních institucí klesal v Česku loni rychleji než v EU. Absolutní výše dluhu se však zmírnila jen minimálně.</w:t>
            </w:r>
          </w:p>
        </w:tc>
        <w:tc>
          <w:tcPr>
            <w:tcW w:w="245" w:type="dxa"/>
            <w:shd w:val="clear" w:color="auto" w:fill="auto"/>
            <w:tcMar>
              <w:left w:w="0" w:type="dxa"/>
            </w:tcMar>
          </w:tcPr>
          <w:p w:rsidR="0093033E" w:rsidRPr="009110F7" w:rsidRDefault="0093033E" w:rsidP="00161553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24" w:type="dxa"/>
            <w:shd w:val="clear" w:color="auto" w:fill="auto"/>
            <w:tcMar>
              <w:left w:w="0" w:type="dxa"/>
            </w:tcMar>
          </w:tcPr>
          <w:p w:rsidR="0093033E" w:rsidRPr="009110F7" w:rsidRDefault="0093033E" w:rsidP="00CE62FA">
            <w:pPr>
              <w:spacing w:after="220"/>
              <w:rPr>
                <w:color w:val="0D0D0D" w:themeColor="text1" w:themeTint="F2"/>
                <w:szCs w:val="20"/>
              </w:rPr>
            </w:pPr>
            <w:r w:rsidRPr="009110F7">
              <w:rPr>
                <w:color w:val="0D0D0D" w:themeColor="text1" w:themeTint="F2"/>
                <w:szCs w:val="20"/>
              </w:rPr>
              <w:t xml:space="preserve">Dluh sektoru vládních institucí (zohledňující </w:t>
            </w:r>
            <w:r w:rsidR="00716F48" w:rsidRPr="009110F7">
              <w:rPr>
                <w:color w:val="0D0D0D" w:themeColor="text1" w:themeTint="F2"/>
                <w:szCs w:val="20"/>
              </w:rPr>
              <w:t>i </w:t>
            </w:r>
            <w:r w:rsidRPr="009110F7">
              <w:rPr>
                <w:color w:val="0D0D0D" w:themeColor="text1" w:themeTint="F2"/>
                <w:szCs w:val="20"/>
              </w:rPr>
              <w:t>hospodaření územně správních celků či zdravotních pojišťoven) dosáhl dle aktuálních dat ČSÚ na konci 4</w:t>
            </w:r>
            <w:r w:rsidR="00716F48" w:rsidRPr="009110F7">
              <w:rPr>
                <w:color w:val="0D0D0D" w:themeColor="text1" w:themeTint="F2"/>
                <w:szCs w:val="20"/>
              </w:rPr>
              <w:t>. čtvrt</w:t>
            </w:r>
            <w:r w:rsidRPr="009110F7">
              <w:rPr>
                <w:color w:val="0D0D0D" w:themeColor="text1" w:themeTint="F2"/>
                <w:szCs w:val="20"/>
              </w:rPr>
              <w:t>letí 2017</w:t>
            </w:r>
            <w:r w:rsidRPr="009110F7">
              <w:rPr>
                <w:rStyle w:val="Znakapoznpodarou"/>
                <w:color w:val="0D0D0D" w:themeColor="text1" w:themeTint="F2"/>
                <w:szCs w:val="20"/>
              </w:rPr>
              <w:footnoteReference w:id="14"/>
            </w:r>
            <w:r w:rsidRPr="009110F7">
              <w:rPr>
                <w:color w:val="0D0D0D" w:themeColor="text1" w:themeTint="F2"/>
                <w:szCs w:val="20"/>
              </w:rPr>
              <w:t xml:space="preserve"> výše </w:t>
            </w:r>
            <w:r w:rsidR="00167CB9" w:rsidRPr="009110F7">
              <w:rPr>
                <w:color w:val="0D0D0D" w:themeColor="text1" w:themeTint="F2"/>
                <w:szCs w:val="20"/>
              </w:rPr>
              <w:t>1 </w:t>
            </w:r>
            <w:r w:rsidRPr="009110F7">
              <w:rPr>
                <w:color w:val="0D0D0D" w:themeColor="text1" w:themeTint="F2"/>
                <w:szCs w:val="20"/>
              </w:rPr>
              <w:t>749</w:t>
            </w:r>
            <w:r w:rsidR="00167CB9" w:rsidRPr="009110F7">
              <w:rPr>
                <w:color w:val="0D0D0D" w:themeColor="text1" w:themeTint="F2"/>
                <w:szCs w:val="20"/>
              </w:rPr>
              <w:t> mld.</w:t>
            </w:r>
            <w:r w:rsidRPr="009110F7">
              <w:rPr>
                <w:color w:val="0D0D0D" w:themeColor="text1" w:themeTint="F2"/>
                <w:szCs w:val="20"/>
              </w:rPr>
              <w:t xml:space="preserve"> korun </w:t>
            </w:r>
            <w:r w:rsidR="00716F48" w:rsidRPr="009110F7">
              <w:rPr>
                <w:color w:val="0D0D0D" w:themeColor="text1" w:themeTint="F2"/>
                <w:szCs w:val="20"/>
              </w:rPr>
              <w:t>a </w:t>
            </w:r>
            <w:r w:rsidRPr="009110F7">
              <w:rPr>
                <w:color w:val="0D0D0D" w:themeColor="text1" w:themeTint="F2"/>
                <w:szCs w:val="20"/>
              </w:rPr>
              <w:t>ve vztahu k HDP činil 34,6</w:t>
            </w:r>
            <w:r w:rsidR="00167CB9" w:rsidRPr="009110F7">
              <w:rPr>
                <w:color w:val="0D0D0D" w:themeColor="text1" w:themeTint="F2"/>
                <w:szCs w:val="20"/>
              </w:rPr>
              <w:t> %</w:t>
            </w:r>
            <w:r w:rsidRPr="009110F7">
              <w:rPr>
                <w:color w:val="0D0D0D" w:themeColor="text1" w:themeTint="F2"/>
                <w:szCs w:val="20"/>
              </w:rPr>
              <w:t>.</w:t>
            </w:r>
            <w:r w:rsidR="00D31E1E" w:rsidRPr="009110F7">
              <w:rPr>
                <w:color w:val="0D0D0D" w:themeColor="text1" w:themeTint="F2"/>
                <w:szCs w:val="20"/>
              </w:rPr>
              <w:t xml:space="preserve"> </w:t>
            </w:r>
            <w:r w:rsidR="00716F48" w:rsidRPr="009110F7">
              <w:rPr>
                <w:color w:val="0D0D0D" w:themeColor="text1" w:themeTint="F2"/>
                <w:szCs w:val="20"/>
              </w:rPr>
              <w:t>O </w:t>
            </w:r>
            <w:r w:rsidR="00D31E1E" w:rsidRPr="009110F7">
              <w:rPr>
                <w:color w:val="0D0D0D" w:themeColor="text1" w:themeTint="F2"/>
                <w:szCs w:val="20"/>
              </w:rPr>
              <w:t>meziroční</w:t>
            </w:r>
            <w:r w:rsidRPr="009110F7">
              <w:rPr>
                <w:color w:val="0D0D0D" w:themeColor="text1" w:themeTint="F2"/>
                <w:szCs w:val="20"/>
              </w:rPr>
              <w:t xml:space="preserve"> snížení relativní zadluženosti (</w:t>
            </w:r>
            <w:r w:rsidR="00716F48" w:rsidRPr="009110F7">
              <w:rPr>
                <w:color w:val="0D0D0D" w:themeColor="text1" w:themeTint="F2"/>
                <w:szCs w:val="20"/>
              </w:rPr>
              <w:t>o </w:t>
            </w:r>
            <w:r w:rsidRPr="009110F7">
              <w:rPr>
                <w:color w:val="0D0D0D" w:themeColor="text1" w:themeTint="F2"/>
                <w:szCs w:val="20"/>
              </w:rPr>
              <w:t>2,2</w:t>
            </w:r>
            <w:r w:rsidR="00167CB9" w:rsidRPr="009110F7">
              <w:rPr>
                <w:color w:val="0D0D0D" w:themeColor="text1" w:themeTint="F2"/>
                <w:szCs w:val="20"/>
              </w:rPr>
              <w:t> p.</w:t>
            </w:r>
            <w:r w:rsidR="00451EF1">
              <w:rPr>
                <w:color w:val="0D0D0D" w:themeColor="text1" w:themeTint="F2"/>
                <w:szCs w:val="20"/>
              </w:rPr>
              <w:t> </w:t>
            </w:r>
            <w:proofErr w:type="spellStart"/>
            <w:r w:rsidRPr="009110F7">
              <w:rPr>
                <w:color w:val="0D0D0D" w:themeColor="text1" w:themeTint="F2"/>
                <w:szCs w:val="20"/>
              </w:rPr>
              <w:t>b</w:t>
            </w:r>
            <w:proofErr w:type="spellEnd"/>
            <w:r w:rsidRPr="009110F7">
              <w:rPr>
                <w:color w:val="0D0D0D" w:themeColor="text1" w:themeTint="F2"/>
                <w:szCs w:val="20"/>
              </w:rPr>
              <w:t xml:space="preserve">.) se téměř výhradně zasloužil svižný růst HDP, neboť absolutní výše dluhu poklesla jen </w:t>
            </w:r>
            <w:r w:rsidR="00716F48" w:rsidRPr="009110F7">
              <w:rPr>
                <w:color w:val="0D0D0D" w:themeColor="text1" w:themeTint="F2"/>
                <w:szCs w:val="20"/>
              </w:rPr>
              <w:t>o </w:t>
            </w:r>
            <w:r w:rsidRPr="009110F7">
              <w:rPr>
                <w:color w:val="0D0D0D" w:themeColor="text1" w:themeTint="F2"/>
                <w:szCs w:val="20"/>
              </w:rPr>
              <w:t>5,7</w:t>
            </w:r>
            <w:r w:rsidR="00167CB9" w:rsidRPr="009110F7">
              <w:rPr>
                <w:color w:val="0D0D0D" w:themeColor="text1" w:themeTint="F2"/>
                <w:szCs w:val="20"/>
              </w:rPr>
              <w:t> mld.</w:t>
            </w:r>
            <w:r w:rsidRPr="009110F7">
              <w:rPr>
                <w:color w:val="0D0D0D" w:themeColor="text1" w:themeTint="F2"/>
                <w:szCs w:val="20"/>
              </w:rPr>
              <w:t xml:space="preserve"> korun. Na konci roku 2017 držela ČR pozici čtvrté nejméně zadlužené země EU. Lépe na tom byly jen Estonsko (9 </w:t>
            </w:r>
            <w:r w:rsidR="00D31E1E" w:rsidRPr="009110F7">
              <w:rPr>
                <w:color w:val="0D0D0D" w:themeColor="text1" w:themeTint="F2"/>
                <w:szCs w:val="20"/>
              </w:rPr>
              <w:t>%)</w:t>
            </w:r>
            <w:r w:rsidRPr="009110F7">
              <w:rPr>
                <w:color w:val="0D0D0D" w:themeColor="text1" w:themeTint="F2"/>
                <w:szCs w:val="20"/>
              </w:rPr>
              <w:t>, Lucembursko (23</w:t>
            </w:r>
            <w:r w:rsidR="00167CB9" w:rsidRPr="009110F7">
              <w:rPr>
                <w:color w:val="0D0D0D" w:themeColor="text1" w:themeTint="F2"/>
                <w:szCs w:val="20"/>
              </w:rPr>
              <w:t> %</w:t>
            </w:r>
            <w:r w:rsidRPr="009110F7">
              <w:rPr>
                <w:color w:val="0D0D0D" w:themeColor="text1" w:themeTint="F2"/>
                <w:szCs w:val="20"/>
              </w:rPr>
              <w:t xml:space="preserve">) </w:t>
            </w:r>
            <w:r w:rsidR="00716F48" w:rsidRPr="009110F7">
              <w:rPr>
                <w:color w:val="0D0D0D" w:themeColor="text1" w:themeTint="F2"/>
                <w:szCs w:val="20"/>
              </w:rPr>
              <w:t>a </w:t>
            </w:r>
            <w:r w:rsidRPr="009110F7">
              <w:rPr>
                <w:color w:val="0D0D0D" w:themeColor="text1" w:themeTint="F2"/>
                <w:szCs w:val="20"/>
              </w:rPr>
              <w:t>Bulharsko (25</w:t>
            </w:r>
            <w:r w:rsidR="00167CB9" w:rsidRPr="009110F7">
              <w:rPr>
                <w:color w:val="0D0D0D" w:themeColor="text1" w:themeTint="F2"/>
                <w:szCs w:val="20"/>
              </w:rPr>
              <w:t> %</w:t>
            </w:r>
            <w:r w:rsidRPr="009110F7">
              <w:rPr>
                <w:color w:val="0D0D0D" w:themeColor="text1" w:themeTint="F2"/>
                <w:szCs w:val="20"/>
              </w:rPr>
              <w:t>).</w:t>
            </w:r>
            <w:r w:rsidR="00D31E1E" w:rsidRPr="009110F7">
              <w:rPr>
                <w:color w:val="0D0D0D" w:themeColor="text1" w:themeTint="F2"/>
                <w:szCs w:val="20"/>
              </w:rPr>
              <w:t xml:space="preserve"> Zatímco během let</w:t>
            </w:r>
            <w:r w:rsidRPr="009110F7">
              <w:rPr>
                <w:color w:val="0D0D0D" w:themeColor="text1" w:themeTint="F2"/>
                <w:szCs w:val="20"/>
              </w:rPr>
              <w:t xml:space="preserve"> 2015 </w:t>
            </w:r>
            <w:r w:rsidR="00D31E1E" w:rsidRPr="009110F7">
              <w:rPr>
                <w:color w:val="0D0D0D" w:themeColor="text1" w:themeTint="F2"/>
                <w:szCs w:val="20"/>
              </w:rPr>
              <w:t>č</w:t>
            </w:r>
            <w:r w:rsidRPr="009110F7">
              <w:rPr>
                <w:color w:val="0D0D0D" w:themeColor="text1" w:themeTint="F2"/>
                <w:szCs w:val="20"/>
              </w:rPr>
              <w:t>i</w:t>
            </w:r>
            <w:r w:rsidR="00D31E1E" w:rsidRPr="009110F7">
              <w:rPr>
                <w:color w:val="0D0D0D" w:themeColor="text1" w:themeTint="F2"/>
                <w:spacing w:val="-4"/>
              </w:rPr>
              <w:t xml:space="preserve"> </w:t>
            </w:r>
            <w:r w:rsidRPr="009110F7">
              <w:rPr>
                <w:color w:val="0D0D0D" w:themeColor="text1" w:themeTint="F2"/>
                <w:szCs w:val="20"/>
              </w:rPr>
              <w:t>2016 zredukovaly svou relat</w:t>
            </w:r>
            <w:r w:rsidR="00D31E1E" w:rsidRPr="009110F7">
              <w:rPr>
                <w:color w:val="0D0D0D" w:themeColor="text1" w:themeTint="F2"/>
                <w:szCs w:val="20"/>
              </w:rPr>
              <w:t>ivní zadluženost jen</w:t>
            </w:r>
            <w:r w:rsidRPr="009110F7">
              <w:rPr>
                <w:color w:val="0D0D0D" w:themeColor="text1" w:themeTint="F2"/>
                <w:szCs w:val="20"/>
              </w:rPr>
              <w:t xml:space="preserve"> dvě třetiny států Unie, vloni se podobné nep</w:t>
            </w:r>
            <w:r w:rsidR="00D31E1E" w:rsidRPr="009110F7">
              <w:rPr>
                <w:color w:val="0D0D0D" w:themeColor="text1" w:themeTint="F2"/>
                <w:szCs w:val="20"/>
              </w:rPr>
              <w:t>ovedlo již pouze</w:t>
            </w:r>
            <w:r w:rsidRPr="009110F7">
              <w:rPr>
                <w:color w:val="0D0D0D" w:themeColor="text1" w:themeTint="F2"/>
                <w:szCs w:val="20"/>
              </w:rPr>
              <w:t xml:space="preserve"> Francii </w:t>
            </w:r>
            <w:r w:rsidR="00716F48" w:rsidRPr="009110F7">
              <w:rPr>
                <w:color w:val="0D0D0D" w:themeColor="text1" w:themeTint="F2"/>
                <w:szCs w:val="20"/>
              </w:rPr>
              <w:t>a </w:t>
            </w:r>
            <w:r w:rsidRPr="009110F7">
              <w:rPr>
                <w:color w:val="0D0D0D" w:themeColor="text1" w:themeTint="F2"/>
                <w:szCs w:val="20"/>
              </w:rPr>
              <w:t xml:space="preserve">Lucembursku. </w:t>
            </w:r>
            <w:r w:rsidR="00716F48" w:rsidRPr="009110F7">
              <w:rPr>
                <w:color w:val="0D0D0D" w:themeColor="text1" w:themeTint="F2"/>
                <w:szCs w:val="20"/>
              </w:rPr>
              <w:t>I </w:t>
            </w:r>
            <w:r w:rsidRPr="009110F7">
              <w:rPr>
                <w:color w:val="0D0D0D" w:themeColor="text1" w:themeTint="F2"/>
                <w:szCs w:val="20"/>
              </w:rPr>
              <w:t>přesto tempo poklesu zadluženosti v EU nezrychlovalo (na konci roku 2017 byl dluh 81,6</w:t>
            </w:r>
            <w:r w:rsidR="00167CB9" w:rsidRPr="009110F7">
              <w:rPr>
                <w:color w:val="0D0D0D" w:themeColor="text1" w:themeTint="F2"/>
                <w:szCs w:val="20"/>
              </w:rPr>
              <w:t> %</w:t>
            </w:r>
            <w:r w:rsidRPr="009110F7">
              <w:rPr>
                <w:color w:val="0D0D0D" w:themeColor="text1" w:themeTint="F2"/>
                <w:szCs w:val="20"/>
              </w:rPr>
              <w:t xml:space="preserve">, </w:t>
            </w:r>
            <w:r w:rsidR="00716F48" w:rsidRPr="009110F7">
              <w:rPr>
                <w:color w:val="0D0D0D" w:themeColor="text1" w:themeTint="F2"/>
                <w:szCs w:val="20"/>
              </w:rPr>
              <w:t>o </w:t>
            </w:r>
            <w:r w:rsidRPr="009110F7">
              <w:rPr>
                <w:color w:val="0D0D0D" w:themeColor="text1" w:themeTint="F2"/>
                <w:szCs w:val="20"/>
              </w:rPr>
              <w:t>rok dříve 83,3</w:t>
            </w:r>
            <w:r w:rsidR="00167CB9" w:rsidRPr="009110F7">
              <w:rPr>
                <w:color w:val="0D0D0D" w:themeColor="text1" w:themeTint="F2"/>
                <w:szCs w:val="20"/>
              </w:rPr>
              <w:t> %</w:t>
            </w:r>
            <w:r w:rsidRPr="009110F7">
              <w:rPr>
                <w:color w:val="0D0D0D" w:themeColor="text1" w:themeTint="F2"/>
                <w:szCs w:val="20"/>
              </w:rPr>
              <w:t xml:space="preserve">), neboť z nejvíce zasažených </w:t>
            </w:r>
            <w:r w:rsidR="00D31E1E" w:rsidRPr="009110F7">
              <w:rPr>
                <w:color w:val="0D0D0D" w:themeColor="text1" w:themeTint="F2"/>
                <w:szCs w:val="20"/>
              </w:rPr>
              <w:t>zemí snížily svůj dluh významněji jen Kypr a </w:t>
            </w:r>
            <w:r w:rsidRPr="009110F7">
              <w:rPr>
                <w:color w:val="0D0D0D" w:themeColor="text1" w:themeTint="F2"/>
                <w:szCs w:val="20"/>
              </w:rPr>
              <w:t xml:space="preserve">Portugalsko. Dostat se pod úroveň předkrizové zadluženosti (rok 2007) zvládla zatím jen Malta. Této úrovni se blížily Německo </w:t>
            </w:r>
            <w:r w:rsidR="00716F48" w:rsidRPr="009110F7">
              <w:rPr>
                <w:color w:val="0D0D0D" w:themeColor="text1" w:themeTint="F2"/>
                <w:szCs w:val="20"/>
              </w:rPr>
              <w:t>a </w:t>
            </w:r>
            <w:r w:rsidRPr="009110F7">
              <w:rPr>
                <w:color w:val="0D0D0D" w:themeColor="text1" w:themeTint="F2"/>
                <w:szCs w:val="20"/>
              </w:rPr>
              <w:t>Švédsko</w:t>
            </w:r>
            <w:r w:rsidR="0099182E" w:rsidRPr="009110F7">
              <w:rPr>
                <w:color w:val="0D0D0D" w:themeColor="text1" w:themeTint="F2"/>
                <w:szCs w:val="20"/>
              </w:rPr>
              <w:t>, Česko</w:t>
            </w:r>
            <w:r w:rsidR="00D31E1E" w:rsidRPr="009110F7">
              <w:rPr>
                <w:color w:val="0D0D0D" w:themeColor="text1" w:themeTint="F2"/>
                <w:szCs w:val="20"/>
              </w:rPr>
              <w:t xml:space="preserve"> za ní </w:t>
            </w:r>
            <w:r w:rsidR="00716F48" w:rsidRPr="009110F7">
              <w:rPr>
                <w:color w:val="0D0D0D" w:themeColor="text1" w:themeTint="F2"/>
                <w:szCs w:val="20"/>
              </w:rPr>
              <w:t>o </w:t>
            </w:r>
            <w:r w:rsidR="00D31E1E" w:rsidRPr="009110F7">
              <w:rPr>
                <w:color w:val="0D0D0D" w:themeColor="text1" w:themeTint="F2"/>
                <w:szCs w:val="20"/>
              </w:rPr>
              <w:t>7</w:t>
            </w:r>
            <w:r w:rsidR="00167CB9" w:rsidRPr="009110F7">
              <w:rPr>
                <w:color w:val="0D0D0D" w:themeColor="text1" w:themeTint="F2"/>
                <w:szCs w:val="20"/>
              </w:rPr>
              <w:t> p. </w:t>
            </w:r>
            <w:proofErr w:type="spellStart"/>
            <w:r w:rsidR="00167CB9" w:rsidRPr="009110F7">
              <w:rPr>
                <w:color w:val="0D0D0D" w:themeColor="text1" w:themeTint="F2"/>
                <w:szCs w:val="20"/>
              </w:rPr>
              <w:t>b</w:t>
            </w:r>
            <w:proofErr w:type="spellEnd"/>
            <w:r w:rsidR="00167CB9" w:rsidRPr="009110F7">
              <w:rPr>
                <w:color w:val="0D0D0D" w:themeColor="text1" w:themeTint="F2"/>
                <w:szCs w:val="20"/>
              </w:rPr>
              <w:t>.</w:t>
            </w:r>
            <w:r w:rsidR="0099182E" w:rsidRPr="009110F7">
              <w:rPr>
                <w:color w:val="0D0D0D" w:themeColor="text1" w:themeTint="F2"/>
                <w:szCs w:val="20"/>
              </w:rPr>
              <w:t xml:space="preserve"> </w:t>
            </w:r>
            <w:proofErr w:type="gramStart"/>
            <w:r w:rsidR="0099182E" w:rsidRPr="009110F7">
              <w:rPr>
                <w:color w:val="0D0D0D" w:themeColor="text1" w:themeTint="F2"/>
                <w:szCs w:val="20"/>
              </w:rPr>
              <w:t>za</w:t>
            </w:r>
            <w:r w:rsidR="00D31E1E" w:rsidRPr="009110F7">
              <w:rPr>
                <w:color w:val="0D0D0D" w:themeColor="text1" w:themeTint="F2"/>
                <w:szCs w:val="20"/>
              </w:rPr>
              <w:t>o</w:t>
            </w:r>
            <w:r w:rsidR="0099182E" w:rsidRPr="009110F7">
              <w:rPr>
                <w:color w:val="0D0D0D" w:themeColor="text1" w:themeTint="F2"/>
                <w:szCs w:val="20"/>
              </w:rPr>
              <w:t>stávalo</w:t>
            </w:r>
            <w:proofErr w:type="gramEnd"/>
            <w:r w:rsidR="00D31E1E" w:rsidRPr="009110F7">
              <w:rPr>
                <w:color w:val="0D0D0D" w:themeColor="text1" w:themeTint="F2"/>
                <w:szCs w:val="20"/>
              </w:rPr>
              <w:t>.</w:t>
            </w:r>
          </w:p>
        </w:tc>
      </w:tr>
      <w:tr w:rsidR="0093033E" w:rsidRPr="009110F7" w:rsidTr="00676D76">
        <w:trPr>
          <w:trHeight w:val="145"/>
        </w:trPr>
        <w:tc>
          <w:tcPr>
            <w:tcW w:w="1870" w:type="dxa"/>
            <w:shd w:val="clear" w:color="auto" w:fill="auto"/>
            <w:tcMar>
              <w:left w:w="0" w:type="dxa"/>
            </w:tcMar>
          </w:tcPr>
          <w:p w:rsidR="0093033E" w:rsidRPr="009110F7" w:rsidRDefault="0093033E" w:rsidP="00161553">
            <w:pPr>
              <w:pStyle w:val="Marginlie"/>
              <w:rPr>
                <w:color w:val="0D0D0D" w:themeColor="text1" w:themeTint="F2"/>
              </w:rPr>
            </w:pPr>
            <w:r w:rsidRPr="009110F7">
              <w:rPr>
                <w:color w:val="0D0D0D" w:themeColor="text1" w:themeTint="F2"/>
              </w:rPr>
              <w:t>Sektor vládních institucí dosáhl loni již podruhé v řadě přebytku. Ten byl ve vztahu k HDP nejlepší v historii sledování.</w:t>
            </w:r>
          </w:p>
        </w:tc>
        <w:tc>
          <w:tcPr>
            <w:tcW w:w="245" w:type="dxa"/>
            <w:shd w:val="clear" w:color="auto" w:fill="auto"/>
            <w:tcMar>
              <w:left w:w="0" w:type="dxa"/>
            </w:tcMar>
          </w:tcPr>
          <w:p w:rsidR="0093033E" w:rsidRPr="009110F7" w:rsidRDefault="0093033E" w:rsidP="00161553">
            <w:pPr>
              <w:pStyle w:val="Textpoznpodarou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524" w:type="dxa"/>
            <w:shd w:val="clear" w:color="auto" w:fill="auto"/>
            <w:tcMar>
              <w:left w:w="0" w:type="dxa"/>
            </w:tcMar>
          </w:tcPr>
          <w:p w:rsidR="0093033E" w:rsidRPr="009110F7" w:rsidRDefault="0093033E" w:rsidP="00161553">
            <w:pPr>
              <w:spacing w:after="0"/>
              <w:rPr>
                <w:color w:val="0D0D0D" w:themeColor="text1" w:themeTint="F2"/>
                <w:szCs w:val="20"/>
              </w:rPr>
            </w:pPr>
            <w:r w:rsidRPr="009110F7">
              <w:rPr>
                <w:color w:val="0D0D0D" w:themeColor="text1" w:themeTint="F2"/>
                <w:szCs w:val="20"/>
              </w:rPr>
              <w:t>Sektor vládních institucí v ČR loni vykázal (v </w:t>
            </w:r>
            <w:proofErr w:type="spellStart"/>
            <w:r w:rsidRPr="009110F7">
              <w:rPr>
                <w:color w:val="0D0D0D" w:themeColor="text1" w:themeTint="F2"/>
                <w:szCs w:val="20"/>
              </w:rPr>
              <w:t>ak</w:t>
            </w:r>
            <w:r w:rsidR="004B756A">
              <w:rPr>
                <w:color w:val="0D0D0D" w:themeColor="text1" w:themeTint="F2"/>
                <w:szCs w:val="20"/>
              </w:rPr>
              <w:t>r</w:t>
            </w:r>
            <w:r w:rsidRPr="009110F7">
              <w:rPr>
                <w:color w:val="0D0D0D" w:themeColor="text1" w:themeTint="F2"/>
                <w:szCs w:val="20"/>
              </w:rPr>
              <w:t>ualizovaném</w:t>
            </w:r>
            <w:proofErr w:type="spellEnd"/>
            <w:r w:rsidRPr="009110F7">
              <w:rPr>
                <w:color w:val="0D0D0D" w:themeColor="text1" w:themeTint="F2"/>
                <w:szCs w:val="20"/>
              </w:rPr>
              <w:t xml:space="preserve"> vyjádření)</w:t>
            </w:r>
            <w:r w:rsidRPr="009110F7">
              <w:rPr>
                <w:rStyle w:val="Znakapoznpodarou"/>
                <w:color w:val="0D0D0D" w:themeColor="text1" w:themeTint="F2"/>
                <w:szCs w:val="20"/>
              </w:rPr>
              <w:footnoteReference w:id="15"/>
            </w:r>
            <w:r w:rsidRPr="009110F7">
              <w:rPr>
                <w:color w:val="0D0D0D" w:themeColor="text1" w:themeTint="F2"/>
                <w:szCs w:val="20"/>
              </w:rPr>
              <w:t xml:space="preserve"> přebytek 1,6</w:t>
            </w:r>
            <w:r w:rsidR="00167CB9" w:rsidRPr="009110F7">
              <w:rPr>
                <w:color w:val="0D0D0D" w:themeColor="text1" w:themeTint="F2"/>
                <w:szCs w:val="20"/>
              </w:rPr>
              <w:t> %</w:t>
            </w:r>
            <w:r w:rsidRPr="009110F7">
              <w:rPr>
                <w:color w:val="0D0D0D" w:themeColor="text1" w:themeTint="F2"/>
                <w:szCs w:val="20"/>
              </w:rPr>
              <w:t xml:space="preserve"> HDP</w:t>
            </w:r>
            <w:r w:rsidRPr="009110F7">
              <w:rPr>
                <w:rStyle w:val="Znakapoznpodarou"/>
                <w:color w:val="0D0D0D" w:themeColor="text1" w:themeTint="F2"/>
                <w:szCs w:val="20"/>
              </w:rPr>
              <w:footnoteReference w:id="16"/>
            </w:r>
            <w:r w:rsidRPr="009110F7">
              <w:rPr>
                <w:color w:val="0D0D0D" w:themeColor="text1" w:themeTint="F2"/>
                <w:szCs w:val="20"/>
              </w:rPr>
              <w:t xml:space="preserve">. Kladného salda hospodaření dosáhly všechny vládní </w:t>
            </w:r>
            <w:proofErr w:type="spellStart"/>
            <w:r w:rsidRPr="009110F7">
              <w:rPr>
                <w:color w:val="0D0D0D" w:themeColor="text1" w:themeTint="F2"/>
                <w:szCs w:val="20"/>
              </w:rPr>
              <w:t>subsektory</w:t>
            </w:r>
            <w:proofErr w:type="spellEnd"/>
            <w:r w:rsidRPr="009110F7">
              <w:rPr>
                <w:color w:val="0D0D0D" w:themeColor="text1" w:themeTint="F2"/>
                <w:szCs w:val="20"/>
              </w:rPr>
              <w:t>. K růstu celkového salda nejvíce přispěly ústřední vládní instituce, které docílily poprvé v historii sledování (od roku 1995) přebytku (</w:t>
            </w:r>
            <w:r w:rsidR="00047D54" w:rsidRPr="009110F7">
              <w:rPr>
                <w:color w:val="0D0D0D" w:themeColor="text1" w:themeTint="F2"/>
                <w:szCs w:val="20"/>
              </w:rPr>
              <w:t xml:space="preserve">ve výši </w:t>
            </w:r>
            <w:r w:rsidRPr="009110F7">
              <w:rPr>
                <w:color w:val="0D0D0D" w:themeColor="text1" w:themeTint="F2"/>
                <w:szCs w:val="20"/>
              </w:rPr>
              <w:t>30</w:t>
            </w:r>
            <w:r w:rsidR="00167CB9" w:rsidRPr="009110F7">
              <w:rPr>
                <w:color w:val="0D0D0D" w:themeColor="text1" w:themeTint="F2"/>
                <w:szCs w:val="20"/>
              </w:rPr>
              <w:t> mld.</w:t>
            </w:r>
            <w:r w:rsidRPr="009110F7">
              <w:rPr>
                <w:color w:val="0D0D0D" w:themeColor="text1" w:themeTint="F2"/>
                <w:szCs w:val="20"/>
              </w:rPr>
              <w:t xml:space="preserve"> korun).</w:t>
            </w:r>
          </w:p>
        </w:tc>
      </w:tr>
    </w:tbl>
    <w:p w:rsidR="00A50D73" w:rsidRPr="009110F7" w:rsidRDefault="00A50D73" w:rsidP="00E1444C">
      <w:pPr>
        <w:rPr>
          <w:sz w:val="2"/>
          <w:szCs w:val="2"/>
        </w:rPr>
      </w:pPr>
    </w:p>
    <w:sectPr w:rsidR="00A50D73" w:rsidRPr="009110F7" w:rsidSect="00F76FE2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1134" w:right="1134" w:bottom="1418" w:left="1134" w:header="680" w:footer="680" w:gutter="0"/>
      <w:pgNumType w:start="26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E9A2AB5" w15:done="0"/>
  <w15:commentEx w15:paraId="6B652B08" w15:done="0"/>
  <w15:commentEx w15:paraId="3F7CEACF" w15:done="0"/>
  <w15:commentEx w15:paraId="63CE648C" w15:done="0"/>
  <w15:commentEx w15:paraId="23A24FDD" w15:done="0"/>
  <w15:commentEx w15:paraId="50CD0878" w15:done="0"/>
  <w15:commentEx w15:paraId="52F35228" w15:done="0"/>
  <w15:commentEx w15:paraId="7A77491F" w15:done="0"/>
  <w15:commentEx w15:paraId="4E0D4B3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9A2AB5" w16cid:durableId="1ECFA4FD"/>
  <w16cid:commentId w16cid:paraId="6B652B08" w16cid:durableId="1ECFA85B"/>
  <w16cid:commentId w16cid:paraId="3F7CEACF" w16cid:durableId="1ED155AF"/>
  <w16cid:commentId w16cid:paraId="63CE648C" w16cid:durableId="1ED21B60"/>
  <w16cid:commentId w16cid:paraId="23A24FDD" w16cid:durableId="1ED22580"/>
  <w16cid:commentId w16cid:paraId="50CD0878" w16cid:durableId="1ED23FB5"/>
  <w16cid:commentId w16cid:paraId="52F35228" w16cid:durableId="1ED248CC"/>
  <w16cid:commentId w16cid:paraId="7A77491F" w16cid:durableId="1ED25A84"/>
  <w16cid:commentId w16cid:paraId="4E0D4B34" w16cid:durableId="1ED24E3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260" w:rsidRDefault="00164260" w:rsidP="00E71A58">
      <w:r>
        <w:separator/>
      </w:r>
    </w:p>
  </w:endnote>
  <w:endnote w:type="continuationSeparator" w:id="0">
    <w:p w:rsidR="00164260" w:rsidRDefault="00164260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E52" w:rsidRPr="00932443" w:rsidRDefault="00583E52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5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A3C6B"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="008A3C6B" w:rsidRPr="00932443">
      <w:rPr>
        <w:szCs w:val="16"/>
      </w:rPr>
      <w:fldChar w:fldCharType="separate"/>
    </w:r>
    <w:r w:rsidR="00F76FE2">
      <w:rPr>
        <w:szCs w:val="16"/>
      </w:rPr>
      <w:t>26</w:t>
    </w:r>
    <w:r w:rsidR="008A3C6B" w:rsidRPr="00932443">
      <w:rPr>
        <w:szCs w:val="16"/>
      </w:rPr>
      <w:fldChar w:fldCharType="end"/>
    </w:r>
    <w:r w:rsidRPr="00932443">
      <w:rPr>
        <w:szCs w:val="16"/>
      </w:rPr>
      <w:tab/>
    </w:r>
    <w:r>
      <w:t>1. čtvrtletí 2018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E52" w:rsidRPr="00932443" w:rsidRDefault="00583E52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6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>
      <w:t>1. čtvrtletí 2018</w:t>
    </w:r>
    <w:r w:rsidRPr="00932443">
      <w:rPr>
        <w:szCs w:val="16"/>
      </w:rPr>
      <w:tab/>
    </w:r>
    <w:r w:rsidR="008A3C6B"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="008A3C6B" w:rsidRPr="00932443">
      <w:rPr>
        <w:rStyle w:val="ZpatChar"/>
        <w:szCs w:val="16"/>
      </w:rPr>
      <w:fldChar w:fldCharType="separate"/>
    </w:r>
    <w:r w:rsidR="00F76FE2">
      <w:rPr>
        <w:rStyle w:val="ZpatChar"/>
        <w:szCs w:val="16"/>
      </w:rPr>
      <w:t>27</w:t>
    </w:r>
    <w:r w:rsidR="008A3C6B"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260" w:rsidRDefault="00164260" w:rsidP="00E71A58">
      <w:r>
        <w:separator/>
      </w:r>
    </w:p>
  </w:footnote>
  <w:footnote w:type="continuationSeparator" w:id="0">
    <w:p w:rsidR="00164260" w:rsidRDefault="00164260" w:rsidP="00E71A58">
      <w:r>
        <w:continuationSeparator/>
      </w:r>
    </w:p>
  </w:footnote>
  <w:footnote w:id="1">
    <w:p w:rsidR="00583E52" w:rsidRPr="00D72076" w:rsidRDefault="00583E52" w:rsidP="00965797">
      <w:pPr>
        <w:pStyle w:val="Textpoznpodarou"/>
        <w:jc w:val="both"/>
        <w:rPr>
          <w:sz w:val="16"/>
          <w:szCs w:val="16"/>
        </w:rPr>
      </w:pPr>
      <w:r w:rsidRPr="00D72076">
        <w:rPr>
          <w:rStyle w:val="Znakapoznpodarou"/>
          <w:sz w:val="16"/>
          <w:szCs w:val="16"/>
        </w:rPr>
        <w:footnoteRef/>
      </w:r>
      <w:r w:rsidRPr="00D72076">
        <w:rPr>
          <w:sz w:val="16"/>
          <w:szCs w:val="16"/>
        </w:rPr>
        <w:t xml:space="preserve"> </w:t>
      </w:r>
      <w:r w:rsidRPr="00D72076">
        <w:rPr>
          <w:color w:val="0D0D0D" w:themeColor="text1" w:themeTint="F2"/>
          <w:spacing w:val="-2"/>
          <w:sz w:val="16"/>
          <w:szCs w:val="16"/>
        </w:rPr>
        <w:t xml:space="preserve">Pokud není uvedeno jinak, vycházejí všechny údaje týkající se státního rozpočtu </w:t>
      </w:r>
      <w:r w:rsidRPr="00D72076">
        <w:rPr>
          <w:rFonts w:cs="Arial"/>
          <w:color w:val="0D0D0D" w:themeColor="text1" w:themeTint="F2"/>
          <w:spacing w:val="-2"/>
          <w:sz w:val="16"/>
          <w:szCs w:val="16"/>
        </w:rPr>
        <w:t>z dat Ministerstva financí o pokladním plnění.</w:t>
      </w:r>
    </w:p>
  </w:footnote>
  <w:footnote w:id="2">
    <w:p w:rsidR="00583E52" w:rsidRPr="00D72076" w:rsidRDefault="00583E52" w:rsidP="00965797">
      <w:pPr>
        <w:pStyle w:val="Textpoznpodarou"/>
        <w:jc w:val="both"/>
        <w:rPr>
          <w:sz w:val="16"/>
          <w:szCs w:val="16"/>
        </w:rPr>
      </w:pPr>
      <w:r w:rsidRPr="00D72076">
        <w:rPr>
          <w:rStyle w:val="Znakapoznpodarou"/>
          <w:sz w:val="16"/>
          <w:szCs w:val="16"/>
        </w:rPr>
        <w:footnoteRef/>
      </w:r>
      <w:r w:rsidRPr="00D72076">
        <w:rPr>
          <w:sz w:val="16"/>
          <w:szCs w:val="16"/>
        </w:rPr>
        <w:t xml:space="preserve"> Z nejaktuálnějších údajů za prvních pět měsíců roku 2018 ale vyplynulo, že výsledek hospodaření SR skončil v tomto období schodkem ve výši 23,1 mld. korun, jenž byl nejhlubším za posledních pět let.</w:t>
      </w:r>
    </w:p>
  </w:footnote>
  <w:footnote w:id="3">
    <w:p w:rsidR="00583E52" w:rsidRPr="00D72076" w:rsidRDefault="00583E52" w:rsidP="00965797">
      <w:pPr>
        <w:pStyle w:val="Textpoznpodarou"/>
        <w:jc w:val="both"/>
      </w:pPr>
      <w:r w:rsidRPr="00D72076">
        <w:rPr>
          <w:rStyle w:val="Znakapoznpodarou"/>
          <w:sz w:val="16"/>
          <w:szCs w:val="16"/>
        </w:rPr>
        <w:footnoteRef/>
      </w:r>
      <w:r w:rsidRPr="00D72076">
        <w:rPr>
          <w:sz w:val="16"/>
          <w:szCs w:val="16"/>
        </w:rPr>
        <w:t xml:space="preserve"> Z propočtů MF ČR vyplývá, že </w:t>
      </w:r>
      <w:r w:rsidRPr="00D72076">
        <w:rPr>
          <w:color w:val="0D0D0D" w:themeColor="text1" w:themeTint="F2"/>
          <w:spacing w:val="-2"/>
          <w:sz w:val="16"/>
          <w:szCs w:val="16"/>
        </w:rPr>
        <w:t>SR očištěný na příjmové i výdajové straně</w:t>
      </w:r>
      <w:r w:rsidRPr="00D72076">
        <w:rPr>
          <w:rStyle w:val="Zvraznn"/>
          <w:i w:val="0"/>
          <w:color w:val="0D0D0D" w:themeColor="text1" w:themeTint="F2"/>
          <w:spacing w:val="-2"/>
          <w:sz w:val="16"/>
          <w:szCs w:val="16"/>
        </w:rPr>
        <w:t xml:space="preserve"> o prostředky na programy z rozpočtu EU a Finančních mechanismů (EHP a Norské fondy, Program švýcarsko-české spolupráce) by v 1. čtvrtletí 2018 dosáhl schodku 5,3 mld. korun (o rok dříve by deficit činil 4,6 mld.).</w:t>
      </w:r>
    </w:p>
  </w:footnote>
  <w:footnote w:id="4">
    <w:p w:rsidR="00583E52" w:rsidRPr="00D468A8" w:rsidRDefault="00583E52" w:rsidP="00965797">
      <w:pPr>
        <w:pStyle w:val="Textpoznpodarou"/>
        <w:jc w:val="both"/>
        <w:rPr>
          <w:sz w:val="16"/>
          <w:szCs w:val="16"/>
        </w:rPr>
      </w:pPr>
      <w:r w:rsidRPr="00D72076">
        <w:rPr>
          <w:rStyle w:val="Znakapoznpodarou"/>
          <w:sz w:val="16"/>
          <w:szCs w:val="16"/>
        </w:rPr>
        <w:footnoteRef/>
      </w:r>
      <w:r w:rsidRPr="00D72076">
        <w:rPr>
          <w:sz w:val="16"/>
          <w:szCs w:val="16"/>
        </w:rPr>
        <w:t xml:space="preserve"> Jednalo se o vliv inkasa ve výši 20,0 mld. Kč, které představovalo část závěrečných plateb vztahujících se k programovému období 2007–2013. Bez této mimořádné platby by byl objem přijatých prostředků z rozpočtu EU (vč. FM) v 1. čtvrtletí 2018 meziročně o 2,6 mld. korun (resp. o 9,7 %) slabší.</w:t>
      </w:r>
    </w:p>
  </w:footnote>
  <w:footnote w:id="5">
    <w:p w:rsidR="00583E52" w:rsidRPr="003D7302" w:rsidRDefault="00583E52" w:rsidP="00965797">
      <w:pPr>
        <w:pStyle w:val="Textpoznpodarou"/>
        <w:jc w:val="both"/>
        <w:rPr>
          <w:color w:val="0D0D0D" w:themeColor="text1" w:themeTint="F2"/>
          <w:spacing w:val="-2"/>
          <w:sz w:val="16"/>
          <w:szCs w:val="16"/>
        </w:rPr>
      </w:pPr>
      <w:r w:rsidRPr="003D7302">
        <w:rPr>
          <w:rStyle w:val="Znakapoznpodarou"/>
          <w:color w:val="0D0D0D" w:themeColor="text1" w:themeTint="F2"/>
          <w:spacing w:val="-2"/>
          <w:sz w:val="16"/>
          <w:szCs w:val="16"/>
        </w:rPr>
        <w:footnoteRef/>
      </w:r>
      <w:r w:rsidRPr="003D7302">
        <w:rPr>
          <w:color w:val="0D0D0D" w:themeColor="text1" w:themeTint="F2"/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Od 1. 1. 2018 vešla v platnost změna</w:t>
      </w:r>
      <w:r w:rsidRPr="003D7302">
        <w:rPr>
          <w:sz w:val="16"/>
          <w:szCs w:val="16"/>
        </w:rPr>
        <w:t xml:space="preserve"> rozpočtového určení daní</w:t>
      </w:r>
      <w:r>
        <w:rPr>
          <w:sz w:val="16"/>
          <w:szCs w:val="16"/>
        </w:rPr>
        <w:t>, která snížila</w:t>
      </w:r>
      <w:r w:rsidRPr="003D7302">
        <w:rPr>
          <w:sz w:val="16"/>
          <w:szCs w:val="16"/>
        </w:rPr>
        <w:t xml:space="preserve"> podíl státního rozpo</w:t>
      </w:r>
      <w:r>
        <w:rPr>
          <w:sz w:val="16"/>
          <w:szCs w:val="16"/>
        </w:rPr>
        <w:t>čtu na celostátním výnosu DPH z </w:t>
      </w:r>
      <w:r w:rsidRPr="003D7302">
        <w:rPr>
          <w:sz w:val="16"/>
          <w:szCs w:val="16"/>
        </w:rPr>
        <w:t>69,68</w:t>
      </w:r>
      <w:r>
        <w:rPr>
          <w:sz w:val="16"/>
          <w:szCs w:val="16"/>
        </w:rPr>
        <w:t> %</w:t>
      </w:r>
      <w:r w:rsidRPr="003D7302">
        <w:rPr>
          <w:sz w:val="16"/>
          <w:szCs w:val="16"/>
        </w:rPr>
        <w:t xml:space="preserve"> na 67,5</w:t>
      </w:r>
      <w:r>
        <w:rPr>
          <w:sz w:val="16"/>
          <w:szCs w:val="16"/>
        </w:rPr>
        <w:t> %</w:t>
      </w:r>
      <w:r w:rsidRPr="003D7302">
        <w:rPr>
          <w:sz w:val="16"/>
          <w:szCs w:val="16"/>
        </w:rPr>
        <w:t xml:space="preserve"> ve prospěch podílu obcí.</w:t>
      </w:r>
    </w:p>
  </w:footnote>
  <w:footnote w:id="6">
    <w:p w:rsidR="00583E52" w:rsidRPr="00C2521F" w:rsidRDefault="00583E52" w:rsidP="00965797">
      <w:pPr>
        <w:pStyle w:val="Textpoznpodarou"/>
        <w:jc w:val="both"/>
        <w:rPr>
          <w:sz w:val="16"/>
          <w:szCs w:val="16"/>
        </w:rPr>
      </w:pPr>
      <w:r w:rsidRPr="00C2521F">
        <w:rPr>
          <w:rStyle w:val="Znakapoznpodarou"/>
          <w:sz w:val="16"/>
          <w:szCs w:val="16"/>
        </w:rPr>
        <w:footnoteRef/>
      </w:r>
      <w:r w:rsidRPr="00C2521F">
        <w:rPr>
          <w:sz w:val="16"/>
          <w:szCs w:val="16"/>
        </w:rPr>
        <w:t xml:space="preserve"> </w:t>
      </w:r>
      <w:r>
        <w:rPr>
          <w:sz w:val="16"/>
          <w:szCs w:val="16"/>
        </w:rPr>
        <w:t>Jedná</w:t>
      </w:r>
      <w:r w:rsidRPr="00C2521F">
        <w:rPr>
          <w:sz w:val="16"/>
          <w:szCs w:val="16"/>
        </w:rPr>
        <w:t xml:space="preserve"> se především o</w:t>
      </w:r>
      <w:r>
        <w:rPr>
          <w:sz w:val="16"/>
          <w:szCs w:val="16"/>
        </w:rPr>
        <w:t> </w:t>
      </w:r>
      <w:r w:rsidRPr="00C2521F">
        <w:rPr>
          <w:sz w:val="16"/>
          <w:szCs w:val="16"/>
        </w:rPr>
        <w:t>zavedení kontrolních hlášení a</w:t>
      </w:r>
      <w:r>
        <w:rPr>
          <w:sz w:val="16"/>
          <w:szCs w:val="16"/>
        </w:rPr>
        <w:t> </w:t>
      </w:r>
      <w:r w:rsidRPr="00C2521F">
        <w:rPr>
          <w:sz w:val="16"/>
          <w:szCs w:val="16"/>
        </w:rPr>
        <w:t>elektronickou evidenci tržeb</w:t>
      </w:r>
      <w:r>
        <w:rPr>
          <w:sz w:val="16"/>
          <w:szCs w:val="16"/>
        </w:rPr>
        <w:t xml:space="preserve"> – především její druhou vlnu</w:t>
      </w:r>
      <w:r w:rsidRPr="00C2521F">
        <w:rPr>
          <w:sz w:val="16"/>
          <w:szCs w:val="16"/>
        </w:rPr>
        <w:t xml:space="preserve"> </w:t>
      </w:r>
      <w:r>
        <w:rPr>
          <w:sz w:val="16"/>
          <w:szCs w:val="16"/>
        </w:rPr>
        <w:t>účinnou</w:t>
      </w:r>
      <w:r w:rsidRPr="00C2521F">
        <w:rPr>
          <w:sz w:val="16"/>
          <w:szCs w:val="16"/>
        </w:rPr>
        <w:t xml:space="preserve"> od dubna 2017 pro </w:t>
      </w:r>
      <w:r>
        <w:rPr>
          <w:sz w:val="16"/>
          <w:szCs w:val="16"/>
        </w:rPr>
        <w:t>maloobchod, velkoobchod. V samotném dubnu 2018 tak výběr DPH již narážel na vyšší srovnávací základnu a jeho meziroční růst se p</w:t>
      </w:r>
      <w:r w:rsidR="00E03D73">
        <w:rPr>
          <w:sz w:val="16"/>
          <w:szCs w:val="16"/>
        </w:rPr>
        <w:t>o šestnácti měsících zastavil (-</w:t>
      </w:r>
      <w:r>
        <w:rPr>
          <w:sz w:val="16"/>
          <w:szCs w:val="16"/>
        </w:rPr>
        <w:t>2,6 %).</w:t>
      </w:r>
    </w:p>
  </w:footnote>
  <w:footnote w:id="7">
    <w:p w:rsidR="00583E52" w:rsidRPr="00225EF3" w:rsidRDefault="00583E52" w:rsidP="00965797">
      <w:pPr>
        <w:pStyle w:val="Textpoznpodarou"/>
        <w:jc w:val="both"/>
        <w:rPr>
          <w:sz w:val="16"/>
          <w:szCs w:val="16"/>
        </w:rPr>
      </w:pPr>
      <w:r w:rsidRPr="00225EF3">
        <w:rPr>
          <w:rStyle w:val="Znakapoznpodarou"/>
          <w:sz w:val="16"/>
          <w:szCs w:val="16"/>
        </w:rPr>
        <w:footnoteRef/>
      </w:r>
      <w:r w:rsidRPr="00225EF3">
        <w:rPr>
          <w:sz w:val="16"/>
          <w:szCs w:val="16"/>
        </w:rPr>
        <w:t xml:space="preserve"> Jde o</w:t>
      </w:r>
      <w:r>
        <w:rPr>
          <w:sz w:val="16"/>
          <w:szCs w:val="16"/>
        </w:rPr>
        <w:t> </w:t>
      </w:r>
      <w:r w:rsidRPr="00225EF3">
        <w:rPr>
          <w:sz w:val="16"/>
          <w:szCs w:val="16"/>
        </w:rPr>
        <w:t xml:space="preserve">tzv. zelenou naftu umožňující vrácení této daně pro živočišnou prvovýrobu. </w:t>
      </w:r>
      <w:r>
        <w:rPr>
          <w:sz w:val="16"/>
          <w:szCs w:val="16"/>
        </w:rPr>
        <w:t>Toto opatření</w:t>
      </w:r>
      <w:r w:rsidRPr="00225EF3">
        <w:rPr>
          <w:sz w:val="16"/>
          <w:szCs w:val="16"/>
        </w:rPr>
        <w:t xml:space="preserve"> se v letošním roce (na rozdíl od loňska) projevuje již v plné výši. </w:t>
      </w:r>
      <w:r>
        <w:rPr>
          <w:sz w:val="16"/>
          <w:szCs w:val="16"/>
        </w:rPr>
        <w:t>Naopak vliv faktoru ekonomického růstu je dobře dokumentován rostoucí spotřebou motorové nafty i leteckého petroleje (v prvních dvou měsících roku 2018 meziročně vyšší o 4,0 %, resp. 16,3 %).</w:t>
      </w:r>
    </w:p>
  </w:footnote>
  <w:footnote w:id="8">
    <w:p w:rsidR="00583E52" w:rsidRPr="00B10C90" w:rsidRDefault="00583E52" w:rsidP="00965797">
      <w:pPr>
        <w:pStyle w:val="Textpoznpodarou"/>
        <w:jc w:val="both"/>
        <w:rPr>
          <w:sz w:val="16"/>
          <w:szCs w:val="16"/>
        </w:rPr>
      </w:pPr>
      <w:r w:rsidRPr="00B10C90">
        <w:rPr>
          <w:rStyle w:val="Znakapoznpodarou"/>
          <w:sz w:val="16"/>
          <w:szCs w:val="16"/>
        </w:rPr>
        <w:footnoteRef/>
      </w:r>
      <w:r w:rsidRPr="00B10C90">
        <w:rPr>
          <w:sz w:val="16"/>
          <w:szCs w:val="16"/>
        </w:rPr>
        <w:t xml:space="preserve"> Zahrnuje z velké části jen první čtvrtletní zálohu na daň u</w:t>
      </w:r>
      <w:r>
        <w:rPr>
          <w:sz w:val="16"/>
          <w:szCs w:val="16"/>
        </w:rPr>
        <w:t> </w:t>
      </w:r>
      <w:r w:rsidRPr="00B10C90">
        <w:rPr>
          <w:sz w:val="16"/>
          <w:szCs w:val="16"/>
        </w:rPr>
        <w:t>větších plátců. Největší část objemu této daně získává SR tradičně během června, příp.</w:t>
      </w:r>
      <w:r>
        <w:rPr>
          <w:sz w:val="16"/>
          <w:szCs w:val="16"/>
        </w:rPr>
        <w:t> </w:t>
      </w:r>
      <w:r w:rsidRPr="00B10C90">
        <w:rPr>
          <w:sz w:val="16"/>
          <w:szCs w:val="16"/>
        </w:rPr>
        <w:t>července díky úhradě celoroční daně u</w:t>
      </w:r>
      <w:r>
        <w:rPr>
          <w:sz w:val="16"/>
          <w:szCs w:val="16"/>
        </w:rPr>
        <w:t> </w:t>
      </w:r>
      <w:r w:rsidRPr="00B10C90">
        <w:rPr>
          <w:sz w:val="16"/>
          <w:szCs w:val="16"/>
        </w:rPr>
        <w:t>poplatníků, kteří mají povinný audit</w:t>
      </w:r>
      <w:r w:rsidR="00E03D73">
        <w:rPr>
          <w:sz w:val="16"/>
          <w:szCs w:val="16"/>
        </w:rPr>
        <w:t>,</w:t>
      </w:r>
      <w:r w:rsidRPr="00B10C90">
        <w:rPr>
          <w:sz w:val="16"/>
          <w:szCs w:val="16"/>
        </w:rPr>
        <w:t xml:space="preserve"> nebo jim daňové přiznání zpracovává a předkládá daňový poradce.</w:t>
      </w:r>
    </w:p>
  </w:footnote>
  <w:footnote w:id="9">
    <w:p w:rsidR="00583E52" w:rsidRPr="005F5B45" w:rsidRDefault="00583E52" w:rsidP="00965797">
      <w:pPr>
        <w:pStyle w:val="Textpoznpodarou"/>
        <w:jc w:val="both"/>
        <w:rPr>
          <w:sz w:val="16"/>
          <w:szCs w:val="16"/>
        </w:rPr>
      </w:pPr>
      <w:r w:rsidRPr="005F5B45">
        <w:rPr>
          <w:rStyle w:val="Znakapoznpodarou"/>
          <w:sz w:val="16"/>
          <w:szCs w:val="16"/>
        </w:rPr>
        <w:footnoteRef/>
      </w:r>
      <w:r w:rsidRPr="005F5B45">
        <w:rPr>
          <w:sz w:val="16"/>
          <w:szCs w:val="16"/>
        </w:rPr>
        <w:t xml:space="preserve"> Za první čtyři měsíce roku 2018 se výběr </w:t>
      </w:r>
      <w:r w:rsidRPr="005F5B45">
        <w:rPr>
          <w:rFonts w:cs="Arial"/>
          <w:spacing w:val="-4"/>
          <w:sz w:val="16"/>
          <w:szCs w:val="16"/>
        </w:rPr>
        <w:t>DPFO ze samostatné výdělečné činnosti</w:t>
      </w:r>
      <w:r w:rsidRPr="005F5B45">
        <w:rPr>
          <w:sz w:val="16"/>
          <w:szCs w:val="16"/>
        </w:rPr>
        <w:t xml:space="preserve"> propadl do záporných hodnot (</w:t>
      </w:r>
      <w:r w:rsidR="00E03D73">
        <w:rPr>
          <w:sz w:val="16"/>
          <w:szCs w:val="16"/>
        </w:rPr>
        <w:t>-</w:t>
      </w:r>
      <w:r w:rsidRPr="005F5B45">
        <w:rPr>
          <w:sz w:val="16"/>
          <w:szCs w:val="16"/>
        </w:rPr>
        <w:t>2</w:t>
      </w:r>
      <w:r>
        <w:rPr>
          <w:sz w:val="16"/>
          <w:szCs w:val="16"/>
        </w:rPr>
        <w:t> mld.</w:t>
      </w:r>
      <w:r w:rsidRPr="005F5B45">
        <w:rPr>
          <w:sz w:val="16"/>
          <w:szCs w:val="16"/>
        </w:rPr>
        <w:t xml:space="preserve"> korun, o</w:t>
      </w:r>
      <w:r>
        <w:rPr>
          <w:sz w:val="16"/>
          <w:szCs w:val="16"/>
        </w:rPr>
        <w:t> </w:t>
      </w:r>
      <w:r w:rsidRPr="005F5B45">
        <w:rPr>
          <w:sz w:val="16"/>
          <w:szCs w:val="16"/>
        </w:rPr>
        <w:t xml:space="preserve">rok dříve </w:t>
      </w:r>
      <w:r w:rsidR="00E03D73">
        <w:rPr>
          <w:sz w:val="16"/>
          <w:szCs w:val="16"/>
        </w:rPr>
        <w:t>-</w:t>
      </w:r>
      <w:r w:rsidRPr="005F5B45">
        <w:rPr>
          <w:sz w:val="16"/>
          <w:szCs w:val="16"/>
        </w:rPr>
        <w:t>0,9</w:t>
      </w:r>
      <w:r>
        <w:rPr>
          <w:sz w:val="16"/>
          <w:szCs w:val="16"/>
        </w:rPr>
        <w:t> mld.</w:t>
      </w:r>
      <w:r w:rsidRPr="005F5B45">
        <w:rPr>
          <w:sz w:val="16"/>
          <w:szCs w:val="16"/>
        </w:rPr>
        <w:t>), což souviselo s pravidelným ročním zúčtováním záloh na základě podání daňových přiznání.</w:t>
      </w:r>
    </w:p>
  </w:footnote>
  <w:footnote w:id="10">
    <w:p w:rsidR="00583E52" w:rsidRPr="001E36B5" w:rsidRDefault="00583E52" w:rsidP="00965797">
      <w:pPr>
        <w:pStyle w:val="Textpoznpodarou"/>
        <w:rPr>
          <w:sz w:val="16"/>
          <w:szCs w:val="16"/>
        </w:rPr>
      </w:pPr>
      <w:r w:rsidRPr="001E36B5">
        <w:rPr>
          <w:rStyle w:val="Znakapoznpodarou"/>
          <w:sz w:val="16"/>
          <w:szCs w:val="16"/>
        </w:rPr>
        <w:footnoteRef/>
      </w:r>
      <w:r w:rsidRPr="001E36B5">
        <w:rPr>
          <w:sz w:val="16"/>
          <w:szCs w:val="16"/>
        </w:rPr>
        <w:t xml:space="preserve"> Veškeré výdaje na financování společných programů EU a</w:t>
      </w:r>
      <w:r>
        <w:rPr>
          <w:sz w:val="16"/>
          <w:szCs w:val="16"/>
        </w:rPr>
        <w:t> </w:t>
      </w:r>
      <w:r w:rsidRPr="001E36B5">
        <w:rPr>
          <w:sz w:val="16"/>
          <w:szCs w:val="16"/>
        </w:rPr>
        <w:t>ČR (v</w:t>
      </w:r>
      <w:r>
        <w:rPr>
          <w:sz w:val="16"/>
          <w:szCs w:val="16"/>
        </w:rPr>
        <w:t>č. </w:t>
      </w:r>
      <w:r w:rsidRPr="001E36B5">
        <w:rPr>
          <w:sz w:val="16"/>
          <w:szCs w:val="16"/>
        </w:rPr>
        <w:t>běžných výdajů, resp. výdajů na společnou zemědělskou politiku) dosáhly v 1</w:t>
      </w:r>
      <w:r>
        <w:rPr>
          <w:sz w:val="16"/>
          <w:szCs w:val="16"/>
        </w:rPr>
        <w:t>. čtvrt</w:t>
      </w:r>
      <w:r w:rsidRPr="001E36B5">
        <w:rPr>
          <w:sz w:val="16"/>
          <w:szCs w:val="16"/>
        </w:rPr>
        <w:t>letí 25,7 mld. korun a</w:t>
      </w:r>
      <w:r w:rsidRPr="001E36B5">
        <w:rPr>
          <w:rFonts w:cs="Arial"/>
          <w:color w:val="0D0D0D" w:themeColor="text1" w:themeTint="F2"/>
          <w:spacing w:val="-4"/>
          <w:sz w:val="16"/>
          <w:szCs w:val="16"/>
        </w:rPr>
        <w:t> </w:t>
      </w:r>
      <w:r w:rsidRPr="001E36B5">
        <w:rPr>
          <w:sz w:val="16"/>
          <w:szCs w:val="16"/>
        </w:rPr>
        <w:t>meziročně vzrostly o</w:t>
      </w:r>
      <w:r>
        <w:rPr>
          <w:sz w:val="16"/>
          <w:szCs w:val="16"/>
        </w:rPr>
        <w:t> </w:t>
      </w:r>
      <w:r w:rsidRPr="001E36B5">
        <w:rPr>
          <w:sz w:val="16"/>
          <w:szCs w:val="16"/>
        </w:rPr>
        <w:t>více než čtvrtinu.</w:t>
      </w:r>
    </w:p>
  </w:footnote>
  <w:footnote w:id="11">
    <w:p w:rsidR="00583E52" w:rsidRPr="005C64FE" w:rsidRDefault="00583E52" w:rsidP="00965797">
      <w:pPr>
        <w:pStyle w:val="Textpoznpodarou"/>
        <w:rPr>
          <w:sz w:val="16"/>
          <w:szCs w:val="16"/>
        </w:rPr>
      </w:pPr>
      <w:r w:rsidRPr="005C64FE">
        <w:rPr>
          <w:rStyle w:val="Znakapoznpodarou"/>
          <w:sz w:val="16"/>
          <w:szCs w:val="16"/>
        </w:rPr>
        <w:footnoteRef/>
      </w:r>
      <w:r w:rsidRPr="005C64FE">
        <w:rPr>
          <w:sz w:val="16"/>
          <w:szCs w:val="16"/>
        </w:rPr>
        <w:t xml:space="preserve"> Od ledna 2018 došlo ke zvýšení základní výměry důchodu o</w:t>
      </w:r>
      <w:r>
        <w:rPr>
          <w:sz w:val="16"/>
          <w:szCs w:val="16"/>
        </w:rPr>
        <w:t> </w:t>
      </w:r>
      <w:r w:rsidRPr="005C64FE">
        <w:rPr>
          <w:sz w:val="16"/>
          <w:szCs w:val="16"/>
        </w:rPr>
        <w:t>150 Kč a</w:t>
      </w:r>
      <w:r>
        <w:rPr>
          <w:sz w:val="16"/>
          <w:szCs w:val="16"/>
        </w:rPr>
        <w:t> </w:t>
      </w:r>
      <w:r w:rsidRPr="005C64FE">
        <w:rPr>
          <w:sz w:val="16"/>
          <w:szCs w:val="16"/>
        </w:rPr>
        <w:t>procentní výměry o</w:t>
      </w:r>
      <w:r>
        <w:rPr>
          <w:sz w:val="16"/>
          <w:szCs w:val="16"/>
        </w:rPr>
        <w:t> </w:t>
      </w:r>
      <w:r w:rsidRPr="005C64FE">
        <w:rPr>
          <w:sz w:val="16"/>
          <w:szCs w:val="16"/>
        </w:rPr>
        <w:t>3,5</w:t>
      </w:r>
      <w:r>
        <w:rPr>
          <w:sz w:val="16"/>
          <w:szCs w:val="16"/>
        </w:rPr>
        <w:t> %</w:t>
      </w:r>
      <w:r w:rsidRPr="005C64FE">
        <w:rPr>
          <w:sz w:val="16"/>
          <w:szCs w:val="16"/>
        </w:rPr>
        <w:t xml:space="preserve"> (tj. v</w:t>
      </w:r>
      <w:r>
        <w:rPr>
          <w:sz w:val="16"/>
          <w:szCs w:val="16"/>
        </w:rPr>
        <w:t> </w:t>
      </w:r>
      <w:r w:rsidRPr="005C64FE">
        <w:rPr>
          <w:sz w:val="16"/>
          <w:szCs w:val="16"/>
        </w:rPr>
        <w:t>průměru o</w:t>
      </w:r>
      <w:r>
        <w:rPr>
          <w:sz w:val="16"/>
          <w:szCs w:val="16"/>
        </w:rPr>
        <w:t> </w:t>
      </w:r>
      <w:r w:rsidRPr="005C64FE">
        <w:rPr>
          <w:sz w:val="16"/>
          <w:szCs w:val="16"/>
        </w:rPr>
        <w:t>475 Kč měsíčně).</w:t>
      </w:r>
    </w:p>
  </w:footnote>
  <w:footnote w:id="12">
    <w:p w:rsidR="00583E52" w:rsidRDefault="00583E52" w:rsidP="0096579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Je vyjádřeno</w:t>
      </w:r>
      <w:r w:rsidRPr="00E82336">
        <w:rPr>
          <w:sz w:val="16"/>
          <w:szCs w:val="16"/>
        </w:rPr>
        <w:t xml:space="preserve"> jako </w:t>
      </w:r>
      <w:r w:rsidRPr="00E82336">
        <w:rPr>
          <w:rFonts w:cs="Arial"/>
          <w:color w:val="000000" w:themeColor="text1"/>
          <w:spacing w:val="-4"/>
          <w:sz w:val="16"/>
          <w:szCs w:val="16"/>
        </w:rPr>
        <w:t>rozdíl mezi příjmy a</w:t>
      </w:r>
      <w:r>
        <w:rPr>
          <w:rFonts w:cs="Arial"/>
          <w:color w:val="000000" w:themeColor="text1"/>
          <w:spacing w:val="-4"/>
          <w:sz w:val="16"/>
          <w:szCs w:val="16"/>
        </w:rPr>
        <w:t> </w:t>
      </w:r>
      <w:r w:rsidRPr="00E82336">
        <w:rPr>
          <w:rFonts w:cs="Arial"/>
          <w:color w:val="000000" w:themeColor="text1"/>
          <w:spacing w:val="-4"/>
          <w:sz w:val="16"/>
          <w:szCs w:val="16"/>
        </w:rPr>
        <w:t>výdaji na důchody ze SR</w:t>
      </w:r>
      <w:r>
        <w:rPr>
          <w:rFonts w:cs="Arial"/>
          <w:color w:val="000000" w:themeColor="text1"/>
          <w:spacing w:val="-4"/>
          <w:sz w:val="16"/>
          <w:szCs w:val="16"/>
        </w:rPr>
        <w:t xml:space="preserve"> (z předběžných údajů)</w:t>
      </w:r>
      <w:r w:rsidRPr="00E82336">
        <w:rPr>
          <w:rFonts w:cs="Arial"/>
          <w:color w:val="000000" w:themeColor="text1"/>
          <w:spacing w:val="-4"/>
          <w:sz w:val="16"/>
          <w:szCs w:val="16"/>
        </w:rPr>
        <w:t>.</w:t>
      </w:r>
    </w:p>
  </w:footnote>
  <w:footnote w:id="13">
    <w:p w:rsidR="00583E52" w:rsidRDefault="00583E52" w:rsidP="0096579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A92D7D">
        <w:rPr>
          <w:rFonts w:cs="Arial"/>
          <w:color w:val="0D0D0D" w:themeColor="text1" w:themeTint="F2"/>
          <w:spacing w:val="-4"/>
          <w:sz w:val="16"/>
          <w:szCs w:val="16"/>
        </w:rPr>
        <w:t xml:space="preserve">Během 1. čtvrtletí </w:t>
      </w:r>
      <w:r>
        <w:rPr>
          <w:rFonts w:cs="Arial"/>
          <w:color w:val="0D0D0D" w:themeColor="text1" w:themeTint="F2"/>
          <w:spacing w:val="-4"/>
          <w:sz w:val="16"/>
          <w:szCs w:val="16"/>
        </w:rPr>
        <w:t xml:space="preserve">2017 dluh </w:t>
      </w:r>
      <w:r w:rsidRPr="00A92D7D">
        <w:rPr>
          <w:rFonts w:cs="Arial"/>
          <w:color w:val="0D0D0D" w:themeColor="text1" w:themeTint="F2"/>
          <w:spacing w:val="-4"/>
          <w:sz w:val="16"/>
          <w:szCs w:val="16"/>
        </w:rPr>
        <w:t>vystoupal na</w:t>
      </w:r>
      <w:r w:rsidRPr="00A92D7D">
        <w:rPr>
          <w:spacing w:val="-2"/>
          <w:sz w:val="16"/>
          <w:szCs w:val="16"/>
        </w:rPr>
        <w:t xml:space="preserve"> 1 789</w:t>
      </w:r>
      <w:r w:rsidRPr="00A92D7D">
        <w:rPr>
          <w:rFonts w:cs="Arial"/>
          <w:color w:val="0D0D0D" w:themeColor="text1" w:themeTint="F2"/>
          <w:spacing w:val="-4"/>
          <w:sz w:val="16"/>
          <w:szCs w:val="16"/>
        </w:rPr>
        <w:t> mld.</w:t>
      </w:r>
      <w:r w:rsidRPr="00A92D7D">
        <w:rPr>
          <w:spacing w:val="-2"/>
          <w:sz w:val="16"/>
          <w:szCs w:val="16"/>
        </w:rPr>
        <w:t xml:space="preserve"> korun a</w:t>
      </w:r>
      <w:r>
        <w:rPr>
          <w:spacing w:val="-2"/>
          <w:sz w:val="16"/>
          <w:szCs w:val="16"/>
        </w:rPr>
        <w:t> </w:t>
      </w:r>
      <w:r w:rsidRPr="00A92D7D">
        <w:rPr>
          <w:spacing w:val="-2"/>
          <w:sz w:val="16"/>
          <w:szCs w:val="16"/>
        </w:rPr>
        <w:t xml:space="preserve">zaznamenal nejrychlejší </w:t>
      </w:r>
      <w:proofErr w:type="spellStart"/>
      <w:r w:rsidRPr="00A92D7D">
        <w:rPr>
          <w:spacing w:val="-2"/>
          <w:sz w:val="16"/>
          <w:szCs w:val="16"/>
        </w:rPr>
        <w:t>mezičtv</w:t>
      </w:r>
      <w:r w:rsidR="00E03D73">
        <w:rPr>
          <w:spacing w:val="-2"/>
          <w:sz w:val="16"/>
          <w:szCs w:val="16"/>
        </w:rPr>
        <w:t>rtletní</w:t>
      </w:r>
      <w:proofErr w:type="spellEnd"/>
      <w:r w:rsidR="00E03D73">
        <w:rPr>
          <w:spacing w:val="-2"/>
          <w:sz w:val="16"/>
          <w:szCs w:val="16"/>
        </w:rPr>
        <w:t xml:space="preserve"> růst po roce</w:t>
      </w:r>
      <w:r w:rsidRPr="00A92D7D">
        <w:rPr>
          <w:spacing w:val="-2"/>
          <w:sz w:val="16"/>
          <w:szCs w:val="16"/>
        </w:rPr>
        <w:t xml:space="preserve"> 2010 (+</w:t>
      </w:r>
      <w:r w:rsidRPr="00A92D7D">
        <w:rPr>
          <w:rFonts w:cs="Arial"/>
          <w:spacing w:val="-2"/>
          <w:sz w:val="16"/>
          <w:szCs w:val="16"/>
        </w:rPr>
        <w:t>11 %</w:t>
      </w:r>
      <w:r w:rsidRPr="00A92D7D">
        <w:rPr>
          <w:rFonts w:cs="Arial"/>
          <w:color w:val="0D0D0D" w:themeColor="text1" w:themeTint="F2"/>
          <w:spacing w:val="-4"/>
          <w:sz w:val="16"/>
          <w:szCs w:val="16"/>
        </w:rPr>
        <w:t>)</w:t>
      </w:r>
      <w:r w:rsidRPr="00A92D7D">
        <w:rPr>
          <w:spacing w:val="-2"/>
          <w:sz w:val="16"/>
          <w:szCs w:val="16"/>
        </w:rPr>
        <w:t xml:space="preserve">. Toto krátkodobé navýšení souviselo se specifickou situací na dluhopisovém trhu vlivem očekávání spojených s ukončením </w:t>
      </w:r>
      <w:r w:rsidRPr="00A92D7D">
        <w:rPr>
          <w:color w:val="000000" w:themeColor="text1"/>
          <w:spacing w:val="-4"/>
          <w:sz w:val="16"/>
          <w:szCs w:val="16"/>
        </w:rPr>
        <w:t>režimu devizových intervencí.</w:t>
      </w:r>
    </w:p>
  </w:footnote>
  <w:footnote w:id="14">
    <w:p w:rsidR="00583E52" w:rsidRPr="002A5846" w:rsidRDefault="00583E52" w:rsidP="00161553">
      <w:pPr>
        <w:pStyle w:val="Textpoznpodarou"/>
        <w:jc w:val="both"/>
        <w:rPr>
          <w:spacing w:val="-4"/>
        </w:rPr>
      </w:pPr>
      <w:r w:rsidRPr="002A5846">
        <w:rPr>
          <w:rStyle w:val="Znakapoznpodarou"/>
          <w:spacing w:val="-4"/>
        </w:rPr>
        <w:footnoteRef/>
      </w:r>
      <w:r w:rsidRPr="002A5846">
        <w:rPr>
          <w:spacing w:val="-4"/>
        </w:rPr>
        <w:t xml:space="preserve"> </w:t>
      </w:r>
      <w:r w:rsidRPr="002A5846">
        <w:rPr>
          <w:color w:val="0D0D0D" w:themeColor="text1" w:themeTint="F2"/>
          <w:spacing w:val="-4"/>
          <w:sz w:val="16"/>
          <w:szCs w:val="16"/>
        </w:rPr>
        <w:t>Předběžné údaje o</w:t>
      </w:r>
      <w:r>
        <w:rPr>
          <w:color w:val="0D0D0D" w:themeColor="text1" w:themeTint="F2"/>
          <w:spacing w:val="-4"/>
          <w:sz w:val="16"/>
          <w:szCs w:val="16"/>
        </w:rPr>
        <w:t> </w:t>
      </w:r>
      <w:r w:rsidRPr="002A5846">
        <w:rPr>
          <w:color w:val="0D0D0D" w:themeColor="text1" w:themeTint="F2"/>
          <w:spacing w:val="-4"/>
          <w:sz w:val="16"/>
          <w:szCs w:val="16"/>
        </w:rPr>
        <w:t>dluhu a</w:t>
      </w:r>
      <w:r>
        <w:rPr>
          <w:color w:val="0D0D0D" w:themeColor="text1" w:themeTint="F2"/>
          <w:spacing w:val="-4"/>
          <w:sz w:val="16"/>
          <w:szCs w:val="16"/>
        </w:rPr>
        <w:t> </w:t>
      </w:r>
      <w:r w:rsidRPr="002A5846">
        <w:rPr>
          <w:color w:val="0D0D0D" w:themeColor="text1" w:themeTint="F2"/>
          <w:spacing w:val="-4"/>
          <w:sz w:val="16"/>
          <w:szCs w:val="16"/>
        </w:rPr>
        <w:t>deficitu sektoru vládních institucí za 1</w:t>
      </w:r>
      <w:r>
        <w:rPr>
          <w:color w:val="0D0D0D" w:themeColor="text1" w:themeTint="F2"/>
          <w:spacing w:val="-4"/>
          <w:sz w:val="16"/>
          <w:szCs w:val="16"/>
        </w:rPr>
        <w:t>. čtvrt</w:t>
      </w:r>
      <w:r w:rsidRPr="002A5846">
        <w:rPr>
          <w:color w:val="0D0D0D" w:themeColor="text1" w:themeTint="F2"/>
          <w:spacing w:val="-4"/>
          <w:sz w:val="16"/>
          <w:szCs w:val="16"/>
        </w:rPr>
        <w:t>letí 2018 zveřejní ČSÚ 2</w:t>
      </w:r>
      <w:r>
        <w:rPr>
          <w:color w:val="0D0D0D" w:themeColor="text1" w:themeTint="F2"/>
          <w:spacing w:val="-4"/>
          <w:sz w:val="16"/>
          <w:szCs w:val="16"/>
        </w:rPr>
        <w:t>. </w:t>
      </w:r>
      <w:r w:rsidRPr="002A5846">
        <w:rPr>
          <w:color w:val="0D0D0D" w:themeColor="text1" w:themeTint="F2"/>
          <w:spacing w:val="-4"/>
          <w:sz w:val="16"/>
          <w:szCs w:val="16"/>
        </w:rPr>
        <w:t xml:space="preserve">července 2018, </w:t>
      </w:r>
      <w:proofErr w:type="spellStart"/>
      <w:r w:rsidRPr="002A5846">
        <w:rPr>
          <w:color w:val="0D0D0D" w:themeColor="text1" w:themeTint="F2"/>
          <w:spacing w:val="-4"/>
          <w:sz w:val="16"/>
          <w:szCs w:val="16"/>
        </w:rPr>
        <w:t>Eurostat</w:t>
      </w:r>
      <w:proofErr w:type="spellEnd"/>
      <w:r w:rsidRPr="002A5846">
        <w:rPr>
          <w:color w:val="0D0D0D" w:themeColor="text1" w:themeTint="F2"/>
          <w:spacing w:val="-4"/>
          <w:sz w:val="16"/>
          <w:szCs w:val="16"/>
        </w:rPr>
        <w:t xml:space="preserve"> 20. července 2018.</w:t>
      </w:r>
    </w:p>
  </w:footnote>
  <w:footnote w:id="15">
    <w:p w:rsidR="00583E52" w:rsidRPr="001D22C2" w:rsidRDefault="00583E52" w:rsidP="00161553">
      <w:pPr>
        <w:pStyle w:val="Textpoznpodarou"/>
        <w:jc w:val="both"/>
        <w:rPr>
          <w:sz w:val="16"/>
          <w:szCs w:val="16"/>
        </w:rPr>
      </w:pPr>
      <w:r w:rsidRPr="00CE62FA">
        <w:rPr>
          <w:rStyle w:val="Znakapoznpodarou"/>
        </w:rPr>
        <w:footnoteRef/>
      </w:r>
      <w:r w:rsidRPr="001D22C2">
        <w:rPr>
          <w:sz w:val="16"/>
          <w:szCs w:val="16"/>
        </w:rPr>
        <w:t xml:space="preserve"> </w:t>
      </w:r>
      <w:r w:rsidRPr="001D22C2">
        <w:rPr>
          <w:rFonts w:cs="Arial"/>
          <w:color w:val="0D0D0D" w:themeColor="text1" w:themeTint="F2"/>
          <w:sz w:val="16"/>
          <w:szCs w:val="16"/>
        </w:rPr>
        <w:t>Indikátory salda hospodaření a</w:t>
      </w:r>
      <w:r>
        <w:rPr>
          <w:rFonts w:cs="Arial"/>
          <w:color w:val="0D0D0D" w:themeColor="text1" w:themeTint="F2"/>
          <w:sz w:val="16"/>
          <w:szCs w:val="16"/>
        </w:rPr>
        <w:t> </w:t>
      </w:r>
      <w:r w:rsidRPr="001D22C2">
        <w:rPr>
          <w:rFonts w:cs="Arial"/>
          <w:color w:val="0D0D0D" w:themeColor="text1" w:themeTint="F2"/>
          <w:sz w:val="16"/>
          <w:szCs w:val="16"/>
        </w:rPr>
        <w:t>dluhu vládních institucí jsou založeny na akruálním principu. Dle něj jsou příjmy i</w:t>
      </w:r>
      <w:r>
        <w:rPr>
          <w:rFonts w:cs="Arial"/>
          <w:color w:val="0D0D0D" w:themeColor="text1" w:themeTint="F2"/>
          <w:sz w:val="16"/>
          <w:szCs w:val="16"/>
        </w:rPr>
        <w:t> </w:t>
      </w:r>
      <w:r w:rsidRPr="001D22C2">
        <w:rPr>
          <w:rFonts w:cs="Arial"/>
          <w:color w:val="0D0D0D" w:themeColor="text1" w:themeTint="F2"/>
          <w:sz w:val="16"/>
          <w:szCs w:val="16"/>
        </w:rPr>
        <w:t>výdaje přiřazeny období, se kterým věcně souvis</w:t>
      </w:r>
      <w:r>
        <w:rPr>
          <w:rFonts w:cs="Arial"/>
          <w:color w:val="0D0D0D" w:themeColor="text1" w:themeTint="F2"/>
          <w:sz w:val="16"/>
          <w:szCs w:val="16"/>
        </w:rPr>
        <w:t>ej</w:t>
      </w:r>
      <w:r w:rsidRPr="001D22C2">
        <w:rPr>
          <w:rFonts w:cs="Arial"/>
          <w:color w:val="0D0D0D" w:themeColor="text1" w:themeTint="F2"/>
          <w:sz w:val="16"/>
          <w:szCs w:val="16"/>
        </w:rPr>
        <w:t>í, tj. bez ohledu na období uskutečnění hotovostního toku (jak je tomu v případě pokladního plnění).</w:t>
      </w:r>
    </w:p>
  </w:footnote>
  <w:footnote w:id="16">
    <w:p w:rsidR="00583E52" w:rsidRPr="0063642C" w:rsidRDefault="00583E52" w:rsidP="00161553">
      <w:pPr>
        <w:pStyle w:val="Textpoznpodarou"/>
        <w:jc w:val="both"/>
        <w:rPr>
          <w:sz w:val="16"/>
          <w:szCs w:val="16"/>
        </w:rPr>
      </w:pPr>
      <w:r w:rsidRPr="00CE62FA">
        <w:rPr>
          <w:rStyle w:val="Znakapoznpodarou"/>
        </w:rPr>
        <w:footnoteRef/>
      </w:r>
      <w:r w:rsidRPr="0063642C">
        <w:rPr>
          <w:sz w:val="16"/>
          <w:szCs w:val="16"/>
        </w:rPr>
        <w:t xml:space="preserve"> Šlo o</w:t>
      </w:r>
      <w:r>
        <w:rPr>
          <w:sz w:val="16"/>
          <w:szCs w:val="16"/>
        </w:rPr>
        <w:t> </w:t>
      </w:r>
      <w:r w:rsidRPr="0063642C">
        <w:rPr>
          <w:sz w:val="16"/>
          <w:szCs w:val="16"/>
        </w:rPr>
        <w:t>tř</w:t>
      </w:r>
      <w:r>
        <w:rPr>
          <w:sz w:val="16"/>
          <w:szCs w:val="16"/>
        </w:rPr>
        <w:t>e</w:t>
      </w:r>
      <w:r w:rsidRPr="0063642C">
        <w:rPr>
          <w:sz w:val="16"/>
          <w:szCs w:val="16"/>
        </w:rPr>
        <w:t>tí nejlepší výsledek mezi státy EU</w:t>
      </w:r>
      <w:r>
        <w:rPr>
          <w:sz w:val="16"/>
          <w:szCs w:val="16"/>
        </w:rPr>
        <w:t xml:space="preserve"> (po Maltě a Kypru)</w:t>
      </w:r>
      <w:r w:rsidRPr="0063642C">
        <w:rPr>
          <w:sz w:val="16"/>
          <w:szCs w:val="16"/>
        </w:rPr>
        <w:t>. Kladného</w:t>
      </w:r>
      <w:r>
        <w:rPr>
          <w:sz w:val="16"/>
          <w:szCs w:val="16"/>
        </w:rPr>
        <w:t xml:space="preserve"> salda</w:t>
      </w:r>
      <w:r w:rsidRPr="0063642C">
        <w:rPr>
          <w:sz w:val="16"/>
          <w:szCs w:val="16"/>
        </w:rPr>
        <w:t xml:space="preserve"> hospodaření docílila vloni téměř polovina unijních členů. </w:t>
      </w:r>
      <w:r>
        <w:rPr>
          <w:sz w:val="16"/>
          <w:szCs w:val="16"/>
        </w:rPr>
        <w:t>Se schodkem přesahujícím 3 % HDP hospodařilo jen Španělsko (v roce 2016 vedle něj ještě Francie).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E52" w:rsidRPr="006F5416" w:rsidRDefault="00583E52" w:rsidP="00937AE2">
    <w:pPr>
      <w:pStyle w:val="Zhlav"/>
    </w:pPr>
    <w:r>
      <w:t xml:space="preserve">Vývoj ekonomiky České republiky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E52" w:rsidRPr="006F5416" w:rsidRDefault="00583E52" w:rsidP="00937AE2">
    <w:pPr>
      <w:pStyle w:val="Zhlav"/>
    </w:pPr>
    <w:r>
      <w:t xml:space="preserve">Vývoj ekonomiky České republiky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21"/>
  </w:num>
  <w:num w:numId="14">
    <w:abstractNumId w:val="11"/>
  </w:num>
  <w:num w:numId="15">
    <w:abstractNumId w:val="17"/>
  </w:num>
  <w:num w:numId="16">
    <w:abstractNumId w:val="13"/>
  </w:num>
  <w:num w:numId="17">
    <w:abstractNumId w:val="22"/>
  </w:num>
  <w:num w:numId="18">
    <w:abstractNumId w:val="18"/>
  </w:num>
  <w:num w:numId="19">
    <w:abstractNumId w:val="23"/>
  </w:num>
  <w:num w:numId="20">
    <w:abstractNumId w:val="24"/>
  </w:num>
  <w:num w:numId="21">
    <w:abstractNumId w:val="20"/>
  </w:num>
  <w:num w:numId="22">
    <w:abstractNumId w:val="16"/>
  </w:num>
  <w:num w:numId="23">
    <w:abstractNumId w:val="14"/>
  </w:num>
  <w:num w:numId="24">
    <w:abstractNumId w:val="15"/>
  </w:num>
  <w:num w:numId="2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lada">
    <w15:presenceInfo w15:providerId="None" w15:userId="Vlad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2290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2828"/>
    <w:rsid w:val="0000209D"/>
    <w:rsid w:val="00003F5C"/>
    <w:rsid w:val="00004D5A"/>
    <w:rsid w:val="000056D5"/>
    <w:rsid w:val="000063D5"/>
    <w:rsid w:val="00006ABD"/>
    <w:rsid w:val="0000767A"/>
    <w:rsid w:val="00010256"/>
    <w:rsid w:val="00010702"/>
    <w:rsid w:val="00011912"/>
    <w:rsid w:val="00016420"/>
    <w:rsid w:val="00017B01"/>
    <w:rsid w:val="0002195D"/>
    <w:rsid w:val="000234D6"/>
    <w:rsid w:val="00023D29"/>
    <w:rsid w:val="00026389"/>
    <w:rsid w:val="00031AE0"/>
    <w:rsid w:val="000322EF"/>
    <w:rsid w:val="00033FCD"/>
    <w:rsid w:val="00034DF7"/>
    <w:rsid w:val="00036195"/>
    <w:rsid w:val="000403A7"/>
    <w:rsid w:val="00041CEC"/>
    <w:rsid w:val="00044183"/>
    <w:rsid w:val="0004694F"/>
    <w:rsid w:val="00047D54"/>
    <w:rsid w:val="000522E4"/>
    <w:rsid w:val="00053713"/>
    <w:rsid w:val="0005434E"/>
    <w:rsid w:val="00057B1E"/>
    <w:rsid w:val="000610E1"/>
    <w:rsid w:val="00062EC5"/>
    <w:rsid w:val="00062F22"/>
    <w:rsid w:val="00063975"/>
    <w:rsid w:val="0006533F"/>
    <w:rsid w:val="00065A75"/>
    <w:rsid w:val="00070A87"/>
    <w:rsid w:val="000712B3"/>
    <w:rsid w:val="0007474E"/>
    <w:rsid w:val="0008263E"/>
    <w:rsid w:val="00082C19"/>
    <w:rsid w:val="00085395"/>
    <w:rsid w:val="00086AC1"/>
    <w:rsid w:val="00087634"/>
    <w:rsid w:val="00087F2B"/>
    <w:rsid w:val="00090694"/>
    <w:rsid w:val="000913B1"/>
    <w:rsid w:val="00094A84"/>
    <w:rsid w:val="00095025"/>
    <w:rsid w:val="00095135"/>
    <w:rsid w:val="00097191"/>
    <w:rsid w:val="000974D1"/>
    <w:rsid w:val="0009799E"/>
    <w:rsid w:val="000A1183"/>
    <w:rsid w:val="000A256D"/>
    <w:rsid w:val="000A3A2C"/>
    <w:rsid w:val="000A4A54"/>
    <w:rsid w:val="000B03CC"/>
    <w:rsid w:val="000C0EA8"/>
    <w:rsid w:val="000C3408"/>
    <w:rsid w:val="000C6AFD"/>
    <w:rsid w:val="000D3058"/>
    <w:rsid w:val="000D5637"/>
    <w:rsid w:val="000E0E96"/>
    <w:rsid w:val="000E2C7D"/>
    <w:rsid w:val="000E6253"/>
    <w:rsid w:val="000E6FBD"/>
    <w:rsid w:val="00100F5C"/>
    <w:rsid w:val="00101CDA"/>
    <w:rsid w:val="00102037"/>
    <w:rsid w:val="00103DCB"/>
    <w:rsid w:val="00104C4C"/>
    <w:rsid w:val="00112CAB"/>
    <w:rsid w:val="00117623"/>
    <w:rsid w:val="0012192F"/>
    <w:rsid w:val="00122994"/>
    <w:rsid w:val="00124B46"/>
    <w:rsid w:val="00125D69"/>
    <w:rsid w:val="0012799C"/>
    <w:rsid w:val="00130ADC"/>
    <w:rsid w:val="00130D9F"/>
    <w:rsid w:val="001405FA"/>
    <w:rsid w:val="001425C3"/>
    <w:rsid w:val="0014262D"/>
    <w:rsid w:val="001459BC"/>
    <w:rsid w:val="001554C2"/>
    <w:rsid w:val="0015753D"/>
    <w:rsid w:val="001612F4"/>
    <w:rsid w:val="00161553"/>
    <w:rsid w:val="0016256B"/>
    <w:rsid w:val="00163793"/>
    <w:rsid w:val="00164260"/>
    <w:rsid w:val="00167CB9"/>
    <w:rsid w:val="001705AD"/>
    <w:rsid w:val="001706D6"/>
    <w:rsid w:val="001714F2"/>
    <w:rsid w:val="00175B9F"/>
    <w:rsid w:val="00181BBC"/>
    <w:rsid w:val="00184017"/>
    <w:rsid w:val="00184B08"/>
    <w:rsid w:val="00185010"/>
    <w:rsid w:val="00197A70"/>
    <w:rsid w:val="00197C0F"/>
    <w:rsid w:val="001A0487"/>
    <w:rsid w:val="001A552F"/>
    <w:rsid w:val="001B2CA9"/>
    <w:rsid w:val="001B3110"/>
    <w:rsid w:val="001B3E38"/>
    <w:rsid w:val="001B4729"/>
    <w:rsid w:val="001B4F0E"/>
    <w:rsid w:val="001B6310"/>
    <w:rsid w:val="001B6C09"/>
    <w:rsid w:val="001C05CD"/>
    <w:rsid w:val="001C1B66"/>
    <w:rsid w:val="001C31A2"/>
    <w:rsid w:val="001D22C2"/>
    <w:rsid w:val="001D5DF2"/>
    <w:rsid w:val="001D68B2"/>
    <w:rsid w:val="001E504C"/>
    <w:rsid w:val="001F4597"/>
    <w:rsid w:val="00200085"/>
    <w:rsid w:val="00203CD5"/>
    <w:rsid w:val="00203D8F"/>
    <w:rsid w:val="00203DA4"/>
    <w:rsid w:val="002071D5"/>
    <w:rsid w:val="002118B9"/>
    <w:rsid w:val="00217C5B"/>
    <w:rsid w:val="0022139E"/>
    <w:rsid w:val="00222729"/>
    <w:rsid w:val="0022441D"/>
    <w:rsid w:val="002252E0"/>
    <w:rsid w:val="002255F6"/>
    <w:rsid w:val="00227850"/>
    <w:rsid w:val="00227A53"/>
    <w:rsid w:val="00230C6E"/>
    <w:rsid w:val="00233603"/>
    <w:rsid w:val="00236443"/>
    <w:rsid w:val="00241B06"/>
    <w:rsid w:val="002436BA"/>
    <w:rsid w:val="00244A15"/>
    <w:rsid w:val="002452D9"/>
    <w:rsid w:val="00247319"/>
    <w:rsid w:val="0024799E"/>
    <w:rsid w:val="00253C0F"/>
    <w:rsid w:val="002558C1"/>
    <w:rsid w:val="00256207"/>
    <w:rsid w:val="002603E1"/>
    <w:rsid w:val="0026291D"/>
    <w:rsid w:val="00271022"/>
    <w:rsid w:val="00271465"/>
    <w:rsid w:val="00272DF4"/>
    <w:rsid w:val="0027583D"/>
    <w:rsid w:val="00275DEF"/>
    <w:rsid w:val="002812E3"/>
    <w:rsid w:val="002837AE"/>
    <w:rsid w:val="002853FA"/>
    <w:rsid w:val="00285412"/>
    <w:rsid w:val="00291640"/>
    <w:rsid w:val="0029237E"/>
    <w:rsid w:val="00292997"/>
    <w:rsid w:val="0029588F"/>
    <w:rsid w:val="00297D51"/>
    <w:rsid w:val="002A0122"/>
    <w:rsid w:val="002A016B"/>
    <w:rsid w:val="002A16D4"/>
    <w:rsid w:val="002A1E4F"/>
    <w:rsid w:val="002A230C"/>
    <w:rsid w:val="002A532A"/>
    <w:rsid w:val="002A5846"/>
    <w:rsid w:val="002A5D97"/>
    <w:rsid w:val="002B4845"/>
    <w:rsid w:val="002C27A6"/>
    <w:rsid w:val="002C43BD"/>
    <w:rsid w:val="002D0E59"/>
    <w:rsid w:val="002E02A1"/>
    <w:rsid w:val="002E196A"/>
    <w:rsid w:val="002E222E"/>
    <w:rsid w:val="002E37D1"/>
    <w:rsid w:val="002E3BEE"/>
    <w:rsid w:val="002E4E4C"/>
    <w:rsid w:val="002E5846"/>
    <w:rsid w:val="002F498A"/>
    <w:rsid w:val="00304771"/>
    <w:rsid w:val="003052D4"/>
    <w:rsid w:val="00306C5B"/>
    <w:rsid w:val="00307DB3"/>
    <w:rsid w:val="0031076D"/>
    <w:rsid w:val="00311C4D"/>
    <w:rsid w:val="003121AB"/>
    <w:rsid w:val="003153C8"/>
    <w:rsid w:val="003209D6"/>
    <w:rsid w:val="00321924"/>
    <w:rsid w:val="0032656E"/>
    <w:rsid w:val="00332190"/>
    <w:rsid w:val="00341F05"/>
    <w:rsid w:val="0034335E"/>
    <w:rsid w:val="00344668"/>
    <w:rsid w:val="003462D9"/>
    <w:rsid w:val="00360C86"/>
    <w:rsid w:val="00360FBC"/>
    <w:rsid w:val="00361537"/>
    <w:rsid w:val="0036242A"/>
    <w:rsid w:val="00362E90"/>
    <w:rsid w:val="00364FA0"/>
    <w:rsid w:val="003657F3"/>
    <w:rsid w:val="003738BD"/>
    <w:rsid w:val="00374E21"/>
    <w:rsid w:val="003818DC"/>
    <w:rsid w:val="00383388"/>
    <w:rsid w:val="003834F8"/>
    <w:rsid w:val="00384327"/>
    <w:rsid w:val="00385D98"/>
    <w:rsid w:val="003908A6"/>
    <w:rsid w:val="003927F6"/>
    <w:rsid w:val="003A04F6"/>
    <w:rsid w:val="003A2B4D"/>
    <w:rsid w:val="003A2D12"/>
    <w:rsid w:val="003A478C"/>
    <w:rsid w:val="003A5525"/>
    <w:rsid w:val="003A6B38"/>
    <w:rsid w:val="003A6B83"/>
    <w:rsid w:val="003B1F9D"/>
    <w:rsid w:val="003B461F"/>
    <w:rsid w:val="003B5A32"/>
    <w:rsid w:val="003C3490"/>
    <w:rsid w:val="003C6221"/>
    <w:rsid w:val="003C7E62"/>
    <w:rsid w:val="003D242B"/>
    <w:rsid w:val="003D2492"/>
    <w:rsid w:val="003D6920"/>
    <w:rsid w:val="003E4C91"/>
    <w:rsid w:val="003E52D8"/>
    <w:rsid w:val="003F313C"/>
    <w:rsid w:val="003F37FC"/>
    <w:rsid w:val="003F4B2C"/>
    <w:rsid w:val="003F551C"/>
    <w:rsid w:val="003F72ED"/>
    <w:rsid w:val="003F7D23"/>
    <w:rsid w:val="00400050"/>
    <w:rsid w:val="00400468"/>
    <w:rsid w:val="00402ADB"/>
    <w:rsid w:val="004059D2"/>
    <w:rsid w:val="00406C2E"/>
    <w:rsid w:val="00407C13"/>
    <w:rsid w:val="00410638"/>
    <w:rsid w:val="00412511"/>
    <w:rsid w:val="004125C2"/>
    <w:rsid w:val="00413465"/>
    <w:rsid w:val="0041501E"/>
    <w:rsid w:val="004159C3"/>
    <w:rsid w:val="00416DAC"/>
    <w:rsid w:val="00432A58"/>
    <w:rsid w:val="00434617"/>
    <w:rsid w:val="00440900"/>
    <w:rsid w:val="00441BF6"/>
    <w:rsid w:val="004441A0"/>
    <w:rsid w:val="00446D44"/>
    <w:rsid w:val="0045078A"/>
    <w:rsid w:val="0045086D"/>
    <w:rsid w:val="00451EF1"/>
    <w:rsid w:val="00460FB3"/>
    <w:rsid w:val="004707FE"/>
    <w:rsid w:val="0047276D"/>
    <w:rsid w:val="00474A04"/>
    <w:rsid w:val="00476240"/>
    <w:rsid w:val="00476439"/>
    <w:rsid w:val="0047735C"/>
    <w:rsid w:val="004776BC"/>
    <w:rsid w:val="0048139F"/>
    <w:rsid w:val="00481E40"/>
    <w:rsid w:val="00482405"/>
    <w:rsid w:val="004826A7"/>
    <w:rsid w:val="0048368C"/>
    <w:rsid w:val="00484ECE"/>
    <w:rsid w:val="00486A4D"/>
    <w:rsid w:val="004915CB"/>
    <w:rsid w:val="004924DC"/>
    <w:rsid w:val="00492879"/>
    <w:rsid w:val="004A14E4"/>
    <w:rsid w:val="004A27F0"/>
    <w:rsid w:val="004A3212"/>
    <w:rsid w:val="004A40D9"/>
    <w:rsid w:val="004A5494"/>
    <w:rsid w:val="004A61C5"/>
    <w:rsid w:val="004A62A0"/>
    <w:rsid w:val="004A77DF"/>
    <w:rsid w:val="004B1417"/>
    <w:rsid w:val="004B55B7"/>
    <w:rsid w:val="004B6468"/>
    <w:rsid w:val="004B7125"/>
    <w:rsid w:val="004B756A"/>
    <w:rsid w:val="004B7FB1"/>
    <w:rsid w:val="004C384C"/>
    <w:rsid w:val="004C3867"/>
    <w:rsid w:val="004C3DB0"/>
    <w:rsid w:val="004C4CD0"/>
    <w:rsid w:val="004C5165"/>
    <w:rsid w:val="004C6E0E"/>
    <w:rsid w:val="004C70DC"/>
    <w:rsid w:val="004D0211"/>
    <w:rsid w:val="004D0794"/>
    <w:rsid w:val="004E1A40"/>
    <w:rsid w:val="004E200A"/>
    <w:rsid w:val="004E765E"/>
    <w:rsid w:val="004F06F5"/>
    <w:rsid w:val="004F12A4"/>
    <w:rsid w:val="004F253F"/>
    <w:rsid w:val="004F33A0"/>
    <w:rsid w:val="004F3BD2"/>
    <w:rsid w:val="0050689D"/>
    <w:rsid w:val="005108C0"/>
    <w:rsid w:val="00511873"/>
    <w:rsid w:val="00512461"/>
    <w:rsid w:val="00512A2F"/>
    <w:rsid w:val="00513B7E"/>
    <w:rsid w:val="00515BE9"/>
    <w:rsid w:val="00515C74"/>
    <w:rsid w:val="0052007E"/>
    <w:rsid w:val="0052337A"/>
    <w:rsid w:val="00525137"/>
    <w:rsid w:val="005251DD"/>
    <w:rsid w:val="00532CE7"/>
    <w:rsid w:val="0053324C"/>
    <w:rsid w:val="00534A28"/>
    <w:rsid w:val="00535018"/>
    <w:rsid w:val="00537571"/>
    <w:rsid w:val="00541508"/>
    <w:rsid w:val="00543498"/>
    <w:rsid w:val="00544BE5"/>
    <w:rsid w:val="00550160"/>
    <w:rsid w:val="00552F2C"/>
    <w:rsid w:val="005547EB"/>
    <w:rsid w:val="0055599F"/>
    <w:rsid w:val="00556D68"/>
    <w:rsid w:val="005570D6"/>
    <w:rsid w:val="00563EB8"/>
    <w:rsid w:val="005647BF"/>
    <w:rsid w:val="00564AF1"/>
    <w:rsid w:val="00572079"/>
    <w:rsid w:val="00573602"/>
    <w:rsid w:val="0057364B"/>
    <w:rsid w:val="00574773"/>
    <w:rsid w:val="00580DE7"/>
    <w:rsid w:val="00583E52"/>
    <w:rsid w:val="00583FFD"/>
    <w:rsid w:val="0058519A"/>
    <w:rsid w:val="005911BE"/>
    <w:rsid w:val="00591273"/>
    <w:rsid w:val="00593152"/>
    <w:rsid w:val="005A10F2"/>
    <w:rsid w:val="005A21E0"/>
    <w:rsid w:val="005A28FF"/>
    <w:rsid w:val="005A2C09"/>
    <w:rsid w:val="005A3DF8"/>
    <w:rsid w:val="005A5549"/>
    <w:rsid w:val="005B121D"/>
    <w:rsid w:val="005B6CA1"/>
    <w:rsid w:val="005B770C"/>
    <w:rsid w:val="005C06ED"/>
    <w:rsid w:val="005C11B8"/>
    <w:rsid w:val="005C2609"/>
    <w:rsid w:val="005C45DD"/>
    <w:rsid w:val="005D3F06"/>
    <w:rsid w:val="005D4B73"/>
    <w:rsid w:val="005D5802"/>
    <w:rsid w:val="005D5AA9"/>
    <w:rsid w:val="005D7119"/>
    <w:rsid w:val="005D76C8"/>
    <w:rsid w:val="005D7890"/>
    <w:rsid w:val="005E4BC9"/>
    <w:rsid w:val="005E5314"/>
    <w:rsid w:val="005E7C78"/>
    <w:rsid w:val="005F04A7"/>
    <w:rsid w:val="005F18C5"/>
    <w:rsid w:val="005F36CC"/>
    <w:rsid w:val="005F3EB1"/>
    <w:rsid w:val="005F466B"/>
    <w:rsid w:val="005F46D8"/>
    <w:rsid w:val="005F5469"/>
    <w:rsid w:val="005F63F3"/>
    <w:rsid w:val="00604307"/>
    <w:rsid w:val="0060487F"/>
    <w:rsid w:val="00604EAD"/>
    <w:rsid w:val="006104FB"/>
    <w:rsid w:val="00612A2F"/>
    <w:rsid w:val="00612AAE"/>
    <w:rsid w:val="00616E05"/>
    <w:rsid w:val="00617985"/>
    <w:rsid w:val="00624093"/>
    <w:rsid w:val="00631698"/>
    <w:rsid w:val="00634CE7"/>
    <w:rsid w:val="006350D5"/>
    <w:rsid w:val="0063642C"/>
    <w:rsid w:val="006404A7"/>
    <w:rsid w:val="006451E4"/>
    <w:rsid w:val="00645B33"/>
    <w:rsid w:val="006516CB"/>
    <w:rsid w:val="00656CFB"/>
    <w:rsid w:val="00657E87"/>
    <w:rsid w:val="00662469"/>
    <w:rsid w:val="00664647"/>
    <w:rsid w:val="00664803"/>
    <w:rsid w:val="00665BA4"/>
    <w:rsid w:val="00667AF2"/>
    <w:rsid w:val="006710C9"/>
    <w:rsid w:val="006741CD"/>
    <w:rsid w:val="00674D89"/>
    <w:rsid w:val="00675E37"/>
    <w:rsid w:val="00676D76"/>
    <w:rsid w:val="00676F9F"/>
    <w:rsid w:val="00677594"/>
    <w:rsid w:val="0068032F"/>
    <w:rsid w:val="00680D37"/>
    <w:rsid w:val="0068174E"/>
    <w:rsid w:val="00681DCE"/>
    <w:rsid w:val="0068260E"/>
    <w:rsid w:val="00684E25"/>
    <w:rsid w:val="006858A4"/>
    <w:rsid w:val="00686718"/>
    <w:rsid w:val="00686BFA"/>
    <w:rsid w:val="00695BEF"/>
    <w:rsid w:val="006968C1"/>
    <w:rsid w:val="006977F6"/>
    <w:rsid w:val="00697A13"/>
    <w:rsid w:val="006A109C"/>
    <w:rsid w:val="006A7691"/>
    <w:rsid w:val="006A7EE2"/>
    <w:rsid w:val="006B0514"/>
    <w:rsid w:val="006B0F92"/>
    <w:rsid w:val="006B2785"/>
    <w:rsid w:val="006B344A"/>
    <w:rsid w:val="006B74AC"/>
    <w:rsid w:val="006B78D8"/>
    <w:rsid w:val="006C113F"/>
    <w:rsid w:val="006C123E"/>
    <w:rsid w:val="006C15A1"/>
    <w:rsid w:val="006C1752"/>
    <w:rsid w:val="006C28CA"/>
    <w:rsid w:val="006C4355"/>
    <w:rsid w:val="006C469D"/>
    <w:rsid w:val="006C56D4"/>
    <w:rsid w:val="006C6924"/>
    <w:rsid w:val="006C7CA6"/>
    <w:rsid w:val="006D3E8A"/>
    <w:rsid w:val="006D61F6"/>
    <w:rsid w:val="006E279A"/>
    <w:rsid w:val="006E313B"/>
    <w:rsid w:val="006E7227"/>
    <w:rsid w:val="006F0741"/>
    <w:rsid w:val="006F1C27"/>
    <w:rsid w:val="006F42BB"/>
    <w:rsid w:val="006F438E"/>
    <w:rsid w:val="006F440B"/>
    <w:rsid w:val="006F5416"/>
    <w:rsid w:val="006F624B"/>
    <w:rsid w:val="00705242"/>
    <w:rsid w:val="00706AD4"/>
    <w:rsid w:val="00707150"/>
    <w:rsid w:val="007140BE"/>
    <w:rsid w:val="00715E4D"/>
    <w:rsid w:val="00716F48"/>
    <w:rsid w:val="007211F5"/>
    <w:rsid w:val="007240E2"/>
    <w:rsid w:val="0072583E"/>
    <w:rsid w:val="00725BB5"/>
    <w:rsid w:val="00730AE8"/>
    <w:rsid w:val="00730F1B"/>
    <w:rsid w:val="00741493"/>
    <w:rsid w:val="007434E5"/>
    <w:rsid w:val="00752180"/>
    <w:rsid w:val="00752323"/>
    <w:rsid w:val="00753CAB"/>
    <w:rsid w:val="00754A70"/>
    <w:rsid w:val="00755202"/>
    <w:rsid w:val="00755D3A"/>
    <w:rsid w:val="0075751D"/>
    <w:rsid w:val="007578D3"/>
    <w:rsid w:val="00760391"/>
    <w:rsid w:val="007609C6"/>
    <w:rsid w:val="0076175D"/>
    <w:rsid w:val="00763B85"/>
    <w:rsid w:val="0076521E"/>
    <w:rsid w:val="007661E9"/>
    <w:rsid w:val="00776169"/>
    <w:rsid w:val="00776527"/>
    <w:rsid w:val="00777040"/>
    <w:rsid w:val="00780EF1"/>
    <w:rsid w:val="00786C87"/>
    <w:rsid w:val="007877C9"/>
    <w:rsid w:val="00790764"/>
    <w:rsid w:val="0079085F"/>
    <w:rsid w:val="0079453C"/>
    <w:rsid w:val="00794677"/>
    <w:rsid w:val="007A3CAF"/>
    <w:rsid w:val="007A516D"/>
    <w:rsid w:val="007A775D"/>
    <w:rsid w:val="007B0834"/>
    <w:rsid w:val="007B11FA"/>
    <w:rsid w:val="007B2011"/>
    <w:rsid w:val="007B2CFE"/>
    <w:rsid w:val="007B3DCB"/>
    <w:rsid w:val="007B6689"/>
    <w:rsid w:val="007B6F72"/>
    <w:rsid w:val="007C2D94"/>
    <w:rsid w:val="007C5F92"/>
    <w:rsid w:val="007C6227"/>
    <w:rsid w:val="007C6BBD"/>
    <w:rsid w:val="007D0382"/>
    <w:rsid w:val="007D1A1F"/>
    <w:rsid w:val="007D40DF"/>
    <w:rsid w:val="007D4458"/>
    <w:rsid w:val="007E1788"/>
    <w:rsid w:val="007E29B4"/>
    <w:rsid w:val="007E435A"/>
    <w:rsid w:val="007E49F7"/>
    <w:rsid w:val="007E7E61"/>
    <w:rsid w:val="007F0845"/>
    <w:rsid w:val="007F20F3"/>
    <w:rsid w:val="007F708D"/>
    <w:rsid w:val="00801E13"/>
    <w:rsid w:val="0080734C"/>
    <w:rsid w:val="00807C82"/>
    <w:rsid w:val="008117CC"/>
    <w:rsid w:val="00816905"/>
    <w:rsid w:val="00817A17"/>
    <w:rsid w:val="00817EC1"/>
    <w:rsid w:val="0082112D"/>
    <w:rsid w:val="00821FF6"/>
    <w:rsid w:val="00822574"/>
    <w:rsid w:val="00825C4D"/>
    <w:rsid w:val="00830E86"/>
    <w:rsid w:val="0083143E"/>
    <w:rsid w:val="00831CDE"/>
    <w:rsid w:val="00834304"/>
    <w:rsid w:val="00834FAA"/>
    <w:rsid w:val="008354FB"/>
    <w:rsid w:val="00836086"/>
    <w:rsid w:val="00836A06"/>
    <w:rsid w:val="008374BC"/>
    <w:rsid w:val="00840293"/>
    <w:rsid w:val="008417B5"/>
    <w:rsid w:val="00846121"/>
    <w:rsid w:val="0084708F"/>
    <w:rsid w:val="008477C8"/>
    <w:rsid w:val="0085114D"/>
    <w:rsid w:val="00852217"/>
    <w:rsid w:val="00855408"/>
    <w:rsid w:val="00856D65"/>
    <w:rsid w:val="00861B41"/>
    <w:rsid w:val="00861B9F"/>
    <w:rsid w:val="00861BE3"/>
    <w:rsid w:val="00863434"/>
    <w:rsid w:val="00865E4C"/>
    <w:rsid w:val="00867DAB"/>
    <w:rsid w:val="008701E4"/>
    <w:rsid w:val="00874FE8"/>
    <w:rsid w:val="00875A32"/>
    <w:rsid w:val="00876086"/>
    <w:rsid w:val="00876E83"/>
    <w:rsid w:val="008772BC"/>
    <w:rsid w:val="00882911"/>
    <w:rsid w:val="00885D40"/>
    <w:rsid w:val="008873D4"/>
    <w:rsid w:val="00891EDF"/>
    <w:rsid w:val="00892872"/>
    <w:rsid w:val="0089296D"/>
    <w:rsid w:val="00893E85"/>
    <w:rsid w:val="00894031"/>
    <w:rsid w:val="00894C5D"/>
    <w:rsid w:val="00895508"/>
    <w:rsid w:val="008A0ADD"/>
    <w:rsid w:val="008A3C6B"/>
    <w:rsid w:val="008A3CBA"/>
    <w:rsid w:val="008A4B59"/>
    <w:rsid w:val="008B3F7B"/>
    <w:rsid w:val="008B6106"/>
    <w:rsid w:val="008B7C02"/>
    <w:rsid w:val="008B7D2B"/>
    <w:rsid w:val="008B7EF9"/>
    <w:rsid w:val="008C0049"/>
    <w:rsid w:val="008C0E88"/>
    <w:rsid w:val="008C4B50"/>
    <w:rsid w:val="008C7569"/>
    <w:rsid w:val="008D0DBD"/>
    <w:rsid w:val="008D127E"/>
    <w:rsid w:val="008D1E6A"/>
    <w:rsid w:val="008D2A16"/>
    <w:rsid w:val="008E2C57"/>
    <w:rsid w:val="008E31FF"/>
    <w:rsid w:val="008E6DCB"/>
    <w:rsid w:val="008E6F06"/>
    <w:rsid w:val="008E7B8E"/>
    <w:rsid w:val="008E7FC9"/>
    <w:rsid w:val="008F029B"/>
    <w:rsid w:val="008F2A5D"/>
    <w:rsid w:val="008F3636"/>
    <w:rsid w:val="008F3FC9"/>
    <w:rsid w:val="008F585B"/>
    <w:rsid w:val="009003A8"/>
    <w:rsid w:val="00902500"/>
    <w:rsid w:val="00902EFF"/>
    <w:rsid w:val="00904F96"/>
    <w:rsid w:val="009052A3"/>
    <w:rsid w:val="00905B8D"/>
    <w:rsid w:val="00906401"/>
    <w:rsid w:val="009110F7"/>
    <w:rsid w:val="0091155E"/>
    <w:rsid w:val="00912A92"/>
    <w:rsid w:val="00915D07"/>
    <w:rsid w:val="009162AE"/>
    <w:rsid w:val="00917251"/>
    <w:rsid w:val="0091728D"/>
    <w:rsid w:val="0092180B"/>
    <w:rsid w:val="00921F14"/>
    <w:rsid w:val="00923CB0"/>
    <w:rsid w:val="00924AC8"/>
    <w:rsid w:val="00925429"/>
    <w:rsid w:val="0092597A"/>
    <w:rsid w:val="00926520"/>
    <w:rsid w:val="0093033E"/>
    <w:rsid w:val="00930FB1"/>
    <w:rsid w:val="0093139F"/>
    <w:rsid w:val="00932443"/>
    <w:rsid w:val="00935BD4"/>
    <w:rsid w:val="009373B2"/>
    <w:rsid w:val="00937AE2"/>
    <w:rsid w:val="0094416B"/>
    <w:rsid w:val="0094427A"/>
    <w:rsid w:val="00944C7C"/>
    <w:rsid w:val="00945245"/>
    <w:rsid w:val="0095759C"/>
    <w:rsid w:val="009618EE"/>
    <w:rsid w:val="009624D2"/>
    <w:rsid w:val="009628D9"/>
    <w:rsid w:val="009637AE"/>
    <w:rsid w:val="00964A4E"/>
    <w:rsid w:val="009651C7"/>
    <w:rsid w:val="00965797"/>
    <w:rsid w:val="009674BE"/>
    <w:rsid w:val="00972FCD"/>
    <w:rsid w:val="009741FC"/>
    <w:rsid w:val="00974923"/>
    <w:rsid w:val="00977C3D"/>
    <w:rsid w:val="00980D3D"/>
    <w:rsid w:val="00983101"/>
    <w:rsid w:val="00983E41"/>
    <w:rsid w:val="00987A30"/>
    <w:rsid w:val="0099182E"/>
    <w:rsid w:val="00992CF3"/>
    <w:rsid w:val="00994868"/>
    <w:rsid w:val="009968D6"/>
    <w:rsid w:val="009A10A0"/>
    <w:rsid w:val="009A1CAB"/>
    <w:rsid w:val="009A2359"/>
    <w:rsid w:val="009A4D57"/>
    <w:rsid w:val="009A60D1"/>
    <w:rsid w:val="009B3764"/>
    <w:rsid w:val="009B6FD3"/>
    <w:rsid w:val="009C1750"/>
    <w:rsid w:val="009C2E29"/>
    <w:rsid w:val="009C3E8F"/>
    <w:rsid w:val="009C554B"/>
    <w:rsid w:val="009C719E"/>
    <w:rsid w:val="009D3ACD"/>
    <w:rsid w:val="009E5273"/>
    <w:rsid w:val="009E5DDB"/>
    <w:rsid w:val="009F4982"/>
    <w:rsid w:val="009F4CA7"/>
    <w:rsid w:val="00A04616"/>
    <w:rsid w:val="00A04717"/>
    <w:rsid w:val="00A05EE4"/>
    <w:rsid w:val="00A10D66"/>
    <w:rsid w:val="00A14114"/>
    <w:rsid w:val="00A16413"/>
    <w:rsid w:val="00A16AED"/>
    <w:rsid w:val="00A16E1D"/>
    <w:rsid w:val="00A17A15"/>
    <w:rsid w:val="00A17D5B"/>
    <w:rsid w:val="00A23E43"/>
    <w:rsid w:val="00A25216"/>
    <w:rsid w:val="00A2628E"/>
    <w:rsid w:val="00A30F65"/>
    <w:rsid w:val="00A40EAC"/>
    <w:rsid w:val="00A418BC"/>
    <w:rsid w:val="00A44B0D"/>
    <w:rsid w:val="00A45087"/>
    <w:rsid w:val="00A45489"/>
    <w:rsid w:val="00A46DE0"/>
    <w:rsid w:val="00A50D73"/>
    <w:rsid w:val="00A52CAD"/>
    <w:rsid w:val="00A53FC7"/>
    <w:rsid w:val="00A626FF"/>
    <w:rsid w:val="00A62CE1"/>
    <w:rsid w:val="00A655D3"/>
    <w:rsid w:val="00A6741E"/>
    <w:rsid w:val="00A722F9"/>
    <w:rsid w:val="00A72D42"/>
    <w:rsid w:val="00A75E40"/>
    <w:rsid w:val="00A77D1D"/>
    <w:rsid w:val="00A81652"/>
    <w:rsid w:val="00A83150"/>
    <w:rsid w:val="00A83398"/>
    <w:rsid w:val="00A857C0"/>
    <w:rsid w:val="00A90FED"/>
    <w:rsid w:val="00A91E71"/>
    <w:rsid w:val="00A96116"/>
    <w:rsid w:val="00A9614E"/>
    <w:rsid w:val="00A96C0F"/>
    <w:rsid w:val="00AA2996"/>
    <w:rsid w:val="00AA52BF"/>
    <w:rsid w:val="00AA559A"/>
    <w:rsid w:val="00AA7CE8"/>
    <w:rsid w:val="00AB2AF1"/>
    <w:rsid w:val="00AB5A64"/>
    <w:rsid w:val="00AC044E"/>
    <w:rsid w:val="00AC2395"/>
    <w:rsid w:val="00AC2960"/>
    <w:rsid w:val="00AC2AC4"/>
    <w:rsid w:val="00AC4284"/>
    <w:rsid w:val="00AC45BD"/>
    <w:rsid w:val="00AD168E"/>
    <w:rsid w:val="00AD306C"/>
    <w:rsid w:val="00AD5AD2"/>
    <w:rsid w:val="00AD6462"/>
    <w:rsid w:val="00AD68C4"/>
    <w:rsid w:val="00AE09B3"/>
    <w:rsid w:val="00AE1A83"/>
    <w:rsid w:val="00AE7CE7"/>
    <w:rsid w:val="00AE7FAB"/>
    <w:rsid w:val="00AF436B"/>
    <w:rsid w:val="00AF5179"/>
    <w:rsid w:val="00B00913"/>
    <w:rsid w:val="00B01593"/>
    <w:rsid w:val="00B01FF9"/>
    <w:rsid w:val="00B023F2"/>
    <w:rsid w:val="00B10A4D"/>
    <w:rsid w:val="00B10C90"/>
    <w:rsid w:val="00B14BC1"/>
    <w:rsid w:val="00B16EB8"/>
    <w:rsid w:val="00B17E71"/>
    <w:rsid w:val="00B17FDE"/>
    <w:rsid w:val="00B20632"/>
    <w:rsid w:val="00B2379C"/>
    <w:rsid w:val="00B2687D"/>
    <w:rsid w:val="00B32DDB"/>
    <w:rsid w:val="00B34528"/>
    <w:rsid w:val="00B34CC9"/>
    <w:rsid w:val="00B402FC"/>
    <w:rsid w:val="00B439DA"/>
    <w:rsid w:val="00B46604"/>
    <w:rsid w:val="00B47089"/>
    <w:rsid w:val="00B52151"/>
    <w:rsid w:val="00B530CD"/>
    <w:rsid w:val="00B55F5E"/>
    <w:rsid w:val="00B56B6F"/>
    <w:rsid w:val="00B5752E"/>
    <w:rsid w:val="00B63A11"/>
    <w:rsid w:val="00B64C24"/>
    <w:rsid w:val="00B6608F"/>
    <w:rsid w:val="00B679FB"/>
    <w:rsid w:val="00B76D1E"/>
    <w:rsid w:val="00B77543"/>
    <w:rsid w:val="00B80EC6"/>
    <w:rsid w:val="00B81D70"/>
    <w:rsid w:val="00B84CF6"/>
    <w:rsid w:val="00B85016"/>
    <w:rsid w:val="00B8561A"/>
    <w:rsid w:val="00B92D1D"/>
    <w:rsid w:val="00B938C5"/>
    <w:rsid w:val="00B95940"/>
    <w:rsid w:val="00B95ACA"/>
    <w:rsid w:val="00BA46E8"/>
    <w:rsid w:val="00BA6C2B"/>
    <w:rsid w:val="00BA7B64"/>
    <w:rsid w:val="00BB0351"/>
    <w:rsid w:val="00BB1AF4"/>
    <w:rsid w:val="00BB46F3"/>
    <w:rsid w:val="00BB4CB1"/>
    <w:rsid w:val="00BB4F98"/>
    <w:rsid w:val="00BB5ABF"/>
    <w:rsid w:val="00BB6EA2"/>
    <w:rsid w:val="00BC5C12"/>
    <w:rsid w:val="00BC7154"/>
    <w:rsid w:val="00BC731E"/>
    <w:rsid w:val="00BD25BB"/>
    <w:rsid w:val="00BD366B"/>
    <w:rsid w:val="00BD6D50"/>
    <w:rsid w:val="00BE18B9"/>
    <w:rsid w:val="00BE2495"/>
    <w:rsid w:val="00BF02C8"/>
    <w:rsid w:val="00BF1578"/>
    <w:rsid w:val="00BF1D12"/>
    <w:rsid w:val="00C06EE3"/>
    <w:rsid w:val="00C07749"/>
    <w:rsid w:val="00C21430"/>
    <w:rsid w:val="00C21E61"/>
    <w:rsid w:val="00C21F94"/>
    <w:rsid w:val="00C27913"/>
    <w:rsid w:val="00C33B68"/>
    <w:rsid w:val="00C36A79"/>
    <w:rsid w:val="00C401D2"/>
    <w:rsid w:val="00C405D4"/>
    <w:rsid w:val="00C419D5"/>
    <w:rsid w:val="00C4513B"/>
    <w:rsid w:val="00C5390B"/>
    <w:rsid w:val="00C54697"/>
    <w:rsid w:val="00C55402"/>
    <w:rsid w:val="00C5603B"/>
    <w:rsid w:val="00C61F47"/>
    <w:rsid w:val="00C62828"/>
    <w:rsid w:val="00C71D2F"/>
    <w:rsid w:val="00C73885"/>
    <w:rsid w:val="00C7435A"/>
    <w:rsid w:val="00C747B1"/>
    <w:rsid w:val="00C82191"/>
    <w:rsid w:val="00C83134"/>
    <w:rsid w:val="00C832F3"/>
    <w:rsid w:val="00C85545"/>
    <w:rsid w:val="00C90CF4"/>
    <w:rsid w:val="00C922DE"/>
    <w:rsid w:val="00C92843"/>
    <w:rsid w:val="00C92EB6"/>
    <w:rsid w:val="00C93389"/>
    <w:rsid w:val="00CA0346"/>
    <w:rsid w:val="00CA37FF"/>
    <w:rsid w:val="00CA6AB4"/>
    <w:rsid w:val="00CB2351"/>
    <w:rsid w:val="00CB4930"/>
    <w:rsid w:val="00CC20FE"/>
    <w:rsid w:val="00CC2E7D"/>
    <w:rsid w:val="00CC655F"/>
    <w:rsid w:val="00CC76BD"/>
    <w:rsid w:val="00CD10A5"/>
    <w:rsid w:val="00CD1129"/>
    <w:rsid w:val="00CD2076"/>
    <w:rsid w:val="00CD24CE"/>
    <w:rsid w:val="00CD29B5"/>
    <w:rsid w:val="00CD2B78"/>
    <w:rsid w:val="00CD5C3E"/>
    <w:rsid w:val="00CD6331"/>
    <w:rsid w:val="00CE62FA"/>
    <w:rsid w:val="00CE670B"/>
    <w:rsid w:val="00CF4908"/>
    <w:rsid w:val="00CF51EC"/>
    <w:rsid w:val="00CF545D"/>
    <w:rsid w:val="00CF5873"/>
    <w:rsid w:val="00CF73AE"/>
    <w:rsid w:val="00D03A72"/>
    <w:rsid w:val="00D040DD"/>
    <w:rsid w:val="00D075BE"/>
    <w:rsid w:val="00D12C25"/>
    <w:rsid w:val="00D133B4"/>
    <w:rsid w:val="00D13986"/>
    <w:rsid w:val="00D214EF"/>
    <w:rsid w:val="00D21D6D"/>
    <w:rsid w:val="00D21D83"/>
    <w:rsid w:val="00D235B7"/>
    <w:rsid w:val="00D25F28"/>
    <w:rsid w:val="00D26071"/>
    <w:rsid w:val="00D27973"/>
    <w:rsid w:val="00D31E1E"/>
    <w:rsid w:val="00D35BBB"/>
    <w:rsid w:val="00D35E1A"/>
    <w:rsid w:val="00D36E1C"/>
    <w:rsid w:val="00D373AF"/>
    <w:rsid w:val="00D40556"/>
    <w:rsid w:val="00D41F74"/>
    <w:rsid w:val="00D50F46"/>
    <w:rsid w:val="00D544E7"/>
    <w:rsid w:val="00D57677"/>
    <w:rsid w:val="00D63BE5"/>
    <w:rsid w:val="00D66223"/>
    <w:rsid w:val="00D72076"/>
    <w:rsid w:val="00D77252"/>
    <w:rsid w:val="00D8084C"/>
    <w:rsid w:val="00D8598C"/>
    <w:rsid w:val="00D915EA"/>
    <w:rsid w:val="00D97D00"/>
    <w:rsid w:val="00DA096C"/>
    <w:rsid w:val="00DA6364"/>
    <w:rsid w:val="00DA7114"/>
    <w:rsid w:val="00DA7C0C"/>
    <w:rsid w:val="00DB08A9"/>
    <w:rsid w:val="00DB2EC8"/>
    <w:rsid w:val="00DC17D0"/>
    <w:rsid w:val="00DC56FE"/>
    <w:rsid w:val="00DC5B3B"/>
    <w:rsid w:val="00DC7B1A"/>
    <w:rsid w:val="00DD129F"/>
    <w:rsid w:val="00DD32DD"/>
    <w:rsid w:val="00DF42FF"/>
    <w:rsid w:val="00DF5D1E"/>
    <w:rsid w:val="00E01C0E"/>
    <w:rsid w:val="00E0368F"/>
    <w:rsid w:val="00E03D73"/>
    <w:rsid w:val="00E03F9A"/>
    <w:rsid w:val="00E04694"/>
    <w:rsid w:val="00E129E7"/>
    <w:rsid w:val="00E12B1E"/>
    <w:rsid w:val="00E1444C"/>
    <w:rsid w:val="00E17262"/>
    <w:rsid w:val="00E2009B"/>
    <w:rsid w:val="00E2251C"/>
    <w:rsid w:val="00E2363D"/>
    <w:rsid w:val="00E253A2"/>
    <w:rsid w:val="00E27233"/>
    <w:rsid w:val="00E31771"/>
    <w:rsid w:val="00E3309D"/>
    <w:rsid w:val="00E417BE"/>
    <w:rsid w:val="00E43A9E"/>
    <w:rsid w:val="00E453F9"/>
    <w:rsid w:val="00E45D7D"/>
    <w:rsid w:val="00E47EBA"/>
    <w:rsid w:val="00E50156"/>
    <w:rsid w:val="00E5076C"/>
    <w:rsid w:val="00E53470"/>
    <w:rsid w:val="00E539F6"/>
    <w:rsid w:val="00E578A2"/>
    <w:rsid w:val="00E61740"/>
    <w:rsid w:val="00E6519D"/>
    <w:rsid w:val="00E67696"/>
    <w:rsid w:val="00E71A58"/>
    <w:rsid w:val="00E72A26"/>
    <w:rsid w:val="00E72A7A"/>
    <w:rsid w:val="00E747DC"/>
    <w:rsid w:val="00E75C94"/>
    <w:rsid w:val="00E76E61"/>
    <w:rsid w:val="00E80CA3"/>
    <w:rsid w:val="00E82618"/>
    <w:rsid w:val="00E930A1"/>
    <w:rsid w:val="00E93820"/>
    <w:rsid w:val="00E94A86"/>
    <w:rsid w:val="00E96143"/>
    <w:rsid w:val="00EA0C68"/>
    <w:rsid w:val="00EA32BC"/>
    <w:rsid w:val="00EA35A7"/>
    <w:rsid w:val="00EA513E"/>
    <w:rsid w:val="00EB4511"/>
    <w:rsid w:val="00EB6FAC"/>
    <w:rsid w:val="00EC03D7"/>
    <w:rsid w:val="00EC13A7"/>
    <w:rsid w:val="00ED2EA1"/>
    <w:rsid w:val="00ED4D04"/>
    <w:rsid w:val="00ED62C6"/>
    <w:rsid w:val="00ED64C1"/>
    <w:rsid w:val="00EE3446"/>
    <w:rsid w:val="00EE3E78"/>
    <w:rsid w:val="00EE4B1B"/>
    <w:rsid w:val="00EF150D"/>
    <w:rsid w:val="00EF1F5A"/>
    <w:rsid w:val="00EF47BF"/>
    <w:rsid w:val="00EF5FF9"/>
    <w:rsid w:val="00F0160B"/>
    <w:rsid w:val="00F04811"/>
    <w:rsid w:val="00F0488C"/>
    <w:rsid w:val="00F073ED"/>
    <w:rsid w:val="00F10F11"/>
    <w:rsid w:val="00F15AAA"/>
    <w:rsid w:val="00F15BEF"/>
    <w:rsid w:val="00F207C2"/>
    <w:rsid w:val="00F219A1"/>
    <w:rsid w:val="00F24407"/>
    <w:rsid w:val="00F24FAA"/>
    <w:rsid w:val="00F25040"/>
    <w:rsid w:val="00F27331"/>
    <w:rsid w:val="00F3364D"/>
    <w:rsid w:val="00F437CC"/>
    <w:rsid w:val="00F44537"/>
    <w:rsid w:val="00F46423"/>
    <w:rsid w:val="00F47067"/>
    <w:rsid w:val="00F525EB"/>
    <w:rsid w:val="00F63AAE"/>
    <w:rsid w:val="00F63DDE"/>
    <w:rsid w:val="00F63FB7"/>
    <w:rsid w:val="00F6421B"/>
    <w:rsid w:val="00F649D2"/>
    <w:rsid w:val="00F6602B"/>
    <w:rsid w:val="00F7150B"/>
    <w:rsid w:val="00F73A0C"/>
    <w:rsid w:val="00F756DB"/>
    <w:rsid w:val="00F767A8"/>
    <w:rsid w:val="00F76FE2"/>
    <w:rsid w:val="00F84E7D"/>
    <w:rsid w:val="00F85066"/>
    <w:rsid w:val="00F87A4D"/>
    <w:rsid w:val="00F939F3"/>
    <w:rsid w:val="00FA05A0"/>
    <w:rsid w:val="00FA17CC"/>
    <w:rsid w:val="00FA5112"/>
    <w:rsid w:val="00FA5526"/>
    <w:rsid w:val="00FA5D4D"/>
    <w:rsid w:val="00FB0EE2"/>
    <w:rsid w:val="00FB1A79"/>
    <w:rsid w:val="00FB208B"/>
    <w:rsid w:val="00FB2B2D"/>
    <w:rsid w:val="00FB542E"/>
    <w:rsid w:val="00FC05F8"/>
    <w:rsid w:val="00FC0E5F"/>
    <w:rsid w:val="00FC1A95"/>
    <w:rsid w:val="00FC56DE"/>
    <w:rsid w:val="00FC684B"/>
    <w:rsid w:val="00FC7D98"/>
    <w:rsid w:val="00FD1135"/>
    <w:rsid w:val="00FD3265"/>
    <w:rsid w:val="00FD4916"/>
    <w:rsid w:val="00FE27C7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C62828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character" w:styleId="Znakapoznpodarou">
    <w:name w:val="footnote reference"/>
    <w:basedOn w:val="Standardnpsmoodstavce"/>
    <w:rsid w:val="00C62828"/>
    <w:rPr>
      <w:rFonts w:cs="Times New Roman"/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54C2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Zvraznn">
    <w:name w:val="Emphasis"/>
    <w:basedOn w:val="Standardnpsmoodstavce"/>
    <w:uiPriority w:val="20"/>
    <w:qFormat/>
    <w:rsid w:val="00965797"/>
    <w:rPr>
      <w:i/>
      <w:iCs/>
    </w:rPr>
  </w:style>
  <w:style w:type="paragraph" w:styleId="Rozvrendokumentu">
    <w:name w:val="Document Map"/>
    <w:basedOn w:val="Normln"/>
    <w:link w:val="RozvrendokumentuChar"/>
    <w:uiPriority w:val="99"/>
    <w:semiHidden/>
    <w:rsid w:val="00AD5AD2"/>
    <w:pPr>
      <w:spacing w:after="0" w:line="288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AD5AD2"/>
    <w:rPr>
      <w:rFonts w:ascii="Tahoma" w:hAnsi="Tahoma" w:cs="Tahoma"/>
      <w:sz w:val="16"/>
      <w:szCs w:val="16"/>
      <w:lang w:eastAsia="cs-CZ"/>
    </w:rPr>
  </w:style>
  <w:style w:type="paragraph" w:customStyle="1" w:styleId="Heading1">
    <w:name w:val="Heading 1"/>
    <w:basedOn w:val="Normln"/>
    <w:uiPriority w:val="9"/>
    <w:qFormat/>
    <w:rsid w:val="00E747DC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33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69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9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38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37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Q\2018Q1\Publikace\Q_analyza_Q12018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JKAM%20CSU\PUBLIKACE\PUBLIKACE\2018\QMakro\1.%20kvart&#225;l\Grafy-st&#225;tn&#237;%20rozpo&#269;et-1q-201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JKAM%20CSU\PUBLIKACE\PUBLIKACE\2018\QMakro\1.%20kvart&#225;l\Grafy-st&#225;tn&#237;%20rozpo&#269;et-1q-2018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JKAM%20CSU\PUBLIKACE\PUBLIKACE\2018\QMakro\1.%20kvart&#225;l\Grafy-st&#225;tn&#237;%20rozpo&#269;et-1q-2018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JKAM%20CSU\PUBLIKACE\PUBLIKACE\2018\QMakro\1.%20kvart&#225;l\Grafy-st&#225;tn&#237;%20rozpo&#269;et-1q-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4.5577477727787412E-2"/>
          <c:y val="1.7107238390107422E-2"/>
          <c:w val="0.90191712370541643"/>
          <c:h val="0.80441990809425656"/>
        </c:manualLayout>
      </c:layout>
      <c:barChart>
        <c:barDir val="col"/>
        <c:grouping val="clustered"/>
        <c:ser>
          <c:idx val="2"/>
          <c:order val="4"/>
          <c:tx>
            <c:strRef>
              <c:f>'Státní rozpočet 1'!$A$57</c:f>
              <c:strCache>
                <c:ptCount val="1"/>
                <c:pt idx="0">
                  <c:v>Saldo státního rozpočtu</c:v>
                </c:pt>
              </c:strCache>
            </c:strRef>
          </c:tx>
          <c:spPr>
            <a:solidFill>
              <a:sysClr val="window" lastClr="FFFFFF">
                <a:lumMod val="75000"/>
              </a:sysClr>
            </a:solidFill>
            <a:ln>
              <a:noFill/>
            </a:ln>
          </c:spPr>
          <c:cat>
            <c:numRef>
              <c:f>'Státní rozpočet 1'!$B$52:$O$52</c:f>
              <c:numCache>
                <c:formatCode>General</c:formatCod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</c:numCache>
            </c:numRef>
          </c:cat>
          <c:val>
            <c:numRef>
              <c:f>'Státní rozpočet 1'!$B$57:$O$57</c:f>
              <c:numCache>
                <c:formatCode>#,##0.0</c:formatCode>
                <c:ptCount val="14"/>
                <c:pt idx="0">
                  <c:v>8.25</c:v>
                </c:pt>
                <c:pt idx="1">
                  <c:v>15.75</c:v>
                </c:pt>
                <c:pt idx="2">
                  <c:v>11.26</c:v>
                </c:pt>
                <c:pt idx="3">
                  <c:v>-13.347</c:v>
                </c:pt>
                <c:pt idx="4">
                  <c:v>-2.3459999999999988</c:v>
                </c:pt>
                <c:pt idx="5">
                  <c:v>-45.942</c:v>
                </c:pt>
                <c:pt idx="6">
                  <c:v>-25.202000000000002</c:v>
                </c:pt>
                <c:pt idx="7">
                  <c:v>-22.69</c:v>
                </c:pt>
                <c:pt idx="8">
                  <c:v>13.97</c:v>
                </c:pt>
                <c:pt idx="9">
                  <c:v>43.59</c:v>
                </c:pt>
                <c:pt idx="10">
                  <c:v>19.91</c:v>
                </c:pt>
                <c:pt idx="11">
                  <c:v>43.6</c:v>
                </c:pt>
                <c:pt idx="12">
                  <c:v>4.68</c:v>
                </c:pt>
                <c:pt idx="13">
                  <c:v>16.260000000000002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8CF-450B-A681-D8C3DE70496E}"/>
            </c:ext>
          </c:extLst>
        </c:ser>
        <c:gapWidth val="43"/>
        <c:axId val="104621184"/>
        <c:axId val="103779712"/>
      </c:barChart>
      <c:lineChart>
        <c:grouping val="standard"/>
        <c:ser>
          <c:idx val="0"/>
          <c:order val="0"/>
          <c:tx>
            <c:strRef>
              <c:f>'Státní rozpočet 1'!$A$53</c:f>
              <c:strCache>
                <c:ptCount val="1"/>
                <c:pt idx="0">
                  <c:v>DPH</c:v>
                </c:pt>
              </c:strCache>
            </c:strRef>
          </c:tx>
          <c:spPr>
            <a:ln w="19050">
              <a:solidFill>
                <a:srgbClr val="BD1B25"/>
              </a:solidFill>
            </a:ln>
          </c:spPr>
          <c:marker>
            <c:symbol val="none"/>
          </c:marker>
          <c:cat>
            <c:numRef>
              <c:f>'Státní rozpočet 1'!$B$52:$O$52</c:f>
              <c:numCache>
                <c:formatCode>General</c:formatCod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</c:numCache>
            </c:numRef>
          </c:cat>
          <c:val>
            <c:numRef>
              <c:f>'Státní rozpočet 1'!$B$53:$O$53</c:f>
              <c:numCache>
                <c:formatCode>0.0</c:formatCode>
                <c:ptCount val="14"/>
                <c:pt idx="0">
                  <c:v>-5.6</c:v>
                </c:pt>
                <c:pt idx="1">
                  <c:v>27.9</c:v>
                </c:pt>
                <c:pt idx="2">
                  <c:v>4.2</c:v>
                </c:pt>
                <c:pt idx="3">
                  <c:v>4.3689320388349255</c:v>
                </c:pt>
                <c:pt idx="4">
                  <c:v>-6.4254952627045565</c:v>
                </c:pt>
                <c:pt idx="5">
                  <c:v>11.616347569955821</c:v>
                </c:pt>
                <c:pt idx="6">
                  <c:v>-6.6138875144318066</c:v>
                </c:pt>
                <c:pt idx="7">
                  <c:v>3.2144118685977054</c:v>
                </c:pt>
                <c:pt idx="8">
                  <c:v>25.496235455167689</c:v>
                </c:pt>
                <c:pt idx="9">
                  <c:v>15.121352604308711</c:v>
                </c:pt>
                <c:pt idx="10">
                  <c:v>-14.307710529432686</c:v>
                </c:pt>
                <c:pt idx="11">
                  <c:v>4.1879751209398677</c:v>
                </c:pt>
                <c:pt idx="12">
                  <c:v>8.6229769169541015</c:v>
                </c:pt>
                <c:pt idx="13">
                  <c:v>13.14118221787983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8CF-450B-A681-D8C3DE70496E}"/>
            </c:ext>
          </c:extLst>
        </c:ser>
        <c:ser>
          <c:idx val="1"/>
          <c:order val="1"/>
          <c:tx>
            <c:strRef>
              <c:f>'Státní rozpočet 1'!$A$54</c:f>
              <c:strCache>
                <c:ptCount val="1"/>
                <c:pt idx="0">
                  <c:v>Spotřební daň</c:v>
                </c:pt>
              </c:strCache>
            </c:strRef>
          </c:tx>
          <c:spPr>
            <a:ln w="19050">
              <a:solidFill>
                <a:srgbClr val="7DBB2D"/>
              </a:solidFill>
              <a:prstDash val="solid"/>
            </a:ln>
          </c:spPr>
          <c:marker>
            <c:symbol val="none"/>
          </c:marker>
          <c:cat>
            <c:numRef>
              <c:f>'Státní rozpočet 1'!$B$52:$O$52</c:f>
              <c:numCache>
                <c:formatCode>General</c:formatCod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</c:numCache>
            </c:numRef>
          </c:cat>
          <c:val>
            <c:numRef>
              <c:f>'Státní rozpočet 1'!$B$54:$O$54</c:f>
              <c:numCache>
                <c:formatCode>0.0</c:formatCode>
                <c:ptCount val="14"/>
                <c:pt idx="0">
                  <c:v>19.899999999999999</c:v>
                </c:pt>
                <c:pt idx="1">
                  <c:v>5</c:v>
                </c:pt>
                <c:pt idx="2">
                  <c:v>4.3</c:v>
                </c:pt>
                <c:pt idx="3">
                  <c:v>-0.98070230939574732</c:v>
                </c:pt>
                <c:pt idx="4">
                  <c:v>-13.322683706070302</c:v>
                </c:pt>
                <c:pt idx="5">
                  <c:v>28.603022484334673</c:v>
                </c:pt>
                <c:pt idx="6">
                  <c:v>-3.6113499570077332</c:v>
                </c:pt>
                <c:pt idx="7">
                  <c:v>9.5450490633363074</c:v>
                </c:pt>
                <c:pt idx="8">
                  <c:v>9.9077090119435525</c:v>
                </c:pt>
                <c:pt idx="9">
                  <c:v>13.879970363052593</c:v>
                </c:pt>
                <c:pt idx="10">
                  <c:v>-27.998265018434193</c:v>
                </c:pt>
                <c:pt idx="11">
                  <c:v>8.1626506024097125</c:v>
                </c:pt>
                <c:pt idx="12">
                  <c:v>2.339181286549703</c:v>
                </c:pt>
                <c:pt idx="13">
                  <c:v>3.4013605442177002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8CF-450B-A681-D8C3DE70496E}"/>
            </c:ext>
          </c:extLst>
        </c:ser>
        <c:ser>
          <c:idx val="3"/>
          <c:order val="2"/>
          <c:tx>
            <c:strRef>
              <c:f>'Státní rozpočet 1'!$A$55</c:f>
              <c:strCache>
                <c:ptCount val="1"/>
                <c:pt idx="0">
                  <c:v>Daně z příjmů FO ze závislé činnosti</c:v>
                </c:pt>
              </c:strCache>
            </c:strRef>
          </c:tx>
          <c:spPr>
            <a:ln w="19050">
              <a:solidFill>
                <a:srgbClr val="0071BC"/>
              </a:solidFill>
              <a:prstDash val="solid"/>
            </a:ln>
          </c:spPr>
          <c:marker>
            <c:symbol val="none"/>
          </c:marker>
          <c:cat>
            <c:numRef>
              <c:f>'Státní rozpočet 1'!$B$52:$O$52</c:f>
              <c:numCache>
                <c:formatCode>General</c:formatCod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</c:numCache>
            </c:numRef>
          </c:cat>
          <c:val>
            <c:numRef>
              <c:f>'Státní rozpočet 1'!$B$55:$O$55</c:f>
              <c:numCache>
                <c:formatCode>0.0</c:formatCode>
                <c:ptCount val="14"/>
                <c:pt idx="0">
                  <c:v>6.9</c:v>
                </c:pt>
                <c:pt idx="1">
                  <c:v>4</c:v>
                </c:pt>
                <c:pt idx="2">
                  <c:v>9.1</c:v>
                </c:pt>
                <c:pt idx="3">
                  <c:v>1.2636612021857589</c:v>
                </c:pt>
                <c:pt idx="4">
                  <c:v>-4.5531197301854665</c:v>
                </c:pt>
                <c:pt idx="5">
                  <c:v>-1.7314487632508817</c:v>
                </c:pt>
                <c:pt idx="6">
                  <c:v>3.8475368572456135</c:v>
                </c:pt>
                <c:pt idx="7">
                  <c:v>3.8781163434903192</c:v>
                </c:pt>
                <c:pt idx="8">
                  <c:v>4.5000000000000142</c:v>
                </c:pt>
                <c:pt idx="9">
                  <c:v>0.76555023923444365</c:v>
                </c:pt>
                <c:pt idx="10">
                  <c:v>1.7727128838239861</c:v>
                </c:pt>
                <c:pt idx="11">
                  <c:v>8.2426127527216249</c:v>
                </c:pt>
                <c:pt idx="12">
                  <c:v>10.287356321839098</c:v>
                </c:pt>
                <c:pt idx="13">
                  <c:v>15.398645127670662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8CF-450B-A681-D8C3DE70496E}"/>
            </c:ext>
          </c:extLst>
        </c:ser>
        <c:ser>
          <c:idx val="4"/>
          <c:order val="3"/>
          <c:tx>
            <c:strRef>
              <c:f>'Státní rozpočet 1'!$A$56</c:f>
              <c:strCache>
                <c:ptCount val="1"/>
                <c:pt idx="0">
                  <c:v>Daně z příjmů PO</c:v>
                </c:pt>
              </c:strCache>
            </c:strRef>
          </c:tx>
          <c:spPr>
            <a:ln w="19050">
              <a:noFill/>
            </a:ln>
          </c:spPr>
          <c:marker>
            <c:symbol val="diamond"/>
            <c:size val="6"/>
            <c:spPr>
              <a:solidFill>
                <a:srgbClr val="984807"/>
              </a:solidFill>
              <a:ln>
                <a:noFill/>
              </a:ln>
            </c:spPr>
          </c:marker>
          <c:cat>
            <c:numRef>
              <c:f>'Státní rozpočet 1'!$B$52:$O$52</c:f>
              <c:numCache>
                <c:formatCode>General</c:formatCod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</c:numCache>
            </c:numRef>
          </c:cat>
          <c:val>
            <c:numRef>
              <c:f>'Státní rozpočet 1'!$B$56:$O$56</c:f>
              <c:numCache>
                <c:formatCode>0.0</c:formatCode>
                <c:ptCount val="14"/>
                <c:pt idx="0">
                  <c:v>17.3</c:v>
                </c:pt>
                <c:pt idx="1">
                  <c:v>18.100000000000001</c:v>
                </c:pt>
                <c:pt idx="2">
                  <c:v>2.1</c:v>
                </c:pt>
                <c:pt idx="3">
                  <c:v>18.382591750568206</c:v>
                </c:pt>
                <c:pt idx="4">
                  <c:v>-14.074074074074073</c:v>
                </c:pt>
                <c:pt idx="5">
                  <c:v>-3.1928480204342587E-2</c:v>
                </c:pt>
                <c:pt idx="6">
                  <c:v>-8.6234429894602567</c:v>
                </c:pt>
                <c:pt idx="7">
                  <c:v>-0.66410346032855383</c:v>
                </c:pt>
                <c:pt idx="8">
                  <c:v>-0.49261083743842032</c:v>
                </c:pt>
                <c:pt idx="9">
                  <c:v>2.5813295615276259</c:v>
                </c:pt>
                <c:pt idx="10">
                  <c:v>7.2388831437435694</c:v>
                </c:pt>
                <c:pt idx="11">
                  <c:v>12.600450016072022</c:v>
                </c:pt>
                <c:pt idx="12">
                  <c:v>10.248358549814302</c:v>
                </c:pt>
                <c:pt idx="13">
                  <c:v>1.1651993785603452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8CF-450B-A681-D8C3DE70496E}"/>
            </c:ext>
          </c:extLst>
        </c:ser>
        <c:marker val="1"/>
        <c:axId val="103590144"/>
        <c:axId val="103776640"/>
      </c:lineChart>
      <c:catAx>
        <c:axId val="103590144"/>
        <c:scaling>
          <c:orientation val="minMax"/>
        </c:scaling>
        <c:axPos val="b"/>
        <c:numFmt formatCode="General" sourceLinked="1"/>
        <c:tickLblPos val="low"/>
        <c:spPr>
          <a:ln>
            <a:solidFill>
              <a:schemeClr val="tx1"/>
            </a:solidFill>
          </a:ln>
        </c:spPr>
        <c:crossAx val="103776640"/>
        <c:crosses val="autoZero"/>
        <c:auto val="1"/>
        <c:lblAlgn val="ctr"/>
        <c:lblOffset val="0"/>
      </c:catAx>
      <c:valAx>
        <c:axId val="103776640"/>
        <c:scaling>
          <c:orientation val="minMax"/>
          <c:max val="50"/>
          <c:min val="-50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>
            <a:solidFill>
              <a:schemeClr val="tx1"/>
            </a:solidFill>
          </a:ln>
        </c:spPr>
        <c:crossAx val="103590144"/>
        <c:crosses val="autoZero"/>
        <c:crossBetween val="between"/>
        <c:majorUnit val="5"/>
      </c:valAx>
      <c:valAx>
        <c:axId val="103779712"/>
        <c:scaling>
          <c:orientation val="minMax"/>
          <c:max val="50"/>
          <c:min val="-50"/>
        </c:scaling>
        <c:axPos val="r"/>
        <c:numFmt formatCode="#,##0" sourceLinked="0"/>
        <c:tickLblPos val="nextTo"/>
        <c:crossAx val="104621184"/>
        <c:crosses val="max"/>
        <c:crossBetween val="between"/>
        <c:majorUnit val="10"/>
      </c:valAx>
      <c:catAx>
        <c:axId val="104621184"/>
        <c:scaling>
          <c:orientation val="minMax"/>
        </c:scaling>
        <c:delete val="1"/>
        <c:axPos val="b"/>
        <c:numFmt formatCode="General" sourceLinked="1"/>
        <c:tickLblPos val="none"/>
        <c:crossAx val="103779712"/>
        <c:crosses val="autoZero"/>
        <c:auto val="1"/>
        <c:lblAlgn val="ctr"/>
        <c:lblOffset val="100"/>
      </c:cat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5.1878156565656246E-2"/>
          <c:y val="0.87269019274377924"/>
          <c:w val="0.88108922558922553"/>
          <c:h val="0.12011026077097522"/>
        </c:manualLayout>
      </c:layout>
      <c:spPr>
        <a:ln w="6350">
          <a:solidFill>
            <a:schemeClr val="tx1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5.3654503640965086E-2"/>
          <c:y val="1.7112323287741892E-2"/>
          <c:w val="0.88571919735113291"/>
          <c:h val="0.77159886555756463"/>
        </c:manualLayout>
      </c:layout>
      <c:barChart>
        <c:barDir val="col"/>
        <c:grouping val="clustered"/>
        <c:ser>
          <c:idx val="0"/>
          <c:order val="0"/>
          <c:tx>
            <c:strRef>
              <c:f>'Státní rozpočet 3'!$B$54</c:f>
              <c:strCache>
                <c:ptCount val="1"/>
                <c:pt idx="0">
                  <c:v>Běžné výdaje (pravá osa)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noFill/>
            </a:ln>
          </c:spPr>
          <c:cat>
            <c:numRef>
              <c:f>'Státní rozpočet 3'!$A$55:$A$68</c:f>
              <c:numCache>
                <c:formatCode>General</c:formatCod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</c:numCache>
            </c:numRef>
          </c:cat>
          <c:val>
            <c:numRef>
              <c:f>'Státní rozpočet 3'!$B$55:$B$68</c:f>
              <c:numCache>
                <c:formatCode>0.0</c:formatCode>
                <c:ptCount val="14"/>
                <c:pt idx="0">
                  <c:v>192.453</c:v>
                </c:pt>
                <c:pt idx="1">
                  <c:v>210.25</c:v>
                </c:pt>
                <c:pt idx="2">
                  <c:v>220.65</c:v>
                </c:pt>
                <c:pt idx="3">
                  <c:v>251.64</c:v>
                </c:pt>
                <c:pt idx="4">
                  <c:v>242.03</c:v>
                </c:pt>
                <c:pt idx="5">
                  <c:v>262.01</c:v>
                </c:pt>
                <c:pt idx="6">
                  <c:v>252.45000000000007</c:v>
                </c:pt>
                <c:pt idx="7">
                  <c:v>258.94</c:v>
                </c:pt>
                <c:pt idx="8">
                  <c:v>261.20999999999964</c:v>
                </c:pt>
                <c:pt idx="9">
                  <c:v>265.72000000000003</c:v>
                </c:pt>
                <c:pt idx="10">
                  <c:v>274.76</c:v>
                </c:pt>
                <c:pt idx="11">
                  <c:v>278.33</c:v>
                </c:pt>
                <c:pt idx="12">
                  <c:v>296.72000000000003</c:v>
                </c:pt>
                <c:pt idx="13">
                  <c:v>317.72000000000003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A62-4E99-9AA7-BBDACA10A35D}"/>
            </c:ext>
          </c:extLst>
        </c:ser>
        <c:gapWidth val="70"/>
        <c:axId val="103975552"/>
        <c:axId val="103974016"/>
      </c:barChart>
      <c:lineChart>
        <c:grouping val="standard"/>
        <c:ser>
          <c:idx val="1"/>
          <c:order val="1"/>
          <c:tx>
            <c:strRef>
              <c:f>'Státní rozpočet 3'!$C$54</c:f>
              <c:strCache>
                <c:ptCount val="1"/>
                <c:pt idx="0">
                  <c:v>Platy státních zaměstnanců</c:v>
                </c:pt>
              </c:strCache>
            </c:strRef>
          </c:tx>
          <c:spPr>
            <a:ln w="19050">
              <a:solidFill>
                <a:srgbClr val="984807"/>
              </a:solidFill>
            </a:ln>
          </c:spPr>
          <c:marker>
            <c:symbol val="none"/>
          </c:marker>
          <c:cat>
            <c:numRef>
              <c:f>'Státní rozpočet 3'!$A$55:$A$68</c:f>
              <c:numCache>
                <c:formatCode>General</c:formatCod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</c:numCache>
            </c:numRef>
          </c:cat>
          <c:val>
            <c:numRef>
              <c:f>'Státní rozpočet 3'!$C$55:$C$68</c:f>
              <c:numCache>
                <c:formatCode>0.0</c:formatCode>
                <c:ptCount val="14"/>
                <c:pt idx="0">
                  <c:v>13.224</c:v>
                </c:pt>
                <c:pt idx="1">
                  <c:v>13.83</c:v>
                </c:pt>
                <c:pt idx="2">
                  <c:v>14.850000000000026</c:v>
                </c:pt>
                <c:pt idx="3">
                  <c:v>14.73</c:v>
                </c:pt>
                <c:pt idx="4">
                  <c:v>15.14</c:v>
                </c:pt>
                <c:pt idx="5">
                  <c:v>15.42</c:v>
                </c:pt>
                <c:pt idx="6">
                  <c:v>14.05</c:v>
                </c:pt>
                <c:pt idx="7">
                  <c:v>14.350000000000026</c:v>
                </c:pt>
                <c:pt idx="8">
                  <c:v>14.46</c:v>
                </c:pt>
                <c:pt idx="9">
                  <c:v>14.8</c:v>
                </c:pt>
                <c:pt idx="10">
                  <c:v>15.8</c:v>
                </c:pt>
                <c:pt idx="11">
                  <c:v>16.75</c:v>
                </c:pt>
                <c:pt idx="12">
                  <c:v>17.75</c:v>
                </c:pt>
                <c:pt idx="13">
                  <c:v>20.36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A62-4E99-9AA7-BBDACA10A35D}"/>
            </c:ext>
          </c:extLst>
        </c:ser>
        <c:ser>
          <c:idx val="6"/>
          <c:order val="2"/>
          <c:tx>
            <c:strRef>
              <c:f>'Státní rozpočet 3'!$D$54</c:f>
              <c:strCache>
                <c:ptCount val="1"/>
                <c:pt idx="0">
                  <c:v>Podpora v nezaměstnanosti</c:v>
                </c:pt>
              </c:strCache>
            </c:strRef>
          </c:tx>
          <c:spPr>
            <a:ln w="19050">
              <a:solidFill>
                <a:srgbClr val="11AEE7"/>
              </a:solidFill>
            </a:ln>
          </c:spPr>
          <c:marker>
            <c:symbol val="none"/>
          </c:marker>
          <c:cat>
            <c:numRef>
              <c:f>'Státní rozpočet 3'!$A$55:$A$68</c:f>
              <c:numCache>
                <c:formatCode>General</c:formatCod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</c:numCache>
            </c:numRef>
          </c:cat>
          <c:val>
            <c:numRef>
              <c:f>'Státní rozpočet 3'!$D$55:$D$68</c:f>
              <c:numCache>
                <c:formatCode>0.0</c:formatCode>
                <c:ptCount val="14"/>
                <c:pt idx="0">
                  <c:v>1.903</c:v>
                </c:pt>
                <c:pt idx="1">
                  <c:v>2.0099999999999998</c:v>
                </c:pt>
                <c:pt idx="2">
                  <c:v>2.0099999999999998</c:v>
                </c:pt>
                <c:pt idx="3">
                  <c:v>1.87</c:v>
                </c:pt>
                <c:pt idx="4">
                  <c:v>3.07</c:v>
                </c:pt>
                <c:pt idx="5">
                  <c:v>4.21</c:v>
                </c:pt>
                <c:pt idx="6">
                  <c:v>3.62</c:v>
                </c:pt>
                <c:pt idx="7">
                  <c:v>2.63</c:v>
                </c:pt>
                <c:pt idx="8">
                  <c:v>2.82</c:v>
                </c:pt>
                <c:pt idx="9">
                  <c:v>2.86</c:v>
                </c:pt>
                <c:pt idx="10">
                  <c:v>2.56</c:v>
                </c:pt>
                <c:pt idx="11">
                  <c:v>2.4499999999999997</c:v>
                </c:pt>
                <c:pt idx="12">
                  <c:v>2.42</c:v>
                </c:pt>
                <c:pt idx="13">
                  <c:v>2.21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A62-4E99-9AA7-BBDACA10A35D}"/>
            </c:ext>
          </c:extLst>
        </c:ser>
        <c:ser>
          <c:idx val="2"/>
          <c:order val="3"/>
          <c:tx>
            <c:strRef>
              <c:f>'Státní rozpočet 3'!$E$54</c:f>
              <c:strCache>
                <c:ptCount val="1"/>
                <c:pt idx="0">
                  <c:v>Státní sociální podpora*</c:v>
                </c:pt>
              </c:strCache>
            </c:strRef>
          </c:tx>
          <c:spPr>
            <a:ln w="19050">
              <a:solidFill>
                <a:srgbClr val="0071BC"/>
              </a:solidFill>
            </a:ln>
          </c:spPr>
          <c:marker>
            <c:symbol val="none"/>
          </c:marker>
          <c:cat>
            <c:numRef>
              <c:f>'Státní rozpočet 3'!$A$55:$A$68</c:f>
              <c:numCache>
                <c:formatCode>General</c:formatCod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</c:numCache>
            </c:numRef>
          </c:cat>
          <c:val>
            <c:numRef>
              <c:f>'Státní rozpočet 3'!$E$55:$E$68</c:f>
              <c:numCache>
                <c:formatCode>General</c:formatCode>
                <c:ptCount val="14"/>
                <c:pt idx="0" formatCode="0.00">
                  <c:v>8.2420000000000009</c:v>
                </c:pt>
                <c:pt idx="1">
                  <c:v>8.39</c:v>
                </c:pt>
                <c:pt idx="2">
                  <c:v>11.18</c:v>
                </c:pt>
                <c:pt idx="3">
                  <c:v>11.07</c:v>
                </c:pt>
                <c:pt idx="4">
                  <c:v>10.200000000000001</c:v>
                </c:pt>
                <c:pt idx="5">
                  <c:v>10.3</c:v>
                </c:pt>
                <c:pt idx="6">
                  <c:v>9.3800000000000008</c:v>
                </c:pt>
                <c:pt idx="7">
                  <c:v>8.89</c:v>
                </c:pt>
                <c:pt idx="8">
                  <c:v>9.2200000000000006</c:v>
                </c:pt>
                <c:pt idx="9">
                  <c:v>9.3700000000000028</c:v>
                </c:pt>
                <c:pt idx="10">
                  <c:v>9.33</c:v>
                </c:pt>
                <c:pt idx="11">
                  <c:v>9.3800000000000008</c:v>
                </c:pt>
                <c:pt idx="12">
                  <c:v>9.2900000000000009</c:v>
                </c:pt>
                <c:pt idx="13">
                  <c:v>9.5300000000000011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A62-4E99-9AA7-BBDACA10A35D}"/>
            </c:ext>
          </c:extLst>
        </c:ser>
        <c:ser>
          <c:idx val="3"/>
          <c:order val="4"/>
          <c:tx>
            <c:strRef>
              <c:f>'Státní rozpočet 3'!$F$54</c:f>
              <c:strCache>
                <c:ptCount val="1"/>
                <c:pt idx="0">
                  <c:v>Dávky nemocenského pojištění</c:v>
                </c:pt>
              </c:strCache>
            </c:strRef>
          </c:tx>
          <c:spPr>
            <a:ln w="19050">
              <a:solidFill>
                <a:srgbClr val="7030A0"/>
              </a:solidFill>
            </a:ln>
          </c:spPr>
          <c:marker>
            <c:symbol val="none"/>
          </c:marker>
          <c:cat>
            <c:numRef>
              <c:f>'Státní rozpočet 3'!$A$55:$A$68</c:f>
              <c:numCache>
                <c:formatCode>General</c:formatCod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</c:numCache>
            </c:numRef>
          </c:cat>
          <c:val>
            <c:numRef>
              <c:f>'Státní rozpočet 3'!$F$55:$F$68</c:f>
              <c:numCache>
                <c:formatCode>0.00</c:formatCode>
                <c:ptCount val="14"/>
                <c:pt idx="0">
                  <c:v>8.9</c:v>
                </c:pt>
                <c:pt idx="1">
                  <c:v>9.6</c:v>
                </c:pt>
                <c:pt idx="2">
                  <c:v>9.6080000000000005</c:v>
                </c:pt>
                <c:pt idx="3">
                  <c:v>9.09</c:v>
                </c:pt>
                <c:pt idx="4">
                  <c:v>7.2700000000000014</c:v>
                </c:pt>
                <c:pt idx="5">
                  <c:v>6.07</c:v>
                </c:pt>
                <c:pt idx="6">
                  <c:v>6.07</c:v>
                </c:pt>
                <c:pt idx="7">
                  <c:v>5.21</c:v>
                </c:pt>
                <c:pt idx="8">
                  <c:v>5.3</c:v>
                </c:pt>
                <c:pt idx="9">
                  <c:v>5.4700000000000024</c:v>
                </c:pt>
                <c:pt idx="10">
                  <c:v>6.21</c:v>
                </c:pt>
                <c:pt idx="11">
                  <c:v>6.67</c:v>
                </c:pt>
                <c:pt idx="12">
                  <c:v>7.4700000000000024</c:v>
                </c:pt>
                <c:pt idx="13">
                  <c:v>8.2900000000000009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A62-4E99-9AA7-BBDACA10A35D}"/>
            </c:ext>
          </c:extLst>
        </c:ser>
        <c:ser>
          <c:idx val="4"/>
          <c:order val="5"/>
          <c:tx>
            <c:strRef>
              <c:f>'Státní rozpočet 3'!$G$54</c:f>
              <c:strCache>
                <c:ptCount val="1"/>
                <c:pt idx="0">
                  <c:v>Dávky sociální péče**</c:v>
                </c:pt>
              </c:strCache>
            </c:strRef>
          </c:tx>
          <c:spPr>
            <a:ln w="19050">
              <a:solidFill>
                <a:srgbClr val="7DBB2D"/>
              </a:solidFill>
            </a:ln>
          </c:spPr>
          <c:marker>
            <c:symbol val="none"/>
          </c:marker>
          <c:cat>
            <c:numRef>
              <c:f>'Státní rozpočet 3'!$A$55:$A$68</c:f>
              <c:numCache>
                <c:formatCode>General</c:formatCod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</c:numCache>
            </c:numRef>
          </c:cat>
          <c:val>
            <c:numRef>
              <c:f>'Státní rozpočet 3'!$G$55:$G$68</c:f>
              <c:numCache>
                <c:formatCode>General</c:formatCode>
                <c:ptCount val="14"/>
                <c:pt idx="2" formatCode="0.00">
                  <c:v>8.8000000000000007</c:v>
                </c:pt>
                <c:pt idx="3" formatCode="0.00">
                  <c:v>7.8000000000000007</c:v>
                </c:pt>
                <c:pt idx="4" formatCode="0.00">
                  <c:v>7.1</c:v>
                </c:pt>
                <c:pt idx="5" formatCode="0.00">
                  <c:v>7.1999999999999975</c:v>
                </c:pt>
                <c:pt idx="6" formatCode="0.00">
                  <c:v>6.68</c:v>
                </c:pt>
                <c:pt idx="7" formatCode="0.00">
                  <c:v>6.37</c:v>
                </c:pt>
                <c:pt idx="8" formatCode="0.00">
                  <c:v>7.64</c:v>
                </c:pt>
                <c:pt idx="9" formatCode="0.00">
                  <c:v>8.2100000000000009</c:v>
                </c:pt>
                <c:pt idx="10" formatCode="0.00">
                  <c:v>8.44</c:v>
                </c:pt>
                <c:pt idx="11" formatCode="0.00">
                  <c:v>8.34</c:v>
                </c:pt>
                <c:pt idx="12" formatCode="0.00">
                  <c:v>8.8500000000000068</c:v>
                </c:pt>
                <c:pt idx="13" formatCode="0.00">
                  <c:v>8.48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8A62-4E99-9AA7-BBDACA10A35D}"/>
            </c:ext>
          </c:extLst>
        </c:ser>
        <c:ser>
          <c:idx val="5"/>
          <c:order val="6"/>
          <c:tx>
            <c:strRef>
              <c:f>'Státní rozpočet 3'!$H$54</c:f>
              <c:strCache>
                <c:ptCount val="1"/>
                <c:pt idx="0">
                  <c:v>Státní dluh (čisté výdaje)***</c:v>
                </c:pt>
              </c:strCache>
            </c:strRef>
          </c:tx>
          <c:spPr>
            <a:ln w="19050">
              <a:solidFill>
                <a:srgbClr val="F8A124"/>
              </a:solidFill>
            </a:ln>
          </c:spPr>
          <c:marker>
            <c:symbol val="none"/>
          </c:marker>
          <c:cat>
            <c:numRef>
              <c:f>'Státní rozpočet 3'!$A$55:$A$68</c:f>
              <c:numCache>
                <c:formatCode>General</c:formatCod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</c:numCache>
            </c:numRef>
          </c:cat>
          <c:val>
            <c:numRef>
              <c:f>'Státní rozpočet 3'!$H$55:$H$68</c:f>
              <c:numCache>
                <c:formatCode>0.0</c:formatCode>
                <c:ptCount val="14"/>
                <c:pt idx="0">
                  <c:v>9.4450000000000003</c:v>
                </c:pt>
                <c:pt idx="1">
                  <c:v>9.64</c:v>
                </c:pt>
                <c:pt idx="2">
                  <c:v>8.620000000000001</c:v>
                </c:pt>
                <c:pt idx="3">
                  <c:v>6.4700000000000024</c:v>
                </c:pt>
                <c:pt idx="4">
                  <c:v>7.31</c:v>
                </c:pt>
                <c:pt idx="5">
                  <c:v>2.6399999999999997</c:v>
                </c:pt>
                <c:pt idx="6">
                  <c:v>3.4000000000000004</c:v>
                </c:pt>
                <c:pt idx="7">
                  <c:v>1.54</c:v>
                </c:pt>
                <c:pt idx="8">
                  <c:v>2.2599999999999998</c:v>
                </c:pt>
                <c:pt idx="9">
                  <c:v>2.13</c:v>
                </c:pt>
                <c:pt idx="10">
                  <c:v>0.96999999999999975</c:v>
                </c:pt>
                <c:pt idx="11">
                  <c:v>3.13</c:v>
                </c:pt>
                <c:pt idx="12">
                  <c:v>-0.31000000000000233</c:v>
                </c:pt>
                <c:pt idx="13">
                  <c:v>2.06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8A62-4E99-9AA7-BBDACA10A35D}"/>
            </c:ext>
          </c:extLst>
        </c:ser>
        <c:ser>
          <c:idx val="8"/>
          <c:order val="7"/>
          <c:tx>
            <c:strRef>
              <c:f>'Státní rozpočet 3'!$I$54</c:f>
              <c:strCache>
                <c:ptCount val="1"/>
                <c:pt idx="0">
                  <c:v>Kapitálové výdaje</c:v>
                </c:pt>
              </c:strCache>
            </c:strRef>
          </c:tx>
          <c:spPr>
            <a:ln w="19050">
              <a:solidFill>
                <a:schemeClr val="tx1">
                  <a:lumMod val="95000"/>
                  <a:lumOff val="5000"/>
                </a:schemeClr>
              </a:solidFill>
              <a:prstDash val="sysDash"/>
            </a:ln>
          </c:spPr>
          <c:marker>
            <c:symbol val="none"/>
          </c:marker>
          <c:cat>
            <c:numRef>
              <c:f>'Státní rozpočet 3'!$A$55:$A$68</c:f>
              <c:numCache>
                <c:formatCode>General</c:formatCod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</c:numCache>
            </c:numRef>
          </c:cat>
          <c:val>
            <c:numRef>
              <c:f>'Státní rozpočet 3'!$I$55:$I$68</c:f>
              <c:numCache>
                <c:formatCode>0.0</c:formatCode>
                <c:ptCount val="14"/>
                <c:pt idx="0">
                  <c:v>6.1209999999999845</c:v>
                </c:pt>
                <c:pt idx="1">
                  <c:v>9.93</c:v>
                </c:pt>
                <c:pt idx="2">
                  <c:v>10.07</c:v>
                </c:pt>
                <c:pt idx="3">
                  <c:v>31.85</c:v>
                </c:pt>
                <c:pt idx="4">
                  <c:v>31.88</c:v>
                </c:pt>
                <c:pt idx="5">
                  <c:v>33.1</c:v>
                </c:pt>
                <c:pt idx="6">
                  <c:v>26.12</c:v>
                </c:pt>
                <c:pt idx="7">
                  <c:v>22.19</c:v>
                </c:pt>
                <c:pt idx="8">
                  <c:v>17.690000000000001</c:v>
                </c:pt>
                <c:pt idx="9">
                  <c:v>14.93</c:v>
                </c:pt>
                <c:pt idx="10">
                  <c:v>19.779999999999987</c:v>
                </c:pt>
                <c:pt idx="11">
                  <c:v>20.02</c:v>
                </c:pt>
                <c:pt idx="12">
                  <c:v>6.2700000000000014</c:v>
                </c:pt>
                <c:pt idx="13">
                  <c:v>11.72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8A62-4E99-9AA7-BBDACA10A35D}"/>
            </c:ext>
          </c:extLst>
        </c:ser>
        <c:marker val="1"/>
        <c:axId val="103966592"/>
        <c:axId val="103968128"/>
      </c:lineChart>
      <c:catAx>
        <c:axId val="103966592"/>
        <c:scaling>
          <c:orientation val="minMax"/>
        </c:scaling>
        <c:axPos val="b"/>
        <c:numFmt formatCode="General" sourceLinked="1"/>
        <c:tickLblPos val="low"/>
        <c:spPr>
          <a:ln>
            <a:solidFill>
              <a:schemeClr val="bg1">
                <a:lumMod val="50000"/>
              </a:schemeClr>
            </a:solidFill>
          </a:ln>
        </c:spPr>
        <c:crossAx val="103968128"/>
        <c:crosses val="autoZero"/>
        <c:auto val="1"/>
        <c:lblAlgn val="ctr"/>
        <c:lblOffset val="20"/>
      </c:catAx>
      <c:valAx>
        <c:axId val="103968128"/>
        <c:scaling>
          <c:orientation val="minMax"/>
          <c:max val="33"/>
          <c:min val="0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>
            <a:solidFill>
              <a:schemeClr val="tx1"/>
            </a:solidFill>
          </a:ln>
        </c:spPr>
        <c:crossAx val="103966592"/>
        <c:crosses val="autoZero"/>
        <c:crossBetween val="between"/>
        <c:majorUnit val="3"/>
      </c:valAx>
      <c:valAx>
        <c:axId val="103974016"/>
        <c:scaling>
          <c:orientation val="minMax"/>
          <c:max val="330"/>
          <c:min val="0"/>
        </c:scaling>
        <c:axPos val="r"/>
        <c:numFmt formatCode="0" sourceLinked="0"/>
        <c:tickLblPos val="nextTo"/>
        <c:spPr>
          <a:ln>
            <a:solidFill>
              <a:schemeClr val="tx1"/>
            </a:solidFill>
          </a:ln>
        </c:spPr>
        <c:crossAx val="103975552"/>
        <c:crosses val="max"/>
        <c:crossBetween val="between"/>
        <c:majorUnit val="30"/>
      </c:valAx>
      <c:catAx>
        <c:axId val="103975552"/>
        <c:scaling>
          <c:orientation val="minMax"/>
        </c:scaling>
        <c:delete val="1"/>
        <c:axPos val="b"/>
        <c:numFmt formatCode="General" sourceLinked="1"/>
        <c:tickLblPos val="none"/>
        <c:crossAx val="103974016"/>
        <c:crosses val="autoZero"/>
        <c:auto val="1"/>
        <c:lblAlgn val="ctr"/>
        <c:lblOffset val="100"/>
      </c:cat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5.5741128971108313E-2"/>
          <c:y val="0.84499966462057796"/>
          <c:w val="0.87022442515825205"/>
          <c:h val="0.14606204347549726"/>
        </c:manualLayout>
      </c:layout>
      <c:spPr>
        <a:ln w="6350">
          <a:solidFill>
            <a:schemeClr val="tx1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6.1857900718404552E-2"/>
          <c:y val="1.544165056508486E-2"/>
          <c:w val="0.86053409090909083"/>
          <c:h val="0.79972056504783351"/>
        </c:manualLayout>
      </c:layout>
      <c:barChart>
        <c:barDir val="col"/>
        <c:grouping val="clustered"/>
        <c:ser>
          <c:idx val="4"/>
          <c:order val="4"/>
          <c:tx>
            <c:strRef>
              <c:f>'Státní rozpočet 4'!$F$22</c:f>
              <c:strCache>
                <c:ptCount val="1"/>
                <c:pt idx="0">
                  <c:v>Saldo příjmů a výdajů (pravá osa)</c:v>
                </c:pt>
              </c:strCache>
            </c:strRef>
          </c:tx>
          <c:spPr>
            <a:solidFill>
              <a:srgbClr val="BFBFBF"/>
            </a:solidFill>
            <a:ln>
              <a:noFill/>
            </a:ln>
          </c:spPr>
          <c:cat>
            <c:numRef>
              <c:f>'Státní rozpočet 4'!$A$23:$A$36</c:f>
              <c:numCache>
                <c:formatCode>General</c:formatCod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</c:numCache>
            </c:numRef>
          </c:cat>
          <c:val>
            <c:numRef>
              <c:f>'Státní rozpočet 4'!$F$23:$F$36</c:f>
              <c:numCache>
                <c:formatCode>0.0</c:formatCode>
                <c:ptCount val="14"/>
                <c:pt idx="0">
                  <c:v>-2.9710000000000027</c:v>
                </c:pt>
                <c:pt idx="1">
                  <c:v>-6.6470000000000056</c:v>
                </c:pt>
                <c:pt idx="2">
                  <c:v>-0.47000000000000008</c:v>
                </c:pt>
                <c:pt idx="3">
                  <c:v>3.039999999999992</c:v>
                </c:pt>
                <c:pt idx="4">
                  <c:v>-1.9699999999999978</c:v>
                </c:pt>
                <c:pt idx="5">
                  <c:v>-10.360000000000024</c:v>
                </c:pt>
                <c:pt idx="6">
                  <c:v>-13.05</c:v>
                </c:pt>
                <c:pt idx="7">
                  <c:v>-13.510000000000005</c:v>
                </c:pt>
                <c:pt idx="8">
                  <c:v>-7.9300000000000104</c:v>
                </c:pt>
                <c:pt idx="9">
                  <c:v>-5.0800000000000125</c:v>
                </c:pt>
                <c:pt idx="10">
                  <c:v>-3.6500000000000057</c:v>
                </c:pt>
                <c:pt idx="11">
                  <c:v>-5.3399999999999892</c:v>
                </c:pt>
                <c:pt idx="12">
                  <c:v>-4.2399999999999984</c:v>
                </c:pt>
                <c:pt idx="13">
                  <c:v>0.23000000000000398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3FD-442D-9869-CDD87C3A0B35}"/>
            </c:ext>
          </c:extLst>
        </c:ser>
        <c:gapWidth val="43"/>
        <c:axId val="104027264"/>
        <c:axId val="104017280"/>
      </c:barChart>
      <c:lineChart>
        <c:grouping val="standard"/>
        <c:ser>
          <c:idx val="2"/>
          <c:order val="0"/>
          <c:tx>
            <c:strRef>
              <c:f>'Státní rozpočet 4'!$B$22</c:f>
              <c:strCache>
                <c:ptCount val="1"/>
                <c:pt idx="0">
                  <c:v>Příjmy na důchody</c:v>
                </c:pt>
              </c:strCache>
            </c:strRef>
          </c:tx>
          <c:spPr>
            <a:ln w="22225">
              <a:solidFill>
                <a:srgbClr val="0071BC"/>
              </a:solidFill>
            </a:ln>
          </c:spPr>
          <c:marker>
            <c:symbol val="none"/>
          </c:marker>
          <c:cat>
            <c:numRef>
              <c:f>'Státní rozpočet 4'!$A$23:$A$36</c:f>
              <c:numCache>
                <c:formatCode>General</c:formatCod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</c:numCache>
            </c:numRef>
          </c:cat>
          <c:val>
            <c:numRef>
              <c:f>'Státní rozpočet 4'!$B$23:$B$36</c:f>
              <c:numCache>
                <c:formatCode>0.0</c:formatCode>
                <c:ptCount val="14"/>
                <c:pt idx="0">
                  <c:v>13.205080313784126</c:v>
                </c:pt>
                <c:pt idx="1">
                  <c:v>7.3750206236594664</c:v>
                </c:pt>
                <c:pt idx="2">
                  <c:v>9.7111247695143419</c:v>
                </c:pt>
                <c:pt idx="3">
                  <c:v>9.4677871148460522</c:v>
                </c:pt>
                <c:pt idx="4">
                  <c:v>3.1090071647901847</c:v>
                </c:pt>
                <c:pt idx="5">
                  <c:v>-5.8443975679364124</c:v>
                </c:pt>
                <c:pt idx="6">
                  <c:v>3.8218239325250347</c:v>
                </c:pt>
                <c:pt idx="7">
                  <c:v>3.6938309215536833</c:v>
                </c:pt>
                <c:pt idx="8">
                  <c:v>-0.55086301872934451</c:v>
                </c:pt>
                <c:pt idx="9">
                  <c:v>1.1939931068439193</c:v>
                </c:pt>
                <c:pt idx="10">
                  <c:v>5.7535579613185766</c:v>
                </c:pt>
                <c:pt idx="11">
                  <c:v>5.5440533701403467</c:v>
                </c:pt>
                <c:pt idx="12">
                  <c:v>6.9638186573670255</c:v>
                </c:pt>
                <c:pt idx="13">
                  <c:v>9.760570555272519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3FD-442D-9869-CDD87C3A0B35}"/>
            </c:ext>
          </c:extLst>
        </c:ser>
        <c:ser>
          <c:idx val="0"/>
          <c:order val="1"/>
          <c:tx>
            <c:strRef>
              <c:f>'Státní rozpočet 4'!$C$22</c:f>
              <c:strCache>
                <c:ptCount val="1"/>
                <c:pt idx="0">
                  <c:v>Příjemci důchodů celkem</c:v>
                </c:pt>
              </c:strCache>
            </c:strRef>
          </c:tx>
          <c:spPr>
            <a:ln w="19050">
              <a:solidFill>
                <a:srgbClr val="7DBB2D"/>
              </a:solidFill>
              <a:prstDash val="solid"/>
            </a:ln>
          </c:spPr>
          <c:marker>
            <c:symbol val="none"/>
          </c:marker>
          <c:cat>
            <c:numRef>
              <c:f>'Státní rozpočet 4'!$A$23:$A$36</c:f>
              <c:numCache>
                <c:formatCode>General</c:formatCod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</c:numCache>
            </c:numRef>
          </c:cat>
          <c:val>
            <c:numRef>
              <c:f>'Státní rozpočet 4'!$C$23:$C$36</c:f>
              <c:numCache>
                <c:formatCode>0.0</c:formatCode>
                <c:ptCount val="14"/>
                <c:pt idx="0">
                  <c:v>1.361891009431716</c:v>
                </c:pt>
                <c:pt idx="1">
                  <c:v>0.83226902558558091</c:v>
                </c:pt>
                <c:pt idx="2">
                  <c:v>1.3029945698195888</c:v>
                </c:pt>
                <c:pt idx="3">
                  <c:v>1.4568773673978086</c:v>
                </c:pt>
                <c:pt idx="4">
                  <c:v>1.193990994558618</c:v>
                </c:pt>
                <c:pt idx="5">
                  <c:v>1.3818377616083461</c:v>
                </c:pt>
                <c:pt idx="6">
                  <c:v>0.91653177571061706</c:v>
                </c:pt>
                <c:pt idx="7">
                  <c:v>1.6953636567439219</c:v>
                </c:pt>
                <c:pt idx="8">
                  <c:v>-0.29319651061673824</c:v>
                </c:pt>
                <c:pt idx="9">
                  <c:v>-0.14718651612241729</c:v>
                </c:pt>
                <c:pt idx="10">
                  <c:v>9.7627692544465183E-2</c:v>
                </c:pt>
                <c:pt idx="11">
                  <c:v>0.71823179321020003</c:v>
                </c:pt>
                <c:pt idx="12">
                  <c:v>0.19315347773409997</c:v>
                </c:pt>
                <c:pt idx="13">
                  <c:v>0.29673816570866363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3FD-442D-9869-CDD87C3A0B35}"/>
            </c:ext>
          </c:extLst>
        </c:ser>
        <c:ser>
          <c:idx val="3"/>
          <c:order val="2"/>
          <c:tx>
            <c:strRef>
              <c:f>'Státní rozpočet 4'!$D$22</c:f>
              <c:strCache>
                <c:ptCount val="1"/>
                <c:pt idx="0">
                  <c:v>Výdaje na důchody</c:v>
                </c:pt>
              </c:strCache>
            </c:strRef>
          </c:tx>
          <c:spPr>
            <a:ln w="22225">
              <a:solidFill>
                <a:srgbClr val="BD1B21"/>
              </a:solidFill>
            </a:ln>
          </c:spPr>
          <c:marker>
            <c:symbol val="none"/>
          </c:marker>
          <c:cat>
            <c:numRef>
              <c:f>'Státní rozpočet 4'!$A$23:$A$36</c:f>
              <c:numCache>
                <c:formatCode>General</c:formatCod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</c:numCache>
            </c:numRef>
          </c:cat>
          <c:val>
            <c:numRef>
              <c:f>'Státní rozpočet 4'!$D$23:$D$36</c:f>
              <c:numCache>
                <c:formatCode>0.0</c:formatCode>
                <c:ptCount val="14"/>
                <c:pt idx="0">
                  <c:v>11.655310480472018</c:v>
                </c:pt>
                <c:pt idx="1">
                  <c:v>12.812003585976974</c:v>
                </c:pt>
                <c:pt idx="2">
                  <c:v>0.19936704448812878</c:v>
                </c:pt>
                <c:pt idx="3">
                  <c:v>4.5220537080840444</c:v>
                </c:pt>
                <c:pt idx="4">
                  <c:v>9.9041533546325979</c:v>
                </c:pt>
                <c:pt idx="5">
                  <c:v>4.4573643410852455</c:v>
                </c:pt>
                <c:pt idx="6">
                  <c:v>6.4819109461966455</c:v>
                </c:pt>
                <c:pt idx="7">
                  <c:v>3.6698246760318085</c:v>
                </c:pt>
                <c:pt idx="8">
                  <c:v>-6.3340336134453707</c:v>
                </c:pt>
                <c:pt idx="9">
                  <c:v>-2.1083323987888352</c:v>
                </c:pt>
                <c:pt idx="10">
                  <c:v>3.7805017756902557</c:v>
                </c:pt>
                <c:pt idx="11">
                  <c:v>7.1862236449939534</c:v>
                </c:pt>
                <c:pt idx="12">
                  <c:v>5.4479917610710684</c:v>
                </c:pt>
                <c:pt idx="13">
                  <c:v>4.9907217501709198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3FD-442D-9869-CDD87C3A0B35}"/>
            </c:ext>
          </c:extLst>
        </c:ser>
        <c:ser>
          <c:idx val="1"/>
          <c:order val="3"/>
          <c:tx>
            <c:strRef>
              <c:f>'Státní rozpočet 4'!$E$22</c:f>
              <c:strCache>
                <c:ptCount val="1"/>
                <c:pt idx="0">
                  <c:v>  z toho starob. trvale krácených*</c:v>
                </c:pt>
              </c:strCache>
            </c:strRef>
          </c:tx>
          <c:spPr>
            <a:ln w="19050">
              <a:noFill/>
            </a:ln>
          </c:spPr>
          <c:marker>
            <c:symbol val="diamond"/>
            <c:size val="6"/>
            <c:spPr>
              <a:solidFill>
                <a:srgbClr val="7DBB2D"/>
              </a:solidFill>
              <a:ln>
                <a:noFill/>
              </a:ln>
            </c:spPr>
          </c:marker>
          <c:cat>
            <c:numRef>
              <c:f>'Státní rozpočet 4'!$A$23:$A$36</c:f>
              <c:numCache>
                <c:formatCode>General</c:formatCod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</c:numCache>
            </c:numRef>
          </c:cat>
          <c:val>
            <c:numRef>
              <c:f>'Státní rozpočet 4'!$E$23:$E$36</c:f>
              <c:numCache>
                <c:formatCode>0.0</c:formatCode>
                <c:ptCount val="14"/>
                <c:pt idx="0">
                  <c:v>4.9826926232793571</c:v>
                </c:pt>
                <c:pt idx="1">
                  <c:v>5.4332692314683859</c:v>
                </c:pt>
                <c:pt idx="2">
                  <c:v>9.2825200238597034</c:v>
                </c:pt>
                <c:pt idx="3">
                  <c:v>7.5172503005196214</c:v>
                </c:pt>
                <c:pt idx="4">
                  <c:v>7.4811386918718759</c:v>
                </c:pt>
                <c:pt idx="5">
                  <c:v>11.54800680370545</c:v>
                </c:pt>
                <c:pt idx="6">
                  <c:v>7.1493606939359093</c:v>
                </c:pt>
                <c:pt idx="7">
                  <c:v>16.525499225634789</c:v>
                </c:pt>
                <c:pt idx="8">
                  <c:v>3.5838415440981919</c:v>
                </c:pt>
                <c:pt idx="9">
                  <c:v>3.8474276359988977</c:v>
                </c:pt>
                <c:pt idx="10">
                  <c:v>4.1152833334851806</c:v>
                </c:pt>
                <c:pt idx="11">
                  <c:v>3.5115356273312397</c:v>
                </c:pt>
                <c:pt idx="12">
                  <c:v>2.7339489565912913</c:v>
                </c:pt>
                <c:pt idx="13">
                  <c:v>2.5435069220981887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3FD-442D-9869-CDD87C3A0B35}"/>
            </c:ext>
          </c:extLst>
        </c:ser>
        <c:marker val="1"/>
        <c:axId val="104013824"/>
        <c:axId val="104015744"/>
      </c:lineChart>
      <c:catAx>
        <c:axId val="104013824"/>
        <c:scaling>
          <c:orientation val="minMax"/>
        </c:scaling>
        <c:axPos val="b"/>
        <c:numFmt formatCode="General" sourceLinked="1"/>
        <c:tickLblPos val="low"/>
        <c:spPr>
          <a:ln>
            <a:solidFill>
              <a:sysClr val="window" lastClr="FFFFFF">
                <a:lumMod val="50000"/>
              </a:sysClr>
            </a:solidFill>
          </a:ln>
        </c:spPr>
        <c:crossAx val="104015744"/>
        <c:crossesAt val="0"/>
        <c:auto val="1"/>
        <c:lblAlgn val="ctr"/>
        <c:lblOffset val="0"/>
      </c:catAx>
      <c:valAx>
        <c:axId val="104015744"/>
        <c:scaling>
          <c:orientation val="minMax"/>
          <c:max val="18"/>
          <c:min val="-15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>
            <a:solidFill>
              <a:schemeClr val="tx1"/>
            </a:solidFill>
          </a:ln>
        </c:spPr>
        <c:crossAx val="104013824"/>
        <c:crosses val="autoZero"/>
        <c:crossBetween val="between"/>
        <c:majorUnit val="3"/>
      </c:valAx>
      <c:valAx>
        <c:axId val="104017280"/>
        <c:scaling>
          <c:orientation val="minMax"/>
          <c:max val="18"/>
          <c:min val="-15"/>
        </c:scaling>
        <c:axPos val="r"/>
        <c:numFmt formatCode="0" sourceLinked="0"/>
        <c:tickLblPos val="nextTo"/>
        <c:spPr>
          <a:ln>
            <a:solidFill>
              <a:schemeClr val="tx1"/>
            </a:solidFill>
          </a:ln>
        </c:spPr>
        <c:crossAx val="104027264"/>
        <c:crosses val="max"/>
        <c:crossBetween val="between"/>
        <c:majorUnit val="3"/>
      </c:valAx>
      <c:catAx>
        <c:axId val="104027264"/>
        <c:scaling>
          <c:orientation val="minMax"/>
        </c:scaling>
        <c:delete val="1"/>
        <c:axPos val="b"/>
        <c:numFmt formatCode="General" sourceLinked="1"/>
        <c:tickLblPos val="none"/>
        <c:crossAx val="104017280"/>
        <c:crosses val="autoZero"/>
        <c:auto val="1"/>
        <c:lblAlgn val="ctr"/>
        <c:lblOffset val="100"/>
      </c:cat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6.0377514358177009E-2"/>
          <c:y val="0.86875085034014898"/>
          <c:w val="0.85780583250585596"/>
          <c:h val="0.12079648526077291"/>
        </c:manualLayout>
      </c:layout>
      <c:spPr>
        <a:ln w="6350">
          <a:solidFill>
            <a:schemeClr val="tx1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>
        <c:manualLayout>
          <c:layoutTarget val="inner"/>
          <c:xMode val="edge"/>
          <c:yMode val="edge"/>
          <c:x val="7.6118939099658112E-2"/>
          <c:y val="1.8967687074829931E-2"/>
          <c:w val="0.87842537233566564"/>
          <c:h val="0.73371428571428576"/>
        </c:manualLayout>
      </c:layout>
      <c:barChart>
        <c:barDir val="col"/>
        <c:grouping val="stacked"/>
        <c:ser>
          <c:idx val="0"/>
          <c:order val="0"/>
          <c:tx>
            <c:strRef>
              <c:f>'Státní rozpočet 5'!$B$41</c:f>
              <c:strCache>
                <c:ptCount val="1"/>
                <c:pt idx="0">
                  <c:v>Státní pokladniční poukázky</c:v>
                </c:pt>
              </c:strCache>
            </c:strRef>
          </c:tx>
          <c:spPr>
            <a:solidFill>
              <a:srgbClr val="BD1B21"/>
            </a:solidFill>
          </c:spPr>
          <c:cat>
            <c:multiLvlStrRef>
              <c:f>'Státní rozpočet 5'!$C$39:$BE$40</c:f>
              <c:multiLvlStrCache>
                <c:ptCount val="55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1</c:v>
                  </c:pt>
                  <c:pt idx="41">
                    <c:v>2</c:v>
                  </c:pt>
                  <c:pt idx="42">
                    <c:v>3</c:v>
                  </c:pt>
                  <c:pt idx="43">
                    <c:v>4</c:v>
                  </c:pt>
                  <c:pt idx="44">
                    <c:v>1</c:v>
                  </c:pt>
                  <c:pt idx="45">
                    <c:v>2</c:v>
                  </c:pt>
                  <c:pt idx="46">
                    <c:v>3</c:v>
                  </c:pt>
                  <c:pt idx="47">
                    <c:v>4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1</c:v>
                  </c:pt>
                  <c:pt idx="53">
                    <c:v>2</c:v>
                  </c:pt>
                  <c:pt idx="54">
                    <c:v>3</c:v>
                  </c:pt>
                </c:lvl>
                <c:lvl>
                  <c:pt idx="0">
                    <c:v>2005</c:v>
                  </c:pt>
                  <c:pt idx="4">
                    <c:v>2006</c:v>
                  </c:pt>
                  <c:pt idx="8">
                    <c:v>2007</c:v>
                  </c:pt>
                  <c:pt idx="12">
                    <c:v>2008</c:v>
                  </c:pt>
                  <c:pt idx="16">
                    <c:v>2009</c:v>
                  </c:pt>
                  <c:pt idx="20">
                    <c:v>2010</c:v>
                  </c:pt>
                  <c:pt idx="24">
                    <c:v>2011</c:v>
                  </c:pt>
                  <c:pt idx="28">
                    <c:v>2012</c:v>
                  </c:pt>
                  <c:pt idx="32">
                    <c:v>2013</c:v>
                  </c:pt>
                  <c:pt idx="36">
                    <c:v>2014</c:v>
                  </c:pt>
                  <c:pt idx="40">
                    <c:v>2015</c:v>
                  </c:pt>
                  <c:pt idx="44">
                    <c:v>2016</c:v>
                  </c:pt>
                  <c:pt idx="48">
                    <c:v>2017</c:v>
                  </c:pt>
                  <c:pt idx="52">
                    <c:v>2018</c:v>
                  </c:pt>
                </c:lvl>
              </c:multiLvlStrCache>
            </c:multiLvlStrRef>
          </c:cat>
          <c:val>
            <c:numRef>
              <c:f>'Státní rozpočet 5'!$C$41:$BE$41</c:f>
              <c:numCache>
                <c:formatCode>#,##0</c:formatCode>
                <c:ptCount val="55"/>
                <c:pt idx="0">
                  <c:v>126.545</c:v>
                </c:pt>
                <c:pt idx="1">
                  <c:v>109</c:v>
                </c:pt>
                <c:pt idx="2">
                  <c:v>98.034000000000006</c:v>
                </c:pt>
                <c:pt idx="3">
                  <c:v>94.248999999999995</c:v>
                </c:pt>
                <c:pt idx="4">
                  <c:v>86.825999999999979</c:v>
                </c:pt>
                <c:pt idx="5">
                  <c:v>79.325000000000003</c:v>
                </c:pt>
                <c:pt idx="6">
                  <c:v>71.884</c:v>
                </c:pt>
                <c:pt idx="7">
                  <c:v>89.568000000000012</c:v>
                </c:pt>
                <c:pt idx="8">
                  <c:v>78.144000000000005</c:v>
                </c:pt>
                <c:pt idx="9">
                  <c:v>66.144999999999996</c:v>
                </c:pt>
                <c:pt idx="10">
                  <c:v>54.649000000000001</c:v>
                </c:pt>
                <c:pt idx="11">
                  <c:v>82.167999999999992</c:v>
                </c:pt>
                <c:pt idx="12">
                  <c:v>46.834000000000003</c:v>
                </c:pt>
                <c:pt idx="13">
                  <c:v>32.875</c:v>
                </c:pt>
                <c:pt idx="14">
                  <c:v>45.341000000000001</c:v>
                </c:pt>
                <c:pt idx="15">
                  <c:v>78.748999999999995</c:v>
                </c:pt>
                <c:pt idx="16">
                  <c:v>60.950999999999993</c:v>
                </c:pt>
                <c:pt idx="17">
                  <c:v>79.837000000000003</c:v>
                </c:pt>
                <c:pt idx="18">
                  <c:v>79.491000000000227</c:v>
                </c:pt>
                <c:pt idx="19">
                  <c:v>88.183999999999983</c:v>
                </c:pt>
                <c:pt idx="20">
                  <c:v>87.545000000000002</c:v>
                </c:pt>
                <c:pt idx="21">
                  <c:v>89.194999999999993</c:v>
                </c:pt>
                <c:pt idx="22">
                  <c:v>128.47800000000001</c:v>
                </c:pt>
                <c:pt idx="23">
                  <c:v>113.331</c:v>
                </c:pt>
                <c:pt idx="24">
                  <c:v>137.54399999999998</c:v>
                </c:pt>
                <c:pt idx="25">
                  <c:v>141.077</c:v>
                </c:pt>
                <c:pt idx="26">
                  <c:v>143.268</c:v>
                </c:pt>
                <c:pt idx="27">
                  <c:v>162.60900000000001</c:v>
                </c:pt>
                <c:pt idx="28">
                  <c:v>177.10900000000001</c:v>
                </c:pt>
                <c:pt idx="29">
                  <c:v>163.38200000000128</c:v>
                </c:pt>
                <c:pt idx="30">
                  <c:v>172.06700000000001</c:v>
                </c:pt>
                <c:pt idx="31">
                  <c:v>189.13499999999999</c:v>
                </c:pt>
                <c:pt idx="32">
                  <c:v>185.86600000000001</c:v>
                </c:pt>
                <c:pt idx="33">
                  <c:v>161.66499999999999</c:v>
                </c:pt>
                <c:pt idx="34">
                  <c:v>137.51599999999999</c:v>
                </c:pt>
                <c:pt idx="35">
                  <c:v>120.89100000000002</c:v>
                </c:pt>
                <c:pt idx="36">
                  <c:v>97.57</c:v>
                </c:pt>
                <c:pt idx="37">
                  <c:v>98.149000000000001</c:v>
                </c:pt>
                <c:pt idx="38">
                  <c:v>90.838999999999999</c:v>
                </c:pt>
                <c:pt idx="39">
                  <c:v>107.627</c:v>
                </c:pt>
                <c:pt idx="40">
                  <c:v>81.661000000000001</c:v>
                </c:pt>
                <c:pt idx="41">
                  <c:v>88.458000000000013</c:v>
                </c:pt>
                <c:pt idx="42">
                  <c:v>104.687</c:v>
                </c:pt>
                <c:pt idx="43" formatCode="#,##0.0">
                  <c:v>84.432000000000002</c:v>
                </c:pt>
                <c:pt idx="44">
                  <c:v>79.186999999999998</c:v>
                </c:pt>
                <c:pt idx="45">
                  <c:v>58</c:v>
                </c:pt>
                <c:pt idx="46">
                  <c:v>17.7</c:v>
                </c:pt>
                <c:pt idx="47">
                  <c:v>4.22</c:v>
                </c:pt>
                <c:pt idx="48">
                  <c:v>70.343999999999994</c:v>
                </c:pt>
                <c:pt idx="49">
                  <c:v>147.89800000000113</c:v>
                </c:pt>
                <c:pt idx="50" formatCode="0.0">
                  <c:v>0</c:v>
                </c:pt>
                <c:pt idx="51" formatCode="0.0">
                  <c:v>44.014000000000003</c:v>
                </c:pt>
                <c:pt idx="52" formatCode="General">
                  <c:v>180.1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09D-4BFB-824A-C97A9106AF3D}"/>
            </c:ext>
          </c:extLst>
        </c:ser>
        <c:ser>
          <c:idx val="1"/>
          <c:order val="1"/>
          <c:tx>
            <c:strRef>
              <c:f>'Státní rozpočet 5'!$B$42</c:f>
              <c:strCache>
                <c:ptCount val="1"/>
                <c:pt idx="0">
                  <c:v>Spořící státní dluhopisy</c:v>
                </c:pt>
              </c:strCache>
            </c:strRef>
          </c:tx>
          <c:spPr>
            <a:solidFill>
              <a:srgbClr val="E8AFB2"/>
            </a:solidFill>
          </c:spPr>
          <c:cat>
            <c:multiLvlStrRef>
              <c:f>'Státní rozpočet 5'!$C$39:$BE$40</c:f>
              <c:multiLvlStrCache>
                <c:ptCount val="55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1</c:v>
                  </c:pt>
                  <c:pt idx="41">
                    <c:v>2</c:v>
                  </c:pt>
                  <c:pt idx="42">
                    <c:v>3</c:v>
                  </c:pt>
                  <c:pt idx="43">
                    <c:v>4</c:v>
                  </c:pt>
                  <c:pt idx="44">
                    <c:v>1</c:v>
                  </c:pt>
                  <c:pt idx="45">
                    <c:v>2</c:v>
                  </c:pt>
                  <c:pt idx="46">
                    <c:v>3</c:v>
                  </c:pt>
                  <c:pt idx="47">
                    <c:v>4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1</c:v>
                  </c:pt>
                  <c:pt idx="53">
                    <c:v>2</c:v>
                  </c:pt>
                  <c:pt idx="54">
                    <c:v>3</c:v>
                  </c:pt>
                </c:lvl>
                <c:lvl>
                  <c:pt idx="0">
                    <c:v>2005</c:v>
                  </c:pt>
                  <c:pt idx="4">
                    <c:v>2006</c:v>
                  </c:pt>
                  <c:pt idx="8">
                    <c:v>2007</c:v>
                  </c:pt>
                  <c:pt idx="12">
                    <c:v>2008</c:v>
                  </c:pt>
                  <c:pt idx="16">
                    <c:v>2009</c:v>
                  </c:pt>
                  <c:pt idx="20">
                    <c:v>2010</c:v>
                  </c:pt>
                  <c:pt idx="24">
                    <c:v>2011</c:v>
                  </c:pt>
                  <c:pt idx="28">
                    <c:v>2012</c:v>
                  </c:pt>
                  <c:pt idx="32">
                    <c:v>2013</c:v>
                  </c:pt>
                  <c:pt idx="36">
                    <c:v>2014</c:v>
                  </c:pt>
                  <c:pt idx="40">
                    <c:v>2015</c:v>
                  </c:pt>
                  <c:pt idx="44">
                    <c:v>2016</c:v>
                  </c:pt>
                  <c:pt idx="48">
                    <c:v>2017</c:v>
                  </c:pt>
                  <c:pt idx="52">
                    <c:v>2018</c:v>
                  </c:pt>
                </c:lvl>
              </c:multiLvlStrCache>
            </c:multiLvlStrRef>
          </c:cat>
          <c:val>
            <c:numRef>
              <c:f>'Státní rozpočet 5'!$C$42:$BE$42</c:f>
              <c:numCache>
                <c:formatCode>#,##0</c:formatCode>
                <c:ptCount val="5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20.428999999999835</c:v>
                </c:pt>
                <c:pt idx="28">
                  <c:v>20.428999999999835</c:v>
                </c:pt>
                <c:pt idx="29">
                  <c:v>35.714000000000006</c:v>
                </c:pt>
                <c:pt idx="30">
                  <c:v>35.708000000000013</c:v>
                </c:pt>
                <c:pt idx="31">
                  <c:v>56.206000000000003</c:v>
                </c:pt>
                <c:pt idx="32">
                  <c:v>56.206000000000003</c:v>
                </c:pt>
                <c:pt idx="33">
                  <c:v>73.781999999999996</c:v>
                </c:pt>
                <c:pt idx="34">
                  <c:v>73.738</c:v>
                </c:pt>
                <c:pt idx="35">
                  <c:v>87.578999999999979</c:v>
                </c:pt>
                <c:pt idx="36">
                  <c:v>87.55</c:v>
                </c:pt>
                <c:pt idx="37">
                  <c:v>80.653999999999982</c:v>
                </c:pt>
                <c:pt idx="38">
                  <c:v>80.60899999999998</c:v>
                </c:pt>
                <c:pt idx="39">
                  <c:v>77.828999999999979</c:v>
                </c:pt>
                <c:pt idx="40">
                  <c:v>77.793000000000006</c:v>
                </c:pt>
                <c:pt idx="41">
                  <c:v>77.828999999999979</c:v>
                </c:pt>
                <c:pt idx="42">
                  <c:v>77.801000000000002</c:v>
                </c:pt>
                <c:pt idx="43" formatCode="#,##0.0">
                  <c:v>66.921999999999997</c:v>
                </c:pt>
                <c:pt idx="44">
                  <c:v>66.911000000000527</c:v>
                </c:pt>
                <c:pt idx="45">
                  <c:v>59.9</c:v>
                </c:pt>
                <c:pt idx="46">
                  <c:v>59.9</c:v>
                </c:pt>
                <c:pt idx="47">
                  <c:v>37.757373000000001</c:v>
                </c:pt>
                <c:pt idx="48">
                  <c:v>37.751000000000005</c:v>
                </c:pt>
                <c:pt idx="49">
                  <c:v>31.02</c:v>
                </c:pt>
                <c:pt idx="50" formatCode="0.0">
                  <c:v>31.018999999999988</c:v>
                </c:pt>
                <c:pt idx="51" formatCode="0.0">
                  <c:v>21.478000000000002</c:v>
                </c:pt>
                <c:pt idx="52" formatCode="0.0">
                  <c:v>21.478000000000002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09D-4BFB-824A-C97A9106AF3D}"/>
            </c:ext>
          </c:extLst>
        </c:ser>
        <c:ser>
          <c:idx val="2"/>
          <c:order val="2"/>
          <c:tx>
            <c:strRef>
              <c:f>'Státní rozpočet 5'!$B$43</c:f>
              <c:strCache>
                <c:ptCount val="1"/>
                <c:pt idx="0">
                  <c:v>Dlouho-(středně-)dobé státní dluhopisy</c:v>
                </c:pt>
              </c:strCache>
            </c:strRef>
          </c:tx>
          <c:spPr>
            <a:solidFill>
              <a:srgbClr val="A6CDE8"/>
            </a:solidFill>
          </c:spPr>
          <c:cat>
            <c:multiLvlStrRef>
              <c:f>'Státní rozpočet 5'!$C$39:$BE$40</c:f>
              <c:multiLvlStrCache>
                <c:ptCount val="55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1</c:v>
                  </c:pt>
                  <c:pt idx="41">
                    <c:v>2</c:v>
                  </c:pt>
                  <c:pt idx="42">
                    <c:v>3</c:v>
                  </c:pt>
                  <c:pt idx="43">
                    <c:v>4</c:v>
                  </c:pt>
                  <c:pt idx="44">
                    <c:v>1</c:v>
                  </c:pt>
                  <c:pt idx="45">
                    <c:v>2</c:v>
                  </c:pt>
                  <c:pt idx="46">
                    <c:v>3</c:v>
                  </c:pt>
                  <c:pt idx="47">
                    <c:v>4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1</c:v>
                  </c:pt>
                  <c:pt idx="53">
                    <c:v>2</c:v>
                  </c:pt>
                  <c:pt idx="54">
                    <c:v>3</c:v>
                  </c:pt>
                </c:lvl>
                <c:lvl>
                  <c:pt idx="0">
                    <c:v>2005</c:v>
                  </c:pt>
                  <c:pt idx="4">
                    <c:v>2006</c:v>
                  </c:pt>
                  <c:pt idx="8">
                    <c:v>2007</c:v>
                  </c:pt>
                  <c:pt idx="12">
                    <c:v>2008</c:v>
                  </c:pt>
                  <c:pt idx="16">
                    <c:v>2009</c:v>
                  </c:pt>
                  <c:pt idx="20">
                    <c:v>2010</c:v>
                  </c:pt>
                  <c:pt idx="24">
                    <c:v>2011</c:v>
                  </c:pt>
                  <c:pt idx="28">
                    <c:v>2012</c:v>
                  </c:pt>
                  <c:pt idx="32">
                    <c:v>2013</c:v>
                  </c:pt>
                  <c:pt idx="36">
                    <c:v>2014</c:v>
                  </c:pt>
                  <c:pt idx="40">
                    <c:v>2015</c:v>
                  </c:pt>
                  <c:pt idx="44">
                    <c:v>2016</c:v>
                  </c:pt>
                  <c:pt idx="48">
                    <c:v>2017</c:v>
                  </c:pt>
                  <c:pt idx="52">
                    <c:v>2018</c:v>
                  </c:pt>
                </c:lvl>
              </c:multiLvlStrCache>
            </c:multiLvlStrRef>
          </c:cat>
          <c:val>
            <c:numRef>
              <c:f>'Státní rozpočet 5'!$C$43:$BE$43</c:f>
              <c:numCache>
                <c:formatCode>#,##0</c:formatCode>
                <c:ptCount val="55"/>
                <c:pt idx="0">
                  <c:v>391.274</c:v>
                </c:pt>
                <c:pt idx="1">
                  <c:v>428.77099999999899</c:v>
                </c:pt>
                <c:pt idx="2">
                  <c:v>456.56</c:v>
                </c:pt>
                <c:pt idx="3">
                  <c:v>487.50299999999999</c:v>
                </c:pt>
                <c:pt idx="4">
                  <c:v>495.72099999999864</c:v>
                </c:pt>
                <c:pt idx="5">
                  <c:v>532.05399999999997</c:v>
                </c:pt>
                <c:pt idx="6">
                  <c:v>554.81699999999796</c:v>
                </c:pt>
                <c:pt idx="7">
                  <c:v>588.93499999999949</c:v>
                </c:pt>
                <c:pt idx="8">
                  <c:v>612.06099999999947</c:v>
                </c:pt>
                <c:pt idx="9">
                  <c:v>666.81999999999948</c:v>
                </c:pt>
                <c:pt idx="10">
                  <c:v>664.79500000000053</c:v>
                </c:pt>
                <c:pt idx="11">
                  <c:v>692.19400000000053</c:v>
                </c:pt>
                <c:pt idx="12">
                  <c:v>693.11500000000001</c:v>
                </c:pt>
                <c:pt idx="13">
                  <c:v>728.61800000000005</c:v>
                </c:pt>
                <c:pt idx="14">
                  <c:v>700.70399999999995</c:v>
                </c:pt>
                <c:pt idx="15">
                  <c:v>735.55099999999948</c:v>
                </c:pt>
                <c:pt idx="16">
                  <c:v>753.09699999999998</c:v>
                </c:pt>
                <c:pt idx="17">
                  <c:v>830.01</c:v>
                </c:pt>
                <c:pt idx="18">
                  <c:v>861.48699999999997</c:v>
                </c:pt>
                <c:pt idx="19">
                  <c:v>838.56699999999796</c:v>
                </c:pt>
                <c:pt idx="20">
                  <c:v>878.78000000000054</c:v>
                </c:pt>
                <c:pt idx="21">
                  <c:v>903.13300000000004</c:v>
                </c:pt>
                <c:pt idx="22">
                  <c:v>956.30699999999797</c:v>
                </c:pt>
                <c:pt idx="23">
                  <c:v>922.95099999999798</c:v>
                </c:pt>
                <c:pt idx="24">
                  <c:v>962.34499999999946</c:v>
                </c:pt>
                <c:pt idx="25">
                  <c:v>967.24099999999999</c:v>
                </c:pt>
                <c:pt idx="26">
                  <c:v>1003.614</c:v>
                </c:pt>
                <c:pt idx="27">
                  <c:v>999.13199999999949</c:v>
                </c:pt>
                <c:pt idx="28">
                  <c:v>1055.951</c:v>
                </c:pt>
                <c:pt idx="29">
                  <c:v>1063.3779999999999</c:v>
                </c:pt>
                <c:pt idx="30">
                  <c:v>1085.259</c:v>
                </c:pt>
                <c:pt idx="31">
                  <c:v>1042.0029999999999</c:v>
                </c:pt>
                <c:pt idx="32">
                  <c:v>1090.1229999999998</c:v>
                </c:pt>
                <c:pt idx="33">
                  <c:v>1060.3129999999999</c:v>
                </c:pt>
                <c:pt idx="34">
                  <c:v>1059.616</c:v>
                </c:pt>
                <c:pt idx="35">
                  <c:v>1079.675</c:v>
                </c:pt>
                <c:pt idx="36">
                  <c:v>1100.798</c:v>
                </c:pt>
                <c:pt idx="37">
                  <c:v>1150.5329999999999</c:v>
                </c:pt>
                <c:pt idx="38">
                  <c:v>1159.375</c:v>
                </c:pt>
                <c:pt idx="39">
                  <c:v>1175.655</c:v>
                </c:pt>
                <c:pt idx="40">
                  <c:v>1200.799</c:v>
                </c:pt>
                <c:pt idx="41">
                  <c:v>1189.82</c:v>
                </c:pt>
                <c:pt idx="42">
                  <c:v>1177.1919999999998</c:v>
                </c:pt>
                <c:pt idx="43" formatCode="#,##0.0">
                  <c:v>1235.1969999999999</c:v>
                </c:pt>
                <c:pt idx="44">
                  <c:v>1263.7760000000001</c:v>
                </c:pt>
                <c:pt idx="45">
                  <c:v>1288.8</c:v>
                </c:pt>
                <c:pt idx="46">
                  <c:v>1298.0999999999999</c:v>
                </c:pt>
                <c:pt idx="47">
                  <c:v>1301.5999999999999</c:v>
                </c:pt>
                <c:pt idx="48">
                  <c:v>1410.3129999999999</c:v>
                </c:pt>
                <c:pt idx="49">
                  <c:v>1347.2118500000001</c:v>
                </c:pt>
                <c:pt idx="50" formatCode="0.0">
                  <c:v>1319</c:v>
                </c:pt>
                <c:pt idx="51" formatCode="0.0">
                  <c:v>1305.3969999999999</c:v>
                </c:pt>
                <c:pt idx="52" formatCode="General">
                  <c:v>1259.4000000000001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09D-4BFB-824A-C97A9106AF3D}"/>
            </c:ext>
          </c:extLst>
        </c:ser>
        <c:ser>
          <c:idx val="3"/>
          <c:order val="3"/>
          <c:tx>
            <c:strRef>
              <c:f>'Státní rozpočet 5'!$B$44</c:f>
              <c:strCache>
                <c:ptCount val="1"/>
                <c:pt idx="0">
                  <c:v>Krátkodobé zápůjčky a směnky</c:v>
                </c:pt>
              </c:strCache>
            </c:strRef>
          </c:tx>
          <c:spPr>
            <a:solidFill>
              <a:srgbClr val="0071BC"/>
            </a:solidFill>
          </c:spPr>
          <c:cat>
            <c:multiLvlStrRef>
              <c:f>'Státní rozpočet 5'!$C$39:$BE$40</c:f>
              <c:multiLvlStrCache>
                <c:ptCount val="55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1</c:v>
                  </c:pt>
                  <c:pt idx="41">
                    <c:v>2</c:v>
                  </c:pt>
                  <c:pt idx="42">
                    <c:v>3</c:v>
                  </c:pt>
                  <c:pt idx="43">
                    <c:v>4</c:v>
                  </c:pt>
                  <c:pt idx="44">
                    <c:v>1</c:v>
                  </c:pt>
                  <c:pt idx="45">
                    <c:v>2</c:v>
                  </c:pt>
                  <c:pt idx="46">
                    <c:v>3</c:v>
                  </c:pt>
                  <c:pt idx="47">
                    <c:v>4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1</c:v>
                  </c:pt>
                  <c:pt idx="53">
                    <c:v>2</c:v>
                  </c:pt>
                  <c:pt idx="54">
                    <c:v>3</c:v>
                  </c:pt>
                </c:lvl>
                <c:lvl>
                  <c:pt idx="0">
                    <c:v>2005</c:v>
                  </c:pt>
                  <c:pt idx="4">
                    <c:v>2006</c:v>
                  </c:pt>
                  <c:pt idx="8">
                    <c:v>2007</c:v>
                  </c:pt>
                  <c:pt idx="12">
                    <c:v>2008</c:v>
                  </c:pt>
                  <c:pt idx="16">
                    <c:v>2009</c:v>
                  </c:pt>
                  <c:pt idx="20">
                    <c:v>2010</c:v>
                  </c:pt>
                  <c:pt idx="24">
                    <c:v>2011</c:v>
                  </c:pt>
                  <c:pt idx="28">
                    <c:v>2012</c:v>
                  </c:pt>
                  <c:pt idx="32">
                    <c:v>2013</c:v>
                  </c:pt>
                  <c:pt idx="36">
                    <c:v>2014</c:v>
                  </c:pt>
                  <c:pt idx="40">
                    <c:v>2015</c:v>
                  </c:pt>
                  <c:pt idx="44">
                    <c:v>2016</c:v>
                  </c:pt>
                  <c:pt idx="48">
                    <c:v>2017</c:v>
                  </c:pt>
                  <c:pt idx="52">
                    <c:v>2018</c:v>
                  </c:pt>
                </c:lvl>
              </c:multiLvlStrCache>
            </c:multiLvlStrRef>
          </c:cat>
          <c:val>
            <c:numRef>
              <c:f>'Státní rozpočet 5'!$C$44:$BE$44</c:f>
              <c:numCache>
                <c:formatCode>#,##0</c:formatCode>
                <c:ptCount val="5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2.4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3.9000000000000014E-2</c:v>
                </c:pt>
                <c:pt idx="12">
                  <c:v>1.4E-2</c:v>
                </c:pt>
                <c:pt idx="13">
                  <c:v>0.79500000000000004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8.1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1.585</c:v>
                </c:pt>
                <c:pt idx="35">
                  <c:v>0</c:v>
                </c:pt>
                <c:pt idx="36">
                  <c:v>3.2600000000000002</c:v>
                </c:pt>
                <c:pt idx="37">
                  <c:v>11.621</c:v>
                </c:pt>
                <c:pt idx="38">
                  <c:v>12.352000000000089</c:v>
                </c:pt>
                <c:pt idx="39">
                  <c:v>2.5449999999999999</c:v>
                </c:pt>
                <c:pt idx="40">
                  <c:v>4.9930000000000003</c:v>
                </c:pt>
                <c:pt idx="41">
                  <c:v>11.764000000000001</c:v>
                </c:pt>
                <c:pt idx="42">
                  <c:v>10.553000000000004</c:v>
                </c:pt>
                <c:pt idx="43" formatCode="#,##0.0">
                  <c:v>2.8549999999999978</c:v>
                </c:pt>
                <c:pt idx="44">
                  <c:v>1.357</c:v>
                </c:pt>
                <c:pt idx="45">
                  <c:v>0</c:v>
                </c:pt>
                <c:pt idx="46">
                  <c:v>1.5</c:v>
                </c:pt>
                <c:pt idx="47">
                  <c:v>0</c:v>
                </c:pt>
                <c:pt idx="48">
                  <c:v>2.0000000000000052E-3</c:v>
                </c:pt>
                <c:pt idx="49">
                  <c:v>0</c:v>
                </c:pt>
                <c:pt idx="50" formatCode="0.0">
                  <c:v>2.9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09D-4BFB-824A-C97A9106AF3D}"/>
            </c:ext>
          </c:extLst>
        </c:ser>
        <c:ser>
          <c:idx val="4"/>
          <c:order val="4"/>
          <c:tx>
            <c:strRef>
              <c:f>'Státní rozpočet 5'!$B$45</c:f>
              <c:strCache>
                <c:ptCount val="1"/>
                <c:pt idx="0">
                  <c:v>Zahraniční emise dluhopisů</c:v>
                </c:pt>
              </c:strCache>
            </c:strRef>
          </c:tx>
          <c:spPr>
            <a:solidFill>
              <a:srgbClr val="7DBB2D"/>
            </a:solidFill>
          </c:spPr>
          <c:cat>
            <c:multiLvlStrRef>
              <c:f>'Státní rozpočet 5'!$C$39:$BE$40</c:f>
              <c:multiLvlStrCache>
                <c:ptCount val="55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1</c:v>
                  </c:pt>
                  <c:pt idx="41">
                    <c:v>2</c:v>
                  </c:pt>
                  <c:pt idx="42">
                    <c:v>3</c:v>
                  </c:pt>
                  <c:pt idx="43">
                    <c:v>4</c:v>
                  </c:pt>
                  <c:pt idx="44">
                    <c:v>1</c:v>
                  </c:pt>
                  <c:pt idx="45">
                    <c:v>2</c:v>
                  </c:pt>
                  <c:pt idx="46">
                    <c:v>3</c:v>
                  </c:pt>
                  <c:pt idx="47">
                    <c:v>4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1</c:v>
                  </c:pt>
                  <c:pt idx="53">
                    <c:v>2</c:v>
                  </c:pt>
                  <c:pt idx="54">
                    <c:v>3</c:v>
                  </c:pt>
                </c:lvl>
                <c:lvl>
                  <c:pt idx="0">
                    <c:v>2005</c:v>
                  </c:pt>
                  <c:pt idx="4">
                    <c:v>2006</c:v>
                  </c:pt>
                  <c:pt idx="8">
                    <c:v>2007</c:v>
                  </c:pt>
                  <c:pt idx="12">
                    <c:v>2008</c:v>
                  </c:pt>
                  <c:pt idx="16">
                    <c:v>2009</c:v>
                  </c:pt>
                  <c:pt idx="20">
                    <c:v>2010</c:v>
                  </c:pt>
                  <c:pt idx="24">
                    <c:v>2011</c:v>
                  </c:pt>
                  <c:pt idx="28">
                    <c:v>2012</c:v>
                  </c:pt>
                  <c:pt idx="32">
                    <c:v>2013</c:v>
                  </c:pt>
                  <c:pt idx="36">
                    <c:v>2014</c:v>
                  </c:pt>
                  <c:pt idx="40">
                    <c:v>2015</c:v>
                  </c:pt>
                  <c:pt idx="44">
                    <c:v>2016</c:v>
                  </c:pt>
                  <c:pt idx="48">
                    <c:v>2017</c:v>
                  </c:pt>
                  <c:pt idx="52">
                    <c:v>2018</c:v>
                  </c:pt>
                </c:lvl>
              </c:multiLvlStrCache>
            </c:multiLvlStrRef>
          </c:cat>
          <c:val>
            <c:numRef>
              <c:f>'Státní rozpočet 5'!$C$45:$BE$45</c:f>
              <c:numCache>
                <c:formatCode>#,##0</c:formatCode>
                <c:ptCount val="55"/>
                <c:pt idx="0">
                  <c:v>78.884999999999991</c:v>
                </c:pt>
                <c:pt idx="1">
                  <c:v>78.885999999999981</c:v>
                </c:pt>
                <c:pt idx="2">
                  <c:v>78.88</c:v>
                </c:pt>
                <c:pt idx="3">
                  <c:v>78.873999999999981</c:v>
                </c:pt>
                <c:pt idx="4">
                  <c:v>84.891000000000005</c:v>
                </c:pt>
                <c:pt idx="5">
                  <c:v>84.733000000000004</c:v>
                </c:pt>
                <c:pt idx="6">
                  <c:v>84.557999999999993</c:v>
                </c:pt>
                <c:pt idx="7">
                  <c:v>84.111999999999995</c:v>
                </c:pt>
                <c:pt idx="8">
                  <c:v>84.200999999999993</c:v>
                </c:pt>
                <c:pt idx="9">
                  <c:v>84.04</c:v>
                </c:pt>
                <c:pt idx="10">
                  <c:v>83.929000000000002</c:v>
                </c:pt>
                <c:pt idx="11">
                  <c:v>83.685999999999979</c:v>
                </c:pt>
                <c:pt idx="12">
                  <c:v>83.658999999999978</c:v>
                </c:pt>
                <c:pt idx="13">
                  <c:v>131.55800000000067</c:v>
                </c:pt>
                <c:pt idx="14">
                  <c:v>133.07300000000001</c:v>
                </c:pt>
                <c:pt idx="15">
                  <c:v>137.87</c:v>
                </c:pt>
                <c:pt idx="16">
                  <c:v>138.38500000000047</c:v>
                </c:pt>
                <c:pt idx="17">
                  <c:v>175.62700000000001</c:v>
                </c:pt>
                <c:pt idx="18">
                  <c:v>173.05600000000001</c:v>
                </c:pt>
                <c:pt idx="19">
                  <c:v>193.018</c:v>
                </c:pt>
                <c:pt idx="20">
                  <c:v>189.80800000000067</c:v>
                </c:pt>
                <c:pt idx="21">
                  <c:v>192.506</c:v>
                </c:pt>
                <c:pt idx="22">
                  <c:v>237.06300000000002</c:v>
                </c:pt>
                <c:pt idx="23">
                  <c:v>240.29599999999999</c:v>
                </c:pt>
                <c:pt idx="24">
                  <c:v>237.41399999999999</c:v>
                </c:pt>
                <c:pt idx="25">
                  <c:v>237.08600000000001</c:v>
                </c:pt>
                <c:pt idx="26">
                  <c:v>240.11599999999999</c:v>
                </c:pt>
                <c:pt idx="27">
                  <c:v>245.74599999999998</c:v>
                </c:pt>
                <c:pt idx="28">
                  <c:v>288.46499999999969</c:v>
                </c:pt>
                <c:pt idx="29">
                  <c:v>295.37599999999969</c:v>
                </c:pt>
                <c:pt idx="30">
                  <c:v>290.82499999999999</c:v>
                </c:pt>
                <c:pt idx="31">
                  <c:v>310.28599999999869</c:v>
                </c:pt>
                <c:pt idx="32">
                  <c:v>313.73399999999697</c:v>
                </c:pt>
                <c:pt idx="33">
                  <c:v>314.565</c:v>
                </c:pt>
                <c:pt idx="34">
                  <c:v>313.14100000000002</c:v>
                </c:pt>
                <c:pt idx="35">
                  <c:v>323.68200000000002</c:v>
                </c:pt>
                <c:pt idx="36">
                  <c:v>323.94499999999999</c:v>
                </c:pt>
                <c:pt idx="37">
                  <c:v>275.38900000000001</c:v>
                </c:pt>
                <c:pt idx="38">
                  <c:v>275.81900000000002</c:v>
                </c:pt>
                <c:pt idx="39">
                  <c:v>239.57599999999999</c:v>
                </c:pt>
                <c:pt idx="40">
                  <c:v>238.19399999999999</c:v>
                </c:pt>
                <c:pt idx="41">
                  <c:v>235.67399999999998</c:v>
                </c:pt>
                <c:pt idx="42">
                  <c:v>234.67299999999997</c:v>
                </c:pt>
                <c:pt idx="43" formatCode="#,##0.0">
                  <c:v>225.61899999999997</c:v>
                </c:pt>
                <c:pt idx="44">
                  <c:v>225.89400000000001</c:v>
                </c:pt>
                <c:pt idx="45">
                  <c:v>227.3</c:v>
                </c:pt>
                <c:pt idx="46">
                  <c:v>226.5</c:v>
                </c:pt>
                <c:pt idx="47">
                  <c:v>213.524</c:v>
                </c:pt>
                <c:pt idx="48">
                  <c:v>213.786</c:v>
                </c:pt>
                <c:pt idx="49" formatCode="0">
                  <c:v>207.51715000000002</c:v>
                </c:pt>
                <c:pt idx="50" formatCode="0.0">
                  <c:v>205.7</c:v>
                </c:pt>
                <c:pt idx="51" formatCode="0.0">
                  <c:v>202.61979999999932</c:v>
                </c:pt>
                <c:pt idx="52" formatCode="0.0">
                  <c:v>202.01859999999999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09D-4BFB-824A-C97A9106AF3D}"/>
            </c:ext>
          </c:extLst>
        </c:ser>
        <c:ser>
          <c:idx val="5"/>
          <c:order val="5"/>
          <c:tx>
            <c:strRef>
              <c:f>'Státní rozpočet 5'!$B$46</c:f>
              <c:strCache>
                <c:ptCount val="1"/>
                <c:pt idx="0">
                  <c:v>Úvěry od EIB</c:v>
                </c:pt>
              </c:strCache>
            </c:strRef>
          </c:tx>
          <c:spPr>
            <a:solidFill>
              <a:srgbClr val="D2E7B6"/>
            </a:solidFill>
          </c:spPr>
          <c:cat>
            <c:multiLvlStrRef>
              <c:f>'Státní rozpočet 5'!$C$39:$BE$40</c:f>
              <c:multiLvlStrCache>
                <c:ptCount val="55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1</c:v>
                  </c:pt>
                  <c:pt idx="41">
                    <c:v>2</c:v>
                  </c:pt>
                  <c:pt idx="42">
                    <c:v>3</c:v>
                  </c:pt>
                  <c:pt idx="43">
                    <c:v>4</c:v>
                  </c:pt>
                  <c:pt idx="44">
                    <c:v>1</c:v>
                  </c:pt>
                  <c:pt idx="45">
                    <c:v>2</c:v>
                  </c:pt>
                  <c:pt idx="46">
                    <c:v>3</c:v>
                  </c:pt>
                  <c:pt idx="47">
                    <c:v>4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1</c:v>
                  </c:pt>
                  <c:pt idx="53">
                    <c:v>2</c:v>
                  </c:pt>
                  <c:pt idx="54">
                    <c:v>3</c:v>
                  </c:pt>
                </c:lvl>
                <c:lvl>
                  <c:pt idx="0">
                    <c:v>2005</c:v>
                  </c:pt>
                  <c:pt idx="4">
                    <c:v>2006</c:v>
                  </c:pt>
                  <c:pt idx="8">
                    <c:v>2007</c:v>
                  </c:pt>
                  <c:pt idx="12">
                    <c:v>2008</c:v>
                  </c:pt>
                  <c:pt idx="16">
                    <c:v>2009</c:v>
                  </c:pt>
                  <c:pt idx="20">
                    <c:v>2010</c:v>
                  </c:pt>
                  <c:pt idx="24">
                    <c:v>2011</c:v>
                  </c:pt>
                  <c:pt idx="28">
                    <c:v>2012</c:v>
                  </c:pt>
                  <c:pt idx="32">
                    <c:v>2013</c:v>
                  </c:pt>
                  <c:pt idx="36">
                    <c:v>2014</c:v>
                  </c:pt>
                  <c:pt idx="40">
                    <c:v>2015</c:v>
                  </c:pt>
                  <c:pt idx="44">
                    <c:v>2016</c:v>
                  </c:pt>
                  <c:pt idx="48">
                    <c:v>2017</c:v>
                  </c:pt>
                  <c:pt idx="52">
                    <c:v>2018</c:v>
                  </c:pt>
                </c:lvl>
              </c:multiLvlStrCache>
            </c:multiLvlStrRef>
          </c:cat>
          <c:val>
            <c:numRef>
              <c:f>'Státní rozpočet 5'!$C$46:$BE$46</c:f>
              <c:numCache>
                <c:formatCode>#,##0</c:formatCode>
                <c:ptCount val="55"/>
                <c:pt idx="0">
                  <c:v>20.655000000000001</c:v>
                </c:pt>
                <c:pt idx="1">
                  <c:v>26.164000000000001</c:v>
                </c:pt>
                <c:pt idx="2">
                  <c:v>28.332000000000001</c:v>
                </c:pt>
                <c:pt idx="3">
                  <c:v>29.731999999999999</c:v>
                </c:pt>
                <c:pt idx="4">
                  <c:v>29.901999999999987</c:v>
                </c:pt>
                <c:pt idx="5">
                  <c:v>32.028000000000013</c:v>
                </c:pt>
                <c:pt idx="6">
                  <c:v>34.298000000000314</c:v>
                </c:pt>
                <c:pt idx="7">
                  <c:v>36.704000000000001</c:v>
                </c:pt>
                <c:pt idx="8">
                  <c:v>36.704000000000001</c:v>
                </c:pt>
                <c:pt idx="9">
                  <c:v>38.434000000000005</c:v>
                </c:pt>
                <c:pt idx="10">
                  <c:v>38.743000000000002</c:v>
                </c:pt>
                <c:pt idx="11">
                  <c:v>38.743000000000002</c:v>
                </c:pt>
                <c:pt idx="12">
                  <c:v>35.907000000000004</c:v>
                </c:pt>
                <c:pt idx="13">
                  <c:v>38.914000000000001</c:v>
                </c:pt>
                <c:pt idx="14">
                  <c:v>45.838000000000001</c:v>
                </c:pt>
                <c:pt idx="15">
                  <c:v>46.811999999999998</c:v>
                </c:pt>
                <c:pt idx="16">
                  <c:v>47.237000000000002</c:v>
                </c:pt>
                <c:pt idx="17">
                  <c:v>51.226000000000013</c:v>
                </c:pt>
                <c:pt idx="18">
                  <c:v>53.134</c:v>
                </c:pt>
                <c:pt idx="19">
                  <c:v>57.911999999999999</c:v>
                </c:pt>
                <c:pt idx="20">
                  <c:v>60.057000000000002</c:v>
                </c:pt>
                <c:pt idx="21">
                  <c:v>60.694000000000003</c:v>
                </c:pt>
                <c:pt idx="22">
                  <c:v>62.394000000000005</c:v>
                </c:pt>
                <c:pt idx="23">
                  <c:v>67.185000000000002</c:v>
                </c:pt>
                <c:pt idx="24">
                  <c:v>66.826999999999998</c:v>
                </c:pt>
                <c:pt idx="25">
                  <c:v>67.218000000000004</c:v>
                </c:pt>
                <c:pt idx="26">
                  <c:v>69.516000000000005</c:v>
                </c:pt>
                <c:pt idx="27">
                  <c:v>71.322999999999979</c:v>
                </c:pt>
                <c:pt idx="28">
                  <c:v>70.965000000000003</c:v>
                </c:pt>
                <c:pt idx="29">
                  <c:v>69.756</c:v>
                </c:pt>
                <c:pt idx="30">
                  <c:v>68.459000000000003</c:v>
                </c:pt>
                <c:pt idx="31">
                  <c:v>70.003</c:v>
                </c:pt>
                <c:pt idx="32">
                  <c:v>69.644999999999996</c:v>
                </c:pt>
                <c:pt idx="33">
                  <c:v>67.778999999999982</c:v>
                </c:pt>
                <c:pt idx="34">
                  <c:v>67.870999999999981</c:v>
                </c:pt>
                <c:pt idx="35">
                  <c:v>71.512</c:v>
                </c:pt>
                <c:pt idx="36">
                  <c:v>70.260999999999996</c:v>
                </c:pt>
                <c:pt idx="37">
                  <c:v>66.956999999999994</c:v>
                </c:pt>
                <c:pt idx="38">
                  <c:v>64.012</c:v>
                </c:pt>
                <c:pt idx="39">
                  <c:v>60.432000000000002</c:v>
                </c:pt>
                <c:pt idx="40">
                  <c:v>59.674000000000007</c:v>
                </c:pt>
                <c:pt idx="41">
                  <c:v>59.491</c:v>
                </c:pt>
                <c:pt idx="42">
                  <c:v>58.134</c:v>
                </c:pt>
                <c:pt idx="43" formatCode="#,##0.0">
                  <c:v>57.950999999999993</c:v>
                </c:pt>
                <c:pt idx="44">
                  <c:v>57.593000000000011</c:v>
                </c:pt>
                <c:pt idx="45">
                  <c:v>57.4</c:v>
                </c:pt>
                <c:pt idx="46">
                  <c:v>56.5</c:v>
                </c:pt>
                <c:pt idx="47">
                  <c:v>56.3</c:v>
                </c:pt>
                <c:pt idx="48">
                  <c:v>55.911999999999999</c:v>
                </c:pt>
                <c:pt idx="49">
                  <c:v>55.2</c:v>
                </c:pt>
                <c:pt idx="50" formatCode="0.0">
                  <c:v>51.4</c:v>
                </c:pt>
                <c:pt idx="51" formatCode="0.0">
                  <c:v>51.191000000000003</c:v>
                </c:pt>
                <c:pt idx="52" formatCode="General">
                  <c:v>49.1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09D-4BFB-824A-C97A9106AF3D}"/>
            </c:ext>
          </c:extLst>
        </c:ser>
        <c:gapWidth val="38"/>
        <c:overlap val="100"/>
        <c:axId val="104133760"/>
        <c:axId val="104135296"/>
      </c:barChart>
      <c:lineChart>
        <c:grouping val="standard"/>
        <c:ser>
          <c:idx val="6"/>
          <c:order val="6"/>
          <c:tx>
            <c:strRef>
              <c:f>'Státní rozpočet 5'!$B$47</c:f>
              <c:strCache>
                <c:ptCount val="1"/>
                <c:pt idx="0">
                  <c:v>% korun. dluhopisů v držbě nerezidentů</c:v>
                </c:pt>
              </c:strCache>
            </c:strRef>
          </c:tx>
          <c:spPr>
            <a:ln w="19050">
              <a:solidFill>
                <a:schemeClr val="tx1"/>
              </a:solidFill>
            </a:ln>
          </c:spPr>
          <c:marker>
            <c:symbol val="none"/>
          </c:marker>
          <c:cat>
            <c:multiLvlStrRef>
              <c:f>'Státní rozpočet 5'!$C$39:$BE$40</c:f>
              <c:multiLvlStrCache>
                <c:ptCount val="55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1</c:v>
                  </c:pt>
                  <c:pt idx="41">
                    <c:v>2</c:v>
                  </c:pt>
                  <c:pt idx="42">
                    <c:v>3</c:v>
                  </c:pt>
                  <c:pt idx="43">
                    <c:v>4</c:v>
                  </c:pt>
                  <c:pt idx="44">
                    <c:v>1</c:v>
                  </c:pt>
                  <c:pt idx="45">
                    <c:v>2</c:v>
                  </c:pt>
                  <c:pt idx="46">
                    <c:v>3</c:v>
                  </c:pt>
                  <c:pt idx="47">
                    <c:v>4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1</c:v>
                  </c:pt>
                  <c:pt idx="53">
                    <c:v>2</c:v>
                  </c:pt>
                  <c:pt idx="54">
                    <c:v>3</c:v>
                  </c:pt>
                </c:lvl>
                <c:lvl>
                  <c:pt idx="0">
                    <c:v>2005</c:v>
                  </c:pt>
                  <c:pt idx="4">
                    <c:v>2006</c:v>
                  </c:pt>
                  <c:pt idx="8">
                    <c:v>2007</c:v>
                  </c:pt>
                  <c:pt idx="12">
                    <c:v>2008</c:v>
                  </c:pt>
                  <c:pt idx="16">
                    <c:v>2009</c:v>
                  </c:pt>
                  <c:pt idx="20">
                    <c:v>2010</c:v>
                  </c:pt>
                  <c:pt idx="24">
                    <c:v>2011</c:v>
                  </c:pt>
                  <c:pt idx="28">
                    <c:v>2012</c:v>
                  </c:pt>
                  <c:pt idx="32">
                    <c:v>2013</c:v>
                  </c:pt>
                  <c:pt idx="36">
                    <c:v>2014</c:v>
                  </c:pt>
                  <c:pt idx="40">
                    <c:v>2015</c:v>
                  </c:pt>
                  <c:pt idx="44">
                    <c:v>2016</c:v>
                  </c:pt>
                  <c:pt idx="48">
                    <c:v>2017</c:v>
                  </c:pt>
                  <c:pt idx="52">
                    <c:v>2018</c:v>
                  </c:pt>
                </c:lvl>
              </c:multiLvlStrCache>
            </c:multiLvlStrRef>
          </c:cat>
          <c:val>
            <c:numRef>
              <c:f>'Státní rozpočet 5'!$C$47:$BE$47</c:f>
              <c:numCache>
                <c:formatCode>0.0</c:formatCode>
                <c:ptCount val="55"/>
                <c:pt idx="0">
                  <c:v>10.265992704390317</c:v>
                </c:pt>
                <c:pt idx="1">
                  <c:v>10.923088048331014</c:v>
                </c:pt>
                <c:pt idx="2">
                  <c:v>13.145252386172798</c:v>
                </c:pt>
                <c:pt idx="3">
                  <c:v>13.001503685169766</c:v>
                </c:pt>
                <c:pt idx="4">
                  <c:v>13.304825460196451</c:v>
                </c:pt>
                <c:pt idx="5">
                  <c:v>13.130686728399851</c:v>
                </c:pt>
                <c:pt idx="6">
                  <c:v>12.754669045605075</c:v>
                </c:pt>
                <c:pt idx="7">
                  <c:v>14.023012638423276</c:v>
                </c:pt>
                <c:pt idx="8">
                  <c:v>14.540668674784499</c:v>
                </c:pt>
                <c:pt idx="9">
                  <c:v>16.017485639628635</c:v>
                </c:pt>
                <c:pt idx="10">
                  <c:v>14.915904603224822</c:v>
                </c:pt>
                <c:pt idx="11">
                  <c:v>15.636328283334729</c:v>
                </c:pt>
                <c:pt idx="12">
                  <c:v>18.071642557457089</c:v>
                </c:pt>
                <c:pt idx="13">
                  <c:v>17.908165316315252</c:v>
                </c:pt>
                <c:pt idx="14">
                  <c:v>16.786365018341076</c:v>
                </c:pt>
                <c:pt idx="15">
                  <c:v>11.3672591269615</c:v>
                </c:pt>
                <c:pt idx="16">
                  <c:v>9.6178712100545489</c:v>
                </c:pt>
                <c:pt idx="17">
                  <c:v>9.4410888328706157</c:v>
                </c:pt>
                <c:pt idx="18">
                  <c:v>10.794621127622998</c:v>
                </c:pt>
                <c:pt idx="19">
                  <c:v>10.410776619638726</c:v>
                </c:pt>
                <c:pt idx="20">
                  <c:v>11.225493284964054</c:v>
                </c:pt>
                <c:pt idx="21">
                  <c:v>11.79232663254435</c:v>
                </c:pt>
                <c:pt idx="22">
                  <c:v>12.641224199198499</c:v>
                </c:pt>
                <c:pt idx="23">
                  <c:v>12.83741347982785</c:v>
                </c:pt>
                <c:pt idx="24">
                  <c:v>13.318501834003582</c:v>
                </c:pt>
                <c:pt idx="25">
                  <c:v>14.830507060003551</c:v>
                </c:pt>
                <c:pt idx="26">
                  <c:v>14.66050980041847</c:v>
                </c:pt>
                <c:pt idx="27">
                  <c:v>14.171926415445183</c:v>
                </c:pt>
                <c:pt idx="28">
                  <c:v>12.926745930684422</c:v>
                </c:pt>
                <c:pt idx="29">
                  <c:v>12.792771834252662</c:v>
                </c:pt>
                <c:pt idx="30">
                  <c:v>12.77686883709845</c:v>
                </c:pt>
                <c:pt idx="31">
                  <c:v>12.215676084031044</c:v>
                </c:pt>
                <c:pt idx="32">
                  <c:v>13.255297631418404</c:v>
                </c:pt>
                <c:pt idx="33">
                  <c:v>13.350273439240414</c:v>
                </c:pt>
                <c:pt idx="34">
                  <c:v>13.057915258672836</c:v>
                </c:pt>
                <c:pt idx="35">
                  <c:v>14.997789266625336</c:v>
                </c:pt>
                <c:pt idx="36">
                  <c:v>14.974431008283176</c:v>
                </c:pt>
                <c:pt idx="37">
                  <c:v>14.162303131717232</c:v>
                </c:pt>
                <c:pt idx="38">
                  <c:v>14.499025313524356</c:v>
                </c:pt>
                <c:pt idx="39">
                  <c:v>14.49378333679272</c:v>
                </c:pt>
                <c:pt idx="40">
                  <c:v>17.111328570972969</c:v>
                </c:pt>
                <c:pt idx="41">
                  <c:v>17.385520699212726</c:v>
                </c:pt>
                <c:pt idx="42">
                  <c:v>18.843809422995431</c:v>
                </c:pt>
                <c:pt idx="43">
                  <c:v>21.274294138798233</c:v>
                </c:pt>
                <c:pt idx="44">
                  <c:v>24.68444990795296</c:v>
                </c:pt>
                <c:pt idx="45">
                  <c:v>26.121406197883733</c:v>
                </c:pt>
                <c:pt idx="46">
                  <c:v>28.36</c:v>
                </c:pt>
                <c:pt idx="47">
                  <c:v>31.557426806363459</c:v>
                </c:pt>
                <c:pt idx="48">
                  <c:v>47.262759844202463</c:v>
                </c:pt>
                <c:pt idx="49">
                  <c:v>47.618125585631624</c:v>
                </c:pt>
                <c:pt idx="50">
                  <c:v>51.35</c:v>
                </c:pt>
                <c:pt idx="51">
                  <c:v>41.64</c:v>
                </c:pt>
                <c:pt idx="52">
                  <c:v>35.466956324142593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A09D-4BFB-824A-C97A9106AF3D}"/>
            </c:ext>
          </c:extLst>
        </c:ser>
        <c:marker val="1"/>
        <c:axId val="104220544"/>
        <c:axId val="104219008"/>
      </c:lineChart>
      <c:catAx>
        <c:axId val="104133760"/>
        <c:scaling>
          <c:orientation val="minMax"/>
        </c:scaling>
        <c:axPos val="b"/>
        <c:numFmt formatCode="General" sourceLinked="0"/>
        <c:tickLblPos val="nextTo"/>
        <c:spPr>
          <a:ln>
            <a:solidFill>
              <a:schemeClr val="tx1"/>
            </a:solidFill>
          </a:ln>
        </c:spPr>
        <c:crossAx val="104135296"/>
        <c:crosses val="autoZero"/>
        <c:auto val="1"/>
        <c:lblAlgn val="ctr"/>
        <c:lblOffset val="10"/>
      </c:catAx>
      <c:valAx>
        <c:axId val="104135296"/>
        <c:scaling>
          <c:orientation val="minMax"/>
          <c:max val="1800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#,##0" sourceLinked="1"/>
        <c:tickLblPos val="nextTo"/>
        <c:spPr>
          <a:ln>
            <a:solidFill>
              <a:schemeClr val="tx1"/>
            </a:solidFill>
          </a:ln>
        </c:spPr>
        <c:crossAx val="104133760"/>
        <c:crosses val="autoZero"/>
        <c:crossBetween val="between"/>
      </c:valAx>
      <c:valAx>
        <c:axId val="104219008"/>
        <c:scaling>
          <c:orientation val="minMax"/>
          <c:max val="60"/>
        </c:scaling>
        <c:axPos val="r"/>
        <c:numFmt formatCode="0" sourceLinked="0"/>
        <c:tickLblPos val="nextTo"/>
        <c:spPr>
          <a:ln>
            <a:solidFill>
              <a:schemeClr val="tx1"/>
            </a:solidFill>
          </a:ln>
        </c:spPr>
        <c:crossAx val="104220544"/>
        <c:crosses val="max"/>
        <c:crossBetween val="between"/>
        <c:majorUnit val="5"/>
      </c:valAx>
      <c:catAx>
        <c:axId val="104220544"/>
        <c:scaling>
          <c:orientation val="minMax"/>
        </c:scaling>
        <c:delete val="1"/>
        <c:axPos val="b"/>
        <c:numFmt formatCode="General" sourceLinked="1"/>
        <c:tickLblPos val="none"/>
        <c:crossAx val="104219008"/>
        <c:crosses val="autoZero"/>
        <c:auto val="1"/>
        <c:lblAlgn val="ctr"/>
        <c:lblOffset val="100"/>
      </c:catAx>
      <c:spPr>
        <a:ln w="9525"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7.1917809656383364E-2"/>
          <c:y val="0.85316553287982777"/>
          <c:w val="0.88530576599325295"/>
          <c:h val="0.12993917070585131"/>
        </c:manualLayout>
      </c:layout>
      <c:spPr>
        <a:ln w="6350">
          <a:solidFill>
            <a:schemeClr val="tx1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A602D-900A-4406-8317-C8409BAFBA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0A9C9E-D33A-4B66-A8D6-B4A12F4D2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Q_analyza_Q12018.dotx</Template>
  <TotalTime>1</TotalTime>
  <Pages>1</Pages>
  <Words>1724</Words>
  <Characters>10177</Characters>
  <Application>Microsoft Office Word</Application>
  <DocSecurity>0</DocSecurity>
  <Lines>84</Lines>
  <Paragraphs>23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11878</CharactersWithSpaces>
  <SharedDoc>false</SharedDoc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Karolína Súkupová</dc:creator>
  <cp:lastModifiedBy>Mgr. Karolína Súkupová</cp:lastModifiedBy>
  <cp:revision>4</cp:revision>
  <cp:lastPrinted>2014-07-17T14:07:00Z</cp:lastPrinted>
  <dcterms:created xsi:type="dcterms:W3CDTF">2018-06-20T13:20:00Z</dcterms:created>
  <dcterms:modified xsi:type="dcterms:W3CDTF">2018-06-20T13:33:00Z</dcterms:modified>
</cp:coreProperties>
</file>