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45182" w14:textId="77777777" w:rsidR="006A2056" w:rsidRDefault="006A2056" w:rsidP="006A2056">
      <w:pPr>
        <w:pStyle w:val="Nadpis1"/>
      </w:pPr>
      <w:bookmarkStart w:id="0" w:name="_Toc208920081"/>
      <w:r>
        <w:t>5. Ceny</w:t>
      </w:r>
      <w:bookmarkEnd w:id="0"/>
      <w:r>
        <w:t xml:space="preserve"> </w:t>
      </w:r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1"/>
        <w:gridCol w:w="223"/>
        <w:gridCol w:w="7625"/>
      </w:tblGrid>
      <w:tr w:rsidR="006A2056" w14:paraId="575933E7" w14:textId="77777777" w:rsidTr="00A33549">
        <w:trPr>
          <w:trHeight w:val="145"/>
        </w:trPr>
        <w:tc>
          <w:tcPr>
            <w:tcW w:w="1791" w:type="dxa"/>
            <w:hideMark/>
          </w:tcPr>
          <w:p w14:paraId="2EC7A0CC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Cenová hladina v ekonomice ve 2. čtvrtletí rostla.</w:t>
            </w:r>
          </w:p>
        </w:tc>
        <w:tc>
          <w:tcPr>
            <w:tcW w:w="223" w:type="dxa"/>
          </w:tcPr>
          <w:p w14:paraId="3B709145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881D1C4" w14:textId="77777777" w:rsidR="006A2056" w:rsidRDefault="006A2056" w:rsidP="00A33549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Celková cenová hladina v ekonomice měřená deflátorem HDP ve 2. čtvrtletí 2025 vzrostla meziročně o 3,3 %. Přírůstek mírně posílí oproti předchozímu kvartálu. Pod vlivem cen spotřeby vládních institucí (3,9 %) posílil meziroční růst cenové hladiny u spotřeby (3,4 %). U domácností přírůstek nepatrně oslabil na 3,1 %. Značně vyšší byl meziroční růst cen u kapitálových výdajů (3,0 %), ačkoli růst cenové hladiny výdajů na tvorbu fixního kapitálu oslabil na 3,9 %. Meziroční směnné relace ve 2. čtvrtletí dosáhly 100,4 % a kladné byly směnné relace obchodu se zbožím (100,3 %) i službami (100,9 %). Mezičtvrtletní růst cenové hladiny v ekonomice posílil ve 2. čtvrtletí na 1,3 %. Nezměnil se celkový mezičtvrtletní přírůstek cen spotřeby (0,9 %) – snížení tempa u domácností (0,5 %) vykompenzovalo zrychlení u vládních institucí (1,9 %). Cenová hladina tvorby hrubého kapitálu mezičtvrtletně vzrostla o 2,8 %, z toho u fixního kapitálu byl zaznamenán nárůst o 2,0 %. Mezičtvrtletní směnné relace dosáhly 100,1 %, z toho směnné relace obchodu se zbožím činily 100,3 % a se službami 98,8 %.</w:t>
            </w:r>
          </w:p>
        </w:tc>
      </w:tr>
      <w:tr w:rsidR="006A2056" w14:paraId="67866DF1" w14:textId="77777777" w:rsidTr="00A33549">
        <w:trPr>
          <w:trHeight w:val="145"/>
        </w:trPr>
        <w:tc>
          <w:tcPr>
            <w:tcW w:w="1791" w:type="dxa"/>
          </w:tcPr>
          <w:p w14:paraId="14290DBF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spotřebitelských cen ve 2. čtvrtletí zpomalil.</w:t>
            </w:r>
          </w:p>
        </w:tc>
        <w:tc>
          <w:tcPr>
            <w:tcW w:w="223" w:type="dxa"/>
          </w:tcPr>
          <w:p w14:paraId="06011049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71DA8753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Meziroční přírůstek indexu spotřebitelských cen ve 2. čtvrtletí 2025 oslabil na 2,4 %. Zvolnění meziroční dynamiky bylo způsobeno především poklesem cen dopravy a zvolněním růstu cen alkoholických nápojů a tabáku. Meziroční vývoj ve zbytku spotřebního koše byl značně podobný předchozímu kvartálu. Nejsilnější vliv na celkový růst spotřebitelských cen si držely potraviny a nealkoholické nápoje a mírně posílil příspěvek cen bydlení a energií. Významný příspěvek navzdory zvolnění tempa měly ceny alkoholických nápojů a tabáku a nadále byl patrný silný růst cen služeb, patrný zejména v oddílech rekreace a kultura a stravování a ubytování. Meziročně klesaly pouze ceny dopravy a odívání a obuvi. Oslabení meziročního růstu spotřebitelských cen lze přičíst i vyšší srovnávací základně u některých položek. Mezičtvrtletně se totiž spotřebitelské ceny ve 2. kvartálu zvýšily o 0,5 % a vyšší byly ceny v 10 oddílech </w:t>
            </w:r>
            <w:r>
              <w:rPr>
                <w:lang w:eastAsia="en-US"/>
              </w:rPr>
              <w:br/>
              <w:t>z 12. K mezičtvrtletnímu přírůstku spotřebitelských cen nejvíce přispěly potraviny a nealkoholické nápoje, bydlení a energie a stravování a ubytování. Pokles byl zaznamenán jen u cen dopravy a rekreací a kultury. Za celé 1. pololetí spotřebitelské ceny meziročně vzrostly o 2,6 %.</w:t>
            </w:r>
          </w:p>
        </w:tc>
      </w:tr>
      <w:tr w:rsidR="006A2056" w14:paraId="3F2A09F1" w14:textId="77777777" w:rsidTr="00A33549">
        <w:trPr>
          <w:trHeight w:val="145"/>
        </w:trPr>
        <w:tc>
          <w:tcPr>
            <w:tcW w:w="1791" w:type="dxa"/>
          </w:tcPr>
          <w:p w14:paraId="2B349AE2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Nejvíce růst podpořily ceny potravin </w:t>
            </w:r>
            <w:r>
              <w:rPr>
                <w:spacing w:val="0"/>
                <w:lang w:eastAsia="en-US"/>
              </w:rPr>
              <w:br/>
              <w:t>a nealkoholických nápojů.</w:t>
            </w:r>
          </w:p>
        </w:tc>
        <w:tc>
          <w:tcPr>
            <w:tcW w:w="223" w:type="dxa"/>
          </w:tcPr>
          <w:p w14:paraId="1C268BE6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0DD1A816" w14:textId="106BA02A" w:rsidR="006A2056" w:rsidRDefault="006A2056" w:rsidP="00967E76">
            <w:pPr>
              <w:rPr>
                <w:lang w:eastAsia="en-US"/>
              </w:rPr>
            </w:pPr>
            <w:r>
              <w:rPr>
                <w:lang w:eastAsia="en-US"/>
              </w:rPr>
              <w:t>Meziroční přírůstek cen potravin</w:t>
            </w:r>
            <w:r w:rsidR="00967E76">
              <w:rPr>
                <w:lang w:eastAsia="en-US"/>
              </w:rPr>
              <w:t xml:space="preserve"> a nealkoholických nápojů</w:t>
            </w:r>
            <w:r>
              <w:rPr>
                <w:lang w:eastAsia="en-US"/>
              </w:rPr>
              <w:t xml:space="preserve"> zůstal téměř stejný jako v 1.</w:t>
            </w:r>
            <w:r w:rsidR="00967E76">
              <w:rPr>
                <w:lang w:eastAsia="en-US"/>
              </w:rPr>
              <w:t> </w:t>
            </w:r>
            <w:r>
              <w:rPr>
                <w:lang w:eastAsia="en-US"/>
              </w:rPr>
              <w:t>kvartálu a ve 2. čtvrtletí dosáhl 5,2 %. Mezičtvrtletní růst jejich cen zpomalil na 1,0</w:t>
            </w:r>
            <w:r w:rsidR="00967E76">
              <w:rPr>
                <w:lang w:eastAsia="en-US"/>
              </w:rPr>
              <w:t> </w:t>
            </w:r>
            <w:r>
              <w:rPr>
                <w:lang w:eastAsia="en-US"/>
              </w:rPr>
              <w:t>%. Mírně posílil meziroční růst cen ovoce (13,5 %), mléka, sýrů a vajec (10,1 %), masa (3,6 %) a pekárenských výrobků a obilovin (2,2 %). Oslaboval silný meziroční růst cen olejů a tuků (12,5 %) a cukru a cukrovinek (6,7 %). Klesly jen ceny zeleniny (−2,6 %). Ceny alkoholických nápojů a tabáku si udržely silný vliv na celkový růst spotřebitelských cen navzdory zmírnění jejich meziročního nárůstu na 3,3 % (mezičtvrtletně vzrostly o 0,1 %). Ceny alkoholických nápojů přitom meziročně klesly o</w:t>
            </w:r>
            <w:r w:rsidR="00967E76">
              <w:rPr>
                <w:lang w:eastAsia="en-US"/>
              </w:rPr>
              <w:t> </w:t>
            </w:r>
            <w:r>
              <w:rPr>
                <w:lang w:eastAsia="en-US"/>
              </w:rPr>
              <w:t xml:space="preserve">1,3 %, zatímco ceny tabáku byly vyšší o 7,3 %.     </w:t>
            </w:r>
          </w:p>
        </w:tc>
      </w:tr>
      <w:tr w:rsidR="006A2056" w14:paraId="606172D7" w14:textId="77777777" w:rsidTr="00A33549">
        <w:trPr>
          <w:trHeight w:val="145"/>
        </w:trPr>
        <w:tc>
          <w:tcPr>
            <w:tcW w:w="1791" w:type="dxa"/>
          </w:tcPr>
          <w:p w14:paraId="4ACC33FF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Růst cen bydlení </w:t>
            </w:r>
            <w:r>
              <w:rPr>
                <w:spacing w:val="0"/>
                <w:lang w:eastAsia="en-US"/>
              </w:rPr>
              <w:br/>
              <w:t>a energií posílil.</w:t>
            </w:r>
          </w:p>
        </w:tc>
        <w:tc>
          <w:tcPr>
            <w:tcW w:w="223" w:type="dxa"/>
          </w:tcPr>
          <w:p w14:paraId="16F3A87D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1C9377A3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>Ceny bydlení a energií ve 2. čtvrtletí meziročně vzrostly o 1,9 % a přírůstek tak posílil. Mezičtvrtletně se náklady na bydlení a energie zvýšily o 0,5 %. K posílení meziroční dynamiky přispělo zejména imputované nájemné</w:t>
            </w:r>
            <w:r>
              <w:rPr>
                <w:rStyle w:val="Znakapoznpodarou"/>
                <w:lang w:eastAsia="en-US"/>
              </w:rPr>
              <w:footnoteReference w:id="1"/>
            </w:r>
            <w:r>
              <w:rPr>
                <w:lang w:eastAsia="en-US"/>
              </w:rPr>
              <w:t xml:space="preserve"> (4,5 %).  Výrazný přírůstek cen si udržovalo nájemné z bytu (6,0 %), ostatní služby související s bydlením (4,0 %) i běžná údržba a drobné opravy bytu (3,4 %). Ceny elektrické a tepelné energie, plynu a ostatních paliv si udržely pokles o 3,3 %.</w:t>
            </w:r>
          </w:p>
        </w:tc>
      </w:tr>
      <w:tr w:rsidR="006A2056" w14:paraId="62785638" w14:textId="77777777" w:rsidTr="00A33549">
        <w:trPr>
          <w:trHeight w:val="145"/>
        </w:trPr>
        <w:tc>
          <w:tcPr>
            <w:tcW w:w="1791" w:type="dxa"/>
          </w:tcPr>
          <w:p w14:paraId="157F9F04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Meziroční růst cen stravování a ubytování </w:t>
            </w:r>
            <w:r>
              <w:rPr>
                <w:spacing w:val="0"/>
                <w:lang w:eastAsia="en-US"/>
              </w:rPr>
              <w:lastRenderedPageBreak/>
              <w:t>poprvé po téměř čtyřech letech klesl pod 4 %.</w:t>
            </w:r>
          </w:p>
        </w:tc>
        <w:tc>
          <w:tcPr>
            <w:tcW w:w="223" w:type="dxa"/>
          </w:tcPr>
          <w:p w14:paraId="5C04080F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21B61CB7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Výrazně zvýšený byl nadále meziroční růst cen služeb (4,9 %, ceny zboží úhrnem vzrostly o 0,9 %). Ceny stravování a ubytování ve 2. čtvrtletí meziročně vzrostly o 4,9 % a poprvé od 3. čtvrtletí 2021 přírůstek klesl pod 5,0 %. Mezičtvrtletně byly ceny </w:t>
            </w:r>
            <w:r>
              <w:rPr>
                <w:lang w:eastAsia="en-US"/>
              </w:rPr>
              <w:lastRenderedPageBreak/>
              <w:t xml:space="preserve">stravování a ubytování vyšší o 1,5 %. Meziroční přírůstek cen rekreací a kultury ve </w:t>
            </w:r>
            <w:r>
              <w:rPr>
                <w:lang w:eastAsia="en-US"/>
              </w:rPr>
              <w:br/>
              <w:t xml:space="preserve">2. čtvrtletí posílil na 3,7 %, ale mezičtvrtletně zde ceny poklesly o 0,2 %. Trvala situace, kdy růst v tomto oddíle výrazně poháněly ceny služeb – rekreační a kulturní služby </w:t>
            </w:r>
            <w:r>
              <w:rPr>
                <w:lang w:eastAsia="en-US"/>
              </w:rPr>
              <w:br/>
              <w:t>(5,8 %) a dovolené s komplexními službami (5,2 %), zatímco ceny zboží rostly jen mírně – například audiovizuální zařízení a vybavení a květiny nebo zahradní vybavení a zboží pro zvířata (obě 1,3 %). Ceny ostatního zboží a služeb</w:t>
            </w:r>
            <w:r>
              <w:rPr>
                <w:rStyle w:val="Znakapoznpodarou"/>
                <w:lang w:eastAsia="en-US"/>
              </w:rPr>
              <w:footnoteReference w:id="2"/>
            </w:r>
            <w:r>
              <w:rPr>
                <w:lang w:eastAsia="en-US"/>
              </w:rPr>
              <w:t xml:space="preserve"> vzrostly o 3,2 % (mezičtvrtletně o 1,0 %). Silný zůstal meziroční přírůstek cen vzdělávání (11,2 %, mezičtvrtletně o 0,1 %). Ceny zdraví meziročně vzrostly o 3,5 %, ale jejich mezičtvrtletní přírůstek byl nejsilnější ze všech oddílů spotřebního koše (1,7 %).  </w:t>
            </w:r>
          </w:p>
        </w:tc>
      </w:tr>
      <w:tr w:rsidR="006A2056" w14:paraId="684D2658" w14:textId="77777777" w:rsidTr="00A33549">
        <w:trPr>
          <w:trHeight w:val="145"/>
        </w:trPr>
        <w:tc>
          <w:tcPr>
            <w:tcW w:w="1791" w:type="dxa"/>
          </w:tcPr>
          <w:p w14:paraId="3D9095F5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6ED5BC41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8A40B2B" w14:textId="77777777" w:rsidR="006A2056" w:rsidRDefault="006A2056" w:rsidP="00A33549">
            <w:pPr>
              <w:spacing w:after="0"/>
              <w:rPr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>Graf č. 10 Ceny ve vybraných oddílech indexu spotřebitelských cen</w:t>
            </w:r>
            <w:r>
              <w:rPr>
                <w:rFonts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(meziročně v %)</w:t>
            </w:r>
          </w:p>
        </w:tc>
      </w:tr>
      <w:tr w:rsidR="006A2056" w14:paraId="7F50F30C" w14:textId="77777777" w:rsidTr="00A33549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72C4E0DF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05F3C23A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36EDE3E" w14:textId="77777777" w:rsidR="006A2056" w:rsidRDefault="006A2056" w:rsidP="00A33549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103D5B3" wp14:editId="6B2A2B9C">
                  <wp:extent cx="4752000" cy="3553200"/>
                  <wp:effectExtent l="0" t="0" r="0" b="0"/>
                  <wp:docPr id="38" name="Graf 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A2056" w14:paraId="48DCCB49" w14:textId="77777777" w:rsidTr="00A33549">
        <w:trPr>
          <w:trHeight w:val="145"/>
        </w:trPr>
        <w:tc>
          <w:tcPr>
            <w:tcW w:w="1791" w:type="dxa"/>
          </w:tcPr>
          <w:p w14:paraId="5F88FD62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56D7357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2EEA92B" w14:textId="77777777" w:rsidR="006A2056" w:rsidRDefault="006A2056" w:rsidP="00A33549">
            <w:pPr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A2056" w14:paraId="09795757" w14:textId="77777777" w:rsidTr="00A33549">
        <w:trPr>
          <w:trHeight w:val="145"/>
        </w:trPr>
        <w:tc>
          <w:tcPr>
            <w:tcW w:w="1791" w:type="dxa"/>
          </w:tcPr>
          <w:p w14:paraId="596F8250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dopravy byly důvodem zmírnění meziročního růstu spotřebitelských cen.</w:t>
            </w:r>
          </w:p>
        </w:tc>
        <w:tc>
          <w:tcPr>
            <w:tcW w:w="223" w:type="dxa"/>
          </w:tcPr>
          <w:p w14:paraId="25E72C41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30997063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>Jen slabě se meziročně zvyšovaly ceny bytového vybavení, zařízení domácností a oprav (1,4 %, mezičtvrtletně 0,7 %), kde se mírněji rostoucímu nebo klesajícímu zbytku oddílu vymykal zejména přírůstek cen bytového textilu (7,4 %) – naproti tomu ceny zboží a služeb pro běžnou údržbu domácnosti byly meziročně nižší o 1,2 %. Ceny pošt a telekomunikací byly meziročně vyšší o 0,3 %. Ceny dopravy se poprvé od konce roku 2023 dostaly do meziročního poklesu (−2,7 %, mezičtvrtletní pokles o 1,0 %) a ovlivnily celkové zpomalení růstu spotřebitelských cen. Na meziročním vývoji cen dopravy se projevil především propad u nákladů na provoz osobních dopravních prostředků (−6,2 %) tažený poklesem cen pohonných hmot (−12,1 %). Z meziročního poklesu se dostaly ceny nákupů automobilů, motocyklů a jízdních kol (0,6 %) a posílil meziroční přírůstek cen dopravních služeb na 4,2 %. Meziročně klesly i ceny odívání a obuvi (−1,8 %).</w:t>
            </w:r>
          </w:p>
        </w:tc>
      </w:tr>
      <w:tr w:rsidR="006A2056" w14:paraId="75B8572E" w14:textId="77777777" w:rsidTr="00A33549">
        <w:trPr>
          <w:trHeight w:val="145"/>
        </w:trPr>
        <w:tc>
          <w:tcPr>
            <w:tcW w:w="1791" w:type="dxa"/>
            <w:hideMark/>
          </w:tcPr>
          <w:p w14:paraId="0F186220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 xml:space="preserve">Růst spotřebitelských cen v oblasti služeb v EU trval. </w:t>
            </w:r>
          </w:p>
        </w:tc>
        <w:tc>
          <w:tcPr>
            <w:tcW w:w="223" w:type="dxa"/>
          </w:tcPr>
          <w:p w14:paraId="35791DF9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27FA3B7" w14:textId="479BA0E2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>Harmonizovaný index spotřebitelských cen v EU (HICP)</w:t>
            </w:r>
            <w:r>
              <w:rPr>
                <w:rStyle w:val="Znakapoznpodarou"/>
                <w:lang w:eastAsia="en-US"/>
              </w:rPr>
              <w:footnoteReference w:id="3"/>
            </w:r>
            <w:r>
              <w:rPr>
                <w:lang w:eastAsia="en-US"/>
              </w:rPr>
              <w:t xml:space="preserve"> ve 2. čtvrtletí meziročně vzrostl o 2,3 %. Nejvíce se meziročně zvyšovaly ceny v oblasti vzdělávání (4,7 %), alkoholu a tabáku (4,5 %), stravování a ubytování (4,1 %) a ostatního zboží a služeb (4,0 %). Služby si tak držely velmi silnou dynamiku cen. Nadprůměrný zůstal také růst </w:t>
            </w:r>
            <w:r>
              <w:rPr>
                <w:lang w:eastAsia="en-US"/>
              </w:rPr>
              <w:lastRenderedPageBreak/>
              <w:t xml:space="preserve">cen potravin a nealkoholických nápojů (3,5 %). V EU meziročně klesaly jen ceny pošt a telekomunikací (−2,3 %) a dopravy (−0,4 %). Nejvíce meziročně rostl HICP v Rumunsku (5,4 %), Estonsku (4,8 %) a v Maďarsku (4,4 %). Pod jedním procentem byl přírůstek spotřebitelských cen na Kypru a ve Francii (shodně 0,8 %). Mezičtvrtletně se ve 2. čtvrtletí HICP celkově v Unii zvýšil o 1,1 %. Klesaly jen ceny bydlení a energií (−0,8 %) a pošt a telekomunikací (−0,5 %). Prudce se naopak zvýšily ceny oděvů a obuvi (7,7 %), dál narůstaly ceny stravování a ubytování (3,3 %) a rekreací a kultury (1,4 %). Ceny mezičtvrtletně klesaly jen v Bulharsku (−0,7 %) a Belgii (−0,1 %). Naopak prudce vzrostl HICP na Maltě (5,8 %), v Portugalsku </w:t>
            </w:r>
            <w:r w:rsidR="00967E76">
              <w:rPr>
                <w:lang w:eastAsia="en-US"/>
              </w:rPr>
              <w:t xml:space="preserve">(2,9 %) </w:t>
            </w:r>
            <w:r>
              <w:rPr>
                <w:lang w:eastAsia="en-US"/>
              </w:rPr>
              <w:t>a Řecku (2,4 %).</w:t>
            </w:r>
          </w:p>
        </w:tc>
      </w:tr>
      <w:tr w:rsidR="006A2056" w14:paraId="0A436243" w14:textId="77777777" w:rsidTr="00A33549">
        <w:trPr>
          <w:trHeight w:val="145"/>
        </w:trPr>
        <w:tc>
          <w:tcPr>
            <w:tcW w:w="1791" w:type="dxa"/>
          </w:tcPr>
          <w:p w14:paraId="3BF5664A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Nabídkové ceny bytů mimo Prahu rostly výrazněji než v Praze.</w:t>
            </w:r>
          </w:p>
        </w:tc>
        <w:tc>
          <w:tcPr>
            <w:tcW w:w="223" w:type="dxa"/>
          </w:tcPr>
          <w:p w14:paraId="506208E9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5BFCBF4A" w14:textId="38B5865C" w:rsidR="006A2056" w:rsidRDefault="006A2056" w:rsidP="00967E76">
            <w:pPr>
              <w:rPr>
                <w:lang w:eastAsia="en-US"/>
              </w:rPr>
            </w:pPr>
            <w:r>
              <w:rPr>
                <w:lang w:eastAsia="en-US"/>
              </w:rPr>
              <w:t>Meziroční růst nabídkových cen bytů v Česku ve 2. čtvrtletí 2025 dál posílil na 17,0 %. Byl za tím zejména vývoj cen bytů mimo Prahu (prudké zrychlení na 17,9 %), nabídkové ceny bytů v Praze byly meziročně vyšší o 16,2 %. Mezičtvrtletně se nabídkové ceny bytů v Česku celkem zvýšily o 3,5 %, mimo Prahu došlo ke zrychlení tempa na 5,8 % a v Praze naopak ke zvolnění na 1,5 %. Realizované ceny starších bytů se vyvíjely podobně. Zatímco v Praze došlo ke zvolnění meziročního přírůstku na 13,6 %, mimo Prahu tempo posílilo na 17,0 %. To mělo za následek také zrychlení růstu realizovaných cen starších bytů v Česku na 16,3 %. Mezičtvrtletně se realizované ceny starších bytů v Česku zvýšily o 3,7 %, z toho mimo Prahu se přírůstek udržel na 4,2 % a v Praze došlo ke zmírnění nárůstu na 2,2 %.</w:t>
            </w:r>
            <w:r w:rsidR="00107F50">
              <w:rPr>
                <w:lang w:eastAsia="en-US"/>
              </w:rPr>
              <w:t xml:space="preserve"> Realizované ceny nových bytů v Praze se ve 2.</w:t>
            </w:r>
            <w:r w:rsidR="00967E76">
              <w:rPr>
                <w:lang w:eastAsia="en-US"/>
              </w:rPr>
              <w:t> </w:t>
            </w:r>
            <w:r w:rsidR="00107F50">
              <w:rPr>
                <w:lang w:eastAsia="en-US"/>
              </w:rPr>
              <w:t>čtvrtletí zvýšily mezičtvrtletně o 6,7 %</w:t>
            </w:r>
            <w:r w:rsidR="00967E76">
              <w:rPr>
                <w:lang w:eastAsia="en-US"/>
              </w:rPr>
              <w:t xml:space="preserve"> (nejvyšší zaznamenaný přírůstek)</w:t>
            </w:r>
            <w:r w:rsidR="00107F50">
              <w:rPr>
                <w:lang w:eastAsia="en-US"/>
              </w:rPr>
              <w:t xml:space="preserve"> a meziročně o 15,6 %.</w:t>
            </w:r>
          </w:p>
        </w:tc>
      </w:tr>
      <w:tr w:rsidR="006A2056" w14:paraId="497E4D51" w14:textId="77777777" w:rsidTr="00A33549">
        <w:trPr>
          <w:trHeight w:val="145"/>
        </w:trPr>
        <w:tc>
          <w:tcPr>
            <w:tcW w:w="1791" w:type="dxa"/>
          </w:tcPr>
          <w:p w14:paraId="561D58CA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3EE41CEB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0362D8D" w14:textId="77777777" w:rsidR="006A2056" w:rsidRDefault="006A2056" w:rsidP="00A33549">
            <w:pPr>
              <w:spacing w:after="0"/>
              <w:rPr>
                <w:rStyle w:val="Znakapoznpodarou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11 Ceny nemovitostí </w:t>
            </w:r>
            <w:r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6A2056" w14:paraId="29BDA88D" w14:textId="77777777" w:rsidTr="00A33549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0D690721" w14:textId="77777777" w:rsidR="006A2056" w:rsidRDefault="006A2056" w:rsidP="00A33549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11432348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7AD2DAA" w14:textId="77777777" w:rsidR="006A2056" w:rsidRDefault="006A2056" w:rsidP="00A33549">
            <w:pPr>
              <w:spacing w:after="0"/>
              <w:rPr>
                <w:rStyle w:val="Znakapoznpodarou"/>
              </w:rPr>
            </w:pPr>
            <w:r>
              <w:rPr>
                <w:noProof/>
              </w:rPr>
              <w:drawing>
                <wp:inline distT="0" distB="0" distL="0" distR="0" wp14:anchorId="4BD7FBFA" wp14:editId="37EA8CD9">
                  <wp:extent cx="4737600" cy="3553200"/>
                  <wp:effectExtent l="0" t="0" r="6350" b="0"/>
                  <wp:docPr id="39" name="Graf 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A2056" w14:paraId="5655388D" w14:textId="77777777" w:rsidTr="00A33549">
        <w:trPr>
          <w:trHeight w:val="145"/>
        </w:trPr>
        <w:tc>
          <w:tcPr>
            <w:tcW w:w="1791" w:type="dxa"/>
          </w:tcPr>
          <w:p w14:paraId="6BF8023C" w14:textId="77777777" w:rsidR="006A2056" w:rsidRDefault="006A2056" w:rsidP="00A33549">
            <w:pPr>
              <w:pStyle w:val="Marginlie"/>
              <w:rPr>
                <w:spacing w:val="0"/>
              </w:rPr>
            </w:pPr>
          </w:p>
        </w:tc>
        <w:tc>
          <w:tcPr>
            <w:tcW w:w="223" w:type="dxa"/>
          </w:tcPr>
          <w:p w14:paraId="247AAFE9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1BB37B8" w14:textId="77777777" w:rsidR="006A2056" w:rsidRDefault="006A2056" w:rsidP="00A33549">
            <w:pPr>
              <w:jc w:val="right"/>
              <w:rPr>
                <w:rStyle w:val="Znakapoznpodarou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A2056" w14:paraId="64F4328B" w14:textId="77777777" w:rsidTr="00A33549">
        <w:trPr>
          <w:trHeight w:val="145"/>
        </w:trPr>
        <w:tc>
          <w:tcPr>
            <w:tcW w:w="1791" w:type="dxa"/>
          </w:tcPr>
          <w:p w14:paraId="1E676798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klesly.</w:t>
            </w:r>
          </w:p>
        </w:tc>
        <w:tc>
          <w:tcPr>
            <w:tcW w:w="223" w:type="dxa"/>
          </w:tcPr>
          <w:p w14:paraId="7FFDFB0C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</w:tcPr>
          <w:p w14:paraId="4D94EA7A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průmyslových výrobců ve 2. čtvrtletí navázaly na předchozí stagnaci meziročním poklesem o 0,9 %. Mezičtvrtletně došlo ke snížení o 1,5 %. Meziročně vyšší byly pouze ceny zásobování vodou a souvisejících služeb (4,1 %). Naopak se prohloubil propad cen těžby a dobývání na −4,2 %, především pod vlivem cen uhlí a ropy. Mezičtvrtletně ceny těžby a dobývání klesly o 0,5 %. Ceny elektřiny, plynu, páry a klimatizovaného vzduchu ve 2. čtvrtletí meziročně klesly o 3,4 % a mezičtvrtletně o 5,1 %.   </w:t>
            </w:r>
          </w:p>
        </w:tc>
      </w:tr>
      <w:tr w:rsidR="006A2056" w14:paraId="3073DA05" w14:textId="77777777" w:rsidTr="00A33549">
        <w:trPr>
          <w:trHeight w:val="145"/>
        </w:trPr>
        <w:tc>
          <w:tcPr>
            <w:tcW w:w="1791" w:type="dxa"/>
          </w:tcPr>
          <w:p w14:paraId="0743F1BD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 xml:space="preserve">Ceny koksu </w:t>
            </w:r>
            <w:r>
              <w:rPr>
                <w:spacing w:val="0"/>
                <w:lang w:eastAsia="en-US"/>
              </w:rPr>
              <w:br/>
              <w:t>a rafinovaných ropných výrobků klíčově ovlivnily vývoj cen ve zpracovatelském průmyslu.</w:t>
            </w:r>
          </w:p>
        </w:tc>
        <w:tc>
          <w:tcPr>
            <w:tcW w:w="223" w:type="dxa"/>
          </w:tcPr>
          <w:p w14:paraId="549DA112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E391F55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>Ceny výrobků a služeb zpracovatelského průmyslu meziročně klesly o 0,2 % a mezičtvrtletně o 0,5 %. Vývoj v rámci celé sekce byl různorodý, ale meziroční i mezičtvrtletní dynamiku ovlivnil především pokles cen koksu a rafinovaných ropných výrobků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. U většiny oddílů klasifikace totiž ceny meziročně rostly, nebo dokonce přírůstky posilovaly. To byl případ cen dřeva a dřevěných výrobků (posílení na 4,9 %), ostatních dopravních prostředků (posílení na 4,2 %) nebo potravinářských výrobků a farmaceutických výrobků a přípravků (u obou shodně posílení na 3,3 %). U zmíněných oddílů byly ve 2. čtvrtletí zaznamenány také solidní mezičtvrtletní nárůsty cen. Výrazně, ačkoli méně než v předchozím kvartálu, rostly ceny oděvů (4,7 %) </w:t>
            </w:r>
            <w:r>
              <w:rPr>
                <w:lang w:eastAsia="en-US"/>
              </w:rPr>
              <w:br/>
              <w:t xml:space="preserve">a oprav, údržby a instalace strojů a zařízení (3,9 %). Zmírnění růstu cen zaznamenaly také významné oddíly počítače, elektronické a optické přístroje a zařízení (2,2 %), stroje a zařízení (1,6 %) a motorová vozidla (0,9 %) – u všech ceny mezičtvrtletně klesly. Meziroční pokles cen se prohloubil v případě chemických látek a přípravků </w:t>
            </w:r>
            <w:r>
              <w:rPr>
                <w:lang w:eastAsia="en-US"/>
              </w:rPr>
              <w:br/>
              <w:t xml:space="preserve">(−7,1 %, oddíl často citlivě reaguje na vývoj cen ropy) a udržoval se u základních kovů (−2,5 %) a elektrických zařízení (−0,9 %). </w:t>
            </w:r>
          </w:p>
        </w:tc>
      </w:tr>
      <w:tr w:rsidR="006A2056" w14:paraId="39057365" w14:textId="77777777" w:rsidTr="00A33549">
        <w:trPr>
          <w:trHeight w:val="145"/>
        </w:trPr>
        <w:tc>
          <w:tcPr>
            <w:tcW w:w="1791" w:type="dxa"/>
          </w:tcPr>
          <w:p w14:paraId="677FB8FF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29E8FDE8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6A617D01" w14:textId="77777777" w:rsidR="006A2056" w:rsidRDefault="006A2056" w:rsidP="00A33549">
            <w:pPr>
              <w:spacing w:after="0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Graf č. 12 Ceny hlavních skupin průmyslových výrobců </w:t>
            </w:r>
            <w:r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6A2056" w14:paraId="01058857" w14:textId="77777777" w:rsidTr="00A33549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1" w:type="dxa"/>
          </w:tcPr>
          <w:p w14:paraId="2128AFFA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30F3CBD5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13DF8532" w14:textId="77777777" w:rsidR="006A2056" w:rsidRDefault="006A2056" w:rsidP="00A33549">
            <w:pPr>
              <w:spacing w:after="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C2A314E" wp14:editId="39B25A53">
                  <wp:extent cx="4752000" cy="3553200"/>
                  <wp:effectExtent l="0" t="0" r="0" b="0"/>
                  <wp:docPr id="40" name="Graf 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6A2056" w14:paraId="2D5BAED9" w14:textId="77777777" w:rsidTr="00A33549">
        <w:trPr>
          <w:trHeight w:val="145"/>
        </w:trPr>
        <w:tc>
          <w:tcPr>
            <w:tcW w:w="1791" w:type="dxa"/>
          </w:tcPr>
          <w:p w14:paraId="4C4C156C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</w:p>
        </w:tc>
        <w:tc>
          <w:tcPr>
            <w:tcW w:w="223" w:type="dxa"/>
          </w:tcPr>
          <w:p w14:paraId="1DDEA355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12CC3AF" w14:textId="77777777" w:rsidR="006A2056" w:rsidRDefault="006A2056" w:rsidP="00A33549">
            <w:pPr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tr w:rsidR="006A2056" w14:paraId="1FAB0124" w14:textId="77777777" w:rsidTr="00A33549">
        <w:trPr>
          <w:trHeight w:val="145"/>
        </w:trPr>
        <w:tc>
          <w:tcPr>
            <w:tcW w:w="1791" w:type="dxa"/>
            <w:hideMark/>
          </w:tcPr>
          <w:p w14:paraId="314F7CFF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průmyslových výrobců v EU mezičtvrtletně klesly.</w:t>
            </w:r>
          </w:p>
        </w:tc>
        <w:tc>
          <w:tcPr>
            <w:tcW w:w="223" w:type="dxa"/>
          </w:tcPr>
          <w:p w14:paraId="517B1086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7935CA9E" w14:textId="471087F3" w:rsidR="006A2056" w:rsidRDefault="006A2056" w:rsidP="001A7280">
            <w:pPr>
              <w:rPr>
                <w:lang w:eastAsia="en-US"/>
              </w:rPr>
            </w:pPr>
            <w:r>
              <w:rPr>
                <w:lang w:eastAsia="en-US"/>
              </w:rPr>
              <w:t>Meziroční přírůstek cen průmyslových výrobců v EU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 ve 2. čtvrtletí oslabil na 0,5 %. Výrazné zmírnění se týkalo růstu cen těžby a dobývání (0,2 %) i cen elektřiny, plynu, páry a klimatizovaného vzduchu (2,</w:t>
            </w:r>
            <w:r w:rsidR="001A7280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%). Ceny ve zpracovatelském průmyslu meziročně stagnovaly. Nejvíce meziročně rostly ceny průmyslových výrobců v Bulharsku (11,0 %), Řecku (5,5 %) a Maďarsku (3,7 %). Naopak nejvýraznější pokles měly ceny v Litvě (−2,9 %), Portugalsku (−2,6 %) a Rakousku (−1,7 %). Ceny průmyslových výrobců v EU ve 2. čtvrtletí mezičtvrtletně klesly o 3,2 %, nejvíce od 2. kvartálu 2023. Nižší byly ceny elektřiny, plynu, páry a klimatizovaného vzduchu (−1</w:t>
            </w:r>
            <w:r w:rsidR="001A7280">
              <w:rPr>
                <w:lang w:eastAsia="en-US"/>
              </w:rPr>
              <w:t>1,9</w:t>
            </w:r>
            <w:r>
              <w:rPr>
                <w:lang w:eastAsia="en-US"/>
              </w:rPr>
              <w:t xml:space="preserve"> %), těžby a dobývání (−3,5 %) i výrobků zpracovatelského průmyslu (−0,4 %). Klesaly ceny průmyslových výrobců v celé EU s výjimkou Kypru (</w:t>
            </w:r>
            <w:r w:rsidR="001A7280">
              <w:rPr>
                <w:lang w:eastAsia="en-US"/>
              </w:rPr>
              <w:t>0,9</w:t>
            </w:r>
            <w:r>
              <w:rPr>
                <w:lang w:eastAsia="en-US"/>
              </w:rPr>
              <w:t xml:space="preserve"> %), Slovinska </w:t>
            </w:r>
            <w:r>
              <w:rPr>
                <w:lang w:eastAsia="en-US"/>
              </w:rPr>
              <w:lastRenderedPageBreak/>
              <w:t xml:space="preserve">(0,5 %) a Malty (0,2 %). Největší propad cen byl zaznamenán u Irska (−7,9 %), Bulharska (−7,3 %) a Estonska (−5,8 %).   </w:t>
            </w:r>
          </w:p>
        </w:tc>
      </w:tr>
      <w:tr w:rsidR="006A2056" w14:paraId="05DF035C" w14:textId="77777777" w:rsidTr="00A33549">
        <w:trPr>
          <w:trHeight w:val="145"/>
        </w:trPr>
        <w:tc>
          <w:tcPr>
            <w:tcW w:w="1791" w:type="dxa"/>
            <w:hideMark/>
          </w:tcPr>
          <w:p w14:paraId="7E5791B9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stavebních prací rostly.</w:t>
            </w:r>
          </w:p>
        </w:tc>
        <w:tc>
          <w:tcPr>
            <w:tcW w:w="223" w:type="dxa"/>
          </w:tcPr>
          <w:p w14:paraId="007E69A3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CA73669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U cen stavebních prací lze od začátku roku 2025 pozorovat pozvolné posilování dynamiky po jejím loňském zvolnění. </w:t>
            </w:r>
            <w:r w:rsidRPr="001B4210">
              <w:rPr>
                <w:lang w:eastAsia="en-US"/>
              </w:rPr>
              <w:t>Ceny stavebních prací byly dle odhadů ve 2</w:t>
            </w:r>
            <w:r>
              <w:rPr>
                <w:lang w:eastAsia="en-US"/>
              </w:rPr>
              <w:t>. </w:t>
            </w:r>
            <w:r w:rsidRPr="001B4210">
              <w:rPr>
                <w:lang w:eastAsia="en-US"/>
              </w:rPr>
              <w:t>čtvrtletí proti zpřesněnému 1.</w:t>
            </w:r>
            <w:r>
              <w:rPr>
                <w:lang w:eastAsia="en-US"/>
              </w:rPr>
              <w:t> </w:t>
            </w:r>
            <w:r w:rsidRPr="001B4210">
              <w:rPr>
                <w:lang w:eastAsia="en-US"/>
              </w:rPr>
              <w:t>čtvrtletí vyšší o 0,8 %</w:t>
            </w:r>
            <w:r>
              <w:rPr>
                <w:lang w:eastAsia="en-US"/>
              </w:rPr>
              <w:t>. Meziročně se zvýšily o 3,2 %. C</w:t>
            </w:r>
            <w:r w:rsidRPr="001B4210">
              <w:rPr>
                <w:lang w:eastAsia="en-US"/>
              </w:rPr>
              <w:t>eny materiálů a výrobků spotřebovávaných ve stavebnictví se</w:t>
            </w:r>
            <w:r>
              <w:rPr>
                <w:lang w:eastAsia="en-US"/>
              </w:rPr>
              <w:t xml:space="preserve"> ve 2. čtvrtletí přitom mezičtvrtletně </w:t>
            </w:r>
            <w:r w:rsidRPr="001B4210">
              <w:rPr>
                <w:lang w:eastAsia="en-US"/>
              </w:rPr>
              <w:t>zvýšily o 0,5 %</w:t>
            </w:r>
            <w:r>
              <w:rPr>
                <w:lang w:eastAsia="en-US"/>
              </w:rPr>
              <w:t xml:space="preserve"> a meziročně </w:t>
            </w:r>
            <w:r w:rsidRPr="001B4210">
              <w:rPr>
                <w:lang w:eastAsia="en-US"/>
              </w:rPr>
              <w:t>vzrostly o 0,9 %.</w:t>
            </w:r>
          </w:p>
        </w:tc>
      </w:tr>
      <w:tr w:rsidR="006A2056" w14:paraId="4376CC25" w14:textId="77777777" w:rsidTr="00A33549">
        <w:trPr>
          <w:trHeight w:val="145"/>
        </w:trPr>
        <w:tc>
          <w:tcPr>
            <w:tcW w:w="1791" w:type="dxa"/>
            <w:hideMark/>
          </w:tcPr>
          <w:p w14:paraId="57909BA7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Růst cen tržních služeb pod vlivem reklamních služeb a průzkumu trhu posílil.</w:t>
            </w:r>
          </w:p>
        </w:tc>
        <w:tc>
          <w:tcPr>
            <w:tcW w:w="223" w:type="dxa"/>
          </w:tcPr>
          <w:p w14:paraId="61B032D7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3F9B4A1B" w14:textId="77777777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Ceny tržních služeb na předchozí zvolnění ve 2. čtvrtletí navázaly opětovným posílením meziročního přírůstku na 4,2 %. Jejich mezičtvrtletní nárůst dosáhl 2,3 %. Zrychlení meziroční dynamiky bylo ovlivněno zejména cenami reklamních služeb a průzkumu trhu, jejichž nárůst o 14,8 % také nejvíce přispěl k celkovému růstu cen tržních služeb. Výrazně podpořily celkový meziroční nárůst cen tržních služeb také ceny skladování a podpůrných služeb v dopravě (6,3 %), služeb v oblasti nemovitostí (3,8 %) a služeb v oblasti programování a souvisejícího poradenství (3,6 %). Ve 2. čtvrtletí se značně zvýšily také ceny tvorby programů a vysílání (18,8 %), bezpečnostních a pátracích služeb (12,5 %) a služeb v oblasti zaměstnání (10,1 %). Meziročně klesaly jen ceny administrativních, kancelářských a jiných podpůrných služeb pro podnikání (−1,1 %) a pozemní a potrubní dopravy (−0,4 %).  </w:t>
            </w:r>
          </w:p>
        </w:tc>
      </w:tr>
      <w:tr w:rsidR="006A2056" w14:paraId="6413915C" w14:textId="77777777" w:rsidTr="00A33549">
        <w:trPr>
          <w:trHeight w:val="145"/>
        </w:trPr>
        <w:tc>
          <w:tcPr>
            <w:tcW w:w="1791" w:type="dxa"/>
            <w:hideMark/>
          </w:tcPr>
          <w:p w14:paraId="3F827538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Meziroční růst cen zemědělských výrobců zrychlil.</w:t>
            </w:r>
          </w:p>
        </w:tc>
        <w:tc>
          <w:tcPr>
            <w:tcW w:w="223" w:type="dxa"/>
          </w:tcPr>
          <w:p w14:paraId="0AD7ADA7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F2D9E03" w14:textId="7C7C248A" w:rsidR="006A2056" w:rsidRDefault="006A2056" w:rsidP="00A33549">
            <w:pPr>
              <w:rPr>
                <w:lang w:eastAsia="en-US"/>
              </w:rPr>
            </w:pPr>
            <w:r>
              <w:rPr>
                <w:lang w:eastAsia="en-US"/>
              </w:rPr>
              <w:t>Meziroční růst cen zemědělských výrobců (včetně ryb) pokračoval i v</w:t>
            </w:r>
            <w:r w:rsidR="001A7280">
              <w:rPr>
                <w:lang w:eastAsia="en-US"/>
              </w:rPr>
              <w:t>e 2. kvartálu a zrychlil na 14,9</w:t>
            </w:r>
            <w:r>
              <w:rPr>
                <w:lang w:eastAsia="en-US"/>
              </w:rPr>
              <w:t xml:space="preserve"> %. Mezičtvrtletně se ceny zemědělských výrobců zvýšily o 3,9 %. Meziroční růst cen rostlinné výroby výrazně posílil na 14,7 %, především vlivem cen obilovin (14,9 %, zrychlil růst cen pšenice a ječmene, naopak klesaly ceny žita a ovsa) a zeleniny a zahradnických produktů (17,3 %, růst začaly ceny čerstvé zeleniny i sazenic). Z mírného poklesu do růstu o 9,6 % se dostaly i krmné plodiny. Ceny průmyslových plodin byly meziročně vyšší o 22,9 % (olejniny o 24,3 %, ceny luskovin klesly o 4,4 %). Ceny ovoce vzrostly o 28,3 %. Naopak ceny brambor byly ve 2. čtvrtletí meziročně nižší a pokles se prohloubil na −23,8 %. Ceny živočišné výroby meziročně stouply o 15,6 % a přírůstek rovněž posiloval, ale ne tak výrazně jako v případě rostlinné výroby. Zrychlil růst cen skotu na 28,0 % a drůbeže na 6,0 %. Naopak u prasat a selat trval pokles (−9,8 %). Velmi výrazně zrychlil přírůstek cen vajec (41,8 %) a silněji se zvyšovaly také ceny mléka (19,7 %).</w:t>
            </w:r>
          </w:p>
        </w:tc>
      </w:tr>
      <w:tr w:rsidR="006A2056" w14:paraId="4CAE3FB1" w14:textId="77777777" w:rsidTr="00A33549">
        <w:trPr>
          <w:trHeight w:val="145"/>
        </w:trPr>
        <w:tc>
          <w:tcPr>
            <w:tcW w:w="1791" w:type="dxa"/>
            <w:hideMark/>
          </w:tcPr>
          <w:p w14:paraId="5DBC6012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t>Ceny vývozu zboží meziročně klesly.</w:t>
            </w:r>
          </w:p>
        </w:tc>
        <w:tc>
          <w:tcPr>
            <w:tcW w:w="223" w:type="dxa"/>
          </w:tcPr>
          <w:p w14:paraId="1EBE70BA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0AF74F6A" w14:textId="04A42AD3" w:rsidR="006A2056" w:rsidRDefault="006A2056" w:rsidP="006165E5">
            <w:pPr>
              <w:rPr>
                <w:lang w:eastAsia="en-US"/>
              </w:rPr>
            </w:pPr>
            <w:r>
              <w:rPr>
                <w:lang w:eastAsia="en-US"/>
              </w:rPr>
              <w:t>Ceny exportu ve 2. čtvrtletí na předchozí</w:t>
            </w:r>
            <w:r w:rsidR="006165E5">
              <w:rPr>
                <w:lang w:eastAsia="en-US"/>
              </w:rPr>
              <w:t>ch</w:t>
            </w:r>
            <w:r>
              <w:rPr>
                <w:lang w:eastAsia="en-US"/>
              </w:rPr>
              <w:t xml:space="preserve"> </w:t>
            </w:r>
            <w:r w:rsidR="006165E5">
              <w:rPr>
                <w:lang w:eastAsia="en-US"/>
              </w:rPr>
              <w:t>pět</w:t>
            </w:r>
            <w:r>
              <w:rPr>
                <w:lang w:eastAsia="en-US"/>
              </w:rPr>
              <w:t xml:space="preserve"> meziroční</w:t>
            </w:r>
            <w:r w:rsidR="006165E5">
              <w:rPr>
                <w:lang w:eastAsia="en-US"/>
              </w:rPr>
              <w:t>ch</w:t>
            </w:r>
            <w:r>
              <w:rPr>
                <w:lang w:eastAsia="en-US"/>
              </w:rPr>
              <w:t xml:space="preserve"> nárůst</w:t>
            </w:r>
            <w:r w:rsidR="006165E5">
              <w:rPr>
                <w:lang w:eastAsia="en-US"/>
              </w:rPr>
              <w:t>ů</w:t>
            </w:r>
            <w:r>
              <w:rPr>
                <w:lang w:eastAsia="en-US"/>
              </w:rPr>
              <w:t xml:space="preserve"> navázaly snížením o 0,1 %. Klesly také mezičtvrtletně (−1,7 %). Značně k tomu přispěl vývoj kurzu koruny</w:t>
            </w:r>
            <w:r>
              <w:rPr>
                <w:rStyle w:val="Znakapoznpodarou"/>
                <w:lang w:eastAsia="en-US"/>
              </w:rPr>
              <w:footnoteReference w:id="6"/>
            </w:r>
            <w:r>
              <w:rPr>
                <w:lang w:eastAsia="en-US"/>
              </w:rPr>
              <w:t xml:space="preserve"> (zejména vůči dolaru), který ve 2. čtvrtletí působil značně protiinflačně. Ke změně meziroční dynamiky z růstu na pokles došlo u sekce výrobky zpracovatelského průmyslu (−0,3 %). Výrazný vliv mělo prohloubení propadu cen koksu a rafinovaných ropných produktů na 20,7 %, více klesaly i ceny základních kovů (−3,0 %). Z růstu do meziročního poklesu se ve 2. čtvrtletí dostaly ceny vývozu chemických látek a přípravků (−5,2 %), usní (−2,1 %), elektrických zařízení (−2,0 %), ostatních dopravních prostředků (−1,8 %) nebo počítačů, elektronických a optických přístrojů (−1,5 %). Nejvíce rostly ceny exportu dřeva a výrobků z něj (8,1 %), potravinářských výrobků (4,1 %) a základních farmaceutických výrobků a přípravků (3,2 %). </w:t>
            </w:r>
            <w:r w:rsidR="006165E5">
              <w:rPr>
                <w:lang w:eastAsia="en-US"/>
              </w:rPr>
              <w:t>Mezičtvrtletně c</w:t>
            </w:r>
            <w:r>
              <w:rPr>
                <w:lang w:eastAsia="en-US"/>
              </w:rPr>
              <w:t xml:space="preserve">eny výrobků a služeb zpracovatelského průmyslu klesly o 1,2 %. V sekci těžba a dobývání došlo ke zmírnění meziročního propadu cen vývozu na 8,6 %, ale mezičtvrtletně ceny klesly o 2,2 %, tedy výrazněji než v předchozím kvartálu. Značně se zmírnil meziroční nárůst cen elektřiny, plynu, páry a klimatizovaného vzduchu (3,2 %), což souviselo také s jejich </w:t>
            </w:r>
            <w:r>
              <w:rPr>
                <w:lang w:eastAsia="en-US"/>
              </w:rPr>
              <w:lastRenderedPageBreak/>
              <w:t xml:space="preserve">mezičtvrtletním propadem o 21,2 %. Mírnější byl také růst cen produktů zemědělství, lesnictví a rybářství (7,6 %, mezičtvrtletně pokles o 0,5 %). </w:t>
            </w:r>
            <w:bookmarkStart w:id="1" w:name="_GoBack"/>
            <w:bookmarkEnd w:id="1"/>
          </w:p>
        </w:tc>
      </w:tr>
      <w:tr w:rsidR="006A2056" w14:paraId="6192F6AD" w14:textId="77777777" w:rsidTr="00A33549">
        <w:trPr>
          <w:trHeight w:val="145"/>
        </w:trPr>
        <w:tc>
          <w:tcPr>
            <w:tcW w:w="1791" w:type="dxa"/>
          </w:tcPr>
          <w:p w14:paraId="53CE4D41" w14:textId="77777777" w:rsidR="006A2056" w:rsidRDefault="006A2056" w:rsidP="00A33549">
            <w:pPr>
              <w:pStyle w:val="Marginlie"/>
              <w:rPr>
                <w:spacing w:val="0"/>
                <w:lang w:eastAsia="en-US"/>
              </w:rPr>
            </w:pPr>
            <w:r>
              <w:rPr>
                <w:spacing w:val="0"/>
                <w:lang w:eastAsia="en-US"/>
              </w:rPr>
              <w:lastRenderedPageBreak/>
              <w:t>Ceny dovozu zboží rovněž klesly.</w:t>
            </w:r>
          </w:p>
        </w:tc>
        <w:tc>
          <w:tcPr>
            <w:tcW w:w="223" w:type="dxa"/>
          </w:tcPr>
          <w:p w14:paraId="2C769C4B" w14:textId="77777777" w:rsidR="006A2056" w:rsidRDefault="006A2056" w:rsidP="00A33549">
            <w:pPr>
              <w:pStyle w:val="Textpoznpodarou1"/>
              <w:jc w:val="both"/>
              <w:rPr>
                <w:lang w:eastAsia="en-US"/>
              </w:rPr>
            </w:pPr>
          </w:p>
        </w:tc>
        <w:tc>
          <w:tcPr>
            <w:tcW w:w="7625" w:type="dxa"/>
            <w:hideMark/>
          </w:tcPr>
          <w:p w14:paraId="5D56AF61" w14:textId="71782B62" w:rsidR="006A2056" w:rsidRDefault="006A2056" w:rsidP="006165E5">
            <w:pPr>
              <w:rPr>
                <w:lang w:eastAsia="en-US"/>
              </w:rPr>
            </w:pPr>
            <w:r>
              <w:rPr>
                <w:lang w:eastAsia="en-US"/>
              </w:rPr>
              <w:t>Ceny dovozu zboží ve 2. čtvrtletí rovněž meziročně klesly, a to o 0,5 %. Mezičtvrtletní propad dosáhl 2,5 %. Mezičtvrtletní propad o 14,6 % dostal do hlubokého meziročního poklesu ceny těžby a dobývání (−9,1 %). Klesat začaly i ceny ve zpracovatelském průmyslu (meziročně −0,1 %, mezičtvrtletně o 1,5 %) a podobně jako u vývozu se projevilo zejména výrazné prohloubení meziročního propadu cen u koksu a rafinovaných ropných výrobků. Zmírnil se meziroční růst cen dovozu elektřiny, plynu, páry a klimatizovaného vzduchu (0,8 %), na čemž se opět podepsal hlavně prudký mezičtvrtletní propad o 24,6 %. Naopak u cen produktů zemědělství, lesnictví a rybářství se ve 2. čtvrtletí navzdory mezičtvrtletnímu poklesu o 6,0 % udržel silný meziroční růst cen dovozu o 10,9 %. Meziroční směnné relace zahraničního obchodu se zbožím ve 2. čtvrtletí dosáhly 100,4 % a mezičtvrtletní 100,8 %. Pozitivních meziročních směnných relací dosáhl obchod v oblasti těžby a dobývání (10</w:t>
            </w:r>
            <w:r w:rsidR="006165E5">
              <w:rPr>
                <w:lang w:eastAsia="en-US"/>
              </w:rPr>
              <w:t>0</w:t>
            </w:r>
            <w:r>
              <w:rPr>
                <w:lang w:eastAsia="en-US"/>
              </w:rPr>
              <w:t>,</w:t>
            </w:r>
            <w:r w:rsidR="006165E5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%) a elektřiny, plynu, páry a klimatizovaného vzduchu (10</w:t>
            </w:r>
            <w:r w:rsidR="006165E5">
              <w:rPr>
                <w:lang w:eastAsia="en-US"/>
              </w:rPr>
              <w:t>2,3</w:t>
            </w:r>
            <w:r>
              <w:rPr>
                <w:lang w:eastAsia="en-US"/>
              </w:rPr>
              <w:t xml:space="preserve"> %). Negativních meziročních směnných relací dosáhl obchod s produkty zemědělství, lesnictví a rybářství (9</w:t>
            </w:r>
            <w:r w:rsidR="006165E5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  <w:r w:rsidR="006165E5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%) a s výrobky zpracovatelského průmyslu (99,</w:t>
            </w:r>
            <w:r w:rsidR="006165E5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%).</w:t>
            </w:r>
          </w:p>
        </w:tc>
      </w:tr>
    </w:tbl>
    <w:p w14:paraId="5E0E2DE7" w14:textId="77777777" w:rsidR="006A2056" w:rsidRDefault="006A2056" w:rsidP="006A2056">
      <w:pPr>
        <w:spacing w:after="0"/>
      </w:pPr>
    </w:p>
    <w:sectPr w:rsidR="006A2056" w:rsidSect="00B62A7F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6DFAA058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62A7F">
      <w:rPr>
        <w:szCs w:val="16"/>
      </w:rPr>
      <w:t>30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18D5175A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62A7F">
      <w:rPr>
        <w:rStyle w:val="ZpatChar"/>
        <w:szCs w:val="16"/>
      </w:rPr>
      <w:t>31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0A3FE597" w14:textId="77777777" w:rsidR="004C456F" w:rsidRDefault="004C456F" w:rsidP="006A205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Imputované nájemné vyjadřuje náklady vlastnického bydlení. Kromě samotných cen bydlení zahrnuje i náklady na výstavbu a renovace a další poplatky. Více na: </w:t>
      </w:r>
      <w:hyperlink r:id="rId1" w:history="1">
        <w:r>
          <w:rPr>
            <w:rStyle w:val="Hypertextovodkaz"/>
            <w:sz w:val="16"/>
            <w:szCs w:val="16"/>
          </w:rPr>
          <w:t>https://csu.gov.cz/metodicka-poznamka-k-indexu-spotrebitelskych-cen-imputovane-najemne</w:t>
        </w:r>
      </w:hyperlink>
      <w:r>
        <w:rPr>
          <w:rStyle w:val="Hypertextovodkaz"/>
          <w:sz w:val="16"/>
          <w:szCs w:val="16"/>
        </w:rPr>
        <w:t>.</w:t>
      </w:r>
    </w:p>
  </w:footnote>
  <w:footnote w:id="2">
    <w:p w14:paraId="5057979D" w14:textId="77777777" w:rsidR="004C456F" w:rsidRDefault="004C456F" w:rsidP="006A205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Zahrnuje služby osobní péče a osobní potřeby a doplňky, sociální péči, pojištění a další finanční služby apod.</w:t>
      </w:r>
    </w:p>
  </w:footnote>
  <w:footnote w:id="3">
    <w:p w14:paraId="4B603FFF" w14:textId="77777777" w:rsidR="004C456F" w:rsidRDefault="004C456F" w:rsidP="006A205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Oproti indexu spotřebitelských cen, který ČSÚ pro českou ekonomiku sestavuje, HICP neobsahuje imputované nájemné, což bývá zdrojem rozdílů mezi HICP a Indexem spotřebitelských cen.</w:t>
      </w:r>
    </w:p>
  </w:footnote>
  <w:footnote w:id="4">
    <w:p w14:paraId="4683EAEF" w14:textId="77777777" w:rsidR="004C456F" w:rsidRPr="00F12526" w:rsidRDefault="004C456F" w:rsidP="006A2056">
      <w:pPr>
        <w:pStyle w:val="Textpoznpodarou"/>
        <w:rPr>
          <w:sz w:val="16"/>
          <w:szCs w:val="16"/>
        </w:rPr>
      </w:pPr>
      <w:r w:rsidRPr="00F12526">
        <w:rPr>
          <w:rStyle w:val="Znakapoznpodarou"/>
          <w:sz w:val="16"/>
          <w:szCs w:val="16"/>
        </w:rPr>
        <w:footnoteRef/>
      </w:r>
      <w:r w:rsidRPr="00F12526">
        <w:rPr>
          <w:sz w:val="16"/>
          <w:szCs w:val="16"/>
        </w:rPr>
        <w:t xml:space="preserve"> Individuální data</w:t>
      </w:r>
    </w:p>
  </w:footnote>
  <w:footnote w:id="5">
    <w:p w14:paraId="4DD8AFBC" w14:textId="77777777" w:rsidR="004C456F" w:rsidRDefault="004C456F" w:rsidP="006A205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Bez cen zásobování vodou a služeb souvisejících s odpadními vodami.</w:t>
      </w:r>
    </w:p>
  </w:footnote>
  <w:footnote w:id="6">
    <w:p w14:paraId="0CDAA221" w14:textId="77777777" w:rsidR="004C456F" w:rsidRDefault="004C456F" w:rsidP="006A2056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2. čtvrtletí 2025 průměrný kurz koruny vůči euru 24,921 CZK/EUR. Ve 2. čtvrtletí 2024 to bylo </w:t>
      </w:r>
      <w:r>
        <w:rPr>
          <w:sz w:val="16"/>
          <w:szCs w:val="16"/>
        </w:rPr>
        <w:br/>
        <w:t xml:space="preserve">24,958 CZK/EUR a v 1. čtvrtletí 2025 kurz dosáhl 25,082 CZK/EUR. Kurz vůči dolaru ve 2. čtvrtletí 2025 v průměru činil 21,985 CZK/USD. Ve stejném období roku 2024 to bylo 23,179 CZK/USD a v 1. čtvrtletí 2025 to bylo 23,844 CZK/USD.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2A7F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su.gov.cz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2'!$C$14:$C$35</c:f>
              <c:numCache>
                <c:formatCode>0.0</c:formatCode>
                <c:ptCount val="22"/>
                <c:pt idx="0">
                  <c:v>3.6</c:v>
                </c:pt>
                <c:pt idx="1">
                  <c:v>3.1</c:v>
                </c:pt>
                <c:pt idx="2">
                  <c:v>3.3</c:v>
                </c:pt>
                <c:pt idx="3">
                  <c:v>2.6</c:v>
                </c:pt>
                <c:pt idx="4">
                  <c:v>2.2000000000000002</c:v>
                </c:pt>
                <c:pt idx="5">
                  <c:v>2.9</c:v>
                </c:pt>
                <c:pt idx="6">
                  <c:v>4.0999999999999996</c:v>
                </c:pt>
                <c:pt idx="7">
                  <c:v>6.1</c:v>
                </c:pt>
                <c:pt idx="8">
                  <c:v>11.2</c:v>
                </c:pt>
                <c:pt idx="9">
                  <c:v>15.8</c:v>
                </c:pt>
                <c:pt idx="10">
                  <c:v>17.600000000000001</c:v>
                </c:pt>
                <c:pt idx="11">
                  <c:v>15.7</c:v>
                </c:pt>
                <c:pt idx="12">
                  <c:v>16.399999999999999</c:v>
                </c:pt>
                <c:pt idx="13">
                  <c:v>11.1</c:v>
                </c:pt>
                <c:pt idx="14">
                  <c:v>8</c:v>
                </c:pt>
                <c:pt idx="15">
                  <c:v>7.6</c:v>
                </c:pt>
                <c:pt idx="16">
                  <c:v>2.1</c:v>
                </c:pt>
                <c:pt idx="17">
                  <c:v>2.5</c:v>
                </c:pt>
                <c:pt idx="18">
                  <c:v>2.2999999999999998</c:v>
                </c:pt>
                <c:pt idx="19">
                  <c:v>2.9</c:v>
                </c:pt>
                <c:pt idx="20">
                  <c:v>2.7</c:v>
                </c:pt>
                <c:pt idx="21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82-416D-88FC-0C241185F8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2'!$D$14:$D$35</c:f>
              <c:numCache>
                <c:formatCode>0.0</c:formatCode>
                <c:ptCount val="22"/>
                <c:pt idx="0">
                  <c:v>6.1</c:v>
                </c:pt>
                <c:pt idx="1">
                  <c:v>6.5</c:v>
                </c:pt>
                <c:pt idx="2">
                  <c:v>4</c:v>
                </c:pt>
                <c:pt idx="3">
                  <c:v>1.7</c:v>
                </c:pt>
                <c:pt idx="4">
                  <c:v>0.3</c:v>
                </c:pt>
                <c:pt idx="5">
                  <c:v>-0.8</c:v>
                </c:pt>
                <c:pt idx="6">
                  <c:v>1.4</c:v>
                </c:pt>
                <c:pt idx="7">
                  <c:v>2.2999999999999998</c:v>
                </c:pt>
                <c:pt idx="8">
                  <c:v>6.7</c:v>
                </c:pt>
                <c:pt idx="9">
                  <c:v>14.6</c:v>
                </c:pt>
                <c:pt idx="10">
                  <c:v>20</c:v>
                </c:pt>
                <c:pt idx="11">
                  <c:v>25.5</c:v>
                </c:pt>
                <c:pt idx="12">
                  <c:v>24.1</c:v>
                </c:pt>
                <c:pt idx="13">
                  <c:v>14.6</c:v>
                </c:pt>
                <c:pt idx="14">
                  <c:v>7.8</c:v>
                </c:pt>
                <c:pt idx="15">
                  <c:v>1.6</c:v>
                </c:pt>
                <c:pt idx="16">
                  <c:v>-4.9000000000000004</c:v>
                </c:pt>
                <c:pt idx="17">
                  <c:v>-3.6</c:v>
                </c:pt>
                <c:pt idx="18">
                  <c:v>-1.4</c:v>
                </c:pt>
                <c:pt idx="19">
                  <c:v>0.9</c:v>
                </c:pt>
                <c:pt idx="20">
                  <c:v>5.0999999999999996</c:v>
                </c:pt>
                <c:pt idx="21">
                  <c:v>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C82-416D-88FC-0C241185F8E9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2'!$F$14:$F$35</c:f>
              <c:numCache>
                <c:formatCode>0.0</c:formatCode>
                <c:ptCount val="22"/>
                <c:pt idx="0">
                  <c:v>4.2</c:v>
                </c:pt>
                <c:pt idx="1">
                  <c:v>3.2</c:v>
                </c:pt>
                <c:pt idx="2">
                  <c:v>2.7</c:v>
                </c:pt>
                <c:pt idx="3">
                  <c:v>1.4</c:v>
                </c:pt>
                <c:pt idx="4">
                  <c:v>0.6</c:v>
                </c:pt>
                <c:pt idx="5">
                  <c:v>1.3</c:v>
                </c:pt>
                <c:pt idx="6">
                  <c:v>3.6</c:v>
                </c:pt>
                <c:pt idx="7">
                  <c:v>5.6</c:v>
                </c:pt>
                <c:pt idx="8">
                  <c:v>16</c:v>
                </c:pt>
                <c:pt idx="9">
                  <c:v>21.4</c:v>
                </c:pt>
                <c:pt idx="10">
                  <c:v>23.6</c:v>
                </c:pt>
                <c:pt idx="11">
                  <c:v>14.9</c:v>
                </c:pt>
                <c:pt idx="12">
                  <c:v>22.2</c:v>
                </c:pt>
                <c:pt idx="13">
                  <c:v>16</c:v>
                </c:pt>
                <c:pt idx="14">
                  <c:v>11.6</c:v>
                </c:pt>
                <c:pt idx="15">
                  <c:v>17.8</c:v>
                </c:pt>
                <c:pt idx="16">
                  <c:v>3.4</c:v>
                </c:pt>
                <c:pt idx="17">
                  <c:v>3.1</c:v>
                </c:pt>
                <c:pt idx="18">
                  <c:v>3.2</c:v>
                </c:pt>
                <c:pt idx="19">
                  <c:v>4.2</c:v>
                </c:pt>
                <c:pt idx="20">
                  <c:v>1.4</c:v>
                </c:pt>
                <c:pt idx="21">
                  <c:v>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82-416D-88FC-0C241185F8E9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2'!$G$14:$G$35</c:f>
              <c:numCache>
                <c:formatCode>0.0</c:formatCode>
                <c:ptCount val="22"/>
                <c:pt idx="0" formatCode="General">
                  <c:v>1.7</c:v>
                </c:pt>
                <c:pt idx="1">
                  <c:v>-3.4</c:v>
                </c:pt>
                <c:pt idx="2">
                  <c:v>-0.2</c:v>
                </c:pt>
                <c:pt idx="3">
                  <c:v>0.6</c:v>
                </c:pt>
                <c:pt idx="4">
                  <c:v>2.4</c:v>
                </c:pt>
                <c:pt idx="5">
                  <c:v>9.1</c:v>
                </c:pt>
                <c:pt idx="6">
                  <c:v>8.8000000000000007</c:v>
                </c:pt>
                <c:pt idx="7">
                  <c:v>13.1</c:v>
                </c:pt>
                <c:pt idx="8">
                  <c:v>17.2</c:v>
                </c:pt>
                <c:pt idx="9">
                  <c:v>22.7</c:v>
                </c:pt>
                <c:pt idx="10">
                  <c:v>19.7</c:v>
                </c:pt>
                <c:pt idx="11">
                  <c:v>13.1</c:v>
                </c:pt>
                <c:pt idx="12">
                  <c:v>4.5</c:v>
                </c:pt>
                <c:pt idx="13">
                  <c:v>-4</c:v>
                </c:pt>
                <c:pt idx="14">
                  <c:v>-2.4</c:v>
                </c:pt>
                <c:pt idx="15">
                  <c:v>-1.6</c:v>
                </c:pt>
                <c:pt idx="16">
                  <c:v>1.7</c:v>
                </c:pt>
                <c:pt idx="17">
                  <c:v>4.5999999999999996</c:v>
                </c:pt>
                <c:pt idx="18">
                  <c:v>0.9</c:v>
                </c:pt>
                <c:pt idx="19">
                  <c:v>0.1</c:v>
                </c:pt>
                <c:pt idx="20">
                  <c:v>0.3</c:v>
                </c:pt>
                <c:pt idx="21">
                  <c:v>-2.7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C82-416D-88FC-0C241185F8E9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  <c:extLst xmlns:c15="http://schemas.microsoft.com/office/drawing/2012/chart"/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2'!$E$14:$E$35</c:f>
              <c:numCache>
                <c:formatCode>0.0</c:formatCode>
                <c:ptCount val="22"/>
                <c:pt idx="0" formatCode="General">
                  <c:v>3.5</c:v>
                </c:pt>
                <c:pt idx="1">
                  <c:v>6.6</c:v>
                </c:pt>
                <c:pt idx="2">
                  <c:v>10.3</c:v>
                </c:pt>
                <c:pt idx="3">
                  <c:v>9.9</c:v>
                </c:pt>
                <c:pt idx="4">
                  <c:v>9.9</c:v>
                </c:pt>
                <c:pt idx="5">
                  <c:v>9.8000000000000007</c:v>
                </c:pt>
                <c:pt idx="6">
                  <c:v>6.5</c:v>
                </c:pt>
                <c:pt idx="7">
                  <c:v>7.7</c:v>
                </c:pt>
                <c:pt idx="8">
                  <c:v>7.1</c:v>
                </c:pt>
                <c:pt idx="9">
                  <c:v>5.6</c:v>
                </c:pt>
                <c:pt idx="10">
                  <c:v>6.3</c:v>
                </c:pt>
                <c:pt idx="11">
                  <c:v>6</c:v>
                </c:pt>
                <c:pt idx="12">
                  <c:v>6.8</c:v>
                </c:pt>
                <c:pt idx="13">
                  <c:v>6.5</c:v>
                </c:pt>
                <c:pt idx="14">
                  <c:v>7.2</c:v>
                </c:pt>
                <c:pt idx="15">
                  <c:v>5.9</c:v>
                </c:pt>
                <c:pt idx="16">
                  <c:v>4.7</c:v>
                </c:pt>
                <c:pt idx="17">
                  <c:v>6.2</c:v>
                </c:pt>
                <c:pt idx="18">
                  <c:v>4.5999999999999996</c:v>
                </c:pt>
                <c:pt idx="19">
                  <c:v>4.8</c:v>
                </c:pt>
                <c:pt idx="20">
                  <c:v>5.0999999999999996</c:v>
                </c:pt>
                <c:pt idx="21">
                  <c:v>3.3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4-7C82-416D-88FC-0C241185F8E9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2'!$H$14:$H$35</c:f>
              <c:numCache>
                <c:formatCode>0.0</c:formatCode>
                <c:ptCount val="22"/>
                <c:pt idx="0">
                  <c:v>5.5</c:v>
                </c:pt>
                <c:pt idx="1">
                  <c:v>5.0999999999999996</c:v>
                </c:pt>
                <c:pt idx="2">
                  <c:v>4.9000000000000004</c:v>
                </c:pt>
                <c:pt idx="3">
                  <c:v>4.3</c:v>
                </c:pt>
                <c:pt idx="4">
                  <c:v>3</c:v>
                </c:pt>
                <c:pt idx="5">
                  <c:v>2.9</c:v>
                </c:pt>
                <c:pt idx="6">
                  <c:v>4.5999999999999996</c:v>
                </c:pt>
                <c:pt idx="7">
                  <c:v>6.8</c:v>
                </c:pt>
                <c:pt idx="8">
                  <c:v>12.3</c:v>
                </c:pt>
                <c:pt idx="9">
                  <c:v>21.4</c:v>
                </c:pt>
                <c:pt idx="10">
                  <c:v>24.3</c:v>
                </c:pt>
                <c:pt idx="11">
                  <c:v>25.6</c:v>
                </c:pt>
                <c:pt idx="12">
                  <c:v>22.4</c:v>
                </c:pt>
                <c:pt idx="13">
                  <c:v>15.4</c:v>
                </c:pt>
                <c:pt idx="14">
                  <c:v>11.6</c:v>
                </c:pt>
                <c:pt idx="15">
                  <c:v>8.8000000000000007</c:v>
                </c:pt>
                <c:pt idx="16">
                  <c:v>8.6</c:v>
                </c:pt>
                <c:pt idx="17">
                  <c:v>7.8</c:v>
                </c:pt>
                <c:pt idx="18">
                  <c:v>7.2</c:v>
                </c:pt>
                <c:pt idx="19">
                  <c:v>7</c:v>
                </c:pt>
                <c:pt idx="20">
                  <c:v>5.3</c:v>
                </c:pt>
                <c:pt idx="21">
                  <c:v>4.9000000000000004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C82-416D-88FC-0C241185F8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  <c:extLst>
          <c:ext xmlns:c15="http://schemas.microsoft.com/office/drawing/2012/chart" uri="{02D57815-91ED-43cb-92C2-25804820EDAC}">
            <c15:filteredLineSeries>
              <c15:ser>
                <c:idx val="6"/>
                <c:order val="6"/>
                <c:tx>
                  <c:strRef>
                    <c:extLst>
                      <c:ext uri="{02D57815-91ED-43cb-92C2-25804820EDAC}">
                        <c15:formulaRef>
                          <c15:sqref>'Ceny 2'!$I$5</c15:sqref>
                        </c15:formulaRef>
                      </c:ext>
                    </c:extLst>
                    <c:strCache>
                      <c:ptCount val="1"/>
                      <c:pt idx="0">
                        <c:v>Rekreace a kultura</c:v>
                      </c:pt>
                    </c:strCache>
                  </c:strRef>
                </c:tx>
                <c:spPr>
                  <a:ln w="19050">
                    <a:solidFill>
                      <a:srgbClr val="FF0000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2'!$A$14:$B$35</c15:sqref>
                        </c15:formulaRef>
                      </c:ext>
                    </c:extLst>
                    <c:multiLvlStrCache>
                      <c:ptCount val="22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</c:lvl>
                      <c:lvl>
                        <c:pt idx="0">
                          <c:v>2020</c:v>
                        </c:pt>
                        <c:pt idx="4">
                          <c:v>2021</c:v>
                        </c:pt>
                        <c:pt idx="8">
                          <c:v>2022</c:v>
                        </c:pt>
                        <c:pt idx="12">
                          <c:v>2023</c:v>
                        </c:pt>
                        <c:pt idx="16">
                          <c:v>2024</c:v>
                        </c:pt>
                        <c:pt idx="20">
                          <c:v>2025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2'!$I$10:$I$30</c15:sqref>
                        </c15:formulaRef>
                      </c:ext>
                    </c:extLst>
                    <c:numCache>
                      <c:formatCode>General</c:formatCode>
                      <c:ptCount val="21"/>
                      <c:pt idx="0">
                        <c:v>1.7000000000000028</c:v>
                      </c:pt>
                      <c:pt idx="1">
                        <c:v>1</c:v>
                      </c:pt>
                      <c:pt idx="2">
                        <c:v>1.7000000000000028</c:v>
                      </c:pt>
                      <c:pt idx="3">
                        <c:v>2.0999999999999943</c:v>
                      </c:pt>
                      <c:pt idx="4">
                        <c:v>2.0999999999999943</c:v>
                      </c:pt>
                      <c:pt idx="5">
                        <c:v>2</c:v>
                      </c:pt>
                      <c:pt idx="6">
                        <c:v>2.2000000000000028</c:v>
                      </c:pt>
                      <c:pt idx="7">
                        <c:v>2.5</c:v>
                      </c:pt>
                      <c:pt idx="8">
                        <c:v>1.4000000000000057</c:v>
                      </c:pt>
                      <c:pt idx="9">
                        <c:v>2</c:v>
                      </c:pt>
                      <c:pt idx="10">
                        <c:v>3.0999999999999943</c:v>
                      </c:pt>
                      <c:pt idx="11">
                        <c:v>5.2999999999999972</c:v>
                      </c:pt>
                      <c:pt idx="12">
                        <c:v>8.5</c:v>
                      </c:pt>
                      <c:pt idx="13">
                        <c:v>11.299999999999997</c:v>
                      </c:pt>
                      <c:pt idx="14">
                        <c:v>12.599999999999994</c:v>
                      </c:pt>
                      <c:pt idx="15" formatCode="0.0">
                        <c:v>13.2</c:v>
                      </c:pt>
                      <c:pt idx="16" formatCode="0.0">
                        <c:v>14</c:v>
                      </c:pt>
                      <c:pt idx="17" formatCode="0.0">
                        <c:v>11.7</c:v>
                      </c:pt>
                      <c:pt idx="18" formatCode="0.0">
                        <c:v>9.6999999999999993</c:v>
                      </c:pt>
                      <c:pt idx="19" formatCode="0.0">
                        <c:v>6.9</c:v>
                      </c:pt>
                      <c:pt idx="20" formatCode="0.0">
                        <c:v>4.4000000000000004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7C82-416D-88FC-0C241185F8E9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2'!$A$14:$B$35</c15:sqref>
                        </c15:formulaRef>
                      </c:ext>
                    </c:extLst>
                    <c:multiLvlStrCache>
                      <c:ptCount val="22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</c:lvl>
                      <c:lvl>
                        <c:pt idx="0">
                          <c:v>2020</c:v>
                        </c:pt>
                        <c:pt idx="4">
                          <c:v>2021</c:v>
                        </c:pt>
                        <c:pt idx="8">
                          <c:v>2022</c:v>
                        </c:pt>
                        <c:pt idx="12">
                          <c:v>2023</c:v>
                        </c:pt>
                        <c:pt idx="16">
                          <c:v>2024</c:v>
                        </c:pt>
                        <c:pt idx="20">
                          <c:v>2025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2'!$J$6:$J$24</c15:sqref>
                        </c15:formulaRef>
                      </c:ext>
                    </c:extLst>
                    <c:numCache>
                      <c:formatCode>General</c:formatCode>
                      <c:ptCount val="19"/>
                      <c:pt idx="0">
                        <c:v>-0.29999999999999716</c:v>
                      </c:pt>
                      <c:pt idx="1">
                        <c:v>-1</c:v>
                      </c:pt>
                      <c:pt idx="2">
                        <c:v>-1.4000000000000057</c:v>
                      </c:pt>
                      <c:pt idx="3">
                        <c:v>-1.7000000000000028</c:v>
                      </c:pt>
                      <c:pt idx="4">
                        <c:v>-1.0999999999999943</c:v>
                      </c:pt>
                      <c:pt idx="5">
                        <c:v>-1.9000000000000057</c:v>
                      </c:pt>
                      <c:pt idx="6">
                        <c:v>-1.5</c:v>
                      </c:pt>
                      <c:pt idx="7">
                        <c:v>-0.29999999999999716</c:v>
                      </c:pt>
                      <c:pt idx="8">
                        <c:v>3.5</c:v>
                      </c:pt>
                      <c:pt idx="9">
                        <c:v>3.4000000000000057</c:v>
                      </c:pt>
                      <c:pt idx="10">
                        <c:v>4.5</c:v>
                      </c:pt>
                      <c:pt idx="11">
                        <c:v>3.4000000000000057</c:v>
                      </c:pt>
                      <c:pt idx="12">
                        <c:v>2.7000000000000028</c:v>
                      </c:pt>
                      <c:pt idx="13">
                        <c:v>2.9000000000000057</c:v>
                      </c:pt>
                      <c:pt idx="14">
                        <c:v>7.7999999999999972</c:v>
                      </c:pt>
                      <c:pt idx="15">
                        <c:v>12.599999999999994</c:v>
                      </c:pt>
                      <c:pt idx="16">
                        <c:v>16.900000000000006</c:v>
                      </c:pt>
                      <c:pt idx="17">
                        <c:v>20</c:v>
                      </c:pt>
                      <c:pt idx="18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7C82-416D-88FC-0C241185F8E9}"/>
                  </c:ext>
                </c:extLst>
              </c15:ser>
            </c15:filteredLineSeries>
          </c:ext>
        </c:extLst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ax val="27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802375323651925"/>
          <c:w val="0.92470364741641342"/>
          <c:h val="0.131253517955645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1'!$C$14:$C$35</c:f>
              <c:numCache>
                <c:formatCode>0.0</c:formatCode>
                <c:ptCount val="22"/>
                <c:pt idx="0">
                  <c:v>10.599999999999994</c:v>
                </c:pt>
                <c:pt idx="1">
                  <c:v>10.200000000000003</c:v>
                </c:pt>
                <c:pt idx="2">
                  <c:v>11.200000000000003</c:v>
                </c:pt>
                <c:pt idx="3">
                  <c:v>13.299999999999997</c:v>
                </c:pt>
                <c:pt idx="4">
                  <c:v>15.200000000000003</c:v>
                </c:pt>
                <c:pt idx="5">
                  <c:v>17.900000000000006</c:v>
                </c:pt>
                <c:pt idx="6">
                  <c:v>21.299999999999997</c:v>
                </c:pt>
                <c:pt idx="7">
                  <c:v>25.200000000000003</c:v>
                </c:pt>
                <c:pt idx="8">
                  <c:v>27.299999999999997</c:v>
                </c:pt>
                <c:pt idx="9">
                  <c:v>27.599999999999994</c:v>
                </c:pt>
                <c:pt idx="10">
                  <c:v>23.400000000000006</c:v>
                </c:pt>
                <c:pt idx="11">
                  <c:v>13.799999999999997</c:v>
                </c:pt>
                <c:pt idx="12">
                  <c:v>3.7000000000000028</c:v>
                </c:pt>
                <c:pt idx="13">
                  <c:v>-4.0999999999999943</c:v>
                </c:pt>
                <c:pt idx="14">
                  <c:v>-7</c:v>
                </c:pt>
                <c:pt idx="15">
                  <c:v>-5.5</c:v>
                </c:pt>
                <c:pt idx="16">
                  <c:v>9.9999999999994316E-2</c:v>
                </c:pt>
                <c:pt idx="17">
                  <c:v>6.0999999999999943</c:v>
                </c:pt>
                <c:pt idx="18">
                  <c:v>10.700000000000003</c:v>
                </c:pt>
                <c:pt idx="19">
                  <c:v>14.200000000000003</c:v>
                </c:pt>
                <c:pt idx="20">
                  <c:v>15.799999999999997</c:v>
                </c:pt>
                <c:pt idx="21">
                  <c:v>16.299999999999997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CF-4F63-B60D-1A994C86E01E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1'!$D$14:$D$35</c:f>
              <c:numCache>
                <c:formatCode>0.0</c:formatCode>
                <c:ptCount val="22"/>
                <c:pt idx="0">
                  <c:v>6.2000000000000028</c:v>
                </c:pt>
                <c:pt idx="1">
                  <c:v>8</c:v>
                </c:pt>
                <c:pt idx="2">
                  <c:v>9.4000000000000057</c:v>
                </c:pt>
                <c:pt idx="3">
                  <c:v>10.599999999999994</c:v>
                </c:pt>
                <c:pt idx="4">
                  <c:v>14.299999999999997</c:v>
                </c:pt>
                <c:pt idx="5">
                  <c:v>15.799999999999997</c:v>
                </c:pt>
                <c:pt idx="6">
                  <c:v>16.599999999999994</c:v>
                </c:pt>
                <c:pt idx="7">
                  <c:v>20</c:v>
                </c:pt>
                <c:pt idx="8">
                  <c:v>19</c:v>
                </c:pt>
                <c:pt idx="9">
                  <c:v>16.700000000000003</c:v>
                </c:pt>
                <c:pt idx="10">
                  <c:v>15.599999999999994</c:v>
                </c:pt>
                <c:pt idx="11">
                  <c:v>8.4000000000000057</c:v>
                </c:pt>
                <c:pt idx="12">
                  <c:v>1.2000000000000028</c:v>
                </c:pt>
                <c:pt idx="13">
                  <c:v>-3.5999999999999943</c:v>
                </c:pt>
                <c:pt idx="14">
                  <c:v>-5.2999999999999972</c:v>
                </c:pt>
                <c:pt idx="15">
                  <c:v>-2.5999999999999943</c:v>
                </c:pt>
                <c:pt idx="16">
                  <c:v>1</c:v>
                </c:pt>
                <c:pt idx="17">
                  <c:v>8.5999999999999943</c:v>
                </c:pt>
                <c:pt idx="18">
                  <c:v>11.799999999999997</c:v>
                </c:pt>
                <c:pt idx="19">
                  <c:v>12.099999999999994</c:v>
                </c:pt>
                <c:pt idx="20">
                  <c:v>15.799999999999997</c:v>
                </c:pt>
                <c:pt idx="21">
                  <c:v>13.599999999999994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3CF-4F63-B60D-1A994C86E0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1'!$E$14:$E$35</c:f>
              <c:numCache>
                <c:formatCode>0.0</c:formatCode>
                <c:ptCount val="22"/>
                <c:pt idx="0">
                  <c:v>6.0465116279069662</c:v>
                </c:pt>
                <c:pt idx="1">
                  <c:v>7.1334214002641829</c:v>
                </c:pt>
                <c:pt idx="2">
                  <c:v>7.9870129870129887</c:v>
                </c:pt>
                <c:pt idx="3">
                  <c:v>7.6481835564053569</c:v>
                </c:pt>
                <c:pt idx="4">
                  <c:v>7.6441102756892292</c:v>
                </c:pt>
                <c:pt idx="5">
                  <c:v>7.9531442663378584</c:v>
                </c:pt>
                <c:pt idx="6">
                  <c:v>9.3205051112447421</c:v>
                </c:pt>
                <c:pt idx="7">
                  <c:v>12.433392539964473</c:v>
                </c:pt>
                <c:pt idx="8">
                  <c:v>16.880093131548307</c:v>
                </c:pt>
                <c:pt idx="9">
                  <c:v>24.671616219303274</c:v>
                </c:pt>
                <c:pt idx="10">
                  <c:v>22.937293729372925</c:v>
                </c:pt>
                <c:pt idx="11">
                  <c:v>18.325434439178508</c:v>
                </c:pt>
                <c:pt idx="12">
                  <c:v>9.8107569721115624</c:v>
                </c:pt>
                <c:pt idx="13">
                  <c:v>-0.73293632615667548</c:v>
                </c:pt>
                <c:pt idx="14">
                  <c:v>-3.3109619686800897</c:v>
                </c:pt>
                <c:pt idx="15">
                  <c:v>-4.1833555852247315</c:v>
                </c:pt>
                <c:pt idx="16">
                  <c:v>-0.68027210884353906</c:v>
                </c:pt>
                <c:pt idx="17">
                  <c:v>3.3687125057683573</c:v>
                </c:pt>
                <c:pt idx="18">
                  <c:v>6.9412309116150084</c:v>
                </c:pt>
                <c:pt idx="19">
                  <c:v>10.682768230376212</c:v>
                </c:pt>
                <c:pt idx="20">
                  <c:v>15.662100456621019</c:v>
                </c:pt>
                <c:pt idx="21">
                  <c:v>17.008928571428569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3CF-4F63-B60D-1A994C86E01E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1'!$F$14:$F$35</c:f>
              <c:numCache>
                <c:formatCode>0.0</c:formatCode>
                <c:ptCount val="22"/>
                <c:pt idx="0">
                  <c:v>3.5530085959885298</c:v>
                </c:pt>
                <c:pt idx="1">
                  <c:v>5.2812858783008068</c:v>
                </c:pt>
                <c:pt idx="2">
                  <c:v>6.2356979405034281</c:v>
                </c:pt>
                <c:pt idx="3">
                  <c:v>5.1743532058492718</c:v>
                </c:pt>
                <c:pt idx="4">
                  <c:v>4.759269507470961</c:v>
                </c:pt>
                <c:pt idx="5">
                  <c:v>4.5256270447110012</c:v>
                </c:pt>
                <c:pt idx="6">
                  <c:v>6.2466343564889826</c:v>
                </c:pt>
                <c:pt idx="7">
                  <c:v>9.1443850267379503</c:v>
                </c:pt>
                <c:pt idx="8">
                  <c:v>12.255678816693077</c:v>
                </c:pt>
                <c:pt idx="9">
                  <c:v>19.718309859154942</c:v>
                </c:pt>
                <c:pt idx="10">
                  <c:v>18.499746578813998</c:v>
                </c:pt>
                <c:pt idx="11">
                  <c:v>16.903478686918177</c:v>
                </c:pt>
                <c:pt idx="12">
                  <c:v>10.305882352941182</c:v>
                </c:pt>
                <c:pt idx="13">
                  <c:v>0.30501089324617681</c:v>
                </c:pt>
                <c:pt idx="14">
                  <c:v>-1.5825491873396089</c:v>
                </c:pt>
                <c:pt idx="15">
                  <c:v>-3.5624476110645418</c:v>
                </c:pt>
                <c:pt idx="16">
                  <c:v>0.3412969283276226</c:v>
                </c:pt>
                <c:pt idx="17">
                  <c:v>3.9965247610773247</c:v>
                </c:pt>
                <c:pt idx="18">
                  <c:v>6.7796610169491629</c:v>
                </c:pt>
                <c:pt idx="19">
                  <c:v>10.386788352890036</c:v>
                </c:pt>
                <c:pt idx="20">
                  <c:v>16.496598639455783</c:v>
                </c:pt>
                <c:pt idx="21">
                  <c:v>16.207184628237243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3CF-4F63-B60D-1A994C86E0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ax val="28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948270126413842E-2"/>
          <c:y val="2.181131592422042E-2"/>
          <c:w val="0.91916383898868925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4'!$C$14:$C$35</c:f>
              <c:numCache>
                <c:formatCode>General</c:formatCode>
                <c:ptCount val="22"/>
                <c:pt idx="0">
                  <c:v>1.4000000000000057</c:v>
                </c:pt>
                <c:pt idx="1">
                  <c:v>-0.59999999999999432</c:v>
                </c:pt>
                <c:pt idx="2">
                  <c:v>-0.29999999999999716</c:v>
                </c:pt>
                <c:pt idx="3">
                  <c:v>9.9999999999994316E-2</c:v>
                </c:pt>
                <c:pt idx="4">
                  <c:v>1.5</c:v>
                </c:pt>
                <c:pt idx="5">
                  <c:v>5.2999999999999972</c:v>
                </c:pt>
                <c:pt idx="6">
                  <c:v>9</c:v>
                </c:pt>
                <c:pt idx="7">
                  <c:v>12.799999999999997</c:v>
                </c:pt>
                <c:pt idx="8">
                  <c:v>21.799999999999997</c:v>
                </c:pt>
                <c:pt idx="9">
                  <c:v>27.700000000000003</c:v>
                </c:pt>
                <c:pt idx="10">
                  <c:v>25.900000000000006</c:v>
                </c:pt>
                <c:pt idx="11">
                  <c:v>21.799999999999997</c:v>
                </c:pt>
                <c:pt idx="12">
                  <c:v>15</c:v>
                </c:pt>
                <c:pt idx="13">
                  <c:v>3.9000000000000057</c:v>
                </c:pt>
                <c:pt idx="14">
                  <c:v>1.3</c:v>
                </c:pt>
                <c:pt idx="15">
                  <c:v>0.8</c:v>
                </c:pt>
                <c:pt idx="16">
                  <c:v>-0.9</c:v>
                </c:pt>
                <c:pt idx="17">
                  <c:v>1.1000000000000001</c:v>
                </c:pt>
                <c:pt idx="18">
                  <c:v>1.2</c:v>
                </c:pt>
                <c:pt idx="19">
                  <c:v>1.8</c:v>
                </c:pt>
                <c:pt idx="20">
                  <c:v>0</c:v>
                </c:pt>
                <c:pt idx="21">
                  <c:v>-0.9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B3-4A88-A0E6-699A57FBB2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4'!$D$14:$D$35</c:f>
              <c:numCache>
                <c:formatCode>General</c:formatCode>
                <c:ptCount val="22"/>
                <c:pt idx="0">
                  <c:v>-2.0999999999999943</c:v>
                </c:pt>
                <c:pt idx="1">
                  <c:v>-3.5</c:v>
                </c:pt>
                <c:pt idx="2">
                  <c:v>-3.5999999999999943</c:v>
                </c:pt>
                <c:pt idx="3">
                  <c:v>-2</c:v>
                </c:pt>
                <c:pt idx="4">
                  <c:v>-0.5</c:v>
                </c:pt>
                <c:pt idx="5">
                  <c:v>0.79999999999999716</c:v>
                </c:pt>
                <c:pt idx="6">
                  <c:v>3.2999999999999972</c:v>
                </c:pt>
                <c:pt idx="7">
                  <c:v>13.799999999999997</c:v>
                </c:pt>
                <c:pt idx="8">
                  <c:v>25.200000000000003</c:v>
                </c:pt>
                <c:pt idx="9">
                  <c:v>31.900000000000006</c:v>
                </c:pt>
                <c:pt idx="10">
                  <c:v>30.199999999999989</c:v>
                </c:pt>
                <c:pt idx="11">
                  <c:v>23.299999999999997</c:v>
                </c:pt>
                <c:pt idx="12">
                  <c:v>54</c:v>
                </c:pt>
                <c:pt idx="13">
                  <c:v>47.599999999999994</c:v>
                </c:pt>
                <c:pt idx="14">
                  <c:v>44.5</c:v>
                </c:pt>
                <c:pt idx="15">
                  <c:v>40.200000000000003</c:v>
                </c:pt>
                <c:pt idx="16">
                  <c:v>-1.2</c:v>
                </c:pt>
                <c:pt idx="17">
                  <c:v>-1.7</c:v>
                </c:pt>
                <c:pt idx="18">
                  <c:v>-0.5</c:v>
                </c:pt>
                <c:pt idx="19">
                  <c:v>-1.8</c:v>
                </c:pt>
                <c:pt idx="20">
                  <c:v>-2.6</c:v>
                </c:pt>
                <c:pt idx="21">
                  <c:v>-4.2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DB3-4A88-A0E6-699A57FBB223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4'!$E$14:$E$35</c:f>
              <c:numCache>
                <c:formatCode>General</c:formatCode>
                <c:ptCount val="22"/>
                <c:pt idx="0">
                  <c:v>0</c:v>
                </c:pt>
                <c:pt idx="1">
                  <c:v>-2.2999999999999972</c:v>
                </c:pt>
                <c:pt idx="2">
                  <c:v>-1.7999999999999972</c:v>
                </c:pt>
                <c:pt idx="3">
                  <c:v>-1.2000000000000028</c:v>
                </c:pt>
                <c:pt idx="4">
                  <c:v>1.7999999999999972</c:v>
                </c:pt>
                <c:pt idx="5">
                  <c:v>6.5</c:v>
                </c:pt>
                <c:pt idx="6">
                  <c:v>11</c:v>
                </c:pt>
                <c:pt idx="7">
                  <c:v>14.5</c:v>
                </c:pt>
                <c:pt idx="8">
                  <c:v>17.5</c:v>
                </c:pt>
                <c:pt idx="9">
                  <c:v>24.200000000000003</c:v>
                </c:pt>
                <c:pt idx="10">
                  <c:v>20.5</c:v>
                </c:pt>
                <c:pt idx="11">
                  <c:v>16</c:v>
                </c:pt>
                <c:pt idx="12">
                  <c:v>10.299999999999997</c:v>
                </c:pt>
                <c:pt idx="13">
                  <c:v>-0.90000000000000568</c:v>
                </c:pt>
                <c:pt idx="14">
                  <c:v>-2.4</c:v>
                </c:pt>
                <c:pt idx="15">
                  <c:v>-2.2999999999999998</c:v>
                </c:pt>
                <c:pt idx="16">
                  <c:v>-1.7</c:v>
                </c:pt>
                <c:pt idx="17">
                  <c:v>0.1</c:v>
                </c:pt>
                <c:pt idx="18">
                  <c:v>0.2</c:v>
                </c:pt>
                <c:pt idx="19">
                  <c:v>0.4</c:v>
                </c:pt>
                <c:pt idx="20">
                  <c:v>0.4</c:v>
                </c:pt>
                <c:pt idx="21">
                  <c:v>-0.2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DB3-4A88-A0E6-699A57FBB223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4'!$F$14:$F$35</c:f>
              <c:numCache>
                <c:formatCode>General</c:formatCode>
                <c:ptCount val="22"/>
                <c:pt idx="0">
                  <c:v>8.9000000000000057</c:v>
                </c:pt>
                <c:pt idx="1">
                  <c:v>8.2000000000000028</c:v>
                </c:pt>
                <c:pt idx="2">
                  <c:v>7.7999999999999972</c:v>
                </c:pt>
                <c:pt idx="3">
                  <c:v>6.0999999999999943</c:v>
                </c:pt>
                <c:pt idx="4">
                  <c:v>0.29999999999999716</c:v>
                </c:pt>
                <c:pt idx="5">
                  <c:v>9.9999999999994316E-2</c:v>
                </c:pt>
                <c:pt idx="6">
                  <c:v>0.79999999999999716</c:v>
                </c:pt>
                <c:pt idx="7">
                  <c:v>5.5</c:v>
                </c:pt>
                <c:pt idx="8">
                  <c:v>45</c:v>
                </c:pt>
                <c:pt idx="9">
                  <c:v>47.199999999999989</c:v>
                </c:pt>
                <c:pt idx="10">
                  <c:v>56</c:v>
                </c:pt>
                <c:pt idx="11">
                  <c:v>54.300000000000011</c:v>
                </c:pt>
                <c:pt idx="12">
                  <c:v>28.400000000000006</c:v>
                </c:pt>
                <c:pt idx="13">
                  <c:v>18.400000000000006</c:v>
                </c:pt>
                <c:pt idx="14">
                  <c:v>10.5</c:v>
                </c:pt>
                <c:pt idx="15">
                  <c:v>7.1</c:v>
                </c:pt>
                <c:pt idx="16">
                  <c:v>0.8</c:v>
                </c:pt>
                <c:pt idx="17">
                  <c:v>4.5</c:v>
                </c:pt>
                <c:pt idx="18">
                  <c:v>4.2</c:v>
                </c:pt>
                <c:pt idx="19">
                  <c:v>6.7</c:v>
                </c:pt>
                <c:pt idx="20">
                  <c:v>-1.2</c:v>
                </c:pt>
                <c:pt idx="21">
                  <c:v>-3.4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DB3-4A88-A0E6-699A57FBB223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'Ceny 4'!$G$14:$G$35</c:f>
              <c:numCache>
                <c:formatCode>General</c:formatCode>
                <c:ptCount val="22"/>
                <c:pt idx="0">
                  <c:v>5.4000000000000057</c:v>
                </c:pt>
                <c:pt idx="1">
                  <c:v>6.0999999999999943</c:v>
                </c:pt>
                <c:pt idx="2">
                  <c:v>6.4000000000000057</c:v>
                </c:pt>
                <c:pt idx="3">
                  <c:v>6.4000000000000057</c:v>
                </c:pt>
                <c:pt idx="4">
                  <c:v>6.9000000000000057</c:v>
                </c:pt>
                <c:pt idx="5">
                  <c:v>6.2000000000000028</c:v>
                </c:pt>
                <c:pt idx="6">
                  <c:v>5.9000000000000057</c:v>
                </c:pt>
                <c:pt idx="7">
                  <c:v>5.9000000000000057</c:v>
                </c:pt>
                <c:pt idx="8">
                  <c:v>5.2999999999999972</c:v>
                </c:pt>
                <c:pt idx="9">
                  <c:v>5.2999999999999972</c:v>
                </c:pt>
                <c:pt idx="10">
                  <c:v>5.2999999999999972</c:v>
                </c:pt>
                <c:pt idx="11">
                  <c:v>5.2999999999999972</c:v>
                </c:pt>
                <c:pt idx="12">
                  <c:v>16.299999999999997</c:v>
                </c:pt>
                <c:pt idx="13">
                  <c:v>16.299999999999997</c:v>
                </c:pt>
                <c:pt idx="14">
                  <c:v>16.3</c:v>
                </c:pt>
                <c:pt idx="15">
                  <c:v>16.3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9.1999999999999993</c:v>
                </c:pt>
                <c:pt idx="20">
                  <c:v>4.0999999999999996</c:v>
                </c:pt>
                <c:pt idx="21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DB3-4A88-A0E6-699A57FBB2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756819693945444E-2"/>
          <c:y val="0.86223931272106069"/>
          <c:w val="0.91957268795741853"/>
          <c:h val="0.12109402425765226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b8c0c86d-151e-4fca-b0d5-747e6692fa1d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5BE4F5-FE1F-4EF8-9DA7-B3BEEA6A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2349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