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809367" w14:textId="73CA9308" w:rsidR="004C6092" w:rsidRPr="00F204DA" w:rsidRDefault="004C6092" w:rsidP="004C6092">
      <w:pPr>
        <w:pStyle w:val="Nadpis1"/>
      </w:pPr>
      <w:bookmarkStart w:id="0" w:name="_Toc176767109"/>
      <w:bookmarkStart w:id="1" w:name="_Toc208920080"/>
      <w:r>
        <w:t>4</w:t>
      </w:r>
      <w:bookmarkStart w:id="2" w:name="_Toc19090679"/>
      <w:bookmarkStart w:id="3" w:name="_Toc74643856"/>
      <w:bookmarkStart w:id="4" w:name="_Toc42852411"/>
      <w:bookmarkStart w:id="5" w:name="_Toc74643857"/>
      <w:bookmarkEnd w:id="2"/>
      <w:r>
        <w:t>. Vnější vztahy</w:t>
      </w:r>
      <w:bookmarkEnd w:id="1"/>
    </w:p>
    <w:tbl>
      <w:tblPr>
        <w:tblW w:w="9677" w:type="dxa"/>
        <w:tblInd w:w="-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48"/>
        <w:gridCol w:w="252"/>
        <w:gridCol w:w="2811"/>
        <w:gridCol w:w="57"/>
        <w:gridCol w:w="4809"/>
      </w:tblGrid>
      <w:tr w:rsidR="004C6092" w14:paraId="7332FDA2" w14:textId="77777777" w:rsidTr="00E54E39">
        <w:trPr>
          <w:trHeight w:val="145"/>
        </w:trPr>
        <w:tc>
          <w:tcPr>
            <w:tcW w:w="1748" w:type="dxa"/>
            <w:hideMark/>
          </w:tcPr>
          <w:p w14:paraId="3CA3888C" w14:textId="77777777" w:rsidR="004C6092" w:rsidRDefault="004C6092" w:rsidP="00E54E39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 xml:space="preserve">Vývoz zboží rostl ve </w:t>
            </w:r>
            <w:r>
              <w:rPr>
                <w:lang w:eastAsia="en-US"/>
              </w:rPr>
              <w:br/>
              <w:t>2. čtvrtletí mírněji než v 1. kvartálu.</w:t>
            </w:r>
          </w:p>
        </w:tc>
        <w:tc>
          <w:tcPr>
            <w:tcW w:w="252" w:type="dxa"/>
          </w:tcPr>
          <w:p w14:paraId="68BA2A31" w14:textId="77777777" w:rsidR="004C6092" w:rsidRDefault="004C6092" w:rsidP="00E54E39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77" w:type="dxa"/>
            <w:gridSpan w:val="3"/>
            <w:hideMark/>
          </w:tcPr>
          <w:p w14:paraId="48F17C1B" w14:textId="77777777" w:rsidR="004C6092" w:rsidRDefault="004C6092" w:rsidP="00E54E39">
            <w:pPr>
              <w:spacing w:after="180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>Celková hodnota vývozu zboží</w:t>
            </w:r>
            <w:r>
              <w:rPr>
                <w:rStyle w:val="Znakapoznpodarou"/>
                <w:spacing w:val="-4"/>
                <w:lang w:eastAsia="en-US"/>
              </w:rPr>
              <w:footnoteReference w:id="1"/>
            </w:r>
            <w:r>
              <w:rPr>
                <w:spacing w:val="-4"/>
                <w:lang w:eastAsia="en-US"/>
              </w:rPr>
              <w:t xml:space="preserve"> v 1. pololetí 2025 vzrostla o 103,4 mld. korun (4,4 %) a dosáhla 2 445,3 mld. K zaznamenanému přírůstku přispěl z většiny vývoj v první čtvrtině roku, protože v samotném 2. kvartálu export vzrostl již jen o 33,7 mld. korun (2,8 %) na 1 220,2 mld. Rozdílnou dynamiku vývozu v 1. a 2. čtvrtletí ovlivnily i snahy o předzásobení na americkém trhu z důvodu cel, které v 1. kvartálu stimulovaly exportéry v Evropě</w:t>
            </w:r>
            <w:r>
              <w:rPr>
                <w:rStyle w:val="Znakapoznpodarou"/>
                <w:spacing w:val="-4"/>
                <w:lang w:eastAsia="en-US"/>
              </w:rPr>
              <w:footnoteReference w:id="2"/>
            </w:r>
            <w:r>
              <w:rPr>
                <w:spacing w:val="-4"/>
                <w:lang w:eastAsia="en-US"/>
              </w:rPr>
              <w:t>. Ceny vývozu neměly významný vliv na meziroční vývoj hodnoty exportu a mezičtvrtletní přírůstek táhly směrem dolů</w:t>
            </w:r>
            <w:r>
              <w:rPr>
                <w:rStyle w:val="Znakapoznpodarou"/>
                <w:spacing w:val="-4"/>
                <w:lang w:eastAsia="en-US"/>
              </w:rPr>
              <w:footnoteReference w:id="3"/>
            </w:r>
            <w:r>
              <w:rPr>
                <w:spacing w:val="-4"/>
                <w:lang w:eastAsia="en-US"/>
              </w:rPr>
              <w:t xml:space="preserve">. Mezičtvrtletně se hodnota vývozu podle sezónně očištěných údajů zvýšila o 0,1 % a přírůstek tak značně oslabil oproti předchozímu kvartálu.  </w:t>
            </w:r>
          </w:p>
        </w:tc>
      </w:tr>
      <w:tr w:rsidR="004C6092" w14:paraId="44F8D00B" w14:textId="77777777" w:rsidTr="00E54E39">
        <w:trPr>
          <w:trHeight w:val="145"/>
        </w:trPr>
        <w:tc>
          <w:tcPr>
            <w:tcW w:w="1748" w:type="dxa"/>
          </w:tcPr>
          <w:p w14:paraId="06392A4A" w14:textId="77777777" w:rsidR="004C6092" w:rsidRDefault="004C6092" w:rsidP="00E54E39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Zmírnil se zejména vývoz do Německa.</w:t>
            </w:r>
          </w:p>
        </w:tc>
        <w:tc>
          <w:tcPr>
            <w:tcW w:w="252" w:type="dxa"/>
          </w:tcPr>
          <w:p w14:paraId="5A1804DD" w14:textId="77777777" w:rsidR="004C6092" w:rsidRDefault="004C6092" w:rsidP="00E54E39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77" w:type="dxa"/>
            <w:gridSpan w:val="3"/>
          </w:tcPr>
          <w:p w14:paraId="667F8406" w14:textId="77777777" w:rsidR="004C6092" w:rsidRDefault="004C6092" w:rsidP="00E54E39">
            <w:pPr>
              <w:spacing w:after="220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 xml:space="preserve">Procentní přírůstek exportu do zemí EU (+53,4 mld. korun, 2,9 %) byl v 1. pololetí výrazně slabší než v případě vývozu mimo Unii (+50,0 mld., 10,1 %). Přispěly k tomu solidní nárůsty exportu do Velké Británie (+9,5 mld. korun, 8,7 %) a Spojených států amerických (+8,5 mld., 13,3 %) i prudké posílení hodnoty vývozu na Ukrajinu (+8,3 mld., 45,1 %). Export do EU </w:t>
            </w:r>
            <w:r>
              <w:rPr>
                <w:spacing w:val="-4"/>
                <w:lang w:eastAsia="en-US"/>
              </w:rPr>
              <w:br/>
              <w:t>v 1. pololetí rostl především zásluhou vývozu do Německa (+27,6 mld. korun, 3,9 %) a na druhou pozici se dostalo méně obvyklé Dánsko</w:t>
            </w:r>
            <w:r>
              <w:rPr>
                <w:rStyle w:val="Znakapoznpodarou"/>
                <w:spacing w:val="-4"/>
                <w:lang w:eastAsia="en-US"/>
              </w:rPr>
              <w:footnoteReference w:id="4"/>
            </w:r>
            <w:r>
              <w:rPr>
                <w:spacing w:val="-4"/>
                <w:lang w:eastAsia="en-US"/>
              </w:rPr>
              <w:t xml:space="preserve"> (+6,5 mld., 39,6 %). Klesal nejvíce dovoz do Španělska (−3,8 mld. korun, −5,4 %), Maďarska (−3,5 mld., −4,8 %) a Nizozemska (−3,5 mld., −4,7 %). V samotném 2. čtvrtletí oslabil růst exportu do EU (+18,8 mld. korun, 2,0 %) i mimo EU (+14,8 mld., 5,8 %). Nejvíce k celkovému nárůstu exportu přispíval vývoz na Ukrajinu (viz Tabulka č. 2), u kterého zvýšená meziroční dynamika trvá už od konce roku 2024. K navýšení vývozu solidně přispívaly také Belgie, Polsko, Rakousko nebo Dánsko. Meziroční růst exportu do Německa po mohutném 1. kvartálu oslabil. Výraznější poklesy vývozu byly zaznamenány u Nizozemska a Číny a o více než 1 mld. klesl také vývoz do Lotyšska.  </w:t>
            </w:r>
          </w:p>
        </w:tc>
      </w:tr>
      <w:tr w:rsidR="004C6092" w14:paraId="419A08A5" w14:textId="77777777" w:rsidTr="00E54E39">
        <w:trPr>
          <w:trHeight w:val="170"/>
        </w:trPr>
        <w:tc>
          <w:tcPr>
            <w:tcW w:w="4811" w:type="dxa"/>
            <w:gridSpan w:val="3"/>
            <w:hideMark/>
          </w:tcPr>
          <w:p w14:paraId="18520520" w14:textId="77777777" w:rsidR="004C6092" w:rsidRDefault="004C6092" w:rsidP="00E54E39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Tabulka č. 1 Oddíly klasifikace CPA s největším </w:t>
            </w:r>
          </w:p>
          <w:p w14:paraId="1D9B48E9" w14:textId="77777777" w:rsidR="004C6092" w:rsidRDefault="004C6092" w:rsidP="00E54E39">
            <w:pPr>
              <w:spacing w:after="0"/>
              <w:jc w:val="left"/>
              <w:rPr>
                <w:spacing w:val="-4"/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vlivem na vývoj vývozu zboží v 2. čtvrtletí 2025 </w:t>
            </w:r>
            <w:r>
              <w:rPr>
                <w:rFonts w:cs="Arial"/>
                <w:bCs/>
                <w:color w:val="000000"/>
                <w:sz w:val="18"/>
                <w:szCs w:val="18"/>
                <w:lang w:eastAsia="en-US"/>
              </w:rPr>
              <w:t>(meziročně)</w:t>
            </w:r>
          </w:p>
        </w:tc>
        <w:tc>
          <w:tcPr>
            <w:tcW w:w="57" w:type="dxa"/>
          </w:tcPr>
          <w:p w14:paraId="6948D388" w14:textId="77777777" w:rsidR="004C6092" w:rsidRDefault="004C6092" w:rsidP="00E54E39">
            <w:pPr>
              <w:spacing w:after="0"/>
              <w:rPr>
                <w:spacing w:val="-4"/>
                <w:lang w:eastAsia="en-US"/>
              </w:rPr>
            </w:pPr>
          </w:p>
        </w:tc>
        <w:tc>
          <w:tcPr>
            <w:tcW w:w="4809" w:type="dxa"/>
            <w:hideMark/>
          </w:tcPr>
          <w:p w14:paraId="29E7EDC9" w14:textId="77777777" w:rsidR="004C6092" w:rsidRDefault="004C6092" w:rsidP="00E54E39">
            <w:pPr>
              <w:spacing w:after="0"/>
              <w:jc w:val="left"/>
              <w:rPr>
                <w:spacing w:val="-4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Tabulka č. 2 Země s největším vlivem na vývoj vývozu zboží v 2. čtvrtletí 2025 </w:t>
            </w:r>
            <w:r>
              <w:rPr>
                <w:rFonts w:cs="Arial"/>
                <w:bCs/>
                <w:color w:val="000000"/>
                <w:sz w:val="18"/>
                <w:szCs w:val="18"/>
                <w:lang w:eastAsia="en-US"/>
              </w:rPr>
              <w:t>(meziročně)</w:t>
            </w:r>
          </w:p>
        </w:tc>
      </w:tr>
      <w:tr w:rsidR="004C6092" w14:paraId="118C30D3" w14:textId="77777777" w:rsidTr="00E54E39">
        <w:trPr>
          <w:trHeight w:val="170"/>
        </w:trPr>
        <w:tc>
          <w:tcPr>
            <w:tcW w:w="4811" w:type="dxa"/>
            <w:gridSpan w:val="3"/>
            <w:hideMark/>
          </w:tcPr>
          <w:tbl>
            <w:tblPr>
              <w:tblW w:w="4817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417"/>
              <w:gridCol w:w="700"/>
              <w:gridCol w:w="700"/>
            </w:tblGrid>
            <w:tr w:rsidR="004C6092" w:rsidRPr="00297880" w14:paraId="4684ECEC" w14:textId="77777777" w:rsidTr="00E54E39">
              <w:trPr>
                <w:trHeight w:val="255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4A6680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4B1E0F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mld. Kč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CCEBF4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%</w:t>
                  </w:r>
                </w:p>
              </w:tc>
            </w:tr>
            <w:tr w:rsidR="004C6092" w:rsidRPr="00297880" w14:paraId="53E0F664" w14:textId="77777777" w:rsidTr="00E54E39">
              <w:trPr>
                <w:trHeight w:val="255"/>
              </w:trPr>
              <w:tc>
                <w:tcPr>
                  <w:tcW w:w="341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481E82E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Motorová vozidla (kromě motocyklů) a díly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B533BC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+19,7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8E730F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+5,8</w:t>
                  </w:r>
                </w:p>
              </w:tc>
            </w:tr>
            <w:tr w:rsidR="004C6092" w:rsidRPr="00297880" w14:paraId="56C15EF7" w14:textId="77777777" w:rsidTr="00E54E39">
              <w:trPr>
                <w:trHeight w:val="255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8594267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Počítače, elektron. a opt. přístroje a zařízení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554EB9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+5,6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B9D8DC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+5,4</w:t>
                  </w:r>
                </w:p>
              </w:tc>
            </w:tr>
            <w:tr w:rsidR="004C6092" w:rsidRPr="00297880" w14:paraId="6E7D1152" w14:textId="77777777" w:rsidTr="00E54E39">
              <w:trPr>
                <w:trHeight w:val="255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3650AE9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Ostatní dopravní prostředky a zařízení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607D09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+4,3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A9ADCB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+20,2</w:t>
                  </w:r>
                </w:p>
              </w:tc>
            </w:tr>
            <w:tr w:rsidR="004C6092" w:rsidRPr="00297880" w14:paraId="329A22BD" w14:textId="77777777" w:rsidTr="00E54E39">
              <w:trPr>
                <w:trHeight w:val="255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F0E690E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Potravinářské výrobky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E11812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+3,5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657083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+7,6</w:t>
                  </w:r>
                </w:p>
              </w:tc>
            </w:tr>
            <w:tr w:rsidR="004C6092" w:rsidRPr="00297880" w14:paraId="6B896EB2" w14:textId="77777777" w:rsidTr="00E54E39">
              <w:trPr>
                <w:trHeight w:val="255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E337BA2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Elektrická zařízení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1AE0EC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+2,5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33AD3A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+2,1</w:t>
                  </w:r>
                </w:p>
              </w:tc>
            </w:tr>
            <w:tr w:rsidR="004C6092" w:rsidRPr="00297880" w14:paraId="135797D7" w14:textId="77777777" w:rsidTr="00E54E39">
              <w:trPr>
                <w:trHeight w:val="255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268A0B2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Koks a rafinované ropné produkty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E99438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+2,2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E81417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+22,3</w:t>
                  </w:r>
                </w:p>
              </w:tc>
            </w:tr>
            <w:tr w:rsidR="004C6092" w:rsidRPr="00297880" w14:paraId="192AF529" w14:textId="77777777" w:rsidTr="00E54E39">
              <w:trPr>
                <w:trHeight w:val="255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268D2A6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Základní farmaceutické výrobky a přípravky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65DEFB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+1,6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281143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+8,7</w:t>
                  </w:r>
                </w:p>
              </w:tc>
            </w:tr>
            <w:tr w:rsidR="004C6092" w:rsidRPr="00297880" w14:paraId="5E2C333F" w14:textId="77777777" w:rsidTr="00E54E39">
              <w:trPr>
                <w:trHeight w:val="255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0BD3C1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Ostatní výrobky zpracovatelského průmyslu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C74CE3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+1,4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DD55A9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+5,1</w:t>
                  </w:r>
                </w:p>
              </w:tc>
            </w:tr>
            <w:tr w:rsidR="004C6092" w:rsidRPr="00297880" w14:paraId="0B1A3966" w14:textId="77777777" w:rsidTr="00E54E39">
              <w:trPr>
                <w:trHeight w:val="255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0B6F132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Elektřina, plyn, pára a klimatizovaný vzduch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4FE7EC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+1,1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8143FE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+14,0</w:t>
                  </w:r>
                </w:p>
              </w:tc>
            </w:tr>
            <w:tr w:rsidR="004C6092" w:rsidRPr="00297880" w14:paraId="005F7B5F" w14:textId="77777777" w:rsidTr="00E54E39">
              <w:trPr>
                <w:trHeight w:val="255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818B488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Dřevo a dřevěné výrobky, kromě nábytku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D27AE8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+0,7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C1E448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+5,5</w:t>
                  </w:r>
                </w:p>
              </w:tc>
            </w:tr>
            <w:tr w:rsidR="004C6092" w:rsidRPr="00297880" w14:paraId="6B5AA1A8" w14:textId="77777777" w:rsidTr="00E54E39">
              <w:trPr>
                <w:trHeight w:val="255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A0C9D7D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Oděvy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02A42D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0,9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60F317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14,8</w:t>
                  </w:r>
                </w:p>
              </w:tc>
            </w:tr>
            <w:tr w:rsidR="004C6092" w:rsidRPr="00297880" w14:paraId="5D9DE5E8" w14:textId="77777777" w:rsidTr="00E54E39">
              <w:trPr>
                <w:trHeight w:val="255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F88958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Stroje a zařízení j. n.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B9AA3D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0,9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C4EBFB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0,7</w:t>
                  </w:r>
                </w:p>
              </w:tc>
            </w:tr>
            <w:tr w:rsidR="004C6092" w:rsidRPr="00297880" w14:paraId="603ECDD2" w14:textId="77777777" w:rsidTr="00E54E39">
              <w:trPr>
                <w:trHeight w:val="255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D89DA70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 xml:space="preserve">Sběr, příprava k likvidaci, likvidace </w:t>
                  </w: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br/>
                  </w: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a zpracování odpadu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8DB667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1,2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9B84B4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8,8</w:t>
                  </w:r>
                </w:p>
              </w:tc>
            </w:tr>
            <w:tr w:rsidR="004C6092" w:rsidRPr="00297880" w14:paraId="49E7BB56" w14:textId="77777777" w:rsidTr="00E54E39">
              <w:trPr>
                <w:trHeight w:val="255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46AE8B9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Produkty zemědělství a myslivosti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6EEF93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1,8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E9C998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12,0</w:t>
                  </w:r>
                </w:p>
              </w:tc>
            </w:tr>
            <w:tr w:rsidR="004C6092" w:rsidRPr="00297880" w14:paraId="3611D6BD" w14:textId="77777777" w:rsidTr="00E54E39">
              <w:trPr>
                <w:trHeight w:val="255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A0ABA64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Chemické látky a přípravky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9D7A99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2,4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752B7A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4,2</w:t>
                  </w:r>
                </w:p>
              </w:tc>
            </w:tr>
          </w:tbl>
          <w:p w14:paraId="6567EE65" w14:textId="77777777" w:rsidR="004C6092" w:rsidRDefault="004C6092" w:rsidP="00E54E39">
            <w:pPr>
              <w:spacing w:after="0"/>
              <w:rPr>
                <w:spacing w:val="-4"/>
                <w:lang w:eastAsia="en-US"/>
              </w:rPr>
            </w:pPr>
          </w:p>
        </w:tc>
        <w:tc>
          <w:tcPr>
            <w:tcW w:w="57" w:type="dxa"/>
          </w:tcPr>
          <w:p w14:paraId="5F317B72" w14:textId="77777777" w:rsidR="004C6092" w:rsidRDefault="004C6092" w:rsidP="00E54E39">
            <w:pPr>
              <w:spacing w:after="0"/>
              <w:rPr>
                <w:spacing w:val="-4"/>
                <w:lang w:eastAsia="en-US"/>
              </w:rPr>
            </w:pPr>
          </w:p>
        </w:tc>
        <w:tc>
          <w:tcPr>
            <w:tcW w:w="4809" w:type="dxa"/>
            <w:hideMark/>
          </w:tcPr>
          <w:tbl>
            <w:tblPr>
              <w:tblW w:w="476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362"/>
              <w:gridCol w:w="700"/>
              <w:gridCol w:w="700"/>
            </w:tblGrid>
            <w:tr w:rsidR="004C6092" w:rsidRPr="00297880" w14:paraId="268BA4B7" w14:textId="77777777" w:rsidTr="00E54E39">
              <w:trPr>
                <w:trHeight w:val="255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59ADB1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691AA4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mld. Kč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300063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%</w:t>
                  </w:r>
                </w:p>
              </w:tc>
            </w:tr>
            <w:tr w:rsidR="004C6092" w:rsidRPr="00297880" w14:paraId="27DE3545" w14:textId="77777777" w:rsidTr="00E54E39">
              <w:trPr>
                <w:trHeight w:val="255"/>
              </w:trPr>
              <w:tc>
                <w:tcPr>
                  <w:tcW w:w="336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3AD6A6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Ukrajina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4973CD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+4,0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EC3C9D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+40,3</w:t>
                  </w:r>
                </w:p>
              </w:tc>
            </w:tr>
            <w:tr w:rsidR="004C6092" w:rsidRPr="00297880" w14:paraId="03234AE8" w14:textId="77777777" w:rsidTr="00E54E39">
              <w:trPr>
                <w:trHeight w:val="255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AE5091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Belgie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557C81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+3,8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9632B0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+15,9</w:t>
                  </w:r>
                </w:p>
              </w:tc>
            </w:tr>
            <w:tr w:rsidR="004C6092" w:rsidRPr="00297880" w14:paraId="5C98FEF4" w14:textId="77777777" w:rsidTr="00E54E39">
              <w:trPr>
                <w:trHeight w:val="255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FD45E6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Polsko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6F7B6C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+3,4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DEBA2C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+4,0</w:t>
                  </w:r>
                </w:p>
              </w:tc>
            </w:tr>
            <w:tr w:rsidR="004C6092" w:rsidRPr="00297880" w14:paraId="46D3A40D" w14:textId="77777777" w:rsidTr="00E54E39">
              <w:trPr>
                <w:trHeight w:val="255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79AFBA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Rakousko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5771A5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+3,4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AFC98A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+7,6</w:t>
                  </w:r>
                </w:p>
              </w:tc>
            </w:tr>
            <w:tr w:rsidR="004C6092" w:rsidRPr="00297880" w14:paraId="7DE5B2A1" w14:textId="77777777" w:rsidTr="00E54E39">
              <w:trPr>
                <w:trHeight w:val="255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49564C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Dánsko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8077B3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+3,2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7D02EA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+34,7</w:t>
                  </w:r>
                </w:p>
              </w:tc>
            </w:tr>
            <w:tr w:rsidR="004C6092" w:rsidRPr="00297880" w14:paraId="4DEDB268" w14:textId="77777777" w:rsidTr="00E54E39">
              <w:trPr>
                <w:trHeight w:val="255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02D2B5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Německo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5A4C49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+3,0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2D60F7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+0,8</w:t>
                  </w:r>
                </w:p>
              </w:tc>
            </w:tr>
            <w:tr w:rsidR="004C6092" w:rsidRPr="00297880" w14:paraId="365476EA" w14:textId="77777777" w:rsidTr="00E54E39">
              <w:trPr>
                <w:trHeight w:val="255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E20EFB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Itálie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658CCD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+2,8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D7513D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+5,9</w:t>
                  </w:r>
                </w:p>
              </w:tc>
            </w:tr>
            <w:tr w:rsidR="004C6092" w:rsidRPr="00297880" w14:paraId="70326D5E" w14:textId="77777777" w:rsidTr="00E54E39">
              <w:trPr>
                <w:trHeight w:val="255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62BC1B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Spojené státy</w:t>
                  </w: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 xml:space="preserve"> americké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D7547E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+2,3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D122D8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+6,7</w:t>
                  </w:r>
                </w:p>
              </w:tc>
            </w:tr>
            <w:tr w:rsidR="004C6092" w:rsidRPr="00297880" w14:paraId="1663332C" w14:textId="77777777" w:rsidTr="00E54E39">
              <w:trPr>
                <w:trHeight w:val="255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9A9221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Turecko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E4D3E2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+1,9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A13B0C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+9,8</w:t>
                  </w:r>
                </w:p>
              </w:tc>
            </w:tr>
            <w:tr w:rsidR="004C6092" w:rsidRPr="00297880" w14:paraId="2B42B5E1" w14:textId="77777777" w:rsidTr="00E54E39">
              <w:trPr>
                <w:trHeight w:val="255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AEE38A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Spojené arabské emiráty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5C2D0E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+1,7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3938BF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+35,7</w:t>
                  </w:r>
                </w:p>
              </w:tc>
            </w:tr>
            <w:tr w:rsidR="004C6092" w:rsidRPr="00297880" w14:paraId="14FC635E" w14:textId="77777777" w:rsidTr="00E54E39">
              <w:trPr>
                <w:trHeight w:val="255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483EF2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Portugalsko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3AB53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+1,6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F047B9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+38,4</w:t>
                  </w:r>
                </w:p>
              </w:tc>
            </w:tr>
            <w:tr w:rsidR="004C6092" w:rsidRPr="00297880" w14:paraId="0A4FA5B2" w14:textId="77777777" w:rsidTr="00E54E39">
              <w:trPr>
                <w:trHeight w:val="255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7CDADA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Korejská republika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E49E89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+1,4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A2B03B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+48,7</w:t>
                  </w:r>
                </w:p>
              </w:tc>
            </w:tr>
            <w:tr w:rsidR="004C6092" w:rsidRPr="00297880" w14:paraId="780BC59D" w14:textId="77777777" w:rsidTr="00E54E39">
              <w:trPr>
                <w:trHeight w:val="255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946479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Švédsko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DF4262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+1,2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028DEE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+6,8</w:t>
                  </w:r>
                </w:p>
              </w:tc>
            </w:tr>
            <w:tr w:rsidR="004C6092" w:rsidRPr="00297880" w14:paraId="313A8148" w14:textId="77777777" w:rsidTr="00E54E39">
              <w:trPr>
                <w:trHeight w:val="255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A91649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Čína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C8F145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2,4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DCBC8E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16,4</w:t>
                  </w:r>
                </w:p>
              </w:tc>
            </w:tr>
            <w:tr w:rsidR="004C6092" w:rsidRPr="00297880" w14:paraId="4BAD7078" w14:textId="77777777" w:rsidTr="00E54E39">
              <w:trPr>
                <w:trHeight w:val="255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7E7E00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Nizozemsko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B48D7C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3,7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A48C77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9,6</w:t>
                  </w:r>
                </w:p>
              </w:tc>
            </w:tr>
          </w:tbl>
          <w:p w14:paraId="57C0911F" w14:textId="77777777" w:rsidR="004C6092" w:rsidRDefault="004C6092" w:rsidP="00E54E39">
            <w:pPr>
              <w:spacing w:after="0"/>
              <w:rPr>
                <w:spacing w:val="-4"/>
                <w:lang w:eastAsia="en-US"/>
              </w:rPr>
            </w:pPr>
          </w:p>
        </w:tc>
      </w:tr>
      <w:tr w:rsidR="004C6092" w14:paraId="7B57C62B" w14:textId="77777777" w:rsidTr="00E54E39">
        <w:trPr>
          <w:trHeight w:val="170"/>
        </w:trPr>
        <w:tc>
          <w:tcPr>
            <w:tcW w:w="4811" w:type="dxa"/>
            <w:gridSpan w:val="3"/>
            <w:hideMark/>
          </w:tcPr>
          <w:p w14:paraId="4A39CAF8" w14:textId="77777777" w:rsidR="004C6092" w:rsidRDefault="004C6092" w:rsidP="00E54E39">
            <w:pPr>
              <w:jc w:val="left"/>
              <w:rPr>
                <w:spacing w:val="-4"/>
                <w:sz w:val="16"/>
                <w:szCs w:val="16"/>
                <w:lang w:eastAsia="en-US"/>
              </w:rPr>
            </w:pPr>
            <w:r>
              <w:rPr>
                <w:spacing w:val="-4"/>
                <w:sz w:val="16"/>
                <w:szCs w:val="16"/>
                <w:lang w:eastAsia="en-US"/>
              </w:rPr>
              <w:t>Zdroj: ČSÚ</w:t>
            </w:r>
          </w:p>
        </w:tc>
        <w:tc>
          <w:tcPr>
            <w:tcW w:w="57" w:type="dxa"/>
          </w:tcPr>
          <w:p w14:paraId="262C6E67" w14:textId="77777777" w:rsidR="004C6092" w:rsidRDefault="004C6092" w:rsidP="00E54E39">
            <w:pPr>
              <w:spacing w:after="0"/>
              <w:rPr>
                <w:spacing w:val="-4"/>
                <w:lang w:eastAsia="en-US"/>
              </w:rPr>
            </w:pPr>
          </w:p>
        </w:tc>
        <w:tc>
          <w:tcPr>
            <w:tcW w:w="4809" w:type="dxa"/>
            <w:hideMark/>
          </w:tcPr>
          <w:p w14:paraId="119424E3" w14:textId="77777777" w:rsidR="004C6092" w:rsidRDefault="004C6092" w:rsidP="00E54E39">
            <w:pPr>
              <w:spacing w:after="0"/>
              <w:ind w:right="21"/>
              <w:jc w:val="left"/>
              <w:rPr>
                <w:spacing w:val="-4"/>
                <w:lang w:eastAsia="en-US"/>
              </w:rPr>
            </w:pPr>
            <w:r>
              <w:rPr>
                <w:spacing w:val="-4"/>
                <w:sz w:val="16"/>
                <w:szCs w:val="16"/>
                <w:lang w:eastAsia="en-US"/>
              </w:rPr>
              <w:t>Zdroj: ČSÚ</w:t>
            </w:r>
          </w:p>
        </w:tc>
      </w:tr>
      <w:tr w:rsidR="004C6092" w14:paraId="249847CD" w14:textId="77777777" w:rsidTr="00E54E39">
        <w:trPr>
          <w:trHeight w:val="145"/>
        </w:trPr>
        <w:tc>
          <w:tcPr>
            <w:tcW w:w="1748" w:type="dxa"/>
          </w:tcPr>
          <w:p w14:paraId="715A582E" w14:textId="77777777" w:rsidR="004C6092" w:rsidRDefault="004C6092" w:rsidP="00E54E39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Motorová vozidla táhla růst exportu v celém pololetí i samotném </w:t>
            </w:r>
            <w:r>
              <w:rPr>
                <w:lang w:eastAsia="en-US"/>
              </w:rPr>
              <w:br/>
              <w:t>2. čtvrtletí.</w:t>
            </w:r>
          </w:p>
        </w:tc>
        <w:tc>
          <w:tcPr>
            <w:tcW w:w="252" w:type="dxa"/>
          </w:tcPr>
          <w:p w14:paraId="31F5C097" w14:textId="77777777" w:rsidR="004C6092" w:rsidRDefault="004C6092" w:rsidP="00E54E39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77" w:type="dxa"/>
            <w:gridSpan w:val="3"/>
          </w:tcPr>
          <w:p w14:paraId="3BEA3FA4" w14:textId="77777777" w:rsidR="004C6092" w:rsidRDefault="004C6092" w:rsidP="00E54E39">
            <w:pPr>
              <w:spacing w:after="180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>V 1. pololetí nejvíce meziročně rostl export motorových vozidel (+42,0 mld. korun, 6,2 %) s odstupem následovaný počítači, elektronickými a optickými přístroji (+13,1 mld., 6,4 %), elektřinou, plynem, párou a klimatizovaným vzduchem (+11,0 mld., 62,0 %) a elektrickými zařízeními (+10,5 mld., 4,5 %). Největší pokles byl zaznamenán u produktů zemědělství a myslivosti (−2,1 mld. korun, −7,0 %). Dominantní motorová vozidla si ve 2. čtvrtletí v zásadě zachovala předcházející tempo růstu (viz Tabulka č. 1). Ve 2. čtvrtletí také solidně rostl vývoz počítačů, elektronických a optických přístrojů a ostatních dopravních prostředků. Výraznější pokles byl zaznamenán u vývozu chemických látek a přípravků, produktů zemědělství a myslivosti nebo strojů a zařízení. Za celkovým zpomalením dynamiky exportu ve 2. čtvrtletí stál zejména vývoz elektřiny, elektrických zařízení (u obou zmírnění růstu), strojů a zařízení a chemických látek a přípravků (u obou z růstu přechod do poklesu).</w:t>
            </w:r>
          </w:p>
        </w:tc>
      </w:tr>
      <w:tr w:rsidR="004C6092" w14:paraId="19A84F1F" w14:textId="77777777" w:rsidTr="00E54E39">
        <w:trPr>
          <w:trHeight w:val="145"/>
        </w:trPr>
        <w:tc>
          <w:tcPr>
            <w:tcW w:w="1748" w:type="dxa"/>
            <w:hideMark/>
          </w:tcPr>
          <w:p w14:paraId="0107596B" w14:textId="77777777" w:rsidR="004C6092" w:rsidRDefault="004C6092" w:rsidP="00E54E39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Dovoz meziročně rostl silněji než vývoz.</w:t>
            </w:r>
          </w:p>
        </w:tc>
        <w:tc>
          <w:tcPr>
            <w:tcW w:w="252" w:type="dxa"/>
          </w:tcPr>
          <w:p w14:paraId="11FE1E76" w14:textId="77777777" w:rsidR="004C6092" w:rsidRDefault="004C6092" w:rsidP="00E54E39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77" w:type="dxa"/>
            <w:gridSpan w:val="3"/>
            <w:hideMark/>
          </w:tcPr>
          <w:p w14:paraId="5CE35E5F" w14:textId="77777777" w:rsidR="004C6092" w:rsidRDefault="004C6092" w:rsidP="00E54E39">
            <w:pPr>
              <w:spacing w:after="180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>Hodnota dovozu zboží v 1. pololetí 2025 vzrostla o 118,4 mld. korun (5,4 %) na 2 306,9 mld. Také v případě importu k tomuto nárůstu přispěl více 1. kvartál, protože ve 2. čtvrtletí se dovoz zvýšil o 44,5 mld. korun (4,0 %) na 1 159,9 mld. Ceny dovozu přitom klesaly</w:t>
            </w:r>
            <w:r w:rsidRPr="00C11451">
              <w:rPr>
                <w:rStyle w:val="Znakapoznpodarou"/>
                <w:spacing w:val="-4"/>
                <w:lang w:eastAsia="en-US"/>
              </w:rPr>
              <w:footnoteReference w:id="5"/>
            </w:r>
            <w:r>
              <w:rPr>
                <w:spacing w:val="-4"/>
                <w:lang w:eastAsia="en-US"/>
              </w:rPr>
              <w:t xml:space="preserve">. Hodnota dovozu zboží ve 2. čtvrtletí mezičtvrtletně klesla o 1,1 % (sezónně očištěno). </w:t>
            </w:r>
            <w:r>
              <w:rPr>
                <w:spacing w:val="-4"/>
                <w:lang w:eastAsia="en-US"/>
              </w:rPr>
              <w:br/>
              <w:t xml:space="preserve">V 1. pololetí meziročně opět výrazněji rostl dovoz ze zemí mimo EU (+59,7 mld. korun, </w:t>
            </w:r>
            <w:r>
              <w:rPr>
                <w:spacing w:val="-4"/>
                <w:lang w:eastAsia="en-US"/>
              </w:rPr>
              <w:br/>
              <w:t xml:space="preserve">7,6 %). Import z EU byl vyšší o 48,8 mld. (3,5 %). Nejvíce v 1. pololetí rostl dovoz z Číny (+29,3 mld. korun, 11,9 %), Polska (+10,7 mld., 5,2 %), Norska (+10,7 mld., 35,9 %) </w:t>
            </w:r>
            <w:r>
              <w:rPr>
                <w:spacing w:val="-4"/>
                <w:lang w:eastAsia="en-US"/>
              </w:rPr>
              <w:br/>
              <w:t xml:space="preserve">a Německa (+10,3 mld., 2,0 %). Hluboký propad byl v 1. pololetí zaznamenán u importu z Ruska (−17,5 mld., −51,9 %). V samotném 2. čtvrtletí nejvíce meziročně rostl dovoz z Číny (viz Tabulka č. 4), ale přírůstek značně oslabil oproti předchozím třem kvartálům. Naopak v případě Norska došlo k výraznému oživení dynamiky dovozu. Oslabení přírůstku importu oproti 1. čtvrtletí bylo zaznamenáno také u Polska, Německa nebo Rakouska. Mezi zeměmi, které významněji přispěly k růstu dovozu ve 2. čtvrtletí, figurovala řada asijských destinací – Turecko, Singapur, Kazachstán, Malajsie. Výrazně klesal dovoz z Ruska, Tchaj-wanu </w:t>
            </w:r>
            <w:r>
              <w:rPr>
                <w:spacing w:val="-4"/>
                <w:lang w:eastAsia="en-US"/>
              </w:rPr>
              <w:br/>
              <w:t xml:space="preserve">a Spojených států amerických.   </w:t>
            </w:r>
          </w:p>
        </w:tc>
      </w:tr>
      <w:tr w:rsidR="004C6092" w14:paraId="25F26002" w14:textId="77777777" w:rsidTr="00E54E39">
        <w:trPr>
          <w:trHeight w:val="170"/>
        </w:trPr>
        <w:tc>
          <w:tcPr>
            <w:tcW w:w="4811" w:type="dxa"/>
            <w:gridSpan w:val="3"/>
            <w:hideMark/>
          </w:tcPr>
          <w:p w14:paraId="68F029EE" w14:textId="77777777" w:rsidR="004C6092" w:rsidRDefault="004C6092" w:rsidP="00E54E39">
            <w:pPr>
              <w:spacing w:after="0"/>
              <w:jc w:val="left"/>
              <w:rPr>
                <w:spacing w:val="-4"/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Tabulka č. 3 Oddíly klasifikace CPA s největším vlivem na vývoj dovozu zboží v 2. čtvrtletí 2025 </w:t>
            </w:r>
            <w:r>
              <w:rPr>
                <w:rFonts w:cs="Arial"/>
                <w:bCs/>
                <w:color w:val="000000"/>
                <w:sz w:val="18"/>
                <w:szCs w:val="18"/>
                <w:lang w:eastAsia="en-US"/>
              </w:rPr>
              <w:t>(meziročně)</w:t>
            </w:r>
          </w:p>
        </w:tc>
        <w:tc>
          <w:tcPr>
            <w:tcW w:w="57" w:type="dxa"/>
          </w:tcPr>
          <w:p w14:paraId="60858F36" w14:textId="77777777" w:rsidR="004C6092" w:rsidRDefault="004C6092" w:rsidP="00E54E39">
            <w:pPr>
              <w:spacing w:after="0"/>
              <w:rPr>
                <w:spacing w:val="-4"/>
                <w:lang w:eastAsia="en-US"/>
              </w:rPr>
            </w:pPr>
          </w:p>
        </w:tc>
        <w:tc>
          <w:tcPr>
            <w:tcW w:w="4809" w:type="dxa"/>
            <w:hideMark/>
          </w:tcPr>
          <w:p w14:paraId="7ED3FF34" w14:textId="77777777" w:rsidR="004C6092" w:rsidRDefault="004C6092" w:rsidP="00E54E39">
            <w:pPr>
              <w:spacing w:after="0"/>
              <w:jc w:val="left"/>
              <w:rPr>
                <w:spacing w:val="-4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Tabulka č. 4 Země s největším vlivem na vývoj dovozu zboží v 2. čtvrtletí 2025 </w:t>
            </w:r>
            <w:r>
              <w:rPr>
                <w:rFonts w:cs="Arial"/>
                <w:bCs/>
                <w:color w:val="000000"/>
                <w:sz w:val="18"/>
                <w:szCs w:val="18"/>
                <w:lang w:eastAsia="en-US"/>
              </w:rPr>
              <w:t>(meziročně)</w:t>
            </w:r>
          </w:p>
        </w:tc>
      </w:tr>
      <w:tr w:rsidR="004C6092" w:rsidRPr="005A40B7" w14:paraId="0CA3379F" w14:textId="77777777" w:rsidTr="00E54E39">
        <w:trPr>
          <w:trHeight w:val="170"/>
        </w:trPr>
        <w:tc>
          <w:tcPr>
            <w:tcW w:w="4811" w:type="dxa"/>
            <w:gridSpan w:val="3"/>
            <w:hideMark/>
          </w:tcPr>
          <w:tbl>
            <w:tblPr>
              <w:tblW w:w="4817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417"/>
              <w:gridCol w:w="700"/>
              <w:gridCol w:w="700"/>
            </w:tblGrid>
            <w:tr w:rsidR="004C6092" w:rsidRPr="00297880" w14:paraId="59B9FF1F" w14:textId="77777777" w:rsidTr="00E54E39">
              <w:trPr>
                <w:trHeight w:val="252"/>
              </w:trPr>
              <w:tc>
                <w:tcPr>
                  <w:tcW w:w="34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59F8C7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A9D225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mld. Kč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EFA5D7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%</w:t>
                  </w:r>
                </w:p>
              </w:tc>
            </w:tr>
            <w:tr w:rsidR="004C6092" w:rsidRPr="00297880" w14:paraId="6D952C72" w14:textId="77777777" w:rsidTr="00E54E39">
              <w:trPr>
                <w:trHeight w:val="252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7D362E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Elektrická zařízení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946E76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+13,5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5E5FFD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+12,6</w:t>
                  </w:r>
                </w:p>
              </w:tc>
            </w:tr>
            <w:tr w:rsidR="004C6092" w:rsidRPr="00297880" w14:paraId="366970F9" w14:textId="77777777" w:rsidTr="00E54E39">
              <w:trPr>
                <w:trHeight w:val="252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D712D2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Ropa a zemní plyn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F9AA13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+11,0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FE860C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+31,7</w:t>
                  </w:r>
                </w:p>
              </w:tc>
            </w:tr>
            <w:tr w:rsidR="004C6092" w:rsidRPr="00297880" w14:paraId="46559F07" w14:textId="77777777" w:rsidTr="00E54E39">
              <w:trPr>
                <w:trHeight w:val="252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FC88B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Kovodělné výrobky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5D25EF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+10,4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850675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+20,9</w:t>
                  </w:r>
                </w:p>
              </w:tc>
            </w:tr>
            <w:tr w:rsidR="004C6092" w:rsidRPr="00297880" w14:paraId="06B3C312" w14:textId="77777777" w:rsidTr="00E54E39">
              <w:trPr>
                <w:trHeight w:val="252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C2B85E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Potravinářské výrobky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27CC69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+4,9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D99EF4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+8,1</w:t>
                  </w:r>
                </w:p>
              </w:tc>
            </w:tr>
            <w:tr w:rsidR="004C6092" w:rsidRPr="00297880" w14:paraId="246C6911" w14:textId="77777777" w:rsidTr="00E54E39">
              <w:trPr>
                <w:trHeight w:val="252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4F4781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Motorová vozidla (kromě motocyklů) a díly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770205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+4,0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9551B5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+2,3</w:t>
                  </w:r>
                </w:p>
              </w:tc>
            </w:tr>
            <w:tr w:rsidR="004C6092" w:rsidRPr="00297880" w14:paraId="33DCBBB6" w14:textId="77777777" w:rsidTr="00E54E39">
              <w:trPr>
                <w:trHeight w:val="252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07829F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Elektřina, plyn, pára a klimatizovaný vzduch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2AF89C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+2,2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905369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+68,2</w:t>
                  </w:r>
                </w:p>
              </w:tc>
            </w:tr>
            <w:tr w:rsidR="004C6092" w:rsidRPr="00297880" w14:paraId="1465AF2A" w14:textId="77777777" w:rsidTr="00E54E39">
              <w:trPr>
                <w:trHeight w:val="252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1A036B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Ostatní výrobky zpracovatelského průmyslu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01F298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+2,2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C47914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+9,9</w:t>
                  </w:r>
                </w:p>
              </w:tc>
            </w:tr>
            <w:tr w:rsidR="004C6092" w:rsidRPr="00297880" w14:paraId="64C2FC58" w14:textId="77777777" w:rsidTr="00E54E39">
              <w:trPr>
                <w:trHeight w:val="252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FD88E5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Produkty zemědělství a myslivosti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797A3A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+1,9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52F663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+11,3</w:t>
                  </w:r>
                </w:p>
              </w:tc>
            </w:tr>
            <w:tr w:rsidR="004C6092" w:rsidRPr="00297880" w14:paraId="467C70E7" w14:textId="77777777" w:rsidTr="00E54E39">
              <w:trPr>
                <w:trHeight w:val="252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57A7A4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Tabákové výrobky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C71917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+0,8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1A7161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+15,9</w:t>
                  </w:r>
                </w:p>
              </w:tc>
            </w:tr>
            <w:tr w:rsidR="004C6092" w:rsidRPr="00297880" w14:paraId="726D1C15" w14:textId="77777777" w:rsidTr="00E54E39">
              <w:trPr>
                <w:trHeight w:val="252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041F84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Základní kovy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39DD60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+0,7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EE7E38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+0,8</w:t>
                  </w:r>
                </w:p>
              </w:tc>
            </w:tr>
            <w:tr w:rsidR="004C6092" w:rsidRPr="00297880" w14:paraId="1E166AAC" w14:textId="77777777" w:rsidTr="00E54E39">
              <w:trPr>
                <w:trHeight w:val="252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DB477D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Černé a hnědé uhlí a lignit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527BFA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0,6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6AD913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18,5</w:t>
                  </w:r>
                </w:p>
              </w:tc>
            </w:tr>
            <w:tr w:rsidR="004C6092" w:rsidRPr="00297880" w14:paraId="7B8A15CB" w14:textId="77777777" w:rsidTr="00E54E39">
              <w:trPr>
                <w:trHeight w:val="252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0707E0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Textilie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C5F4FA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0,6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53FFD3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4,5</w:t>
                  </w:r>
                </w:p>
              </w:tc>
            </w:tr>
            <w:tr w:rsidR="004C6092" w:rsidRPr="00297880" w14:paraId="70B4362C" w14:textId="77777777" w:rsidTr="00E54E39">
              <w:trPr>
                <w:trHeight w:val="252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730C45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Ostatní dopravní prostředky a zařízení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AAB944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0,7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922578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3,9</w:t>
                  </w:r>
                </w:p>
              </w:tc>
            </w:tr>
            <w:tr w:rsidR="004C6092" w:rsidRPr="00297880" w14:paraId="69285323" w14:textId="77777777" w:rsidTr="00E54E39">
              <w:trPr>
                <w:trHeight w:val="252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8F1E0F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Chemické látky a přípravky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810AD4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2,0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8937A3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2,2</w:t>
                  </w:r>
                </w:p>
              </w:tc>
            </w:tr>
            <w:tr w:rsidR="004C6092" w:rsidRPr="00297880" w14:paraId="2CC5AE43" w14:textId="77777777" w:rsidTr="00E54E39">
              <w:trPr>
                <w:trHeight w:val="252"/>
              </w:trPr>
              <w:tc>
                <w:tcPr>
                  <w:tcW w:w="3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0A4745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Koks a rafinované ropné produkty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5D0EEF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6,1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12E41A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21,5</w:t>
                  </w:r>
                </w:p>
              </w:tc>
            </w:tr>
          </w:tbl>
          <w:p w14:paraId="36BAFAA3" w14:textId="77777777" w:rsidR="004C6092" w:rsidRPr="005A40B7" w:rsidRDefault="004C6092" w:rsidP="00E54E39">
            <w:pPr>
              <w:spacing w:after="0"/>
              <w:rPr>
                <w:spacing w:val="-4"/>
                <w:sz w:val="16"/>
                <w:szCs w:val="16"/>
                <w:lang w:eastAsia="en-US"/>
              </w:rPr>
            </w:pPr>
          </w:p>
        </w:tc>
        <w:tc>
          <w:tcPr>
            <w:tcW w:w="57" w:type="dxa"/>
          </w:tcPr>
          <w:p w14:paraId="3E2DFED4" w14:textId="77777777" w:rsidR="004C6092" w:rsidRPr="005A40B7" w:rsidRDefault="004C6092" w:rsidP="00E54E39">
            <w:pPr>
              <w:spacing w:after="0"/>
              <w:rPr>
                <w:spacing w:val="-4"/>
                <w:sz w:val="16"/>
                <w:szCs w:val="16"/>
                <w:lang w:eastAsia="en-US"/>
              </w:rPr>
            </w:pPr>
          </w:p>
        </w:tc>
        <w:tc>
          <w:tcPr>
            <w:tcW w:w="4809" w:type="dxa"/>
            <w:hideMark/>
          </w:tcPr>
          <w:tbl>
            <w:tblPr>
              <w:tblW w:w="476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362"/>
              <w:gridCol w:w="700"/>
              <w:gridCol w:w="700"/>
            </w:tblGrid>
            <w:tr w:rsidR="004C6092" w:rsidRPr="00297880" w14:paraId="58E4F1FA" w14:textId="77777777" w:rsidTr="00E54E39">
              <w:trPr>
                <w:trHeight w:val="252"/>
              </w:trPr>
              <w:tc>
                <w:tcPr>
                  <w:tcW w:w="33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95ED07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B2C922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mld. Kč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DB01E7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%</w:t>
                  </w:r>
                </w:p>
              </w:tc>
            </w:tr>
            <w:tr w:rsidR="004C6092" w:rsidRPr="00297880" w14:paraId="070828FE" w14:textId="77777777" w:rsidTr="00E54E39">
              <w:trPr>
                <w:trHeight w:val="252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23F5B6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Čína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96248E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+8,5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052278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+6,7</w:t>
                  </w:r>
                </w:p>
              </w:tc>
            </w:tr>
            <w:tr w:rsidR="004C6092" w:rsidRPr="00297880" w14:paraId="7C705795" w14:textId="77777777" w:rsidTr="00E54E39">
              <w:trPr>
                <w:trHeight w:val="252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19521E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Norsko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702B6D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+8,4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3EEF55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+51,2</w:t>
                  </w:r>
                </w:p>
              </w:tc>
            </w:tr>
            <w:tr w:rsidR="004C6092" w:rsidRPr="00297880" w14:paraId="019AEE7F" w14:textId="77777777" w:rsidTr="00E54E39">
              <w:trPr>
                <w:trHeight w:val="252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DCE8CF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Turecko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DC4CCD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+2,9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7B3B33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+21,4</w:t>
                  </w:r>
                </w:p>
              </w:tc>
            </w:tr>
            <w:tr w:rsidR="004C6092" w:rsidRPr="00297880" w14:paraId="5536C529" w14:textId="77777777" w:rsidTr="00E54E39">
              <w:trPr>
                <w:trHeight w:val="252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BC1EE2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Singapur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F9860A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+2,8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980CFB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+217,5</w:t>
                  </w:r>
                </w:p>
              </w:tc>
            </w:tr>
            <w:tr w:rsidR="004C6092" w:rsidRPr="00297880" w14:paraId="6A825D54" w14:textId="77777777" w:rsidTr="00E54E39">
              <w:trPr>
                <w:trHeight w:val="252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3696C7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Polsko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4324D1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+2,5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E81535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+2,3</w:t>
                  </w:r>
                </w:p>
              </w:tc>
            </w:tr>
            <w:tr w:rsidR="004C6092" w:rsidRPr="00297880" w14:paraId="43867A9A" w14:textId="77777777" w:rsidTr="00E54E39">
              <w:trPr>
                <w:trHeight w:val="252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435FDF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Kanada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C1A743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+2,4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3A601F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+122,9</w:t>
                  </w:r>
                </w:p>
              </w:tc>
            </w:tr>
            <w:tr w:rsidR="004C6092" w:rsidRPr="00297880" w14:paraId="29F0A7CD" w14:textId="77777777" w:rsidTr="00E54E39">
              <w:trPr>
                <w:trHeight w:val="252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1A41BC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Německo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589055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+1,8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5C7D9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+0,7</w:t>
                  </w:r>
                </w:p>
              </w:tc>
            </w:tr>
            <w:tr w:rsidR="004C6092" w:rsidRPr="00297880" w14:paraId="37DDFFE5" w14:textId="77777777" w:rsidTr="00E54E39">
              <w:trPr>
                <w:trHeight w:val="252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622065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Francie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8169A8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+1,6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BF16E4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+4,8</w:t>
                  </w:r>
                </w:p>
              </w:tc>
            </w:tr>
            <w:tr w:rsidR="004C6092" w:rsidRPr="00297880" w14:paraId="4D4828BA" w14:textId="77777777" w:rsidTr="00E54E39">
              <w:trPr>
                <w:trHeight w:val="252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AED094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Kazachstán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84962D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+1,6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824971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+47,3</w:t>
                  </w:r>
                </w:p>
              </w:tc>
            </w:tr>
            <w:tr w:rsidR="004C6092" w:rsidRPr="00297880" w14:paraId="06915AD2" w14:textId="77777777" w:rsidTr="00E54E39">
              <w:trPr>
                <w:trHeight w:val="252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4F35A5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Malajsie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C9DF1F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+1,6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817C7B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+28,6</w:t>
                  </w:r>
                </w:p>
              </w:tc>
            </w:tr>
            <w:tr w:rsidR="004C6092" w:rsidRPr="00297880" w14:paraId="0682E519" w14:textId="77777777" w:rsidTr="00E54E39">
              <w:trPr>
                <w:trHeight w:val="252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55DF7E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Švýcarsko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6B96E7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+1,4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88E341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+11,4</w:t>
                  </w:r>
                </w:p>
              </w:tc>
            </w:tr>
            <w:tr w:rsidR="004C6092" w:rsidRPr="00297880" w14:paraId="49D363B7" w14:textId="77777777" w:rsidTr="00E54E39">
              <w:trPr>
                <w:trHeight w:val="252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9B9133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Rakousko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1E364E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+1,3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1633F1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+4,4</w:t>
                  </w:r>
                </w:p>
              </w:tc>
            </w:tr>
            <w:tr w:rsidR="004C6092" w:rsidRPr="00297880" w14:paraId="24AD3AFA" w14:textId="77777777" w:rsidTr="00E54E39">
              <w:trPr>
                <w:trHeight w:val="252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A5420A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Tchaj-wan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E35C50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5,3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594B5E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35,4</w:t>
                  </w:r>
                </w:p>
              </w:tc>
            </w:tr>
            <w:tr w:rsidR="004C6092" w:rsidRPr="00297880" w14:paraId="7A461149" w14:textId="77777777" w:rsidTr="00E54E39">
              <w:trPr>
                <w:trHeight w:val="252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BC5CE4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Spojené státy</w:t>
                  </w: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 xml:space="preserve"> americké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446906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5,3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7DEEFD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15,0</w:t>
                  </w:r>
                </w:p>
              </w:tc>
            </w:tr>
            <w:tr w:rsidR="004C6092" w:rsidRPr="00297880" w14:paraId="27FDFC3A" w14:textId="77777777" w:rsidTr="00E54E39">
              <w:trPr>
                <w:trHeight w:val="252"/>
              </w:trPr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121242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Rusko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535334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8,2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ABDB04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60,8</w:t>
                  </w:r>
                </w:p>
              </w:tc>
            </w:tr>
          </w:tbl>
          <w:p w14:paraId="55C1F364" w14:textId="77777777" w:rsidR="004C6092" w:rsidRPr="005A40B7" w:rsidRDefault="004C6092" w:rsidP="00E54E39">
            <w:pPr>
              <w:spacing w:after="0"/>
              <w:rPr>
                <w:spacing w:val="-4"/>
                <w:sz w:val="16"/>
                <w:szCs w:val="16"/>
                <w:lang w:eastAsia="en-US"/>
              </w:rPr>
            </w:pPr>
          </w:p>
        </w:tc>
      </w:tr>
      <w:tr w:rsidR="004C6092" w14:paraId="78EA24CC" w14:textId="77777777" w:rsidTr="00E54E39">
        <w:trPr>
          <w:trHeight w:val="170"/>
        </w:trPr>
        <w:tc>
          <w:tcPr>
            <w:tcW w:w="4811" w:type="dxa"/>
            <w:gridSpan w:val="3"/>
            <w:hideMark/>
          </w:tcPr>
          <w:p w14:paraId="6C997EA3" w14:textId="77777777" w:rsidR="004C6092" w:rsidRDefault="004C6092" w:rsidP="00E54E39">
            <w:pPr>
              <w:jc w:val="left"/>
              <w:rPr>
                <w:spacing w:val="-4"/>
                <w:sz w:val="16"/>
                <w:szCs w:val="16"/>
                <w:lang w:eastAsia="en-US"/>
              </w:rPr>
            </w:pPr>
            <w:r>
              <w:rPr>
                <w:spacing w:val="-4"/>
                <w:sz w:val="16"/>
                <w:szCs w:val="16"/>
                <w:lang w:eastAsia="en-US"/>
              </w:rPr>
              <w:t>Zdroj: ČSÚ</w:t>
            </w:r>
          </w:p>
        </w:tc>
        <w:tc>
          <w:tcPr>
            <w:tcW w:w="57" w:type="dxa"/>
          </w:tcPr>
          <w:p w14:paraId="579C360A" w14:textId="77777777" w:rsidR="004C6092" w:rsidRDefault="004C6092" w:rsidP="00E54E39">
            <w:pPr>
              <w:spacing w:after="0"/>
              <w:rPr>
                <w:spacing w:val="-4"/>
                <w:lang w:eastAsia="en-US"/>
              </w:rPr>
            </w:pPr>
          </w:p>
        </w:tc>
        <w:tc>
          <w:tcPr>
            <w:tcW w:w="4809" w:type="dxa"/>
            <w:hideMark/>
          </w:tcPr>
          <w:p w14:paraId="1ED1FD2B" w14:textId="77777777" w:rsidR="004C6092" w:rsidRDefault="004C6092" w:rsidP="00E54E39">
            <w:pPr>
              <w:spacing w:after="0"/>
              <w:ind w:right="21"/>
              <w:jc w:val="left"/>
              <w:rPr>
                <w:spacing w:val="-4"/>
                <w:lang w:eastAsia="en-US"/>
              </w:rPr>
            </w:pPr>
            <w:r>
              <w:rPr>
                <w:spacing w:val="-4"/>
                <w:sz w:val="16"/>
                <w:szCs w:val="16"/>
                <w:lang w:eastAsia="en-US"/>
              </w:rPr>
              <w:t>Zdroj: ČSÚ</w:t>
            </w:r>
          </w:p>
        </w:tc>
      </w:tr>
      <w:tr w:rsidR="004C6092" w14:paraId="715B32CD" w14:textId="77777777" w:rsidTr="00E54E39">
        <w:trPr>
          <w:trHeight w:val="145"/>
        </w:trPr>
        <w:tc>
          <w:tcPr>
            <w:tcW w:w="1748" w:type="dxa"/>
          </w:tcPr>
          <w:p w14:paraId="49929F91" w14:textId="77777777" w:rsidR="004C6092" w:rsidRDefault="004C6092" w:rsidP="00E54E39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Elektrická zařízení nejvíce podpořila růst dovozu.</w:t>
            </w:r>
          </w:p>
        </w:tc>
        <w:tc>
          <w:tcPr>
            <w:tcW w:w="252" w:type="dxa"/>
          </w:tcPr>
          <w:p w14:paraId="19006874" w14:textId="77777777" w:rsidR="004C6092" w:rsidRDefault="004C6092" w:rsidP="00E54E39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77" w:type="dxa"/>
            <w:gridSpan w:val="3"/>
          </w:tcPr>
          <w:p w14:paraId="3FB3D766" w14:textId="77777777" w:rsidR="004C6092" w:rsidRDefault="004C6092" w:rsidP="00E54E39">
            <w:pPr>
              <w:spacing w:after="180"/>
              <w:rPr>
                <w:spacing w:val="-4"/>
                <w:szCs w:val="20"/>
                <w:lang w:eastAsia="en-US"/>
              </w:rPr>
            </w:pPr>
            <w:r>
              <w:rPr>
                <w:spacing w:val="-4"/>
                <w:lang w:eastAsia="en-US"/>
              </w:rPr>
              <w:t>Meziroční růst dovozu v 1. pololetí nejvíce ovlivnily oddíly elektrická zařízení</w:t>
            </w:r>
            <w:r>
              <w:rPr>
                <w:rStyle w:val="Znakapoznpodarou"/>
                <w:spacing w:val="-4"/>
                <w:lang w:eastAsia="en-US"/>
              </w:rPr>
              <w:footnoteReference w:id="6"/>
            </w:r>
            <w:r>
              <w:rPr>
                <w:spacing w:val="-4"/>
                <w:lang w:eastAsia="en-US"/>
              </w:rPr>
              <w:t xml:space="preserve"> (+33,4 mld. korun, 16,2 %), kovodělné výrobky (+24,7 mld., 25,1 %) a potravinářské výrobky (+11,0 mld., 9,3 %). Klesl naopak import koksu a rafinovaných ropných výrobků (−6,4 mld. korun, −12,2 %). Elektrická zařízení nejvíce přispívala k růstu dovozu také v samotném 2. čtvrtletí (viz Tabulka č. 3), ačkoli přírůstek ve srovnání s předchozím kvartálem oslabil. </w:t>
            </w:r>
            <w:r>
              <w:rPr>
                <w:spacing w:val="-4"/>
                <w:lang w:eastAsia="en-US"/>
              </w:rPr>
              <w:lastRenderedPageBreak/>
              <w:t xml:space="preserve">Naopak po devíti čtvrtletích poklesů se meziročně výrazně zvýšila hodnota dovozu ropy a zemního plynu. Silný nárůst si udržel také import kovodělných a potravinářských výrobků. Nejvíce ve 2. čtvrtletí meziročně klesl dovoz koksu a rafinovaných ropných produktů </w:t>
            </w:r>
            <w:r>
              <w:rPr>
                <w:spacing w:val="-4"/>
                <w:lang w:eastAsia="en-US"/>
              </w:rPr>
              <w:br/>
              <w:t xml:space="preserve">a chemických látek a přípravků.   </w:t>
            </w:r>
          </w:p>
        </w:tc>
      </w:tr>
      <w:tr w:rsidR="004C6092" w14:paraId="10694AD4" w14:textId="77777777" w:rsidTr="00E54E39">
        <w:trPr>
          <w:trHeight w:val="145"/>
        </w:trPr>
        <w:tc>
          <w:tcPr>
            <w:tcW w:w="1748" w:type="dxa"/>
            <w:hideMark/>
          </w:tcPr>
          <w:p w14:paraId="52B8DF01" w14:textId="77777777" w:rsidR="004C6092" w:rsidRDefault="004C6092" w:rsidP="00E54E39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Přebytek bilance zahraničního obchodu se zbožím se meziročně snížil.</w:t>
            </w:r>
          </w:p>
        </w:tc>
        <w:tc>
          <w:tcPr>
            <w:tcW w:w="252" w:type="dxa"/>
          </w:tcPr>
          <w:p w14:paraId="194FFF02" w14:textId="77777777" w:rsidR="004C6092" w:rsidRDefault="004C6092" w:rsidP="00E54E39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77" w:type="dxa"/>
            <w:gridSpan w:val="3"/>
            <w:hideMark/>
          </w:tcPr>
          <w:p w14:paraId="2CF6BACE" w14:textId="157E8FB0" w:rsidR="004C6092" w:rsidRPr="002971BF" w:rsidRDefault="004C6092" w:rsidP="00B04E70">
            <w:pPr>
              <w:spacing w:after="180"/>
              <w:rPr>
                <w:spacing w:val="-4"/>
                <w:szCs w:val="20"/>
                <w:lang w:eastAsia="en-US"/>
              </w:rPr>
            </w:pPr>
            <w:r>
              <w:rPr>
                <w:spacing w:val="-4"/>
                <w:szCs w:val="20"/>
                <w:lang w:eastAsia="en-US"/>
              </w:rPr>
              <w:t xml:space="preserve">Bilance zahraničního obchodu se zbožím za celé 1. pololetí dosáhla přebytku </w:t>
            </w:r>
            <w:r>
              <w:rPr>
                <w:spacing w:val="-4"/>
                <w:szCs w:val="20"/>
                <w:lang w:eastAsia="en-US"/>
              </w:rPr>
              <w:br/>
              <w:t>138,3 mld. korun. Vzhledem k výraznému převisu tempa růstu dovozu nad vývozem ale došlo k meziročnímu zhoršení kladného salda o 14,9 mld. korun. Z většiny za tímto zhoršením stálo 2. čtvrtletí roku, kdy bilance dosáhla přebytku 60,2 mld. korun, který se snížil meziročně o 10,7 mld. Podle sezónně očištěných údajů se ve 2. čtvrtletí zlepšila mezičtvrtletně bilance zahraničního obchodu se zbožím. V 1. pololetí k meziročnímu zhoršení bilance zahraničního obchodu se zbožím přispíval obchod se zeměmi mimo EU (−9,7 mld. korun), bilance obchodu s EU se naopak zlepšila o 4,6 mld.</w:t>
            </w:r>
            <w:r>
              <w:rPr>
                <w:rStyle w:val="Znakapoznpodarou"/>
                <w:spacing w:val="-4"/>
                <w:szCs w:val="20"/>
                <w:lang w:eastAsia="en-US"/>
              </w:rPr>
              <w:footnoteReference w:id="7"/>
            </w:r>
            <w:r>
              <w:rPr>
                <w:spacing w:val="-4"/>
                <w:szCs w:val="20"/>
                <w:lang w:eastAsia="en-US"/>
              </w:rPr>
              <w:t xml:space="preserve"> Nejvíce ve směru zhoršení bilance v 1. pololetí působil obchod s Čínou (−32,0 mld. korun) a Norskem </w:t>
            </w:r>
            <w:r>
              <w:rPr>
                <w:spacing w:val="-4"/>
                <w:szCs w:val="20"/>
                <w:lang w:eastAsia="en-US"/>
              </w:rPr>
              <w:br/>
              <w:t xml:space="preserve">(−12,5 mld.). Bilance se naopak zlepšovala v případě obchodu s Německem </w:t>
            </w:r>
            <w:r>
              <w:rPr>
                <w:spacing w:val="-4"/>
                <w:szCs w:val="20"/>
                <w:lang w:eastAsia="en-US"/>
              </w:rPr>
              <w:br/>
              <w:t>(+17,3 mld. korun, z většiny bylo zlepšení dosaženo v 1. kvartálu), Ruskem (+16,0 mld.) nebo Spojenými státy americkými (+11,5 mld.). V samotném 2. čtvrtletí se bilance obchodu se zeměmi EU meziročně zlepšila o 2,4 mld. korun a mimo EU došlo ke zhoršení o</w:t>
            </w:r>
            <w:r w:rsidR="00B04E70">
              <w:rPr>
                <w:spacing w:val="-4"/>
                <w:szCs w:val="20"/>
                <w:lang w:eastAsia="en-US"/>
              </w:rPr>
              <w:t> </w:t>
            </w:r>
            <w:r>
              <w:rPr>
                <w:spacing w:val="-4"/>
                <w:szCs w:val="20"/>
                <w:lang w:eastAsia="en-US"/>
              </w:rPr>
              <w:t>4,5</w:t>
            </w:r>
            <w:r w:rsidR="00B04E70">
              <w:rPr>
                <w:spacing w:val="-4"/>
                <w:szCs w:val="20"/>
                <w:lang w:eastAsia="en-US"/>
              </w:rPr>
              <w:t> </w:t>
            </w:r>
            <w:r>
              <w:rPr>
                <w:spacing w:val="-4"/>
                <w:szCs w:val="20"/>
                <w:lang w:eastAsia="en-US"/>
              </w:rPr>
              <w:t>mld.</w:t>
            </w:r>
            <w:r>
              <w:rPr>
                <w:rStyle w:val="Znakapoznpodarou"/>
                <w:spacing w:val="-4"/>
                <w:szCs w:val="20"/>
                <w:lang w:eastAsia="en-US"/>
              </w:rPr>
              <w:footnoteReference w:id="8"/>
            </w:r>
            <w:r>
              <w:rPr>
                <w:spacing w:val="-4"/>
                <w:szCs w:val="20"/>
                <w:lang w:eastAsia="en-US"/>
              </w:rPr>
              <w:t xml:space="preserve"> Meziročně se zhoršoval zejména výsledek obchodu s Čínou (viz Tabulka č. 6), Norskem</w:t>
            </w:r>
            <w:r w:rsidR="00B04E70">
              <w:rPr>
                <w:spacing w:val="-4"/>
                <w:szCs w:val="20"/>
                <w:lang w:eastAsia="en-US"/>
              </w:rPr>
              <w:t xml:space="preserve"> </w:t>
            </w:r>
            <w:r>
              <w:rPr>
                <w:spacing w:val="-4"/>
                <w:szCs w:val="20"/>
                <w:lang w:eastAsia="en-US"/>
              </w:rPr>
              <w:t>a Nizozemskem. Naopak významné zlepšení bilance bylo zaznamenáno u</w:t>
            </w:r>
            <w:r w:rsidR="00B04E70">
              <w:rPr>
                <w:spacing w:val="-4"/>
                <w:szCs w:val="20"/>
                <w:lang w:eastAsia="en-US"/>
              </w:rPr>
              <w:t> </w:t>
            </w:r>
            <w:r>
              <w:rPr>
                <w:spacing w:val="-4"/>
                <w:szCs w:val="20"/>
                <w:lang w:eastAsia="en-US"/>
              </w:rPr>
              <w:t>obchodu se Spojenými státy americkými, Ruskem a Tchaj-wanem.</w:t>
            </w:r>
          </w:p>
        </w:tc>
      </w:tr>
      <w:tr w:rsidR="004C6092" w14:paraId="210FA8FB" w14:textId="77777777" w:rsidTr="00E54E39">
        <w:trPr>
          <w:trHeight w:val="170"/>
        </w:trPr>
        <w:tc>
          <w:tcPr>
            <w:tcW w:w="4811" w:type="dxa"/>
            <w:gridSpan w:val="3"/>
            <w:hideMark/>
          </w:tcPr>
          <w:p w14:paraId="32686043" w14:textId="77777777" w:rsidR="004C6092" w:rsidRDefault="004C6092" w:rsidP="00E54E39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Tabulka č. 5 Oddíly klasifikace CPA s největším </w:t>
            </w:r>
          </w:p>
          <w:p w14:paraId="6941BB7C" w14:textId="77777777" w:rsidR="004C6092" w:rsidRDefault="004C6092" w:rsidP="00E54E39">
            <w:pPr>
              <w:spacing w:after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vlivem na vývoj bilance zahraničního obchodu se zbožím v 2. čtvrtletí 2025 </w:t>
            </w:r>
            <w:r>
              <w:rPr>
                <w:rFonts w:cs="Arial"/>
                <w:bCs/>
                <w:color w:val="000000"/>
                <w:sz w:val="18"/>
                <w:szCs w:val="18"/>
                <w:lang w:eastAsia="en-US"/>
              </w:rPr>
              <w:t>(meziročně)</w:t>
            </w:r>
          </w:p>
        </w:tc>
        <w:tc>
          <w:tcPr>
            <w:tcW w:w="57" w:type="dxa"/>
          </w:tcPr>
          <w:p w14:paraId="19C27963" w14:textId="77777777" w:rsidR="004C6092" w:rsidRDefault="004C6092" w:rsidP="00E54E39">
            <w:pPr>
              <w:spacing w:after="0"/>
              <w:rPr>
                <w:spacing w:val="-4"/>
                <w:lang w:eastAsia="en-US"/>
              </w:rPr>
            </w:pPr>
          </w:p>
        </w:tc>
        <w:tc>
          <w:tcPr>
            <w:tcW w:w="4809" w:type="dxa"/>
            <w:hideMark/>
          </w:tcPr>
          <w:p w14:paraId="54B78FAC" w14:textId="77777777" w:rsidR="004C6092" w:rsidRDefault="004C6092" w:rsidP="00E54E39">
            <w:pPr>
              <w:spacing w:after="0"/>
              <w:jc w:val="left"/>
              <w:rPr>
                <w:spacing w:val="-4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Tabulka č. 6 Země s největším vlivem na vývoj bilance zahraničního obchodu se zbožím v 2. čtvrtletí 2025 </w:t>
            </w:r>
            <w:r>
              <w:rPr>
                <w:rFonts w:cs="Arial"/>
                <w:bCs/>
                <w:color w:val="000000"/>
                <w:sz w:val="18"/>
                <w:szCs w:val="18"/>
                <w:lang w:eastAsia="en-US"/>
              </w:rPr>
              <w:t>(meziročně)</w:t>
            </w:r>
          </w:p>
        </w:tc>
      </w:tr>
      <w:tr w:rsidR="004C6092" w14:paraId="47666582" w14:textId="77777777" w:rsidTr="00E54E39">
        <w:trPr>
          <w:trHeight w:val="170"/>
        </w:trPr>
        <w:tc>
          <w:tcPr>
            <w:tcW w:w="4811" w:type="dxa"/>
            <w:gridSpan w:val="3"/>
            <w:hideMark/>
          </w:tcPr>
          <w:tbl>
            <w:tblPr>
              <w:tblW w:w="482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126"/>
              <w:gridCol w:w="700"/>
            </w:tblGrid>
            <w:tr w:rsidR="004C6092" w:rsidRPr="00297880" w14:paraId="31237EF9" w14:textId="77777777" w:rsidTr="00E54E39">
              <w:trPr>
                <w:trHeight w:val="255"/>
              </w:trPr>
              <w:tc>
                <w:tcPr>
                  <w:tcW w:w="412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D26372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3E0A71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mld. Kč</w:t>
                  </w:r>
                </w:p>
              </w:tc>
            </w:tr>
            <w:tr w:rsidR="004C6092" w:rsidRPr="00297880" w14:paraId="35306865" w14:textId="77777777" w:rsidTr="00E54E39">
              <w:trPr>
                <w:trHeight w:val="255"/>
              </w:trPr>
              <w:tc>
                <w:tcPr>
                  <w:tcW w:w="4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CADBD7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Motorová vozidla (kromě motocyklů) a díly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60A897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+15,7</w:t>
                  </w:r>
                </w:p>
              </w:tc>
            </w:tr>
            <w:tr w:rsidR="004C6092" w:rsidRPr="00297880" w14:paraId="514EE1E8" w14:textId="77777777" w:rsidTr="00E54E39">
              <w:trPr>
                <w:trHeight w:val="255"/>
              </w:trPr>
              <w:tc>
                <w:tcPr>
                  <w:tcW w:w="4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21C5BB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Koks a rafinované ropné produkty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AB6503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+8,4</w:t>
                  </w:r>
                </w:p>
              </w:tc>
            </w:tr>
            <w:tr w:rsidR="004C6092" w:rsidRPr="00297880" w14:paraId="44C6F56A" w14:textId="77777777" w:rsidTr="00E54E39">
              <w:trPr>
                <w:trHeight w:val="255"/>
              </w:trPr>
              <w:tc>
                <w:tcPr>
                  <w:tcW w:w="4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3D5580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Počítače, elektron. a opt. přístroje a zařízení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05EFA1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+5,4</w:t>
                  </w:r>
                </w:p>
              </w:tc>
            </w:tr>
            <w:tr w:rsidR="004C6092" w:rsidRPr="00297880" w14:paraId="6BBD4E80" w14:textId="77777777" w:rsidTr="00E54E39">
              <w:trPr>
                <w:trHeight w:val="255"/>
              </w:trPr>
              <w:tc>
                <w:tcPr>
                  <w:tcW w:w="4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C1BC26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Ostatní dopravní prostředky a zařízení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5BD312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+4,9</w:t>
                  </w:r>
                </w:p>
              </w:tc>
            </w:tr>
            <w:tr w:rsidR="004C6092" w:rsidRPr="00297880" w14:paraId="4FDF6DE5" w14:textId="77777777" w:rsidTr="00E54E39">
              <w:trPr>
                <w:trHeight w:val="255"/>
              </w:trPr>
              <w:tc>
                <w:tcPr>
                  <w:tcW w:w="4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797318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Základní farmaceutické výrobky a přípravky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413D74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+1,1</w:t>
                  </w:r>
                </w:p>
              </w:tc>
            </w:tr>
            <w:tr w:rsidR="004C6092" w:rsidRPr="00297880" w14:paraId="73C894A1" w14:textId="77777777" w:rsidTr="00E54E39">
              <w:trPr>
                <w:trHeight w:val="255"/>
              </w:trPr>
              <w:tc>
                <w:tcPr>
                  <w:tcW w:w="4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87D377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Stroje a zařízení j. n.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C85DEF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1,0</w:t>
                  </w:r>
                </w:p>
              </w:tc>
            </w:tr>
            <w:tr w:rsidR="004C6092" w:rsidRPr="00297880" w14:paraId="1A0570FA" w14:textId="77777777" w:rsidTr="00E54E39">
              <w:trPr>
                <w:trHeight w:val="255"/>
              </w:trPr>
              <w:tc>
                <w:tcPr>
                  <w:tcW w:w="4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FAD999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Ostatní nekovové minerální výrobky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7ABF30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1,0</w:t>
                  </w:r>
                </w:p>
              </w:tc>
            </w:tr>
            <w:tr w:rsidR="004C6092" w:rsidRPr="00297880" w14:paraId="45B02249" w14:textId="77777777" w:rsidTr="00E54E39">
              <w:trPr>
                <w:trHeight w:val="255"/>
              </w:trPr>
              <w:tc>
                <w:tcPr>
                  <w:tcW w:w="4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CBE6CF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Elektřina, plyn, pára a klimatizovaný vzduch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6271AE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1,1</w:t>
                  </w:r>
                </w:p>
              </w:tc>
            </w:tr>
            <w:tr w:rsidR="004C6092" w:rsidRPr="00297880" w14:paraId="4DC282BD" w14:textId="77777777" w:rsidTr="00E54E39">
              <w:trPr>
                <w:trHeight w:val="255"/>
              </w:trPr>
              <w:tc>
                <w:tcPr>
                  <w:tcW w:w="4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2030F3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Oděvy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02995F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1,3</w:t>
                  </w:r>
                </w:p>
              </w:tc>
            </w:tr>
            <w:tr w:rsidR="004C6092" w:rsidRPr="00297880" w14:paraId="68751675" w14:textId="77777777" w:rsidTr="00E54E39">
              <w:trPr>
                <w:trHeight w:val="255"/>
              </w:trPr>
              <w:tc>
                <w:tcPr>
                  <w:tcW w:w="4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1E7376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Potravinářské výrobky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4057CD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1,4</w:t>
                  </w:r>
                </w:p>
              </w:tc>
            </w:tr>
            <w:tr w:rsidR="004C6092" w:rsidRPr="00297880" w14:paraId="16E21052" w14:textId="77777777" w:rsidTr="00E54E39">
              <w:trPr>
                <w:trHeight w:val="255"/>
              </w:trPr>
              <w:tc>
                <w:tcPr>
                  <w:tcW w:w="4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EB6F2D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Sběr, příprava k likvidaci, likvidace a zpracování odpadu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150808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1,5</w:t>
                  </w:r>
                </w:p>
              </w:tc>
            </w:tr>
            <w:tr w:rsidR="004C6092" w:rsidRPr="00297880" w14:paraId="3AEC8606" w14:textId="77777777" w:rsidTr="00E54E39">
              <w:trPr>
                <w:trHeight w:val="255"/>
              </w:trPr>
              <w:tc>
                <w:tcPr>
                  <w:tcW w:w="4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98E577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Produkty zemědělství a myslivosti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A7F199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3,7</w:t>
                  </w:r>
                </w:p>
              </w:tc>
            </w:tr>
            <w:tr w:rsidR="004C6092" w:rsidRPr="00297880" w14:paraId="396111D5" w14:textId="77777777" w:rsidTr="00E54E39">
              <w:trPr>
                <w:trHeight w:val="255"/>
              </w:trPr>
              <w:tc>
                <w:tcPr>
                  <w:tcW w:w="4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DE6F5F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Kovodělné výrobky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634529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10,6</w:t>
                  </w:r>
                </w:p>
              </w:tc>
            </w:tr>
            <w:tr w:rsidR="004C6092" w:rsidRPr="00297880" w14:paraId="6DAA2FF2" w14:textId="77777777" w:rsidTr="00E54E39">
              <w:trPr>
                <w:trHeight w:val="255"/>
              </w:trPr>
              <w:tc>
                <w:tcPr>
                  <w:tcW w:w="4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F5ED59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Ropa a zemní plyn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9F486D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11,0</w:t>
                  </w:r>
                </w:p>
              </w:tc>
            </w:tr>
            <w:tr w:rsidR="004C6092" w:rsidRPr="00297880" w14:paraId="160A35CE" w14:textId="77777777" w:rsidTr="00E54E39">
              <w:trPr>
                <w:trHeight w:val="255"/>
              </w:trPr>
              <w:tc>
                <w:tcPr>
                  <w:tcW w:w="4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FE5984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Elektrická zařízení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BCE782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11,0</w:t>
                  </w:r>
                </w:p>
              </w:tc>
            </w:tr>
          </w:tbl>
          <w:p w14:paraId="20BECF91" w14:textId="77777777" w:rsidR="004C6092" w:rsidRDefault="004C6092" w:rsidP="00E54E39">
            <w:pPr>
              <w:spacing w:after="0"/>
              <w:rPr>
                <w:spacing w:val="-4"/>
                <w:lang w:eastAsia="en-US"/>
              </w:rPr>
            </w:pPr>
          </w:p>
        </w:tc>
        <w:tc>
          <w:tcPr>
            <w:tcW w:w="57" w:type="dxa"/>
          </w:tcPr>
          <w:p w14:paraId="532DBC33" w14:textId="77777777" w:rsidR="004C6092" w:rsidRDefault="004C6092" w:rsidP="00E54E39">
            <w:pPr>
              <w:spacing w:after="0"/>
              <w:rPr>
                <w:spacing w:val="-4"/>
                <w:lang w:eastAsia="en-US"/>
              </w:rPr>
            </w:pPr>
          </w:p>
        </w:tc>
        <w:tc>
          <w:tcPr>
            <w:tcW w:w="4809" w:type="dxa"/>
            <w:hideMark/>
          </w:tcPr>
          <w:tbl>
            <w:tblPr>
              <w:tblW w:w="4771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071"/>
              <w:gridCol w:w="700"/>
            </w:tblGrid>
            <w:tr w:rsidR="004C6092" w:rsidRPr="00297880" w14:paraId="69B9F28F" w14:textId="77777777" w:rsidTr="00E54E39">
              <w:trPr>
                <w:trHeight w:val="255"/>
              </w:trPr>
              <w:tc>
                <w:tcPr>
                  <w:tcW w:w="407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99D828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063206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mld. Kč</w:t>
                  </w:r>
                </w:p>
              </w:tc>
            </w:tr>
            <w:tr w:rsidR="004C6092" w:rsidRPr="00297880" w14:paraId="3BBD6CD0" w14:textId="77777777" w:rsidTr="00E54E39">
              <w:trPr>
                <w:trHeight w:val="255"/>
              </w:trPr>
              <w:tc>
                <w:tcPr>
                  <w:tcW w:w="4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9B44BF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Spojené státy</w:t>
                  </w: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 xml:space="preserve"> americké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A92355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+7,6</w:t>
                  </w:r>
                </w:p>
              </w:tc>
            </w:tr>
            <w:tr w:rsidR="004C6092" w:rsidRPr="00297880" w14:paraId="6CF58457" w14:textId="77777777" w:rsidTr="00E54E39">
              <w:trPr>
                <w:trHeight w:val="255"/>
              </w:trPr>
              <w:tc>
                <w:tcPr>
                  <w:tcW w:w="4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0447D8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Rusko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4512F7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+7,3</w:t>
                  </w:r>
                </w:p>
              </w:tc>
            </w:tr>
            <w:tr w:rsidR="004C6092" w:rsidRPr="00297880" w14:paraId="57B65F0E" w14:textId="77777777" w:rsidTr="00E54E39">
              <w:trPr>
                <w:trHeight w:val="255"/>
              </w:trPr>
              <w:tc>
                <w:tcPr>
                  <w:tcW w:w="4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E2EC0D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Tchaj</w:t>
                  </w: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wan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867EAC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+5,1</w:t>
                  </w:r>
                </w:p>
              </w:tc>
            </w:tr>
            <w:tr w:rsidR="004C6092" w:rsidRPr="00297880" w14:paraId="072CAF8F" w14:textId="77777777" w:rsidTr="00E54E39">
              <w:trPr>
                <w:trHeight w:val="255"/>
              </w:trPr>
              <w:tc>
                <w:tcPr>
                  <w:tcW w:w="4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697C5F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Ukrajina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D50BA7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+3,5</w:t>
                  </w:r>
                </w:p>
              </w:tc>
            </w:tr>
            <w:tr w:rsidR="004C6092" w:rsidRPr="00297880" w14:paraId="1A08A75F" w14:textId="77777777" w:rsidTr="00E54E39">
              <w:trPr>
                <w:trHeight w:val="255"/>
              </w:trPr>
              <w:tc>
                <w:tcPr>
                  <w:tcW w:w="4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57A2AA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Belgie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0849EC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+3,3</w:t>
                  </w:r>
                </w:p>
              </w:tc>
            </w:tr>
            <w:tr w:rsidR="004C6092" w:rsidRPr="00297880" w14:paraId="57781916" w14:textId="77777777" w:rsidTr="00E54E39">
              <w:trPr>
                <w:trHeight w:val="255"/>
              </w:trPr>
              <w:tc>
                <w:tcPr>
                  <w:tcW w:w="4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09A9AC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Dánsko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BF143B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+2,5</w:t>
                  </w:r>
                </w:p>
              </w:tc>
            </w:tr>
            <w:tr w:rsidR="004C6092" w:rsidRPr="00297880" w14:paraId="5C5376E3" w14:textId="77777777" w:rsidTr="00E54E39">
              <w:trPr>
                <w:trHeight w:val="255"/>
              </w:trPr>
              <w:tc>
                <w:tcPr>
                  <w:tcW w:w="4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675249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Korejská republika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CC8692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+2,2</w:t>
                  </w:r>
                </w:p>
              </w:tc>
            </w:tr>
            <w:tr w:rsidR="004C6092" w:rsidRPr="00297880" w14:paraId="33EFA5EA" w14:textId="77777777" w:rsidTr="00E54E39">
              <w:trPr>
                <w:trHeight w:val="255"/>
              </w:trPr>
              <w:tc>
                <w:tcPr>
                  <w:tcW w:w="4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04D93B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Itálie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0E5C17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+2,1</w:t>
                  </w:r>
                </w:p>
              </w:tc>
            </w:tr>
            <w:tr w:rsidR="004C6092" w:rsidRPr="00297880" w14:paraId="263C731B" w14:textId="77777777" w:rsidTr="00E54E39">
              <w:trPr>
                <w:trHeight w:val="255"/>
              </w:trPr>
              <w:tc>
                <w:tcPr>
                  <w:tcW w:w="4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BCC765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Rakousko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3A28CF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+2,0</w:t>
                  </w:r>
                </w:p>
              </w:tc>
            </w:tr>
            <w:tr w:rsidR="004C6092" w:rsidRPr="00297880" w14:paraId="3E177F97" w14:textId="77777777" w:rsidTr="00E54E39">
              <w:trPr>
                <w:trHeight w:val="255"/>
              </w:trPr>
              <w:tc>
                <w:tcPr>
                  <w:tcW w:w="4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18877B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Maďarsko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126E1F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1,9</w:t>
                  </w:r>
                </w:p>
              </w:tc>
            </w:tr>
            <w:tr w:rsidR="004C6092" w:rsidRPr="00297880" w14:paraId="6A48B17E" w14:textId="77777777" w:rsidTr="00E54E39">
              <w:trPr>
                <w:trHeight w:val="255"/>
              </w:trPr>
              <w:tc>
                <w:tcPr>
                  <w:tcW w:w="4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86A603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Kanada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9B98FC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2,0</w:t>
                  </w:r>
                </w:p>
              </w:tc>
            </w:tr>
            <w:tr w:rsidR="004C6092" w:rsidRPr="00297880" w14:paraId="291DAD6A" w14:textId="77777777" w:rsidTr="00E54E39">
              <w:trPr>
                <w:trHeight w:val="255"/>
              </w:trPr>
              <w:tc>
                <w:tcPr>
                  <w:tcW w:w="4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CE2697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Singapur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AB0CFA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3,2</w:t>
                  </w:r>
                </w:p>
              </w:tc>
            </w:tr>
            <w:tr w:rsidR="004C6092" w:rsidRPr="00297880" w14:paraId="6D5CC182" w14:textId="77777777" w:rsidTr="00E54E39">
              <w:trPr>
                <w:trHeight w:val="255"/>
              </w:trPr>
              <w:tc>
                <w:tcPr>
                  <w:tcW w:w="4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9276C6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Nizozemsko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E37DC4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4,4</w:t>
                  </w:r>
                </w:p>
              </w:tc>
            </w:tr>
            <w:tr w:rsidR="004C6092" w:rsidRPr="00297880" w14:paraId="4222DCBD" w14:textId="77777777" w:rsidTr="00E54E39">
              <w:trPr>
                <w:trHeight w:val="255"/>
              </w:trPr>
              <w:tc>
                <w:tcPr>
                  <w:tcW w:w="4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789B6E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Norsko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EF8089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8,2</w:t>
                  </w:r>
                </w:p>
              </w:tc>
            </w:tr>
            <w:tr w:rsidR="004C6092" w:rsidRPr="00297880" w14:paraId="4E512677" w14:textId="77777777" w:rsidTr="00E54E39">
              <w:trPr>
                <w:trHeight w:val="255"/>
              </w:trPr>
              <w:tc>
                <w:tcPr>
                  <w:tcW w:w="4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7B17C0" w14:textId="77777777" w:rsidR="004C6092" w:rsidRPr="00297880" w:rsidRDefault="004C6092" w:rsidP="00E54E39">
                  <w:pPr>
                    <w:spacing w:after="0" w:line="240" w:lineRule="auto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Čína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4AF977" w14:textId="77777777" w:rsidR="004C6092" w:rsidRPr="00297880" w:rsidRDefault="004C6092" w:rsidP="00E54E39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−</w:t>
                  </w:r>
                  <w:r w:rsidRPr="00297880">
                    <w:rPr>
                      <w:rFonts w:cs="Arial"/>
                      <w:color w:val="000000"/>
                      <w:sz w:val="16"/>
                      <w:szCs w:val="16"/>
                    </w:rPr>
                    <w:t>10,9</w:t>
                  </w:r>
                </w:p>
              </w:tc>
            </w:tr>
          </w:tbl>
          <w:p w14:paraId="1A3D9413" w14:textId="77777777" w:rsidR="004C6092" w:rsidRDefault="004C6092" w:rsidP="00E54E39">
            <w:pPr>
              <w:spacing w:after="0"/>
              <w:rPr>
                <w:spacing w:val="-4"/>
                <w:lang w:eastAsia="en-US"/>
              </w:rPr>
            </w:pPr>
          </w:p>
        </w:tc>
      </w:tr>
      <w:tr w:rsidR="004C6092" w14:paraId="370032F2" w14:textId="77777777" w:rsidTr="00E54E39">
        <w:trPr>
          <w:trHeight w:val="170"/>
        </w:trPr>
        <w:tc>
          <w:tcPr>
            <w:tcW w:w="4811" w:type="dxa"/>
            <w:gridSpan w:val="3"/>
            <w:hideMark/>
          </w:tcPr>
          <w:p w14:paraId="3E510671" w14:textId="77777777" w:rsidR="004C6092" w:rsidRDefault="004C6092" w:rsidP="00E54E39">
            <w:pPr>
              <w:jc w:val="left"/>
              <w:rPr>
                <w:spacing w:val="-4"/>
                <w:sz w:val="16"/>
                <w:szCs w:val="16"/>
                <w:lang w:eastAsia="en-US"/>
              </w:rPr>
            </w:pPr>
            <w:r>
              <w:rPr>
                <w:spacing w:val="-4"/>
                <w:sz w:val="16"/>
                <w:szCs w:val="16"/>
                <w:lang w:eastAsia="en-US"/>
              </w:rPr>
              <w:t>Zdroj: ČSÚ</w:t>
            </w:r>
          </w:p>
        </w:tc>
        <w:tc>
          <w:tcPr>
            <w:tcW w:w="57" w:type="dxa"/>
          </w:tcPr>
          <w:p w14:paraId="4570EB33" w14:textId="77777777" w:rsidR="004C6092" w:rsidRDefault="004C6092" w:rsidP="00E54E39">
            <w:pPr>
              <w:spacing w:after="0"/>
              <w:rPr>
                <w:spacing w:val="-4"/>
                <w:lang w:eastAsia="en-US"/>
              </w:rPr>
            </w:pPr>
          </w:p>
        </w:tc>
        <w:tc>
          <w:tcPr>
            <w:tcW w:w="4809" w:type="dxa"/>
            <w:hideMark/>
          </w:tcPr>
          <w:p w14:paraId="17FBEEAD" w14:textId="77777777" w:rsidR="004C6092" w:rsidRDefault="004C6092" w:rsidP="00E54E39">
            <w:pPr>
              <w:spacing w:after="0"/>
              <w:ind w:right="21"/>
              <w:jc w:val="left"/>
              <w:rPr>
                <w:spacing w:val="-4"/>
                <w:lang w:eastAsia="en-US"/>
              </w:rPr>
            </w:pPr>
            <w:r>
              <w:rPr>
                <w:spacing w:val="-4"/>
                <w:sz w:val="16"/>
                <w:szCs w:val="16"/>
                <w:lang w:eastAsia="en-US"/>
              </w:rPr>
              <w:t>Zdroj: ČSÚ</w:t>
            </w:r>
          </w:p>
        </w:tc>
      </w:tr>
      <w:tr w:rsidR="004C6092" w14:paraId="30434C6B" w14:textId="77777777" w:rsidTr="00E54E39">
        <w:trPr>
          <w:trHeight w:val="170"/>
        </w:trPr>
        <w:tc>
          <w:tcPr>
            <w:tcW w:w="1748" w:type="dxa"/>
          </w:tcPr>
          <w:p w14:paraId="1DAF4E6D" w14:textId="77777777" w:rsidR="004C6092" w:rsidRDefault="004C6092" w:rsidP="00E54E39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Ani mohutné zlepšení výsledku obchodu s motorovými vozidly nestačilo k celkovému růstu přebytku.</w:t>
            </w:r>
          </w:p>
        </w:tc>
        <w:tc>
          <w:tcPr>
            <w:tcW w:w="252" w:type="dxa"/>
          </w:tcPr>
          <w:p w14:paraId="69605D46" w14:textId="77777777" w:rsidR="004C6092" w:rsidRDefault="004C6092" w:rsidP="00E54E39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77" w:type="dxa"/>
            <w:gridSpan w:val="3"/>
          </w:tcPr>
          <w:p w14:paraId="30E730AE" w14:textId="77777777" w:rsidR="004C6092" w:rsidRDefault="004C6092" w:rsidP="00E54E39">
            <w:pPr>
              <w:rPr>
                <w:rFonts w:cs="Arial"/>
                <w:b/>
                <w:bCs/>
                <w:color w:val="000000"/>
                <w:szCs w:val="20"/>
                <w:lang w:eastAsia="en-US"/>
              </w:rPr>
            </w:pPr>
            <w:r>
              <w:rPr>
                <w:spacing w:val="-4"/>
                <w:szCs w:val="20"/>
                <w:lang w:eastAsia="en-US"/>
              </w:rPr>
              <w:t xml:space="preserve">K meziročnímu zhoršení bilance v 1. pololetí nejvíce přispěl obchod s kovodělnými výrobky (−24,1 mld. korun), elektrickými zařízeními (−22,9 mld.), ropou a zemím plynem (−7,2 mld.) a produkty zemědělství a myslivosti (−6,0 mld.). Naopak se zlepšila bilance obchodu s motorovými vozidly (+37,1 mld. korun), koksem a rafinovanými ropnými produkty (+9,5 mld.) a počítači, elektronickými a optickými přístroji (+7,9 mld.). V samotném 2. čtvrtletí se zhoršila bilance obchodu u většiny artiklů, nejvíce u ropy a zemního plynu (viz Tabulka č. 5) a prohloubení schodku bylo první od 4. čtvrtletí 2022. Dále se výrazně meziročně zhoršil výsledek obchodu s kovodělnými výrobky a elektrickými zařízeními. Naopak se výrazně navýšil přebytek obchodu s motorovými vozidly a solidní zlepšení vykázal také </w:t>
            </w:r>
            <w:r>
              <w:rPr>
                <w:spacing w:val="-4"/>
                <w:szCs w:val="20"/>
                <w:lang w:eastAsia="en-US"/>
              </w:rPr>
              <w:lastRenderedPageBreak/>
              <w:t>výsledek obchodu s koksem a rafinovanými ropnými výrobky, ostatními dopravními prostředky a zařízeními a počítači, elektronickými a optickými přístroji.</w:t>
            </w:r>
          </w:p>
        </w:tc>
      </w:tr>
      <w:tr w:rsidR="004C6092" w14:paraId="4268BD66" w14:textId="77777777" w:rsidTr="00E54E39">
        <w:trPr>
          <w:trHeight w:val="170"/>
        </w:trPr>
        <w:tc>
          <w:tcPr>
            <w:tcW w:w="1748" w:type="dxa"/>
          </w:tcPr>
          <w:p w14:paraId="20D76A1B" w14:textId="77777777" w:rsidR="004C6092" w:rsidRDefault="004C6092" w:rsidP="00E54E39">
            <w:pPr>
              <w:pStyle w:val="Marginlie"/>
              <w:rPr>
                <w:lang w:eastAsia="en-US"/>
              </w:rPr>
            </w:pPr>
          </w:p>
        </w:tc>
        <w:tc>
          <w:tcPr>
            <w:tcW w:w="252" w:type="dxa"/>
          </w:tcPr>
          <w:p w14:paraId="030E615C" w14:textId="77777777" w:rsidR="004C6092" w:rsidRDefault="004C6092" w:rsidP="00E54E39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77" w:type="dxa"/>
            <w:gridSpan w:val="3"/>
          </w:tcPr>
          <w:p w14:paraId="59B9A7D7" w14:textId="77777777" w:rsidR="004C6092" w:rsidRDefault="004C6092" w:rsidP="00E54E39">
            <w:pPr>
              <w:spacing w:after="0"/>
              <w:rPr>
                <w:spacing w:val="-4"/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szCs w:val="20"/>
                <w:lang w:eastAsia="en-US"/>
              </w:rPr>
              <w:t xml:space="preserve">Graf č. 9 Vývoz a dovoz zboží </w:t>
            </w:r>
            <w:r>
              <w:rPr>
                <w:rFonts w:cs="Arial"/>
                <w:bCs/>
                <w:color w:val="000000"/>
                <w:szCs w:val="20"/>
                <w:lang w:eastAsia="en-US"/>
              </w:rPr>
              <w:t>(meziročně v %)</w:t>
            </w:r>
            <w:r>
              <w:rPr>
                <w:rFonts w:cs="Arial"/>
                <w:b/>
                <w:bCs/>
                <w:color w:val="000000"/>
                <w:szCs w:val="20"/>
                <w:lang w:eastAsia="en-US"/>
              </w:rPr>
              <w:t xml:space="preserve"> a bilance zahraničního obchodu se zbožím </w:t>
            </w:r>
            <w:r>
              <w:rPr>
                <w:rFonts w:cs="Arial"/>
                <w:bCs/>
                <w:color w:val="000000"/>
                <w:szCs w:val="20"/>
                <w:lang w:eastAsia="en-US"/>
              </w:rPr>
              <w:t>(v mld. korun, pravá osa)</w:t>
            </w:r>
            <w:r>
              <w:rPr>
                <w:rFonts w:cs="Arial"/>
                <w:b/>
                <w:bCs/>
                <w:color w:val="000000"/>
                <w:szCs w:val="20"/>
                <w:lang w:eastAsia="en-US"/>
              </w:rPr>
              <w:t xml:space="preserve"> </w:t>
            </w:r>
          </w:p>
        </w:tc>
      </w:tr>
      <w:tr w:rsidR="004C6092" w14:paraId="5F6528BB" w14:textId="77777777" w:rsidTr="00E54E39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748" w:type="dxa"/>
            <w:vMerge w:val="restart"/>
          </w:tcPr>
          <w:p w14:paraId="4736B7D0" w14:textId="77777777" w:rsidR="004C6092" w:rsidRDefault="004C6092" w:rsidP="00E54E39">
            <w:pPr>
              <w:pStyle w:val="Marginlie"/>
              <w:rPr>
                <w:lang w:eastAsia="en-US"/>
              </w:rPr>
            </w:pPr>
          </w:p>
        </w:tc>
        <w:tc>
          <w:tcPr>
            <w:tcW w:w="252" w:type="dxa"/>
            <w:vMerge w:val="restart"/>
          </w:tcPr>
          <w:p w14:paraId="19368486" w14:textId="77777777" w:rsidR="004C6092" w:rsidRDefault="004C6092" w:rsidP="00E54E39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77" w:type="dxa"/>
            <w:gridSpan w:val="3"/>
          </w:tcPr>
          <w:p w14:paraId="5B86D9FA" w14:textId="77777777" w:rsidR="004C6092" w:rsidRDefault="004C6092" w:rsidP="00E54E39">
            <w:pPr>
              <w:spacing w:after="0"/>
              <w:rPr>
                <w:spacing w:val="-4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522A6D51" wp14:editId="40B0B0CA">
                  <wp:extent cx="4752000" cy="3492000"/>
                  <wp:effectExtent l="0" t="0" r="0" b="0"/>
                  <wp:docPr id="10" name="Graf 1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4C6092" w14:paraId="25718AE0" w14:textId="77777777" w:rsidTr="00E54E39">
        <w:trPr>
          <w:trHeight w:val="170"/>
        </w:trPr>
        <w:tc>
          <w:tcPr>
            <w:tcW w:w="1748" w:type="dxa"/>
            <w:vMerge/>
          </w:tcPr>
          <w:p w14:paraId="46D870C4" w14:textId="77777777" w:rsidR="004C6092" w:rsidRDefault="004C6092" w:rsidP="00E54E39">
            <w:pPr>
              <w:pStyle w:val="Marginlie"/>
              <w:rPr>
                <w:lang w:eastAsia="en-US"/>
              </w:rPr>
            </w:pPr>
          </w:p>
        </w:tc>
        <w:tc>
          <w:tcPr>
            <w:tcW w:w="252" w:type="dxa"/>
            <w:vMerge/>
          </w:tcPr>
          <w:p w14:paraId="786AD914" w14:textId="77777777" w:rsidR="004C6092" w:rsidRDefault="004C6092" w:rsidP="00E54E39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77" w:type="dxa"/>
            <w:gridSpan w:val="3"/>
          </w:tcPr>
          <w:p w14:paraId="3616D837" w14:textId="77777777" w:rsidR="004C6092" w:rsidRDefault="004C6092" w:rsidP="00E54E39">
            <w:pPr>
              <w:rPr>
                <w:spacing w:val="-4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Zdroj: ČSÚ</w:t>
            </w:r>
          </w:p>
        </w:tc>
      </w:tr>
      <w:bookmarkEnd w:id="3"/>
      <w:bookmarkEnd w:id="4"/>
      <w:bookmarkEnd w:id="5"/>
    </w:tbl>
    <w:p w14:paraId="0FE98580" w14:textId="77777777" w:rsidR="004C6092" w:rsidRDefault="004C6092" w:rsidP="004C6092">
      <w:pPr>
        <w:spacing w:after="0" w:line="240" w:lineRule="auto"/>
        <w:jc w:val="left"/>
        <w:rPr>
          <w:rFonts w:eastAsia="MS Gothic"/>
          <w:bCs/>
          <w:color w:val="71818C"/>
          <w:sz w:val="2"/>
          <w:szCs w:val="2"/>
        </w:rPr>
      </w:pPr>
    </w:p>
    <w:p w14:paraId="0CB335FA" w14:textId="77777777" w:rsidR="004C6092" w:rsidRDefault="004C6092" w:rsidP="004C6092">
      <w:pPr>
        <w:spacing w:after="0" w:line="240" w:lineRule="auto"/>
        <w:jc w:val="left"/>
        <w:rPr>
          <w:rFonts w:eastAsia="MS Gothic"/>
          <w:b/>
          <w:bCs/>
          <w:color w:val="86BF5E"/>
          <w:sz w:val="32"/>
          <w:szCs w:val="28"/>
        </w:rPr>
      </w:pPr>
    </w:p>
    <w:p w14:paraId="58CF9AA3" w14:textId="77777777" w:rsidR="003B7AFA" w:rsidRDefault="003B7AFA" w:rsidP="003B7AFA">
      <w:pPr>
        <w:spacing w:after="0" w:line="240" w:lineRule="auto"/>
        <w:jc w:val="left"/>
        <w:rPr>
          <w:rFonts w:eastAsia="MS Gothic"/>
          <w:bCs/>
          <w:color w:val="71818C"/>
          <w:sz w:val="2"/>
          <w:szCs w:val="2"/>
        </w:rPr>
      </w:pPr>
      <w:bookmarkStart w:id="6" w:name="_GoBack"/>
      <w:bookmarkEnd w:id="6"/>
    </w:p>
    <w:bookmarkEnd w:id="0"/>
    <w:sectPr w:rsidR="003B7AFA" w:rsidSect="003D69DB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134" w:right="1134" w:bottom="1418" w:left="1134" w:header="680" w:footer="680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015D4F" w14:textId="77777777" w:rsidR="004C456F" w:rsidRDefault="004C456F" w:rsidP="00E71A58">
      <w:r>
        <w:separator/>
      </w:r>
    </w:p>
  </w:endnote>
  <w:endnote w:type="continuationSeparator" w:id="0">
    <w:p w14:paraId="1872982C" w14:textId="77777777" w:rsidR="004C456F" w:rsidRDefault="004C456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362E7" w14:textId="0AD7AED6" w:rsidR="004C456F" w:rsidRPr="00932443" w:rsidRDefault="004C456F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2143298A" wp14:editId="2143298B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1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3D69DB">
      <w:rPr>
        <w:szCs w:val="16"/>
      </w:rPr>
      <w:t>24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pololetí 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9" w14:textId="322D7074" w:rsidR="004C456F" w:rsidRPr="00932443" w:rsidRDefault="004C456F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2143298C" wp14:editId="2143298D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2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>
      <w:rPr>
        <w:szCs w:val="16"/>
      </w:rPr>
      <w:t>1. pololetí 2025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3D69DB">
      <w:rPr>
        <w:rStyle w:val="ZpatChar"/>
        <w:szCs w:val="16"/>
      </w:rPr>
      <w:t>25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1A2FFA" w14:textId="77777777" w:rsidR="004C456F" w:rsidRDefault="004C456F" w:rsidP="00EA4302">
      <w:pPr>
        <w:spacing w:after="0"/>
      </w:pPr>
      <w:r>
        <w:separator/>
      </w:r>
    </w:p>
  </w:footnote>
  <w:footnote w:type="continuationSeparator" w:id="0">
    <w:p w14:paraId="41362B96" w14:textId="77777777" w:rsidR="004C456F" w:rsidRDefault="004C456F" w:rsidP="00E71A58">
      <w:r>
        <w:continuationSeparator/>
      </w:r>
    </w:p>
  </w:footnote>
  <w:footnote w:id="1">
    <w:p w14:paraId="557B1298" w14:textId="77777777" w:rsidR="004C456F" w:rsidRPr="001F1881" w:rsidRDefault="004C456F" w:rsidP="004C6092">
      <w:pPr>
        <w:pStyle w:val="Textpoznpodarou"/>
        <w:rPr>
          <w:rFonts w:cs="Arial"/>
          <w:iCs/>
          <w:sz w:val="16"/>
          <w:szCs w:val="16"/>
        </w:rPr>
      </w:pPr>
      <w:r w:rsidRPr="00B6522D">
        <w:rPr>
          <w:rStyle w:val="Znakapoznpodarou"/>
          <w:rFonts w:cs="Arial"/>
          <w:i/>
          <w:sz w:val="16"/>
          <w:szCs w:val="16"/>
        </w:rPr>
        <w:footnoteRef/>
      </w:r>
      <w:r w:rsidRPr="00B6522D">
        <w:rPr>
          <w:rFonts w:cs="Arial"/>
          <w:i/>
          <w:iCs/>
          <w:sz w:val="16"/>
          <w:szCs w:val="16"/>
        </w:rPr>
        <w:t xml:space="preserve"> </w:t>
      </w:r>
      <w:r w:rsidRPr="00B6522D">
        <w:rPr>
          <w:rStyle w:val="Zdraznn"/>
          <w:rFonts w:cs="Arial"/>
          <w:i w:val="0"/>
          <w:sz w:val="16"/>
          <w:szCs w:val="16"/>
          <w:bdr w:val="none" w:sz="0" w:space="0" w:color="auto" w:frame="1"/>
          <w:shd w:val="clear" w:color="auto" w:fill="FFFFFF"/>
        </w:rPr>
        <w:t>Údaje za zahraniční obchod se zbožím jsou od roku 2020 přepočítávány aktualizovanou metodou založenou na vyšší míře detailu, viz </w:t>
      </w:r>
      <w:hyperlink r:id="rId1" w:history="1">
        <w:r w:rsidRPr="00B6522D">
          <w:rPr>
            <w:rStyle w:val="Hypertextovodkaz"/>
            <w:rFonts w:cs="Arial"/>
            <w:i/>
            <w:sz w:val="16"/>
            <w:szCs w:val="16"/>
            <w:bdr w:val="none" w:sz="0" w:space="0" w:color="auto" w:frame="1"/>
            <w:shd w:val="clear" w:color="auto" w:fill="FFFFFF"/>
          </w:rPr>
          <w:t>https://www.czso.cz/csu/czso/aktualizace-metody-propoctu-zahranicni-obchod-se-zbozim</w:t>
        </w:r>
      </w:hyperlink>
      <w:r w:rsidRPr="00B6522D">
        <w:rPr>
          <w:rStyle w:val="Hypertextovodkaz"/>
          <w:rFonts w:cs="Arial"/>
          <w:i/>
          <w:sz w:val="16"/>
          <w:szCs w:val="16"/>
          <w:bdr w:val="none" w:sz="0" w:space="0" w:color="auto" w:frame="1"/>
          <w:shd w:val="clear" w:color="auto" w:fill="FFFFFF"/>
        </w:rPr>
        <w:t xml:space="preserve">. </w:t>
      </w:r>
      <w:r w:rsidRPr="00B6522D">
        <w:rPr>
          <w:sz w:val="16"/>
          <w:szCs w:val="16"/>
        </w:rPr>
        <w:t>Není-li uvedeno jinak, jsou všechny údaje</w:t>
      </w:r>
      <w:r w:rsidRPr="001F1881">
        <w:rPr>
          <w:sz w:val="16"/>
          <w:szCs w:val="16"/>
        </w:rPr>
        <w:t xml:space="preserve"> sezónně neočištěné a v běžných cenách.</w:t>
      </w:r>
    </w:p>
  </w:footnote>
  <w:footnote w:id="2">
    <w:p w14:paraId="6D85298F" w14:textId="77777777" w:rsidR="004C456F" w:rsidRDefault="004C456F" w:rsidP="004C6092">
      <w:pPr>
        <w:pStyle w:val="Textpoznpodarou"/>
      </w:pPr>
      <w:r w:rsidRPr="007B30CA">
        <w:rPr>
          <w:rStyle w:val="Znakapoznpodarou"/>
          <w:sz w:val="16"/>
          <w:szCs w:val="16"/>
        </w:rPr>
        <w:footnoteRef/>
      </w:r>
      <w:r w:rsidRPr="007B30CA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Efekt tohoto předzásobení byl </w:t>
      </w:r>
      <w:r w:rsidRPr="007B30CA">
        <w:rPr>
          <w:sz w:val="16"/>
          <w:szCs w:val="16"/>
        </w:rPr>
        <w:t>v letošním 1. kvartálu</w:t>
      </w:r>
      <w:r>
        <w:rPr>
          <w:sz w:val="16"/>
          <w:szCs w:val="16"/>
        </w:rPr>
        <w:t xml:space="preserve"> patrný zejména na výrazném z</w:t>
      </w:r>
      <w:r w:rsidRPr="007B30CA">
        <w:rPr>
          <w:sz w:val="16"/>
          <w:szCs w:val="16"/>
        </w:rPr>
        <w:t xml:space="preserve">rychlení </w:t>
      </w:r>
      <w:r>
        <w:rPr>
          <w:sz w:val="16"/>
          <w:szCs w:val="16"/>
        </w:rPr>
        <w:t xml:space="preserve">meziročního </w:t>
      </w:r>
      <w:r w:rsidRPr="007B30CA">
        <w:rPr>
          <w:sz w:val="16"/>
          <w:szCs w:val="16"/>
        </w:rPr>
        <w:t xml:space="preserve">přírůstku </w:t>
      </w:r>
      <w:r>
        <w:rPr>
          <w:sz w:val="16"/>
          <w:szCs w:val="16"/>
        </w:rPr>
        <w:t>exportu zboží do Německa, které je největším evropským exportérem do USA a Česko je pro něj subdodavatelem. V</w:t>
      </w:r>
      <w:r w:rsidRPr="007B30CA">
        <w:rPr>
          <w:sz w:val="16"/>
          <w:szCs w:val="16"/>
        </w:rPr>
        <w:t>ývoz</w:t>
      </w:r>
      <w:r>
        <w:rPr>
          <w:sz w:val="16"/>
          <w:szCs w:val="16"/>
        </w:rPr>
        <w:t xml:space="preserve"> z Česka</w:t>
      </w:r>
      <w:r w:rsidRPr="007B30CA">
        <w:rPr>
          <w:sz w:val="16"/>
          <w:szCs w:val="16"/>
        </w:rPr>
        <w:t xml:space="preserve"> do USA značně posiloval po celý loňský rok</w:t>
      </w:r>
      <w:r>
        <w:rPr>
          <w:sz w:val="16"/>
          <w:szCs w:val="16"/>
        </w:rPr>
        <w:t xml:space="preserve"> a letošní 1. kvartál na tento trend jen navázal. Ve 2. čtvrtletí se ale přírůstky českého vývozu do obou zemí prudce snížily. </w:t>
      </w:r>
    </w:p>
  </w:footnote>
  <w:footnote w:id="3">
    <w:p w14:paraId="289832B6" w14:textId="77777777" w:rsidR="004C456F" w:rsidRPr="007B30CA" w:rsidRDefault="004C456F" w:rsidP="004C6092">
      <w:pPr>
        <w:pStyle w:val="Textpoznpodarou"/>
        <w:rPr>
          <w:sz w:val="16"/>
          <w:szCs w:val="16"/>
        </w:rPr>
      </w:pPr>
      <w:r w:rsidRPr="000A5229">
        <w:rPr>
          <w:rStyle w:val="Znakapoznpodarou"/>
          <w:sz w:val="16"/>
          <w:szCs w:val="16"/>
        </w:rPr>
        <w:footnoteRef/>
      </w:r>
      <w:r w:rsidRPr="000A5229">
        <w:rPr>
          <w:sz w:val="16"/>
          <w:szCs w:val="16"/>
        </w:rPr>
        <w:t xml:space="preserve"> Ceny vývozu zboží</w:t>
      </w:r>
      <w:r>
        <w:rPr>
          <w:sz w:val="16"/>
          <w:szCs w:val="16"/>
        </w:rPr>
        <w:t xml:space="preserve"> za 2. čtvrtletí 2025 meziročně klesly o 0,1 % a mezičtvrtletně o 1,7 %.</w:t>
      </w:r>
      <w:r w:rsidRPr="007B30CA">
        <w:rPr>
          <w:sz w:val="16"/>
          <w:szCs w:val="16"/>
        </w:rPr>
        <w:t xml:space="preserve"> </w:t>
      </w:r>
    </w:p>
  </w:footnote>
  <w:footnote w:id="4">
    <w:p w14:paraId="71DE28FC" w14:textId="77777777" w:rsidR="004C456F" w:rsidRPr="00987EA7" w:rsidRDefault="004C456F" w:rsidP="004C6092">
      <w:pPr>
        <w:pStyle w:val="Textpoznpodarou"/>
        <w:rPr>
          <w:sz w:val="16"/>
          <w:szCs w:val="16"/>
        </w:rPr>
      </w:pPr>
      <w:r w:rsidRPr="00987EA7">
        <w:rPr>
          <w:rStyle w:val="Znakapoznpodarou"/>
          <w:sz w:val="16"/>
          <w:szCs w:val="16"/>
        </w:rPr>
        <w:footnoteRef/>
      </w:r>
      <w:r w:rsidRPr="00987EA7">
        <w:rPr>
          <w:sz w:val="16"/>
          <w:szCs w:val="16"/>
        </w:rPr>
        <w:t xml:space="preserve"> Zejména motorová vozidla, posílení je ale patrné také u exportu farmaceutických výrobků a přípravků a počítačů, elektronických </w:t>
      </w:r>
      <w:r>
        <w:rPr>
          <w:sz w:val="16"/>
          <w:szCs w:val="16"/>
        </w:rPr>
        <w:br/>
      </w:r>
      <w:r w:rsidRPr="00987EA7">
        <w:rPr>
          <w:sz w:val="16"/>
          <w:szCs w:val="16"/>
        </w:rPr>
        <w:t>a optických přístrojů.</w:t>
      </w:r>
    </w:p>
  </w:footnote>
  <w:footnote w:id="5">
    <w:p w14:paraId="72D74694" w14:textId="77777777" w:rsidR="004C456F" w:rsidRPr="000A5229" w:rsidRDefault="004C456F" w:rsidP="004C6092">
      <w:pPr>
        <w:pStyle w:val="Textpoznpodarou"/>
        <w:rPr>
          <w:sz w:val="16"/>
          <w:szCs w:val="16"/>
        </w:rPr>
      </w:pPr>
      <w:r w:rsidRPr="000A5229">
        <w:rPr>
          <w:rStyle w:val="Znakapoznpodarou"/>
          <w:sz w:val="16"/>
          <w:szCs w:val="16"/>
        </w:rPr>
        <w:footnoteRef/>
      </w:r>
      <w:r w:rsidRPr="000A5229">
        <w:rPr>
          <w:sz w:val="16"/>
          <w:szCs w:val="16"/>
        </w:rPr>
        <w:t xml:space="preserve"> Ceny dovozu </w:t>
      </w:r>
      <w:r>
        <w:rPr>
          <w:sz w:val="16"/>
          <w:szCs w:val="16"/>
        </w:rPr>
        <w:t>ve 2</w:t>
      </w:r>
      <w:r w:rsidRPr="000A5229">
        <w:rPr>
          <w:sz w:val="16"/>
          <w:szCs w:val="16"/>
        </w:rPr>
        <w:t xml:space="preserve">. čtvrtletí meziročně </w:t>
      </w:r>
      <w:r>
        <w:rPr>
          <w:sz w:val="16"/>
          <w:szCs w:val="16"/>
        </w:rPr>
        <w:t>klesly o 0,5 % a mezičtvrtletně se snížily o 2,5 %.</w:t>
      </w:r>
    </w:p>
  </w:footnote>
  <w:footnote w:id="6">
    <w:p w14:paraId="47BB7F7F" w14:textId="77777777" w:rsidR="004C456F" w:rsidRPr="00370717" w:rsidRDefault="004C456F" w:rsidP="004C6092">
      <w:pPr>
        <w:pStyle w:val="Textpoznpodarou"/>
        <w:rPr>
          <w:sz w:val="16"/>
          <w:szCs w:val="16"/>
        </w:rPr>
      </w:pPr>
      <w:r w:rsidRPr="00370717">
        <w:rPr>
          <w:rStyle w:val="Znakapoznpodarou"/>
          <w:sz w:val="16"/>
          <w:szCs w:val="16"/>
        </w:rPr>
        <w:footnoteRef/>
      </w:r>
      <w:r w:rsidRPr="00370717">
        <w:rPr>
          <w:sz w:val="16"/>
          <w:szCs w:val="16"/>
        </w:rPr>
        <w:t xml:space="preserve"> </w:t>
      </w:r>
      <w:r>
        <w:rPr>
          <w:sz w:val="16"/>
          <w:szCs w:val="16"/>
        </w:rPr>
        <w:t>Ve zvýšené míře se dovážely baterie, zejména do elektromobilů.</w:t>
      </w:r>
    </w:p>
  </w:footnote>
  <w:footnote w:id="7">
    <w:p w14:paraId="7F16FBFB" w14:textId="77777777" w:rsidR="004C456F" w:rsidRPr="00624E14" w:rsidRDefault="004C456F" w:rsidP="004C6092">
      <w:pPr>
        <w:pStyle w:val="Textpoznpodarou"/>
        <w:rPr>
          <w:sz w:val="16"/>
          <w:szCs w:val="16"/>
        </w:rPr>
      </w:pPr>
      <w:r w:rsidRPr="00624E14">
        <w:rPr>
          <w:rStyle w:val="Znakapoznpodarou"/>
          <w:sz w:val="16"/>
          <w:szCs w:val="16"/>
        </w:rPr>
        <w:footnoteRef/>
      </w:r>
      <w:r w:rsidRPr="00624E14">
        <w:rPr>
          <w:sz w:val="16"/>
          <w:szCs w:val="16"/>
        </w:rPr>
        <w:t xml:space="preserve"> V 1. pololetí se také zvýšil vliv na bilanci u kategorie „nespecifikováno“. Zde byl zachycen zejména obchod s ropou a zemním plynem, který nebylo možné teritoriálně zařadit. Bilance obchodu v rámci této kategorie se </w:t>
      </w:r>
      <w:r>
        <w:rPr>
          <w:sz w:val="16"/>
          <w:szCs w:val="16"/>
        </w:rPr>
        <w:t xml:space="preserve">v 1. pololetí </w:t>
      </w:r>
      <w:r w:rsidRPr="00624E14">
        <w:rPr>
          <w:sz w:val="16"/>
          <w:szCs w:val="16"/>
        </w:rPr>
        <w:t xml:space="preserve">meziročně zhoršila o </w:t>
      </w:r>
      <w:r>
        <w:rPr>
          <w:sz w:val="16"/>
          <w:szCs w:val="16"/>
        </w:rPr>
        <w:t>9,8</w:t>
      </w:r>
      <w:r w:rsidRPr="00624E14">
        <w:rPr>
          <w:sz w:val="16"/>
          <w:szCs w:val="16"/>
        </w:rPr>
        <w:t xml:space="preserve"> mld.</w:t>
      </w:r>
    </w:p>
  </w:footnote>
  <w:footnote w:id="8">
    <w:p w14:paraId="2FCDCC03" w14:textId="77777777" w:rsidR="004C456F" w:rsidRPr="00196047" w:rsidRDefault="004C456F" w:rsidP="004C6092">
      <w:pPr>
        <w:pStyle w:val="Textpoznpodarou"/>
        <w:rPr>
          <w:sz w:val="16"/>
          <w:szCs w:val="16"/>
        </w:rPr>
      </w:pPr>
      <w:r w:rsidRPr="00196047">
        <w:rPr>
          <w:rStyle w:val="Znakapoznpodarou"/>
          <w:sz w:val="16"/>
          <w:szCs w:val="16"/>
        </w:rPr>
        <w:footnoteRef/>
      </w:r>
      <w:r w:rsidRPr="00196047">
        <w:rPr>
          <w:sz w:val="16"/>
          <w:szCs w:val="16"/>
        </w:rPr>
        <w:t xml:space="preserve"> V případě nespecifikovaného původu zboží došlo ke zhoršení bilance o 8,6 mld. korun.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6" w14:textId="3C11EE3B" w:rsidR="004C456F" w:rsidRPr="00C27E4F" w:rsidRDefault="004C456F" w:rsidP="00C27E4F">
    <w:pPr>
      <w:pStyle w:val="Zhlav"/>
    </w:pPr>
    <w:r>
      <w:t>Vývoj ekonomiky České republiky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7" w14:textId="4F78F164" w:rsidR="004C456F" w:rsidRPr="006F5416" w:rsidRDefault="004C456F" w:rsidP="00937AE2">
    <w:pPr>
      <w:pStyle w:val="Zhlav"/>
    </w:pPr>
    <w:r>
      <w:t>Vývoj ekonomiky České republiky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5pt;height:11.5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95764B"/>
    <w:multiLevelType w:val="hybridMultilevel"/>
    <w:tmpl w:val="84788BC8"/>
    <w:lvl w:ilvl="0" w:tplc="1B96A2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E145AAD"/>
    <w:multiLevelType w:val="hybridMultilevel"/>
    <w:tmpl w:val="963044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1E462C8E"/>
    <w:multiLevelType w:val="hybridMultilevel"/>
    <w:tmpl w:val="84B464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64F20"/>
    <w:multiLevelType w:val="hybridMultilevel"/>
    <w:tmpl w:val="ADE25A6C"/>
    <w:lvl w:ilvl="0" w:tplc="04050001">
      <w:start w:val="1"/>
      <w:numFmt w:val="bullet"/>
      <w:lvlText w:val=""/>
      <w:lvlJc w:val="left"/>
      <w:pPr>
        <w:ind w:left="363" w:hanging="36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28DA62F8"/>
    <w:multiLevelType w:val="hybridMultilevel"/>
    <w:tmpl w:val="419C87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7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4558D6"/>
    <w:multiLevelType w:val="hybridMultilevel"/>
    <w:tmpl w:val="1B90B8E0"/>
    <w:lvl w:ilvl="0" w:tplc="4B66ED1E">
      <w:start w:val="1"/>
      <w:numFmt w:val="decimal"/>
      <w:lvlText w:val="%1."/>
      <w:lvlJc w:val="left"/>
      <w:pPr>
        <w:ind w:left="49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625" w:hanging="360"/>
      </w:pPr>
    </w:lvl>
    <w:lvl w:ilvl="2" w:tplc="0405001B" w:tentative="1">
      <w:start w:val="1"/>
      <w:numFmt w:val="lowerRoman"/>
      <w:lvlText w:val="%3."/>
      <w:lvlJc w:val="right"/>
      <w:pPr>
        <w:ind w:left="6345" w:hanging="180"/>
      </w:pPr>
    </w:lvl>
    <w:lvl w:ilvl="3" w:tplc="0405000F" w:tentative="1">
      <w:start w:val="1"/>
      <w:numFmt w:val="decimal"/>
      <w:lvlText w:val="%4."/>
      <w:lvlJc w:val="left"/>
      <w:pPr>
        <w:ind w:left="7065" w:hanging="360"/>
      </w:pPr>
    </w:lvl>
    <w:lvl w:ilvl="4" w:tplc="04050019" w:tentative="1">
      <w:start w:val="1"/>
      <w:numFmt w:val="lowerLetter"/>
      <w:lvlText w:val="%5."/>
      <w:lvlJc w:val="left"/>
      <w:pPr>
        <w:ind w:left="7785" w:hanging="360"/>
      </w:pPr>
    </w:lvl>
    <w:lvl w:ilvl="5" w:tplc="0405001B" w:tentative="1">
      <w:start w:val="1"/>
      <w:numFmt w:val="lowerRoman"/>
      <w:lvlText w:val="%6."/>
      <w:lvlJc w:val="right"/>
      <w:pPr>
        <w:ind w:left="8505" w:hanging="180"/>
      </w:pPr>
    </w:lvl>
    <w:lvl w:ilvl="6" w:tplc="0405000F" w:tentative="1">
      <w:start w:val="1"/>
      <w:numFmt w:val="decimal"/>
      <w:lvlText w:val="%7."/>
      <w:lvlJc w:val="left"/>
      <w:pPr>
        <w:ind w:left="9225" w:hanging="360"/>
      </w:pPr>
    </w:lvl>
    <w:lvl w:ilvl="7" w:tplc="04050019" w:tentative="1">
      <w:start w:val="1"/>
      <w:numFmt w:val="lowerLetter"/>
      <w:lvlText w:val="%8."/>
      <w:lvlJc w:val="left"/>
      <w:pPr>
        <w:ind w:left="9945" w:hanging="360"/>
      </w:pPr>
    </w:lvl>
    <w:lvl w:ilvl="8" w:tplc="0405001B" w:tentative="1">
      <w:start w:val="1"/>
      <w:numFmt w:val="lowerRoman"/>
      <w:lvlText w:val="%9."/>
      <w:lvlJc w:val="right"/>
      <w:pPr>
        <w:ind w:left="10665" w:hanging="180"/>
      </w:pPr>
    </w:lvl>
  </w:abstractNum>
  <w:abstractNum w:abstractNumId="30" w15:restartNumberingAfterBreak="0">
    <w:nsid w:val="479678F7"/>
    <w:multiLevelType w:val="hybridMultilevel"/>
    <w:tmpl w:val="A4DE71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5051A8"/>
    <w:multiLevelType w:val="hybridMultilevel"/>
    <w:tmpl w:val="DEACEA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655F88"/>
    <w:multiLevelType w:val="hybridMultilevel"/>
    <w:tmpl w:val="70283F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8567A6"/>
    <w:multiLevelType w:val="hybridMultilevel"/>
    <w:tmpl w:val="50E0FC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D405E1"/>
    <w:multiLevelType w:val="multilevel"/>
    <w:tmpl w:val="5FCA5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6EF3AA7"/>
    <w:multiLevelType w:val="multilevel"/>
    <w:tmpl w:val="9092D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9B048D2"/>
    <w:multiLevelType w:val="hybridMultilevel"/>
    <w:tmpl w:val="D2A0FC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7747AF"/>
    <w:multiLevelType w:val="hybridMultilevel"/>
    <w:tmpl w:val="76204D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651B2D"/>
    <w:multiLevelType w:val="hybridMultilevel"/>
    <w:tmpl w:val="858498FC"/>
    <w:lvl w:ilvl="0" w:tplc="B4A838D0">
      <w:start w:val="1"/>
      <w:numFmt w:val="bullet"/>
      <w:pStyle w:val="Normalodrka"/>
      <w:lvlText w:val=""/>
      <w:lvlJc w:val="left"/>
      <w:pPr>
        <w:ind w:left="363" w:hanging="36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DA7946"/>
    <w:multiLevelType w:val="multilevel"/>
    <w:tmpl w:val="6F3E3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8"/>
  </w:num>
  <w:num w:numId="13">
    <w:abstractNumId w:val="34"/>
  </w:num>
  <w:num w:numId="14">
    <w:abstractNumId w:val="15"/>
  </w:num>
  <w:num w:numId="15">
    <w:abstractNumId w:val="24"/>
  </w:num>
  <w:num w:numId="16">
    <w:abstractNumId w:val="19"/>
  </w:num>
  <w:num w:numId="17">
    <w:abstractNumId w:val="35"/>
  </w:num>
  <w:num w:numId="18">
    <w:abstractNumId w:val="25"/>
  </w:num>
  <w:num w:numId="19">
    <w:abstractNumId w:val="38"/>
  </w:num>
  <w:num w:numId="20">
    <w:abstractNumId w:val="43"/>
  </w:num>
  <w:num w:numId="21">
    <w:abstractNumId w:val="33"/>
  </w:num>
  <w:num w:numId="22">
    <w:abstractNumId w:val="23"/>
  </w:num>
  <w:num w:numId="23">
    <w:abstractNumId w:val="21"/>
  </w:num>
  <w:num w:numId="24">
    <w:abstractNumId w:val="22"/>
  </w:num>
  <w:num w:numId="25">
    <w:abstractNumId w:val="41"/>
  </w:num>
  <w:num w:numId="26">
    <w:abstractNumId w:val="42"/>
  </w:num>
  <w:num w:numId="27">
    <w:abstractNumId w:val="43"/>
  </w:num>
  <w:num w:numId="28">
    <w:abstractNumId w:val="13"/>
  </w:num>
  <w:num w:numId="29">
    <w:abstractNumId w:val="27"/>
  </w:num>
  <w:num w:numId="30">
    <w:abstractNumId w:val="26"/>
  </w:num>
  <w:num w:numId="31">
    <w:abstractNumId w:val="10"/>
  </w:num>
  <w:num w:numId="32">
    <w:abstractNumId w:val="28"/>
  </w:num>
  <w:num w:numId="33">
    <w:abstractNumId w:val="12"/>
  </w:num>
  <w:num w:numId="34">
    <w:abstractNumId w:val="45"/>
  </w:num>
  <w:num w:numId="35">
    <w:abstractNumId w:val="11"/>
  </w:num>
  <w:num w:numId="36">
    <w:abstractNumId w:val="37"/>
  </w:num>
  <w:num w:numId="37">
    <w:abstractNumId w:val="30"/>
  </w:num>
  <w:num w:numId="38">
    <w:abstractNumId w:val="29"/>
  </w:num>
  <w:num w:numId="39">
    <w:abstractNumId w:val="39"/>
  </w:num>
  <w:num w:numId="40">
    <w:abstractNumId w:val="44"/>
  </w:num>
  <w:num w:numId="41">
    <w:abstractNumId w:val="40"/>
  </w:num>
  <w:num w:numId="42">
    <w:abstractNumId w:val="32"/>
  </w:num>
  <w:num w:numId="43">
    <w:abstractNumId w:val="20"/>
  </w:num>
  <w:num w:numId="44">
    <w:abstractNumId w:val="14"/>
  </w:num>
  <w:num w:numId="45">
    <w:abstractNumId w:val="36"/>
  </w:num>
  <w:num w:numId="46">
    <w:abstractNumId w:val="16"/>
  </w:num>
  <w:num w:numId="47">
    <w:abstractNumId w:val="43"/>
  </w:num>
  <w:num w:numId="48">
    <w:abstractNumId w:val="43"/>
    <w:lvlOverride w:ilvl="0">
      <w:startOverride w:val="1"/>
    </w:lvlOverride>
  </w:num>
  <w:num w:numId="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062"/>
    <w:rsid w:val="0000209D"/>
    <w:rsid w:val="00004D5A"/>
    <w:rsid w:val="000056D5"/>
    <w:rsid w:val="00006ABD"/>
    <w:rsid w:val="0000767A"/>
    <w:rsid w:val="00010256"/>
    <w:rsid w:val="00010702"/>
    <w:rsid w:val="00011912"/>
    <w:rsid w:val="0002195D"/>
    <w:rsid w:val="000234D6"/>
    <w:rsid w:val="00023D29"/>
    <w:rsid w:val="00026389"/>
    <w:rsid w:val="00031AE0"/>
    <w:rsid w:val="000322EF"/>
    <w:rsid w:val="00033FCD"/>
    <w:rsid w:val="00040D10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12CC"/>
    <w:rsid w:val="00092201"/>
    <w:rsid w:val="00095135"/>
    <w:rsid w:val="000974D1"/>
    <w:rsid w:val="0009799E"/>
    <w:rsid w:val="000A1183"/>
    <w:rsid w:val="000A256D"/>
    <w:rsid w:val="000A3A2C"/>
    <w:rsid w:val="000A5265"/>
    <w:rsid w:val="000A57D4"/>
    <w:rsid w:val="000B7C8D"/>
    <w:rsid w:val="000C004E"/>
    <w:rsid w:val="000C3408"/>
    <w:rsid w:val="000C6AFD"/>
    <w:rsid w:val="000D1B52"/>
    <w:rsid w:val="000D5637"/>
    <w:rsid w:val="000E6FBD"/>
    <w:rsid w:val="00100F5C"/>
    <w:rsid w:val="00101CDA"/>
    <w:rsid w:val="00102C41"/>
    <w:rsid w:val="00104C4C"/>
    <w:rsid w:val="00107F50"/>
    <w:rsid w:val="00117623"/>
    <w:rsid w:val="0012096D"/>
    <w:rsid w:val="0012192F"/>
    <w:rsid w:val="001224E5"/>
    <w:rsid w:val="00124940"/>
    <w:rsid w:val="00125D69"/>
    <w:rsid w:val="001405FA"/>
    <w:rsid w:val="00142254"/>
    <w:rsid w:val="001425C3"/>
    <w:rsid w:val="001476BD"/>
    <w:rsid w:val="001612F4"/>
    <w:rsid w:val="0016256B"/>
    <w:rsid w:val="00163793"/>
    <w:rsid w:val="001706D6"/>
    <w:rsid w:val="001714F2"/>
    <w:rsid w:val="00175B9F"/>
    <w:rsid w:val="00181BBC"/>
    <w:rsid w:val="00184B08"/>
    <w:rsid w:val="00185010"/>
    <w:rsid w:val="0019143B"/>
    <w:rsid w:val="001A0487"/>
    <w:rsid w:val="001A552F"/>
    <w:rsid w:val="001A7280"/>
    <w:rsid w:val="001B2CA9"/>
    <w:rsid w:val="001B3110"/>
    <w:rsid w:val="001B4729"/>
    <w:rsid w:val="001B6310"/>
    <w:rsid w:val="001B6C09"/>
    <w:rsid w:val="001B73E6"/>
    <w:rsid w:val="001C05CD"/>
    <w:rsid w:val="001C3924"/>
    <w:rsid w:val="001D40D7"/>
    <w:rsid w:val="001D48D4"/>
    <w:rsid w:val="001D68B2"/>
    <w:rsid w:val="001E1C2E"/>
    <w:rsid w:val="001E504C"/>
    <w:rsid w:val="001E6062"/>
    <w:rsid w:val="001E6753"/>
    <w:rsid w:val="001F4597"/>
    <w:rsid w:val="00203DA4"/>
    <w:rsid w:val="002118B9"/>
    <w:rsid w:val="00213E46"/>
    <w:rsid w:val="00214CF7"/>
    <w:rsid w:val="00216286"/>
    <w:rsid w:val="00217C5B"/>
    <w:rsid w:val="0022139E"/>
    <w:rsid w:val="00222729"/>
    <w:rsid w:val="002252E0"/>
    <w:rsid w:val="002255F6"/>
    <w:rsid w:val="00227850"/>
    <w:rsid w:val="00227A53"/>
    <w:rsid w:val="00230C6E"/>
    <w:rsid w:val="00233CD7"/>
    <w:rsid w:val="00236443"/>
    <w:rsid w:val="00241B06"/>
    <w:rsid w:val="00242C10"/>
    <w:rsid w:val="002436BA"/>
    <w:rsid w:val="00244A15"/>
    <w:rsid w:val="0024661A"/>
    <w:rsid w:val="00247319"/>
    <w:rsid w:val="0024799E"/>
    <w:rsid w:val="00247EE7"/>
    <w:rsid w:val="00253C0F"/>
    <w:rsid w:val="002558C1"/>
    <w:rsid w:val="00261A17"/>
    <w:rsid w:val="00271465"/>
    <w:rsid w:val="00275385"/>
    <w:rsid w:val="0028207A"/>
    <w:rsid w:val="00285412"/>
    <w:rsid w:val="00291407"/>
    <w:rsid w:val="00291640"/>
    <w:rsid w:val="00295A5D"/>
    <w:rsid w:val="002A1407"/>
    <w:rsid w:val="002A16D4"/>
    <w:rsid w:val="002A230C"/>
    <w:rsid w:val="002A66B0"/>
    <w:rsid w:val="002B2299"/>
    <w:rsid w:val="002B4845"/>
    <w:rsid w:val="002B48B4"/>
    <w:rsid w:val="002C2FE9"/>
    <w:rsid w:val="002C43BD"/>
    <w:rsid w:val="002C5568"/>
    <w:rsid w:val="002D0E59"/>
    <w:rsid w:val="002E02A1"/>
    <w:rsid w:val="002E42AC"/>
    <w:rsid w:val="002E4E4C"/>
    <w:rsid w:val="002F3E4F"/>
    <w:rsid w:val="00302ADD"/>
    <w:rsid w:val="00304771"/>
    <w:rsid w:val="0030495D"/>
    <w:rsid w:val="003052D4"/>
    <w:rsid w:val="00306C5B"/>
    <w:rsid w:val="003103E0"/>
    <w:rsid w:val="00314F9F"/>
    <w:rsid w:val="003209D6"/>
    <w:rsid w:val="00321924"/>
    <w:rsid w:val="0032656E"/>
    <w:rsid w:val="00332190"/>
    <w:rsid w:val="00343182"/>
    <w:rsid w:val="0034335E"/>
    <w:rsid w:val="00344668"/>
    <w:rsid w:val="003462D9"/>
    <w:rsid w:val="00360C86"/>
    <w:rsid w:val="00360FBC"/>
    <w:rsid w:val="00362E90"/>
    <w:rsid w:val="00364FA0"/>
    <w:rsid w:val="003657F3"/>
    <w:rsid w:val="00366591"/>
    <w:rsid w:val="00373504"/>
    <w:rsid w:val="0038123E"/>
    <w:rsid w:val="003818DC"/>
    <w:rsid w:val="00384327"/>
    <w:rsid w:val="00385D98"/>
    <w:rsid w:val="003A2B4D"/>
    <w:rsid w:val="003A2B5E"/>
    <w:rsid w:val="003A2D12"/>
    <w:rsid w:val="003A478C"/>
    <w:rsid w:val="003A5525"/>
    <w:rsid w:val="003A6B38"/>
    <w:rsid w:val="003B461F"/>
    <w:rsid w:val="003B5A32"/>
    <w:rsid w:val="003B7AFA"/>
    <w:rsid w:val="003C3490"/>
    <w:rsid w:val="003C6550"/>
    <w:rsid w:val="003C7E62"/>
    <w:rsid w:val="003D6920"/>
    <w:rsid w:val="003D69DB"/>
    <w:rsid w:val="003E3F1E"/>
    <w:rsid w:val="003E48F2"/>
    <w:rsid w:val="003E4C91"/>
    <w:rsid w:val="003E62A5"/>
    <w:rsid w:val="003F313C"/>
    <w:rsid w:val="003F37FC"/>
    <w:rsid w:val="003F4B2C"/>
    <w:rsid w:val="003F551C"/>
    <w:rsid w:val="003F62B0"/>
    <w:rsid w:val="003F72ED"/>
    <w:rsid w:val="003F7D23"/>
    <w:rsid w:val="00400DF4"/>
    <w:rsid w:val="0040550D"/>
    <w:rsid w:val="004069FF"/>
    <w:rsid w:val="00407C13"/>
    <w:rsid w:val="0041041D"/>
    <w:rsid w:val="00410638"/>
    <w:rsid w:val="0041501E"/>
    <w:rsid w:val="004159C3"/>
    <w:rsid w:val="00416EB7"/>
    <w:rsid w:val="00432A58"/>
    <w:rsid w:val="00434617"/>
    <w:rsid w:val="00440900"/>
    <w:rsid w:val="00441BF6"/>
    <w:rsid w:val="00443556"/>
    <w:rsid w:val="004441A0"/>
    <w:rsid w:val="004455BA"/>
    <w:rsid w:val="0045078A"/>
    <w:rsid w:val="0045086D"/>
    <w:rsid w:val="00451504"/>
    <w:rsid w:val="004557A9"/>
    <w:rsid w:val="00456339"/>
    <w:rsid w:val="004607BF"/>
    <w:rsid w:val="00460FB3"/>
    <w:rsid w:val="0046627E"/>
    <w:rsid w:val="00476240"/>
    <w:rsid w:val="00476439"/>
    <w:rsid w:val="0047735C"/>
    <w:rsid w:val="004776BC"/>
    <w:rsid w:val="0048139F"/>
    <w:rsid w:val="00481E40"/>
    <w:rsid w:val="00484ECE"/>
    <w:rsid w:val="00485567"/>
    <w:rsid w:val="004915CB"/>
    <w:rsid w:val="004924DC"/>
    <w:rsid w:val="004A14E4"/>
    <w:rsid w:val="004A3212"/>
    <w:rsid w:val="004A5494"/>
    <w:rsid w:val="004A61C5"/>
    <w:rsid w:val="004A77DF"/>
    <w:rsid w:val="004B1417"/>
    <w:rsid w:val="004B55B7"/>
    <w:rsid w:val="004B5A60"/>
    <w:rsid w:val="004B6468"/>
    <w:rsid w:val="004B7125"/>
    <w:rsid w:val="004C384C"/>
    <w:rsid w:val="004C3867"/>
    <w:rsid w:val="004C456F"/>
    <w:rsid w:val="004C4CD0"/>
    <w:rsid w:val="004C5B81"/>
    <w:rsid w:val="004C6092"/>
    <w:rsid w:val="004C70DC"/>
    <w:rsid w:val="004D0211"/>
    <w:rsid w:val="004D0794"/>
    <w:rsid w:val="004D5C93"/>
    <w:rsid w:val="004E1288"/>
    <w:rsid w:val="004E7C6B"/>
    <w:rsid w:val="004F06F5"/>
    <w:rsid w:val="004F2C1B"/>
    <w:rsid w:val="004F33A0"/>
    <w:rsid w:val="005040A8"/>
    <w:rsid w:val="0050689D"/>
    <w:rsid w:val="005108C0"/>
    <w:rsid w:val="00511873"/>
    <w:rsid w:val="00512A2F"/>
    <w:rsid w:val="00513B7E"/>
    <w:rsid w:val="00515C74"/>
    <w:rsid w:val="0051713B"/>
    <w:rsid w:val="0052007E"/>
    <w:rsid w:val="0052337A"/>
    <w:rsid w:val="00525137"/>
    <w:rsid w:val="005251DD"/>
    <w:rsid w:val="00532CE7"/>
    <w:rsid w:val="00532E62"/>
    <w:rsid w:val="0053324C"/>
    <w:rsid w:val="00534A28"/>
    <w:rsid w:val="00541508"/>
    <w:rsid w:val="00543498"/>
    <w:rsid w:val="00545512"/>
    <w:rsid w:val="00553016"/>
    <w:rsid w:val="0055599F"/>
    <w:rsid w:val="00556995"/>
    <w:rsid w:val="00556D68"/>
    <w:rsid w:val="00563EB8"/>
    <w:rsid w:val="005647BF"/>
    <w:rsid w:val="00564AF1"/>
    <w:rsid w:val="0057364B"/>
    <w:rsid w:val="00574773"/>
    <w:rsid w:val="0058308D"/>
    <w:rsid w:val="00583FFD"/>
    <w:rsid w:val="00591099"/>
    <w:rsid w:val="005911BE"/>
    <w:rsid w:val="00593152"/>
    <w:rsid w:val="005A10F2"/>
    <w:rsid w:val="005A21E0"/>
    <w:rsid w:val="005A28FF"/>
    <w:rsid w:val="005A3DF8"/>
    <w:rsid w:val="005A5113"/>
    <w:rsid w:val="005A5549"/>
    <w:rsid w:val="005A7038"/>
    <w:rsid w:val="005B121D"/>
    <w:rsid w:val="005C06ED"/>
    <w:rsid w:val="005C2609"/>
    <w:rsid w:val="005C6CF0"/>
    <w:rsid w:val="005D5802"/>
    <w:rsid w:val="005D7119"/>
    <w:rsid w:val="005D7890"/>
    <w:rsid w:val="005E705E"/>
    <w:rsid w:val="005E7C78"/>
    <w:rsid w:val="005F18C5"/>
    <w:rsid w:val="005F3EB1"/>
    <w:rsid w:val="005F46D8"/>
    <w:rsid w:val="005F5469"/>
    <w:rsid w:val="00603FF5"/>
    <w:rsid w:val="00604307"/>
    <w:rsid w:val="0060487F"/>
    <w:rsid w:val="00604EAD"/>
    <w:rsid w:val="006104FB"/>
    <w:rsid w:val="00612A2F"/>
    <w:rsid w:val="006165E5"/>
    <w:rsid w:val="00616E05"/>
    <w:rsid w:val="00622275"/>
    <w:rsid w:val="00624093"/>
    <w:rsid w:val="00625F8F"/>
    <w:rsid w:val="006350D5"/>
    <w:rsid w:val="006404A7"/>
    <w:rsid w:val="006451E4"/>
    <w:rsid w:val="00645B33"/>
    <w:rsid w:val="006516CB"/>
    <w:rsid w:val="00656FC8"/>
    <w:rsid w:val="00657E87"/>
    <w:rsid w:val="00664803"/>
    <w:rsid w:val="0066504F"/>
    <w:rsid w:val="00665BA4"/>
    <w:rsid w:val="00667AF2"/>
    <w:rsid w:val="006710C9"/>
    <w:rsid w:val="006712EC"/>
    <w:rsid w:val="006741AC"/>
    <w:rsid w:val="00674D89"/>
    <w:rsid w:val="00675E37"/>
    <w:rsid w:val="0068174E"/>
    <w:rsid w:val="00681DCE"/>
    <w:rsid w:val="0068260E"/>
    <w:rsid w:val="00693FEC"/>
    <w:rsid w:val="00695BEF"/>
    <w:rsid w:val="006977F6"/>
    <w:rsid w:val="00697A13"/>
    <w:rsid w:val="006A109C"/>
    <w:rsid w:val="006A2056"/>
    <w:rsid w:val="006B0F92"/>
    <w:rsid w:val="006B173A"/>
    <w:rsid w:val="006B344A"/>
    <w:rsid w:val="006B759B"/>
    <w:rsid w:val="006B78D8"/>
    <w:rsid w:val="006C113F"/>
    <w:rsid w:val="006C123E"/>
    <w:rsid w:val="006C1752"/>
    <w:rsid w:val="006C4460"/>
    <w:rsid w:val="006C56D4"/>
    <w:rsid w:val="006C6924"/>
    <w:rsid w:val="006C7CA6"/>
    <w:rsid w:val="006D3E8A"/>
    <w:rsid w:val="006D61F6"/>
    <w:rsid w:val="006E279A"/>
    <w:rsid w:val="006E313B"/>
    <w:rsid w:val="006E4254"/>
    <w:rsid w:val="006E7227"/>
    <w:rsid w:val="006F438E"/>
    <w:rsid w:val="006F5416"/>
    <w:rsid w:val="006F7076"/>
    <w:rsid w:val="00705242"/>
    <w:rsid w:val="00706AD4"/>
    <w:rsid w:val="00707150"/>
    <w:rsid w:val="007140BE"/>
    <w:rsid w:val="007143B4"/>
    <w:rsid w:val="007211F5"/>
    <w:rsid w:val="00723946"/>
    <w:rsid w:val="007240E2"/>
    <w:rsid w:val="00725BB5"/>
    <w:rsid w:val="00730517"/>
    <w:rsid w:val="00730AE8"/>
    <w:rsid w:val="00730F1B"/>
    <w:rsid w:val="007342AC"/>
    <w:rsid w:val="00741493"/>
    <w:rsid w:val="00752180"/>
    <w:rsid w:val="00753CAB"/>
    <w:rsid w:val="00755202"/>
    <w:rsid w:val="00755D3A"/>
    <w:rsid w:val="007578D3"/>
    <w:rsid w:val="007609C6"/>
    <w:rsid w:val="00760EA4"/>
    <w:rsid w:val="0076175D"/>
    <w:rsid w:val="00763B85"/>
    <w:rsid w:val="00764744"/>
    <w:rsid w:val="0076521E"/>
    <w:rsid w:val="007661E9"/>
    <w:rsid w:val="00773220"/>
    <w:rsid w:val="00776169"/>
    <w:rsid w:val="00776527"/>
    <w:rsid w:val="00776EAB"/>
    <w:rsid w:val="00780EF1"/>
    <w:rsid w:val="00782AD8"/>
    <w:rsid w:val="00790711"/>
    <w:rsid w:val="00790764"/>
    <w:rsid w:val="0079124F"/>
    <w:rsid w:val="0079453C"/>
    <w:rsid w:val="00794677"/>
    <w:rsid w:val="00797445"/>
    <w:rsid w:val="007A3861"/>
    <w:rsid w:val="007A516D"/>
    <w:rsid w:val="007B6689"/>
    <w:rsid w:val="007C6BBD"/>
    <w:rsid w:val="007D293C"/>
    <w:rsid w:val="007D40DF"/>
    <w:rsid w:val="007E29B4"/>
    <w:rsid w:val="007E435A"/>
    <w:rsid w:val="007E7E61"/>
    <w:rsid w:val="007E7FCE"/>
    <w:rsid w:val="007F0845"/>
    <w:rsid w:val="007F708D"/>
    <w:rsid w:val="00800216"/>
    <w:rsid w:val="00801E13"/>
    <w:rsid w:val="00807C82"/>
    <w:rsid w:val="00810C82"/>
    <w:rsid w:val="00814B15"/>
    <w:rsid w:val="00816905"/>
    <w:rsid w:val="00821777"/>
    <w:rsid w:val="00821FF6"/>
    <w:rsid w:val="00822574"/>
    <w:rsid w:val="00825C4D"/>
    <w:rsid w:val="008304D1"/>
    <w:rsid w:val="0083143E"/>
    <w:rsid w:val="00831CDE"/>
    <w:rsid w:val="00834304"/>
    <w:rsid w:val="00834FAA"/>
    <w:rsid w:val="0083516C"/>
    <w:rsid w:val="00836086"/>
    <w:rsid w:val="00846121"/>
    <w:rsid w:val="008462A8"/>
    <w:rsid w:val="0084708F"/>
    <w:rsid w:val="008477C8"/>
    <w:rsid w:val="00850815"/>
    <w:rsid w:val="0085114D"/>
    <w:rsid w:val="00852217"/>
    <w:rsid w:val="00855408"/>
    <w:rsid w:val="00855712"/>
    <w:rsid w:val="00856D65"/>
    <w:rsid w:val="00861B41"/>
    <w:rsid w:val="00861BE3"/>
    <w:rsid w:val="00863434"/>
    <w:rsid w:val="00865E4C"/>
    <w:rsid w:val="008701E4"/>
    <w:rsid w:val="00871069"/>
    <w:rsid w:val="00875A32"/>
    <w:rsid w:val="00876086"/>
    <w:rsid w:val="008825B0"/>
    <w:rsid w:val="00884AD6"/>
    <w:rsid w:val="008873D4"/>
    <w:rsid w:val="0089126C"/>
    <w:rsid w:val="0089296D"/>
    <w:rsid w:val="00893E85"/>
    <w:rsid w:val="00894031"/>
    <w:rsid w:val="00895508"/>
    <w:rsid w:val="008A6CB4"/>
    <w:rsid w:val="008B5CF6"/>
    <w:rsid w:val="008B7C02"/>
    <w:rsid w:val="008B7D2B"/>
    <w:rsid w:val="008C0049"/>
    <w:rsid w:val="008C0E88"/>
    <w:rsid w:val="008C53CB"/>
    <w:rsid w:val="008D1E6A"/>
    <w:rsid w:val="008D2A16"/>
    <w:rsid w:val="008D6B35"/>
    <w:rsid w:val="008E2C57"/>
    <w:rsid w:val="008E31FF"/>
    <w:rsid w:val="008E6F06"/>
    <w:rsid w:val="008E7FC9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31A3"/>
    <w:rsid w:val="00924AC8"/>
    <w:rsid w:val="0092597A"/>
    <w:rsid w:val="00925E75"/>
    <w:rsid w:val="00930FB1"/>
    <w:rsid w:val="0093139F"/>
    <w:rsid w:val="00932443"/>
    <w:rsid w:val="00937AE2"/>
    <w:rsid w:val="0094427A"/>
    <w:rsid w:val="00945245"/>
    <w:rsid w:val="00957309"/>
    <w:rsid w:val="0095759C"/>
    <w:rsid w:val="00967E76"/>
    <w:rsid w:val="009721DB"/>
    <w:rsid w:val="0097239B"/>
    <w:rsid w:val="00974923"/>
    <w:rsid w:val="009808F7"/>
    <w:rsid w:val="00980D3D"/>
    <w:rsid w:val="00981FFA"/>
    <w:rsid w:val="009855E1"/>
    <w:rsid w:val="00987A30"/>
    <w:rsid w:val="00992CF3"/>
    <w:rsid w:val="00994868"/>
    <w:rsid w:val="0099574A"/>
    <w:rsid w:val="009968D6"/>
    <w:rsid w:val="009A1CAB"/>
    <w:rsid w:val="009A60D1"/>
    <w:rsid w:val="009B6FD3"/>
    <w:rsid w:val="009C1750"/>
    <w:rsid w:val="009C2E29"/>
    <w:rsid w:val="009C554B"/>
    <w:rsid w:val="009C719E"/>
    <w:rsid w:val="009C7A10"/>
    <w:rsid w:val="009D1120"/>
    <w:rsid w:val="009D3ACD"/>
    <w:rsid w:val="009E5273"/>
    <w:rsid w:val="009E5DDB"/>
    <w:rsid w:val="009E7F05"/>
    <w:rsid w:val="009F46B7"/>
    <w:rsid w:val="009F4CA7"/>
    <w:rsid w:val="00A04CEF"/>
    <w:rsid w:val="00A10D66"/>
    <w:rsid w:val="00A14114"/>
    <w:rsid w:val="00A1537C"/>
    <w:rsid w:val="00A16413"/>
    <w:rsid w:val="00A16E1D"/>
    <w:rsid w:val="00A17D5B"/>
    <w:rsid w:val="00A17EB2"/>
    <w:rsid w:val="00A206E5"/>
    <w:rsid w:val="00A20CC0"/>
    <w:rsid w:val="00A23447"/>
    <w:rsid w:val="00A23E43"/>
    <w:rsid w:val="00A25216"/>
    <w:rsid w:val="00A30F65"/>
    <w:rsid w:val="00A33549"/>
    <w:rsid w:val="00A33A89"/>
    <w:rsid w:val="00A40EAC"/>
    <w:rsid w:val="00A40EDD"/>
    <w:rsid w:val="00A418BC"/>
    <w:rsid w:val="00A4206C"/>
    <w:rsid w:val="00A46DE0"/>
    <w:rsid w:val="00A472EB"/>
    <w:rsid w:val="00A47FCA"/>
    <w:rsid w:val="00A50D73"/>
    <w:rsid w:val="00A52CAD"/>
    <w:rsid w:val="00A53FC7"/>
    <w:rsid w:val="00A62CE1"/>
    <w:rsid w:val="00A668A3"/>
    <w:rsid w:val="00A6741E"/>
    <w:rsid w:val="00A754EA"/>
    <w:rsid w:val="00A75E40"/>
    <w:rsid w:val="00A77D1D"/>
    <w:rsid w:val="00A84A6A"/>
    <w:rsid w:val="00A857C0"/>
    <w:rsid w:val="00A90FED"/>
    <w:rsid w:val="00AA2996"/>
    <w:rsid w:val="00AA2A70"/>
    <w:rsid w:val="00AA52BF"/>
    <w:rsid w:val="00AA559A"/>
    <w:rsid w:val="00AB2AF1"/>
    <w:rsid w:val="00AB535B"/>
    <w:rsid w:val="00AC45BD"/>
    <w:rsid w:val="00AD168E"/>
    <w:rsid w:val="00AD306C"/>
    <w:rsid w:val="00AD4F16"/>
    <w:rsid w:val="00AD68C4"/>
    <w:rsid w:val="00AE09B3"/>
    <w:rsid w:val="00AE0ED3"/>
    <w:rsid w:val="00AE1A83"/>
    <w:rsid w:val="00AE31A7"/>
    <w:rsid w:val="00AF6128"/>
    <w:rsid w:val="00B00913"/>
    <w:rsid w:val="00B01593"/>
    <w:rsid w:val="00B023F2"/>
    <w:rsid w:val="00B04705"/>
    <w:rsid w:val="00B04E70"/>
    <w:rsid w:val="00B07BBB"/>
    <w:rsid w:val="00B10A4D"/>
    <w:rsid w:val="00B14BC1"/>
    <w:rsid w:val="00B17E71"/>
    <w:rsid w:val="00B17FDE"/>
    <w:rsid w:val="00B2379C"/>
    <w:rsid w:val="00B25189"/>
    <w:rsid w:val="00B2687D"/>
    <w:rsid w:val="00B26897"/>
    <w:rsid w:val="00B32DDB"/>
    <w:rsid w:val="00B34528"/>
    <w:rsid w:val="00B34CC9"/>
    <w:rsid w:val="00B402FC"/>
    <w:rsid w:val="00B439DA"/>
    <w:rsid w:val="00B46604"/>
    <w:rsid w:val="00B530CD"/>
    <w:rsid w:val="00B55F5E"/>
    <w:rsid w:val="00B5752E"/>
    <w:rsid w:val="00B63A11"/>
    <w:rsid w:val="00B63B6A"/>
    <w:rsid w:val="00B64C24"/>
    <w:rsid w:val="00B6608F"/>
    <w:rsid w:val="00B67768"/>
    <w:rsid w:val="00B679FB"/>
    <w:rsid w:val="00B71EF7"/>
    <w:rsid w:val="00B7665A"/>
    <w:rsid w:val="00B76D1E"/>
    <w:rsid w:val="00B8028A"/>
    <w:rsid w:val="00B80EC6"/>
    <w:rsid w:val="00B84CF6"/>
    <w:rsid w:val="00B92D1D"/>
    <w:rsid w:val="00B938C5"/>
    <w:rsid w:val="00B95940"/>
    <w:rsid w:val="00BA37EA"/>
    <w:rsid w:val="00BA6C2B"/>
    <w:rsid w:val="00BB46F3"/>
    <w:rsid w:val="00BB4CB1"/>
    <w:rsid w:val="00BB4F98"/>
    <w:rsid w:val="00BB73ED"/>
    <w:rsid w:val="00BC5C12"/>
    <w:rsid w:val="00BC7154"/>
    <w:rsid w:val="00BC731E"/>
    <w:rsid w:val="00BD366B"/>
    <w:rsid w:val="00BD6D50"/>
    <w:rsid w:val="00BE18B9"/>
    <w:rsid w:val="00BE2495"/>
    <w:rsid w:val="00BF1578"/>
    <w:rsid w:val="00BF3B1D"/>
    <w:rsid w:val="00BF723F"/>
    <w:rsid w:val="00C21F94"/>
    <w:rsid w:val="00C27913"/>
    <w:rsid w:val="00C27E4F"/>
    <w:rsid w:val="00C325AE"/>
    <w:rsid w:val="00C32964"/>
    <w:rsid w:val="00C33B68"/>
    <w:rsid w:val="00C36A79"/>
    <w:rsid w:val="00C401D2"/>
    <w:rsid w:val="00C405D4"/>
    <w:rsid w:val="00C4431F"/>
    <w:rsid w:val="00C4513B"/>
    <w:rsid w:val="00C5390B"/>
    <w:rsid w:val="00C53E5D"/>
    <w:rsid w:val="00C54697"/>
    <w:rsid w:val="00C65535"/>
    <w:rsid w:val="00C66B0D"/>
    <w:rsid w:val="00C71E85"/>
    <w:rsid w:val="00C72884"/>
    <w:rsid w:val="00C73885"/>
    <w:rsid w:val="00C747B1"/>
    <w:rsid w:val="00C82191"/>
    <w:rsid w:val="00C83134"/>
    <w:rsid w:val="00C85545"/>
    <w:rsid w:val="00C90CF4"/>
    <w:rsid w:val="00C92EB6"/>
    <w:rsid w:val="00C93389"/>
    <w:rsid w:val="00CA0914"/>
    <w:rsid w:val="00CA6AB4"/>
    <w:rsid w:val="00CA7BE7"/>
    <w:rsid w:val="00CB4930"/>
    <w:rsid w:val="00CC2E7D"/>
    <w:rsid w:val="00CD10A5"/>
    <w:rsid w:val="00CD2076"/>
    <w:rsid w:val="00CD29B5"/>
    <w:rsid w:val="00CD6331"/>
    <w:rsid w:val="00CD7AFB"/>
    <w:rsid w:val="00CE670B"/>
    <w:rsid w:val="00CF39C9"/>
    <w:rsid w:val="00CF4908"/>
    <w:rsid w:val="00CF51EC"/>
    <w:rsid w:val="00CF73AE"/>
    <w:rsid w:val="00D040DD"/>
    <w:rsid w:val="00D075BE"/>
    <w:rsid w:val="00D13986"/>
    <w:rsid w:val="00D21D83"/>
    <w:rsid w:val="00D235B7"/>
    <w:rsid w:val="00D23C02"/>
    <w:rsid w:val="00D25F28"/>
    <w:rsid w:val="00D26071"/>
    <w:rsid w:val="00D27973"/>
    <w:rsid w:val="00D35E1A"/>
    <w:rsid w:val="00D42211"/>
    <w:rsid w:val="00D50F46"/>
    <w:rsid w:val="00D567C6"/>
    <w:rsid w:val="00D57677"/>
    <w:rsid w:val="00D66223"/>
    <w:rsid w:val="00D71625"/>
    <w:rsid w:val="00D751DA"/>
    <w:rsid w:val="00D8084C"/>
    <w:rsid w:val="00D915EA"/>
    <w:rsid w:val="00D96855"/>
    <w:rsid w:val="00DA48C1"/>
    <w:rsid w:val="00DA7C0C"/>
    <w:rsid w:val="00DB08A9"/>
    <w:rsid w:val="00DB2EC8"/>
    <w:rsid w:val="00DB5FC0"/>
    <w:rsid w:val="00DB6566"/>
    <w:rsid w:val="00DC1E84"/>
    <w:rsid w:val="00DC48F1"/>
    <w:rsid w:val="00DC5B3B"/>
    <w:rsid w:val="00DD129F"/>
    <w:rsid w:val="00DD4EFE"/>
    <w:rsid w:val="00DE02BD"/>
    <w:rsid w:val="00DF42FF"/>
    <w:rsid w:val="00DF5908"/>
    <w:rsid w:val="00E01C0E"/>
    <w:rsid w:val="00E03F9A"/>
    <w:rsid w:val="00E0465E"/>
    <w:rsid w:val="00E04694"/>
    <w:rsid w:val="00E063CE"/>
    <w:rsid w:val="00E12B1E"/>
    <w:rsid w:val="00E17262"/>
    <w:rsid w:val="00E253A2"/>
    <w:rsid w:val="00E3309D"/>
    <w:rsid w:val="00E43C1C"/>
    <w:rsid w:val="00E45931"/>
    <w:rsid w:val="00E47EBA"/>
    <w:rsid w:val="00E50156"/>
    <w:rsid w:val="00E51643"/>
    <w:rsid w:val="00E53470"/>
    <w:rsid w:val="00E53874"/>
    <w:rsid w:val="00E539F6"/>
    <w:rsid w:val="00E54E39"/>
    <w:rsid w:val="00E6519D"/>
    <w:rsid w:val="00E67696"/>
    <w:rsid w:val="00E71A58"/>
    <w:rsid w:val="00E72A7A"/>
    <w:rsid w:val="00E75C94"/>
    <w:rsid w:val="00E920F4"/>
    <w:rsid w:val="00E93820"/>
    <w:rsid w:val="00E94A86"/>
    <w:rsid w:val="00E96143"/>
    <w:rsid w:val="00EA0987"/>
    <w:rsid w:val="00EA0C68"/>
    <w:rsid w:val="00EA32BC"/>
    <w:rsid w:val="00EA4302"/>
    <w:rsid w:val="00EB39C7"/>
    <w:rsid w:val="00EB3D8F"/>
    <w:rsid w:val="00EB4511"/>
    <w:rsid w:val="00EC03D7"/>
    <w:rsid w:val="00ED62C6"/>
    <w:rsid w:val="00ED64C1"/>
    <w:rsid w:val="00EE0E68"/>
    <w:rsid w:val="00EE3446"/>
    <w:rsid w:val="00EE3E78"/>
    <w:rsid w:val="00EE4B1B"/>
    <w:rsid w:val="00EE7F19"/>
    <w:rsid w:val="00EF150D"/>
    <w:rsid w:val="00EF1F5A"/>
    <w:rsid w:val="00EF47BF"/>
    <w:rsid w:val="00EF6DB3"/>
    <w:rsid w:val="00F04811"/>
    <w:rsid w:val="00F0488C"/>
    <w:rsid w:val="00F10F11"/>
    <w:rsid w:val="00F15AAA"/>
    <w:rsid w:val="00F15BEF"/>
    <w:rsid w:val="00F24407"/>
    <w:rsid w:val="00F24931"/>
    <w:rsid w:val="00F24FAA"/>
    <w:rsid w:val="00F3364D"/>
    <w:rsid w:val="00F437CC"/>
    <w:rsid w:val="00F43E29"/>
    <w:rsid w:val="00F44537"/>
    <w:rsid w:val="00F44B6A"/>
    <w:rsid w:val="00F47067"/>
    <w:rsid w:val="00F50FC3"/>
    <w:rsid w:val="00F52106"/>
    <w:rsid w:val="00F525EB"/>
    <w:rsid w:val="00F63DDE"/>
    <w:rsid w:val="00F63FB7"/>
    <w:rsid w:val="00F6421B"/>
    <w:rsid w:val="00F649D2"/>
    <w:rsid w:val="00F6602B"/>
    <w:rsid w:val="00F66FD9"/>
    <w:rsid w:val="00F67C4E"/>
    <w:rsid w:val="00F73A0C"/>
    <w:rsid w:val="00F756DB"/>
    <w:rsid w:val="00F84E7D"/>
    <w:rsid w:val="00F85066"/>
    <w:rsid w:val="00F87A4D"/>
    <w:rsid w:val="00F9785E"/>
    <w:rsid w:val="00FA5D4D"/>
    <w:rsid w:val="00FA60AD"/>
    <w:rsid w:val="00FA7115"/>
    <w:rsid w:val="00FB0EE2"/>
    <w:rsid w:val="00FB4423"/>
    <w:rsid w:val="00FB542E"/>
    <w:rsid w:val="00FC0E5F"/>
    <w:rsid w:val="00FC1A95"/>
    <w:rsid w:val="00FC56DE"/>
    <w:rsid w:val="00FC684B"/>
    <w:rsid w:val="00FD3265"/>
    <w:rsid w:val="00FD5F92"/>
    <w:rsid w:val="00FD66F9"/>
    <w:rsid w:val="00FE2F78"/>
    <w:rsid w:val="00FF4082"/>
    <w:rsid w:val="00FF7090"/>
    <w:rsid w:val="00FF7B96"/>
    <w:rsid w:val="010E6CF6"/>
    <w:rsid w:val="0274CEEB"/>
    <w:rsid w:val="11D0C0D9"/>
    <w:rsid w:val="1C7F89FF"/>
    <w:rsid w:val="304DB734"/>
    <w:rsid w:val="30D0B3BE"/>
    <w:rsid w:val="52CC52E2"/>
    <w:rsid w:val="55C2456F"/>
    <w:rsid w:val="614CA75B"/>
    <w:rsid w:val="6B2670A5"/>
    <w:rsid w:val="6E1EAC99"/>
    <w:rsid w:val="7BDB84E4"/>
    <w:rsid w:val="7DB2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1432897"/>
  <w15:docId w15:val="{3A7C6927-7F52-4209-ABA9-A0ACA8657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EA0987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86BF5E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EA0987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86BF5E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EA0987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86BF5E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1041D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86BF5E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EA0987"/>
    <w:rPr>
      <w:rFonts w:ascii="Arial" w:eastAsia="MS Gothic" w:hAnsi="Arial"/>
      <w:b/>
      <w:bCs/>
      <w:color w:val="86BF5E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EA0987"/>
    <w:rPr>
      <w:rFonts w:ascii="Arial" w:eastAsia="MS Gothic" w:hAnsi="Arial"/>
      <w:b/>
      <w:bCs/>
      <w:color w:val="86BF5E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EA0987"/>
    <w:rPr>
      <w:rFonts w:ascii="Arial" w:eastAsia="MS Gothic" w:hAnsi="Arial"/>
      <w:b/>
      <w:bCs/>
      <w:color w:val="86BF5E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41041D"/>
    <w:rPr>
      <w:rFonts w:ascii="Arial" w:eastAsia="MS Gothic" w:hAnsi="Arial"/>
      <w:b/>
      <w:bCs/>
      <w:iCs/>
      <w:color w:val="86BF5E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0A57D4"/>
    <w:pPr>
      <w:spacing w:after="80" w:line="288" w:lineRule="auto"/>
    </w:pPr>
    <w:rPr>
      <w:rFonts w:ascii="Arial" w:eastAsia="Times New Roman" w:hAnsi="Arial"/>
      <w:b/>
      <w:color w:val="86BF5E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EA0987"/>
    <w:pPr>
      <w:shd w:val="clear" w:color="auto" w:fill="F0F6E9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EA0987"/>
    <w:pPr>
      <w:spacing w:before="240" w:after="240" w:line="276" w:lineRule="auto"/>
      <w:contextualSpacing/>
      <w:jc w:val="both"/>
    </w:pPr>
    <w:rPr>
      <w:rFonts w:ascii="Arial" w:hAnsi="Arial" w:cs="Arial"/>
      <w:color w:val="86BF5E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0A57D4"/>
    <w:pPr>
      <w:spacing w:after="40"/>
      <w:contextualSpacing/>
    </w:pPr>
    <w:rPr>
      <w:b/>
      <w:caps/>
      <w:sz w:val="24"/>
    </w:rPr>
  </w:style>
  <w:style w:type="paragraph" w:customStyle="1" w:styleId="TLKontakty">
    <w:name w:val="TL Kontakty"/>
    <w:qFormat/>
    <w:rsid w:val="000A57D4"/>
    <w:pPr>
      <w:spacing w:after="160" w:line="259" w:lineRule="auto"/>
      <w:contextualSpacing/>
    </w:pPr>
    <w:rPr>
      <w:rFonts w:ascii="Arial" w:eastAsia="Times New Roman" w:hAnsi="Arial"/>
      <w:b/>
      <w:color w:val="86BF5E"/>
      <w:lang w:eastAsia="cs-CZ"/>
    </w:rPr>
  </w:style>
  <w:style w:type="paragraph" w:styleId="Nzev">
    <w:name w:val="Title"/>
    <w:link w:val="NzevChar"/>
    <w:uiPriority w:val="10"/>
    <w:qFormat/>
    <w:rsid w:val="001E6062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1E6062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1E6062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E6062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EA0987"/>
    <w:pPr>
      <w:shd w:val="clear" w:color="auto" w:fill="F0F6E9"/>
      <w:spacing w:before="240" w:after="240" w:line="276" w:lineRule="auto"/>
      <w:ind w:left="709"/>
      <w:contextualSpacing/>
      <w:jc w:val="both"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EA0987"/>
    <w:pPr>
      <w:spacing w:before="240" w:after="240" w:line="276" w:lineRule="auto"/>
      <w:ind w:left="709"/>
      <w:contextualSpacing/>
      <w:jc w:val="both"/>
    </w:pPr>
    <w:rPr>
      <w:rFonts w:ascii="Arial" w:hAnsi="Arial" w:cs="Arial"/>
      <w:b/>
      <w:color w:val="86BF5E"/>
      <w:lang w:eastAsia="cs-CZ"/>
    </w:rPr>
  </w:style>
  <w:style w:type="character" w:styleId="Zdraznnintenzivn">
    <w:name w:val="Intense Emphasis"/>
    <w:basedOn w:val="Standardnpsmoodstavce"/>
    <w:uiPriority w:val="21"/>
    <w:qFormat/>
    <w:rsid w:val="001E6062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32"/>
    <w:qFormat/>
    <w:rsid w:val="001E6062"/>
    <w:rPr>
      <w:b/>
      <w:bCs/>
      <w:smallCaps/>
      <w:color w:val="000000" w:themeColor="text1"/>
      <w:spacing w:val="5"/>
    </w:rPr>
  </w:style>
  <w:style w:type="character" w:styleId="Znakapoznpodarou">
    <w:name w:val="footnote reference"/>
    <w:basedOn w:val="Standardnpsmoodstavce"/>
    <w:rsid w:val="00E063CE"/>
    <w:rPr>
      <w:rFonts w:cs="Times New Roman"/>
      <w:vertAlign w:val="superscript"/>
    </w:rPr>
  </w:style>
  <w:style w:type="paragraph" w:customStyle="1" w:styleId="Nadpis11">
    <w:name w:val="Nadpis 11"/>
    <w:basedOn w:val="Normln"/>
    <w:uiPriority w:val="9"/>
    <w:qFormat/>
    <w:rsid w:val="008A6CB4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8A6CB4"/>
    <w:pPr>
      <w:spacing w:after="0" w:line="240" w:lineRule="auto"/>
      <w:jc w:val="left"/>
    </w:pPr>
    <w:rPr>
      <w:rFonts w:eastAsia="Calibri"/>
      <w:szCs w:val="20"/>
    </w:rPr>
  </w:style>
  <w:style w:type="character" w:styleId="Zdraznn">
    <w:name w:val="Emphasis"/>
    <w:basedOn w:val="Standardnpsmoodstavce"/>
    <w:uiPriority w:val="20"/>
    <w:qFormat/>
    <w:rsid w:val="00C4431F"/>
    <w:rPr>
      <w:i/>
      <w:iCs/>
    </w:rPr>
  </w:style>
  <w:style w:type="character" w:customStyle="1" w:styleId="normaltextrun">
    <w:name w:val="normaltextrun"/>
    <w:basedOn w:val="Standardnpsmoodstavce"/>
    <w:rsid w:val="00C4431F"/>
  </w:style>
  <w:style w:type="paragraph" w:customStyle="1" w:styleId="paragraph">
    <w:name w:val="paragraph"/>
    <w:basedOn w:val="Normln"/>
    <w:rsid w:val="00C4431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eop">
    <w:name w:val="eop"/>
    <w:basedOn w:val="Standardnpsmoodstavce"/>
    <w:rsid w:val="00C4431F"/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603FF5"/>
    <w:p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5455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4551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45512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55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5512"/>
    <w:rPr>
      <w:rFonts w:ascii="Arial" w:eastAsia="Times New Roman" w:hAnsi="Arial"/>
      <w:b/>
      <w:bCs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54551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4551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545512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customStyle="1" w:styleId="spelle">
    <w:name w:val="spelle"/>
    <w:basedOn w:val="Standardnpsmoodstavce"/>
    <w:rsid w:val="00545512"/>
  </w:style>
  <w:style w:type="paragraph" w:styleId="Revize">
    <w:name w:val="Revision"/>
    <w:hidden/>
    <w:uiPriority w:val="99"/>
    <w:semiHidden/>
    <w:rsid w:val="00545512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45512"/>
  </w:style>
  <w:style w:type="character" w:customStyle="1" w:styleId="tabulka">
    <w:name w:val="tabulka"/>
    <w:basedOn w:val="Standardnpsmoodstavce"/>
    <w:rsid w:val="00545512"/>
  </w:style>
  <w:style w:type="paragraph" w:customStyle="1" w:styleId="Default">
    <w:name w:val="Default"/>
    <w:rsid w:val="0054551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54551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455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45512"/>
    <w:rPr>
      <w:rFonts w:ascii="Courier New" w:eastAsia="Times New Roman" w:hAnsi="Courier New" w:cs="Courier New"/>
      <w:lang w:eastAsia="cs-CZ"/>
    </w:rPr>
  </w:style>
  <w:style w:type="paragraph" w:customStyle="1" w:styleId="cay">
    <w:name w:val="c_ay"/>
    <w:basedOn w:val="Normln"/>
    <w:rsid w:val="0054551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cew">
    <w:name w:val="c_ew"/>
    <w:basedOn w:val="Standardnpsmoodstavce"/>
    <w:rsid w:val="00545512"/>
  </w:style>
  <w:style w:type="character" w:styleId="Sledovanodkaz">
    <w:name w:val="FollowedHyperlink"/>
    <w:basedOn w:val="Standardnpsmoodstavce"/>
    <w:uiPriority w:val="99"/>
    <w:semiHidden/>
    <w:unhideWhenUsed/>
    <w:rsid w:val="00545512"/>
    <w:rPr>
      <w:color w:val="800080" w:themeColor="followedHyperlink"/>
      <w:u w:val="single"/>
    </w:rPr>
  </w:style>
  <w:style w:type="character" w:customStyle="1" w:styleId="cfu">
    <w:name w:val="c_fu"/>
    <w:basedOn w:val="Standardnpsmoodstavce"/>
    <w:rsid w:val="00BF3B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zso.cz/csu/czso/aktualizace-metody-propoctu-zahranicni-obchod-se-zbozi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https://czsocz-my.sharepoint.com/personal/karolina_zabojnikova_czso_cz/Documents/Dokumenty/Anal&#253;za/Q/2025Q2/Makroanal&#253;za%20grafy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1324074074074073E-2"/>
          <c:y val="4.0005727376861394E-2"/>
          <c:w val="0.88059911616161612"/>
          <c:h val="0.76044243986254301"/>
        </c:manualLayout>
      </c:layout>
      <c:barChart>
        <c:barDir val="col"/>
        <c:grouping val="clustered"/>
        <c:varyColors val="0"/>
        <c:ser>
          <c:idx val="2"/>
          <c:order val="2"/>
          <c:tx>
            <c:strRef>
              <c:f>'Vnější vztahy'!$E$6</c:f>
              <c:strCache>
                <c:ptCount val="1"/>
                <c:pt idx="0">
                  <c:v>Bilance</c:v>
                </c:pt>
              </c:strCache>
            </c:strRef>
          </c:tx>
          <c:spPr>
            <a:solidFill>
              <a:srgbClr val="A6A6A6"/>
            </a:solidFill>
            <a:ln>
              <a:noFill/>
            </a:ln>
            <a:effectLst/>
          </c:spPr>
          <c:invertIfNegative val="0"/>
          <c:cat>
            <c:multiLvlStrRef>
              <c:f>'Vnější vztahy'!$A$11:$B$32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2020</c:v>
                  </c:pt>
                  <c:pt idx="4">
                    <c:v>2021</c:v>
                  </c:pt>
                  <c:pt idx="8">
                    <c:v>2022</c:v>
                  </c:pt>
                  <c:pt idx="12">
                    <c:v>2023</c:v>
                  </c:pt>
                  <c:pt idx="16">
                    <c:v>2024</c:v>
                  </c:pt>
                  <c:pt idx="20">
                    <c:v>2025</c:v>
                  </c:pt>
                </c:lvl>
              </c:multiLvlStrCache>
            </c:multiLvlStrRef>
          </c:cat>
          <c:val>
            <c:numRef>
              <c:f>'Vnější vztahy'!$E$11:$E$32</c:f>
              <c:numCache>
                <c:formatCode>0.0</c:formatCode>
                <c:ptCount val="22"/>
                <c:pt idx="0">
                  <c:v>36.182428658999996</c:v>
                </c:pt>
                <c:pt idx="1">
                  <c:v>9.2911503559999993</c:v>
                </c:pt>
                <c:pt idx="2">
                  <c:v>55.286836668000007</c:v>
                </c:pt>
                <c:pt idx="3">
                  <c:v>78.879761297999991</c:v>
                </c:pt>
                <c:pt idx="4">
                  <c:v>60.916821217999995</c:v>
                </c:pt>
                <c:pt idx="5">
                  <c:v>13.848192235000001</c:v>
                </c:pt>
                <c:pt idx="6">
                  <c:v>-54.700282055000002</c:v>
                </c:pt>
                <c:pt idx="7">
                  <c:v>-29.269374235000001</c:v>
                </c:pt>
                <c:pt idx="8">
                  <c:v>-12.635912592</c:v>
                </c:pt>
                <c:pt idx="9">
                  <c:v>-73.225200095999995</c:v>
                </c:pt>
                <c:pt idx="10">
                  <c:v>-64.314002961</c:v>
                </c:pt>
                <c:pt idx="11">
                  <c:v>-54.639469009000003</c:v>
                </c:pt>
                <c:pt idx="12">
                  <c:v>40.885161205999999</c:v>
                </c:pt>
                <c:pt idx="13">
                  <c:v>36.180839551999995</c:v>
                </c:pt>
                <c:pt idx="14">
                  <c:v>-1.2235418870000001</c:v>
                </c:pt>
                <c:pt idx="15">
                  <c:v>46.660049057999998</c:v>
                </c:pt>
                <c:pt idx="16">
                  <c:v>82.282917839000007</c:v>
                </c:pt>
                <c:pt idx="17">
                  <c:v>70.988541018000006</c:v>
                </c:pt>
                <c:pt idx="18">
                  <c:v>27.293198606000001</c:v>
                </c:pt>
                <c:pt idx="19">
                  <c:v>39.924275514999998</c:v>
                </c:pt>
                <c:pt idx="20">
                  <c:v>78.083456536</c:v>
                </c:pt>
                <c:pt idx="21">
                  <c:v>60.248797363000001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5FD-49D0-9F1F-3248BCA412B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0"/>
        <c:axId val="1842150016"/>
        <c:axId val="1842137120"/>
      </c:barChart>
      <c:lineChart>
        <c:grouping val="standard"/>
        <c:varyColors val="0"/>
        <c:ser>
          <c:idx val="0"/>
          <c:order val="0"/>
          <c:tx>
            <c:strRef>
              <c:f>'Vnější vztahy'!$C$6</c:f>
              <c:strCache>
                <c:ptCount val="1"/>
                <c:pt idx="0">
                  <c:v>Vývoz</c:v>
                </c:pt>
              </c:strCache>
            </c:strRef>
          </c:tx>
          <c:spPr>
            <a:ln w="28575" cap="rnd">
              <a:noFill/>
              <a:round/>
            </a:ln>
            <a:effectLst/>
          </c:spPr>
          <c:marker>
            <c:symbol val="dash"/>
            <c:size val="9"/>
            <c:spPr>
              <a:solidFill>
                <a:srgbClr val="0071BC"/>
              </a:solidFill>
              <a:ln w="9525">
                <a:noFill/>
              </a:ln>
              <a:effectLst/>
            </c:spPr>
          </c:marker>
          <c:cat>
            <c:multiLvlStrRef>
              <c:f>'Vnější vztahy'!$A$11:$B$32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2020</c:v>
                  </c:pt>
                  <c:pt idx="4">
                    <c:v>2021</c:v>
                  </c:pt>
                  <c:pt idx="8">
                    <c:v>2022</c:v>
                  </c:pt>
                  <c:pt idx="12">
                    <c:v>2023</c:v>
                  </c:pt>
                  <c:pt idx="16">
                    <c:v>2024</c:v>
                  </c:pt>
                  <c:pt idx="20">
                    <c:v>2025</c:v>
                  </c:pt>
                </c:lvl>
              </c:multiLvlStrCache>
            </c:multiLvlStrRef>
          </c:cat>
          <c:val>
            <c:numRef>
              <c:f>'Vnější vztahy'!$C$11:$C$32</c:f>
              <c:numCache>
                <c:formatCode>#\ ##0.0</c:formatCode>
                <c:ptCount val="22"/>
                <c:pt idx="0">
                  <c:v>-6.4135636115999972</c:v>
                </c:pt>
                <c:pt idx="1">
                  <c:v>-25.037497579399997</c:v>
                </c:pt>
                <c:pt idx="2">
                  <c:v>-3.5785611728999953</c:v>
                </c:pt>
                <c:pt idx="3">
                  <c:v>7.411852265899995</c:v>
                </c:pt>
                <c:pt idx="4">
                  <c:v>10.962313304399999</c:v>
                </c:pt>
                <c:pt idx="5">
                  <c:v>41.981094956100009</c:v>
                </c:pt>
                <c:pt idx="6">
                  <c:v>3.4515742189000065</c:v>
                </c:pt>
                <c:pt idx="7">
                  <c:v>2.749198525500006</c:v>
                </c:pt>
                <c:pt idx="8">
                  <c:v>8.0064988441999958</c:v>
                </c:pt>
                <c:pt idx="9">
                  <c:v>11.287163968300007</c:v>
                </c:pt>
                <c:pt idx="10">
                  <c:v>22.470879917399998</c:v>
                </c:pt>
                <c:pt idx="11">
                  <c:v>13.234980039600003</c:v>
                </c:pt>
                <c:pt idx="12">
                  <c:v>10.691327997000002</c:v>
                </c:pt>
                <c:pt idx="13">
                  <c:v>0.90534101039999371</c:v>
                </c:pt>
                <c:pt idx="14">
                  <c:v>-6.7264620790000009</c:v>
                </c:pt>
                <c:pt idx="15">
                  <c:v>-1.1504207308999952</c:v>
                </c:pt>
                <c:pt idx="16">
                  <c:v>-8.6901433099995984E-2</c:v>
                </c:pt>
                <c:pt idx="17">
                  <c:v>4.7005744015000062</c:v>
                </c:pt>
                <c:pt idx="18">
                  <c:v>10.984825847799996</c:v>
                </c:pt>
                <c:pt idx="19">
                  <c:v>4.9824641242999945</c:v>
                </c:pt>
                <c:pt idx="20">
                  <c:v>6.0304461395000004</c:v>
                </c:pt>
                <c:pt idx="21">
                  <c:v>2.8441182936000047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35FD-49D0-9F1F-3248BCA412BF}"/>
            </c:ext>
          </c:extLst>
        </c:ser>
        <c:ser>
          <c:idx val="1"/>
          <c:order val="1"/>
          <c:tx>
            <c:strRef>
              <c:f>'Vnější vztahy'!$D$6</c:f>
              <c:strCache>
                <c:ptCount val="1"/>
                <c:pt idx="0">
                  <c:v>Dovoz</c:v>
                </c:pt>
              </c:strCache>
            </c:strRef>
          </c:tx>
          <c:spPr>
            <a:ln w="28575" cap="rnd">
              <a:noFill/>
              <a:round/>
            </a:ln>
            <a:effectLst/>
          </c:spPr>
          <c:marker>
            <c:symbol val="dash"/>
            <c:size val="9"/>
            <c:spPr>
              <a:solidFill>
                <a:srgbClr val="BD1B21"/>
              </a:solidFill>
              <a:ln w="9525">
                <a:noFill/>
              </a:ln>
              <a:effectLst/>
            </c:spPr>
          </c:marker>
          <c:cat>
            <c:multiLvlStrRef>
              <c:f>'Vnější vztahy'!$A$11:$B$32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2020</c:v>
                  </c:pt>
                  <c:pt idx="4">
                    <c:v>2021</c:v>
                  </c:pt>
                  <c:pt idx="8">
                    <c:v>2022</c:v>
                  </c:pt>
                  <c:pt idx="12">
                    <c:v>2023</c:v>
                  </c:pt>
                  <c:pt idx="16">
                    <c:v>2024</c:v>
                  </c:pt>
                  <c:pt idx="20">
                    <c:v>2025</c:v>
                  </c:pt>
                </c:lvl>
              </c:multiLvlStrCache>
            </c:multiLvlStrRef>
          </c:cat>
          <c:val>
            <c:numRef>
              <c:f>'Vnější vztahy'!$D$11:$D$32</c:f>
              <c:numCache>
                <c:formatCode>#\ ##0.0</c:formatCode>
                <c:ptCount val="22"/>
                <c:pt idx="0">
                  <c:v>-5.3981676209999989</c:v>
                </c:pt>
                <c:pt idx="1">
                  <c:v>-21.285728278400001</c:v>
                </c:pt>
                <c:pt idx="2">
                  <c:v>-6.8912364523999941</c:v>
                </c:pt>
                <c:pt idx="3">
                  <c:v>0.22314936540000474</c:v>
                </c:pt>
                <c:pt idx="4">
                  <c:v>8.4767312925000056</c:v>
                </c:pt>
                <c:pt idx="5">
                  <c:v>41.887499316600014</c:v>
                </c:pt>
                <c:pt idx="6">
                  <c:v>17.303793961099998</c:v>
                </c:pt>
                <c:pt idx="7">
                  <c:v>14.923030300799994</c:v>
                </c:pt>
                <c:pt idx="8">
                  <c:v>16.659765110899997</c:v>
                </c:pt>
                <c:pt idx="9">
                  <c:v>20.193090002000005</c:v>
                </c:pt>
                <c:pt idx="10">
                  <c:v>22.188267180799997</c:v>
                </c:pt>
                <c:pt idx="11">
                  <c:v>15.2991180633</c:v>
                </c:pt>
                <c:pt idx="12">
                  <c:v>5.5018043466999984</c:v>
                </c:pt>
                <c:pt idx="13">
                  <c:v>-8.2960208406999953</c:v>
                </c:pt>
                <c:pt idx="14">
                  <c:v>-11.801975368499996</c:v>
                </c:pt>
                <c:pt idx="15">
                  <c:v>-9.5344571271999996</c:v>
                </c:pt>
                <c:pt idx="16">
                  <c:v>-3.8011078601000037</c:v>
                </c:pt>
                <c:pt idx="17">
                  <c:v>1.682577773999995</c:v>
                </c:pt>
                <c:pt idx="18">
                  <c:v>8.1790772874000055</c:v>
                </c:pt>
                <c:pt idx="19">
                  <c:v>5.8165725733999949</c:v>
                </c:pt>
                <c:pt idx="20">
                  <c:v>6.8841605607999981</c:v>
                </c:pt>
                <c:pt idx="21">
                  <c:v>3.9879451689999996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35FD-49D0-9F1F-3248BCA412B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21653648"/>
        <c:axId val="1621653232"/>
      </c:lineChart>
      <c:catAx>
        <c:axId val="16216536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cs-CZ"/>
          </a:p>
        </c:txPr>
        <c:crossAx val="1621653232"/>
        <c:crosses val="autoZero"/>
        <c:auto val="1"/>
        <c:lblAlgn val="ctr"/>
        <c:lblOffset val="100"/>
        <c:noMultiLvlLbl val="0"/>
      </c:catAx>
      <c:valAx>
        <c:axId val="1621653232"/>
        <c:scaling>
          <c:orientation val="minMax"/>
          <c:min val="-4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cs-CZ"/>
          </a:p>
        </c:txPr>
        <c:crossAx val="1621653648"/>
        <c:crosses val="autoZero"/>
        <c:crossBetween val="between"/>
      </c:valAx>
      <c:valAx>
        <c:axId val="1842137120"/>
        <c:scaling>
          <c:orientation val="minMax"/>
          <c:min val="-80"/>
        </c:scaling>
        <c:delete val="0"/>
        <c:axPos val="r"/>
        <c:numFmt formatCode="0" sourceLinked="0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cs-CZ"/>
          </a:p>
        </c:txPr>
        <c:crossAx val="1842150016"/>
        <c:crosses val="max"/>
        <c:crossBetween val="between"/>
      </c:valAx>
      <c:catAx>
        <c:axId val="184215001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842137120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6.7334595959595941E-2"/>
          <c:y val="0.9241869988545246"/>
          <c:w val="0.85464057239057234"/>
          <c:h val="5.399169530355097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800" baseline="0">
          <a:latin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204C7C21F48A488F44995C5F8FB06D" ma:contentTypeVersion="11" ma:contentTypeDescription="Vytvoří nový dokument" ma:contentTypeScope="" ma:versionID="1df8c39b067b5d25b5f5e865a8e6deb3">
  <xsd:schema xmlns:xsd="http://www.w3.org/2001/XMLSchema" xmlns:xs="http://www.w3.org/2001/XMLSchema" xmlns:p="http://schemas.microsoft.com/office/2006/metadata/properties" xmlns:ns3="b8c0c86d-151e-4fca-b0d5-747e6692fa1d" targetNamespace="http://schemas.microsoft.com/office/2006/metadata/properties" ma:root="true" ma:fieldsID="0a1e36cc980726b26aea9439dfb6e5b7" ns3:_="">
    <xsd:import namespace="b8c0c86d-151e-4fca-b0d5-747e6692fa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0c86d-151e-4fca-b0d5-747e6692fa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8A1E1-1E99-4B4F-B9B5-70567730AA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7681AD-41B0-431A-9D34-CF6700A12FAC}">
  <ds:schemaRefs>
    <ds:schemaRef ds:uri="http://purl.org/dc/terms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b8c0c86d-151e-4fca-b0d5-747e6692fa1d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5BC6B78-CD4F-4CCE-9179-CFFE2F3833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c0c86d-151e-4fca-b0d5-747e6692fa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00705D-7D40-4715-A0DE-750C3B54D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1632</Words>
  <Characters>9635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Kučerová Jana</dc:creator>
  <cp:keywords/>
  <cp:lastModifiedBy>Zábojníková Karolína</cp:lastModifiedBy>
  <cp:revision>3</cp:revision>
  <cp:lastPrinted>2014-07-17T14:07:00Z</cp:lastPrinted>
  <dcterms:created xsi:type="dcterms:W3CDTF">2025-09-16T11:02:00Z</dcterms:created>
  <dcterms:modified xsi:type="dcterms:W3CDTF">2025-09-16T11:10:00Z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0x01010070204C7C21F48A488F44995C5F8FB06D</vt:lpwstr>
  </property>
  <property fmtid="{D5CDD505-2E9C-101B-9397-08002B2CF9AE}" pid="3" name="Názevformuláře">
    <vt:lpwstr>Publikace CZ barevné - vícetematické analýzy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2018-04-17T07:00:00Z</vt:filetime>
  </property>
  <property fmtid="{D5CDD505-2E9C-101B-9397-08002B2CF9AE}" pid="8" name="Označení">
    <vt:lpwstr>Form_c444</vt:lpwstr>
  </property>
  <property fmtid="{D5CDD505-2E9C-101B-9397-08002B2CF9AE}" pid="9" name="MediaServiceImageTags">
    <vt:lpwstr/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xd_Signature">
    <vt:bool>false</vt:bool>
  </property>
</Properties>
</file>