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E32E70" w14:textId="77777777" w:rsidR="00591099" w:rsidRPr="00275385" w:rsidRDefault="00591099" w:rsidP="00591099">
      <w:pPr>
        <w:pStyle w:val="Nadpis1"/>
      </w:pPr>
      <w:bookmarkStart w:id="0" w:name="_Toc208920077"/>
      <w:bookmarkStart w:id="1" w:name="_Toc145318531"/>
      <w:bookmarkStart w:id="2" w:name="_Toc153531174"/>
      <w:bookmarkStart w:id="3" w:name="_Toc169258114"/>
      <w:bookmarkStart w:id="4" w:name="_Toc137233026"/>
      <w:bookmarkStart w:id="5" w:name="_Toc130286019"/>
      <w:bookmarkStart w:id="6" w:name="_Toc114134050"/>
      <w:bookmarkStart w:id="7" w:name="_Toc145318534"/>
      <w:bookmarkStart w:id="8" w:name="_Toc153531177"/>
      <w:bookmarkStart w:id="9" w:name="_Toc121993822"/>
      <w:bookmarkStart w:id="10" w:name="_Toc137233031"/>
      <w:r w:rsidRPr="00275385">
        <w:t>1. Shrnutí</w:t>
      </w:r>
      <w:bookmarkEnd w:id="0"/>
    </w:p>
    <w:p w14:paraId="69794D83" w14:textId="045151F5" w:rsidR="00591099" w:rsidRPr="00591099" w:rsidRDefault="00591099" w:rsidP="00591099">
      <w:pPr>
        <w:pStyle w:val="Normalodrka"/>
      </w:pPr>
      <w:r w:rsidRPr="00591099">
        <w:t>Hrubý domácí produkt (HDP) ve 2. čtvrtletí 2025 mezičtvrtletně vzrostl o 0,5 %</w:t>
      </w:r>
      <w:r w:rsidRPr="00591099">
        <w:rPr>
          <w:rStyle w:val="Znakapoznpodarou"/>
          <w:vertAlign w:val="baseline"/>
        </w:rPr>
        <w:footnoteReference w:id="1"/>
      </w:r>
      <w:r w:rsidRPr="00591099">
        <w:t>. K růstu přispělo oživení domácí spotřeby a vývoj zásob. Jen mírně mezičtvrtletně rostly investice. Bilance zahraničního obchodu působila na růst HDP negativně. Meziroční přírůstek HDP posílil ve </w:t>
      </w:r>
      <w:r w:rsidR="00E54E39" w:rsidRPr="002C5568">
        <w:t>2</w:t>
      </w:r>
      <w:r w:rsidRPr="002C5568">
        <w:t>. kvartálu</w:t>
      </w:r>
      <w:r w:rsidRPr="00591099">
        <w:t xml:space="preserve"> na 2,6 %. Rostla domácí spotřeba a pozitivně působila změna zásob. Meziroční růst ekonomiky ale stále brzdila investiční aktivita </w:t>
      </w:r>
      <w:r w:rsidRPr="00591099">
        <w:br/>
        <w:t xml:space="preserve">a bilance zahraničního obchodu. Hrubý domácí produkt v EU ve 2. čtvrtletí mezičtvrtletně vzrostl o 0,2 % </w:t>
      </w:r>
      <w:r w:rsidRPr="00591099">
        <w:br/>
        <w:t>a meziročně o 1,6 %. Ke zpomalení mezičtvrtletního růstu HDP v EU přispěl zejména vývoj v německé ekonomice.</w:t>
      </w:r>
    </w:p>
    <w:p w14:paraId="6D9F77B9" w14:textId="77777777" w:rsidR="00591099" w:rsidRPr="00591099" w:rsidRDefault="00591099" w:rsidP="00591099">
      <w:pPr>
        <w:pStyle w:val="Normalodrka"/>
      </w:pPr>
      <w:r w:rsidRPr="00591099">
        <w:t xml:space="preserve">Ve 2. čtvrtletí 2025 se hrubá přidaná hodnota mezičtvrtletně zvýšila o 0,5 %. Nejvíce ve směru růstu HPH působilo uskupení obchod, doprava, ubytování a pohostinství podpořené oživením domácí spotřeby. Pokračoval rovněž solidní vývoj ve stavebnictví a výrazně rostly profesní, vědecké, technické a administrativní činnosti. Po předchozím poklesu opět mírně mezičtvrtletně vzrostla HPH ve zpracovatelském průmyslu. Meziroční růst HPH ve 2. čtvrtletí posílil na 2,8 %. Nejvíce ve směru růstu působilo uskupení obchod, doprava, ubytování a pohostinství a informační a komunikační činnosti. Nejvýraznější meziroční nárůst HPH byl zaznamenán u stavebnictví. Hrubá přidaná hodnota v průmyslu jako celku ve 2. čtvrtletí meziročně vzrostla o 2,2 % a z toho ve zpracovatelském průmyslu o 2,0 %, zejména pod vlivem slabé srovnávací základny předchozího roku.  </w:t>
      </w:r>
    </w:p>
    <w:p w14:paraId="19C0EBF2" w14:textId="77777777" w:rsidR="00591099" w:rsidRPr="00591099" w:rsidRDefault="00591099" w:rsidP="00591099">
      <w:pPr>
        <w:pStyle w:val="Normalodrka"/>
      </w:pPr>
      <w:r w:rsidRPr="00591099">
        <w:t>Mezičtvrtletní přírůstek vývozu zboží a služeb ve 2. čtvrtletí značně zpomalil na 0,3 %</w:t>
      </w:r>
      <w:r w:rsidRPr="00591099">
        <w:rPr>
          <w:rStyle w:val="Znakapoznpodarou"/>
          <w:vertAlign w:val="baseline"/>
        </w:rPr>
        <w:footnoteReference w:id="2"/>
      </w:r>
      <w:r w:rsidRPr="00591099">
        <w:t>. Dovoz vzrostl o 1,5 %. Meziroční nárůst exportu dosáhl 4,2 % a importu 6,0 %. Bilance zahraničního obchodu se zbožím a službami v běžných cenách dosáhla ve 2. čtvrtletí přebytku 118,8 mld. korun a ten se tak meziročně snížil o 11,0 mld. Klesl přebytek obchodu se službami i zbožím. Zhoršila se bilance obchodu u většiny artiklů, nejvíce u ropy a zemního plynu, kovodělných výrobků a elektrických zařízení. Naopak se výrazně navýšil přebytek obchodu s motorovými vozidly.</w:t>
      </w:r>
    </w:p>
    <w:p w14:paraId="19286095" w14:textId="77777777" w:rsidR="00591099" w:rsidRPr="00591099" w:rsidRDefault="00591099" w:rsidP="00591099">
      <w:pPr>
        <w:pStyle w:val="Normalodrka"/>
      </w:pPr>
      <w:r w:rsidRPr="00591099">
        <w:t xml:space="preserve">Celková cenová hladina (podle deflátoru HDP) ve 2. čtvrtletí meziročně vzrostla o 3,3 % a mezičtvrtletně </w:t>
      </w:r>
      <w:r w:rsidRPr="00591099">
        <w:br/>
        <w:t xml:space="preserve">o 1,3 %. Spotřebitelské ceny byly v 1. čtvrtletí meziročně vyšší o 2,4 % a mezičtvrtletně vzrostly o 0,5 %. Nejsilnější vliv na celkový růst spotřebitelských cen si držely potraviny a nealkoholické nápoje a mírně posílil příspěvek cen bydlení a energií. Významný příspěvek měly ceny alkoholických nápojů a tabáku a nadále byl patrný silný růst cen služeb, patrný zejména v oddílech rekreace a kultura a stravování a ubytování. Meziročně klesaly pouze ceny dopravy a odívání a obuvi. Dál posiloval růst nabídkových i realizovaných cen bytů.  </w:t>
      </w:r>
    </w:p>
    <w:p w14:paraId="76277FFE" w14:textId="77777777" w:rsidR="00591099" w:rsidRPr="00591099" w:rsidRDefault="00591099" w:rsidP="00591099">
      <w:pPr>
        <w:pStyle w:val="Normalodrka"/>
      </w:pPr>
      <w:r w:rsidRPr="00591099">
        <w:t>Celková zaměstnanost</w:t>
      </w:r>
      <w:r w:rsidRPr="00E54E39">
        <w:rPr>
          <w:rStyle w:val="Znakapoznpodarou"/>
        </w:rPr>
        <w:footnoteReference w:id="3"/>
      </w:r>
      <w:r w:rsidRPr="00591099">
        <w:t xml:space="preserve"> ve 2. čtvrtletí byla meziročně vyšší o 1,0 % a mezičtvrtletně se zvýšila o 0,5 %. Celková míra nezaměstnanosti se od počátku roku držela pod 3 %. Ve 2. čtvrtletí průměrná hrubá měsíční mzda meziročně vzrostla o 7,8 % a dosáhla 49 402 korun. Reálně průměrná mzda posílila o 5,3 %. Mezičtvrtletní nominální navýšení sezónně očištěné průměrné mzdy činilo 2,2 %.</w:t>
      </w:r>
    </w:p>
    <w:p w14:paraId="49A963CB" w14:textId="77777777" w:rsidR="00591099" w:rsidRPr="00591099" w:rsidRDefault="00591099" w:rsidP="00591099">
      <w:pPr>
        <w:pStyle w:val="Normalodrka"/>
      </w:pPr>
      <w:r w:rsidRPr="00591099">
        <w:t>Základní měnověpolitické úrokové sazby byly ve 2. čtvrtletí jednou sníženy. Spolu s nimi se snižovaly také úrokové sazby u vkladů, zejména těch termínovaných, což bylo spojeno také se snížením jejich objemu.  V nových hypotečních smlouvách posiloval podíl čistých nových úvěrů.</w:t>
      </w:r>
    </w:p>
    <w:p w14:paraId="76CF54A7" w14:textId="594510FB" w:rsidR="00591099" w:rsidRPr="00591099" w:rsidRDefault="00591099" w:rsidP="00591099">
      <w:pPr>
        <w:pStyle w:val="Normalodrka"/>
        <w:spacing w:after="0"/>
      </w:pPr>
      <w:r w:rsidRPr="00591099">
        <w:t>Hospodaření státního rozpočtu (SR) skončilo v 1. pololetí se schodkem 152 mld. korun. Meziročně se deficit snížil zhruba o šestinu. Za dílčím meziročním zlepšením schodku stálo relativně solidní tempo růstu celkových příjmů, ve kterém se postupně projevuje dopad oživení výkonu ekonomiky. Růst výdajů byl nadále tlumen odezníváním potřeby mimořádných výdajů domácnostem i firmám zasaženým dopady vysoké inflace. Na příjmovou i výdajovou stranu rozpočtu působí také dopady konsolidačního ozdravného balíčku schváleného v roce 2023. Zřetelný dopad má změna rozpočtového určení daní, jež od ledna 2025 opět zvyšuje podíl na výnosu některých váhově významných daní ve prospěch SR.</w:t>
      </w:r>
    </w:p>
    <w:p w14:paraId="181E4D16" w14:textId="758731B9" w:rsidR="00603FF5" w:rsidRDefault="00782AD8" w:rsidP="0083516C">
      <w:pPr>
        <w:pStyle w:val="Normalodrka"/>
        <w:numPr>
          <w:ilvl w:val="0"/>
          <w:numId w:val="0"/>
        </w:numPr>
        <w:spacing w:after="0"/>
        <w:jc w:val="center"/>
      </w:pPr>
      <w:r w:rsidRPr="00782AD8">
        <w:rPr>
          <w:noProof/>
        </w:rPr>
        <w:lastRenderedPageBreak/>
        <w:drawing>
          <wp:inline distT="0" distB="0" distL="0" distR="0" wp14:anchorId="2A86F44A" wp14:editId="014A7DF7">
            <wp:extent cx="5857875" cy="8867775"/>
            <wp:effectExtent l="0" t="0" r="9525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886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1" w:name="_GoBack"/>
      <w:bookmarkEnd w:id="11"/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sectPr w:rsidR="00603FF5" w:rsidSect="0049166F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680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15D4F" w14:textId="77777777" w:rsidR="004C456F" w:rsidRDefault="004C456F" w:rsidP="00E71A58">
      <w:r>
        <w:separator/>
      </w:r>
    </w:p>
  </w:endnote>
  <w:endnote w:type="continuationSeparator" w:id="0">
    <w:p w14:paraId="1872982C" w14:textId="77777777" w:rsidR="004C456F" w:rsidRDefault="004C456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362E7" w14:textId="45ADD84F" w:rsidR="004C456F" w:rsidRPr="00932443" w:rsidRDefault="004C45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143298A" wp14:editId="2143298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1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49166F">
      <w:rPr>
        <w:szCs w:val="16"/>
      </w:rPr>
      <w:t>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pololetí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9" w14:textId="03FBD83D" w:rsidR="004C456F" w:rsidRPr="00932443" w:rsidRDefault="004C456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2143298C" wp14:editId="2143298D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2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szCs w:val="16"/>
      </w:rPr>
      <w:t>1. pololetí 2025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49166F">
      <w:rPr>
        <w:rStyle w:val="ZpatChar"/>
        <w:szCs w:val="16"/>
      </w:rPr>
      <w:t>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A2FFA" w14:textId="77777777" w:rsidR="004C456F" w:rsidRDefault="004C456F" w:rsidP="00EA4302">
      <w:pPr>
        <w:spacing w:after="0"/>
      </w:pPr>
      <w:r>
        <w:separator/>
      </w:r>
    </w:p>
  </w:footnote>
  <w:footnote w:type="continuationSeparator" w:id="0">
    <w:p w14:paraId="41362B96" w14:textId="77777777" w:rsidR="004C456F" w:rsidRDefault="004C456F" w:rsidP="00E71A58">
      <w:r>
        <w:continuationSeparator/>
      </w:r>
    </w:p>
  </w:footnote>
  <w:footnote w:id="1">
    <w:p w14:paraId="48F77C86" w14:textId="77777777" w:rsidR="004C456F" w:rsidRDefault="004C456F" w:rsidP="00591099">
      <w:pPr>
        <w:pStyle w:val="Textpoznpodarou"/>
        <w:rPr>
          <w:spacing w:val="-2"/>
          <w:sz w:val="16"/>
          <w:szCs w:val="16"/>
        </w:rPr>
      </w:pPr>
      <w:r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Data o HDP, hrubé přidané hodnotě a jejích složkách jsou vyjádřena ve stálých cenách a v očištění o sezónní a kalendářní vlivy.</w:t>
      </w:r>
    </w:p>
  </w:footnote>
  <w:footnote w:id="2">
    <w:p w14:paraId="5970EAEF" w14:textId="77777777" w:rsidR="004C456F" w:rsidRDefault="004C456F" w:rsidP="00591099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Podle metodiky čtvrtletních národních účtů (vývoz a dovoz v ocenění FOB/FOB).</w:t>
      </w:r>
    </w:p>
  </w:footnote>
  <w:footnote w:id="3">
    <w:p w14:paraId="5BF1ACE3" w14:textId="77777777" w:rsidR="004C456F" w:rsidRDefault="004C456F" w:rsidP="00591099">
      <w:pPr>
        <w:pStyle w:val="Textpoznpodarou"/>
        <w:jc w:val="both"/>
        <w:rPr>
          <w:sz w:val="16"/>
          <w:szCs w:val="16"/>
        </w:rPr>
      </w:pPr>
      <w:r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Údaje o zaměstnanosti jsou uvedeny v pojetí národních účtů a očištěny o sezónní vlivy.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6" w14:textId="3C11EE3B" w:rsidR="004C456F" w:rsidRPr="00C27E4F" w:rsidRDefault="004C456F" w:rsidP="00C27E4F">
    <w:pPr>
      <w:pStyle w:val="Zhlav"/>
    </w:pPr>
    <w:r>
      <w:t>Vývoj ekonomiky České republiky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32987" w14:textId="4F78F164" w:rsidR="004C456F" w:rsidRPr="006F5416" w:rsidRDefault="004C456F" w:rsidP="00937AE2">
    <w:pPr>
      <w:pStyle w:val="Zhlav"/>
    </w:pPr>
    <w:r>
      <w:t>Vývoj ekonomiky České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E145AAD"/>
    <w:multiLevelType w:val="hybridMultilevel"/>
    <w:tmpl w:val="963044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1E462C8E"/>
    <w:multiLevelType w:val="hybridMultilevel"/>
    <w:tmpl w:val="84B464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64F20"/>
    <w:multiLevelType w:val="hybridMultilevel"/>
    <w:tmpl w:val="ADE25A6C"/>
    <w:lvl w:ilvl="0" w:tplc="04050001">
      <w:start w:val="1"/>
      <w:numFmt w:val="bullet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8DA62F8"/>
    <w:multiLevelType w:val="hybridMultilevel"/>
    <w:tmpl w:val="419C87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7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4558D6"/>
    <w:multiLevelType w:val="hybridMultilevel"/>
    <w:tmpl w:val="1B90B8E0"/>
    <w:lvl w:ilvl="0" w:tplc="4B66ED1E">
      <w:start w:val="1"/>
      <w:numFmt w:val="decimal"/>
      <w:lvlText w:val="%1."/>
      <w:lvlJc w:val="left"/>
      <w:pPr>
        <w:ind w:left="49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25" w:hanging="360"/>
      </w:pPr>
    </w:lvl>
    <w:lvl w:ilvl="2" w:tplc="0405001B" w:tentative="1">
      <w:start w:val="1"/>
      <w:numFmt w:val="lowerRoman"/>
      <w:lvlText w:val="%3."/>
      <w:lvlJc w:val="right"/>
      <w:pPr>
        <w:ind w:left="6345" w:hanging="180"/>
      </w:pPr>
    </w:lvl>
    <w:lvl w:ilvl="3" w:tplc="0405000F" w:tentative="1">
      <w:start w:val="1"/>
      <w:numFmt w:val="decimal"/>
      <w:lvlText w:val="%4."/>
      <w:lvlJc w:val="left"/>
      <w:pPr>
        <w:ind w:left="7065" w:hanging="360"/>
      </w:pPr>
    </w:lvl>
    <w:lvl w:ilvl="4" w:tplc="04050019" w:tentative="1">
      <w:start w:val="1"/>
      <w:numFmt w:val="lowerLetter"/>
      <w:lvlText w:val="%5."/>
      <w:lvlJc w:val="left"/>
      <w:pPr>
        <w:ind w:left="7785" w:hanging="360"/>
      </w:pPr>
    </w:lvl>
    <w:lvl w:ilvl="5" w:tplc="0405001B" w:tentative="1">
      <w:start w:val="1"/>
      <w:numFmt w:val="lowerRoman"/>
      <w:lvlText w:val="%6."/>
      <w:lvlJc w:val="right"/>
      <w:pPr>
        <w:ind w:left="8505" w:hanging="180"/>
      </w:pPr>
    </w:lvl>
    <w:lvl w:ilvl="6" w:tplc="0405000F" w:tentative="1">
      <w:start w:val="1"/>
      <w:numFmt w:val="decimal"/>
      <w:lvlText w:val="%7."/>
      <w:lvlJc w:val="left"/>
      <w:pPr>
        <w:ind w:left="9225" w:hanging="360"/>
      </w:pPr>
    </w:lvl>
    <w:lvl w:ilvl="7" w:tplc="04050019" w:tentative="1">
      <w:start w:val="1"/>
      <w:numFmt w:val="lowerLetter"/>
      <w:lvlText w:val="%8."/>
      <w:lvlJc w:val="left"/>
      <w:pPr>
        <w:ind w:left="9945" w:hanging="360"/>
      </w:pPr>
    </w:lvl>
    <w:lvl w:ilvl="8" w:tplc="0405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30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5051A8"/>
    <w:multiLevelType w:val="hybridMultilevel"/>
    <w:tmpl w:val="DEACEA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655F88"/>
    <w:multiLevelType w:val="hybridMultilevel"/>
    <w:tmpl w:val="70283F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D405E1"/>
    <w:multiLevelType w:val="multilevel"/>
    <w:tmpl w:val="5FCA5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6EF3AA7"/>
    <w:multiLevelType w:val="multilevel"/>
    <w:tmpl w:val="9092D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B048D2"/>
    <w:multiLevelType w:val="hybridMultilevel"/>
    <w:tmpl w:val="D2A0FC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7747AF"/>
    <w:multiLevelType w:val="hybridMultilevel"/>
    <w:tmpl w:val="76204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651B2D"/>
    <w:multiLevelType w:val="hybridMultilevel"/>
    <w:tmpl w:val="858498FC"/>
    <w:lvl w:ilvl="0" w:tplc="B4A838D0">
      <w:start w:val="1"/>
      <w:numFmt w:val="bullet"/>
      <w:pStyle w:val="Normalodrka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DA7946"/>
    <w:multiLevelType w:val="multilevel"/>
    <w:tmpl w:val="6F3E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34"/>
  </w:num>
  <w:num w:numId="14">
    <w:abstractNumId w:val="15"/>
  </w:num>
  <w:num w:numId="15">
    <w:abstractNumId w:val="24"/>
  </w:num>
  <w:num w:numId="16">
    <w:abstractNumId w:val="19"/>
  </w:num>
  <w:num w:numId="17">
    <w:abstractNumId w:val="35"/>
  </w:num>
  <w:num w:numId="18">
    <w:abstractNumId w:val="25"/>
  </w:num>
  <w:num w:numId="19">
    <w:abstractNumId w:val="38"/>
  </w:num>
  <w:num w:numId="20">
    <w:abstractNumId w:val="43"/>
  </w:num>
  <w:num w:numId="21">
    <w:abstractNumId w:val="33"/>
  </w:num>
  <w:num w:numId="22">
    <w:abstractNumId w:val="23"/>
  </w:num>
  <w:num w:numId="23">
    <w:abstractNumId w:val="21"/>
  </w:num>
  <w:num w:numId="24">
    <w:abstractNumId w:val="22"/>
  </w:num>
  <w:num w:numId="25">
    <w:abstractNumId w:val="41"/>
  </w:num>
  <w:num w:numId="26">
    <w:abstractNumId w:val="42"/>
  </w:num>
  <w:num w:numId="27">
    <w:abstractNumId w:val="43"/>
  </w:num>
  <w:num w:numId="28">
    <w:abstractNumId w:val="13"/>
  </w:num>
  <w:num w:numId="29">
    <w:abstractNumId w:val="27"/>
  </w:num>
  <w:num w:numId="30">
    <w:abstractNumId w:val="26"/>
  </w:num>
  <w:num w:numId="31">
    <w:abstractNumId w:val="10"/>
  </w:num>
  <w:num w:numId="32">
    <w:abstractNumId w:val="28"/>
  </w:num>
  <w:num w:numId="33">
    <w:abstractNumId w:val="12"/>
  </w:num>
  <w:num w:numId="34">
    <w:abstractNumId w:val="45"/>
  </w:num>
  <w:num w:numId="35">
    <w:abstractNumId w:val="11"/>
  </w:num>
  <w:num w:numId="36">
    <w:abstractNumId w:val="37"/>
  </w:num>
  <w:num w:numId="37">
    <w:abstractNumId w:val="30"/>
  </w:num>
  <w:num w:numId="38">
    <w:abstractNumId w:val="29"/>
  </w:num>
  <w:num w:numId="39">
    <w:abstractNumId w:val="39"/>
  </w:num>
  <w:num w:numId="40">
    <w:abstractNumId w:val="44"/>
  </w:num>
  <w:num w:numId="41">
    <w:abstractNumId w:val="40"/>
  </w:num>
  <w:num w:numId="42">
    <w:abstractNumId w:val="32"/>
  </w:num>
  <w:num w:numId="43">
    <w:abstractNumId w:val="20"/>
  </w:num>
  <w:num w:numId="44">
    <w:abstractNumId w:val="14"/>
  </w:num>
  <w:num w:numId="45">
    <w:abstractNumId w:val="36"/>
  </w:num>
  <w:num w:numId="46">
    <w:abstractNumId w:val="16"/>
  </w:num>
  <w:num w:numId="47">
    <w:abstractNumId w:val="43"/>
  </w:num>
  <w:num w:numId="48">
    <w:abstractNumId w:val="43"/>
    <w:lvlOverride w:ilvl="0">
      <w:startOverride w:val="1"/>
    </w:lvlOverride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62"/>
    <w:rsid w:val="0000209D"/>
    <w:rsid w:val="00004D5A"/>
    <w:rsid w:val="000056D5"/>
    <w:rsid w:val="00006ABD"/>
    <w:rsid w:val="0000767A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0D10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12CC"/>
    <w:rsid w:val="00092201"/>
    <w:rsid w:val="00095135"/>
    <w:rsid w:val="000974D1"/>
    <w:rsid w:val="0009799E"/>
    <w:rsid w:val="000A1183"/>
    <w:rsid w:val="000A256D"/>
    <w:rsid w:val="000A3A2C"/>
    <w:rsid w:val="000A5265"/>
    <w:rsid w:val="000A57D4"/>
    <w:rsid w:val="000B7C8D"/>
    <w:rsid w:val="000C004E"/>
    <w:rsid w:val="000C3408"/>
    <w:rsid w:val="000C6AFD"/>
    <w:rsid w:val="000D1B52"/>
    <w:rsid w:val="000D5637"/>
    <w:rsid w:val="000E6FBD"/>
    <w:rsid w:val="00100F5C"/>
    <w:rsid w:val="00101CDA"/>
    <w:rsid w:val="00102C41"/>
    <w:rsid w:val="00104C4C"/>
    <w:rsid w:val="00107F50"/>
    <w:rsid w:val="00117623"/>
    <w:rsid w:val="0012096D"/>
    <w:rsid w:val="0012192F"/>
    <w:rsid w:val="001224E5"/>
    <w:rsid w:val="00124940"/>
    <w:rsid w:val="00125D69"/>
    <w:rsid w:val="001405FA"/>
    <w:rsid w:val="00142254"/>
    <w:rsid w:val="001425C3"/>
    <w:rsid w:val="001476BD"/>
    <w:rsid w:val="001612F4"/>
    <w:rsid w:val="0016256B"/>
    <w:rsid w:val="00163793"/>
    <w:rsid w:val="001706D6"/>
    <w:rsid w:val="001714F2"/>
    <w:rsid w:val="00175B9F"/>
    <w:rsid w:val="00181BBC"/>
    <w:rsid w:val="00184B08"/>
    <w:rsid w:val="00185010"/>
    <w:rsid w:val="0019143B"/>
    <w:rsid w:val="001A0487"/>
    <w:rsid w:val="001A552F"/>
    <w:rsid w:val="001A7280"/>
    <w:rsid w:val="001B2CA9"/>
    <w:rsid w:val="001B3110"/>
    <w:rsid w:val="001B4729"/>
    <w:rsid w:val="001B6310"/>
    <w:rsid w:val="001B6C09"/>
    <w:rsid w:val="001B73E6"/>
    <w:rsid w:val="001C05CD"/>
    <w:rsid w:val="001C3924"/>
    <w:rsid w:val="001D40D7"/>
    <w:rsid w:val="001D48D4"/>
    <w:rsid w:val="001D68B2"/>
    <w:rsid w:val="001E1C2E"/>
    <w:rsid w:val="001E504C"/>
    <w:rsid w:val="001E6062"/>
    <w:rsid w:val="001E6753"/>
    <w:rsid w:val="001F4597"/>
    <w:rsid w:val="00203DA4"/>
    <w:rsid w:val="002118B9"/>
    <w:rsid w:val="00213E46"/>
    <w:rsid w:val="00214CF7"/>
    <w:rsid w:val="00216286"/>
    <w:rsid w:val="00217C5B"/>
    <w:rsid w:val="0022139E"/>
    <w:rsid w:val="00222729"/>
    <w:rsid w:val="002252E0"/>
    <w:rsid w:val="002255F6"/>
    <w:rsid w:val="00227850"/>
    <w:rsid w:val="00227A53"/>
    <w:rsid w:val="00230C6E"/>
    <w:rsid w:val="00233CD7"/>
    <w:rsid w:val="00236443"/>
    <w:rsid w:val="00241B06"/>
    <w:rsid w:val="00242C10"/>
    <w:rsid w:val="002436BA"/>
    <w:rsid w:val="00244A15"/>
    <w:rsid w:val="0024661A"/>
    <w:rsid w:val="00247319"/>
    <w:rsid w:val="0024799E"/>
    <w:rsid w:val="00247EE7"/>
    <w:rsid w:val="00253C0F"/>
    <w:rsid w:val="002558C1"/>
    <w:rsid w:val="00261A17"/>
    <w:rsid w:val="00271465"/>
    <w:rsid w:val="00275385"/>
    <w:rsid w:val="0028207A"/>
    <w:rsid w:val="00285412"/>
    <w:rsid w:val="00291407"/>
    <w:rsid w:val="00291640"/>
    <w:rsid w:val="00295A5D"/>
    <w:rsid w:val="002A1407"/>
    <w:rsid w:val="002A16D4"/>
    <w:rsid w:val="002A230C"/>
    <w:rsid w:val="002A66B0"/>
    <w:rsid w:val="002B2299"/>
    <w:rsid w:val="002B4845"/>
    <w:rsid w:val="002B48B4"/>
    <w:rsid w:val="002C2FE9"/>
    <w:rsid w:val="002C43BD"/>
    <w:rsid w:val="002C5568"/>
    <w:rsid w:val="002D0E59"/>
    <w:rsid w:val="002E02A1"/>
    <w:rsid w:val="002E42AC"/>
    <w:rsid w:val="002E4E4C"/>
    <w:rsid w:val="002F3E4F"/>
    <w:rsid w:val="00302ADD"/>
    <w:rsid w:val="00304771"/>
    <w:rsid w:val="0030495D"/>
    <w:rsid w:val="003052D4"/>
    <w:rsid w:val="00306C5B"/>
    <w:rsid w:val="003103E0"/>
    <w:rsid w:val="00314F9F"/>
    <w:rsid w:val="003209D6"/>
    <w:rsid w:val="00321924"/>
    <w:rsid w:val="0032656E"/>
    <w:rsid w:val="00332190"/>
    <w:rsid w:val="00343182"/>
    <w:rsid w:val="0034335E"/>
    <w:rsid w:val="00344668"/>
    <w:rsid w:val="003462D9"/>
    <w:rsid w:val="00360C86"/>
    <w:rsid w:val="00360FBC"/>
    <w:rsid w:val="00362E90"/>
    <w:rsid w:val="00364FA0"/>
    <w:rsid w:val="003657F3"/>
    <w:rsid w:val="00366591"/>
    <w:rsid w:val="00373504"/>
    <w:rsid w:val="0038123E"/>
    <w:rsid w:val="003818DC"/>
    <w:rsid w:val="00384327"/>
    <w:rsid w:val="00385D98"/>
    <w:rsid w:val="003A2B4D"/>
    <w:rsid w:val="003A2B5E"/>
    <w:rsid w:val="003A2D12"/>
    <w:rsid w:val="003A478C"/>
    <w:rsid w:val="003A5525"/>
    <w:rsid w:val="003A6B38"/>
    <w:rsid w:val="003B461F"/>
    <w:rsid w:val="003B5A32"/>
    <w:rsid w:val="003B7AFA"/>
    <w:rsid w:val="003C3490"/>
    <w:rsid w:val="003C6550"/>
    <w:rsid w:val="003C7E62"/>
    <w:rsid w:val="003D6920"/>
    <w:rsid w:val="003E3F1E"/>
    <w:rsid w:val="003E48F2"/>
    <w:rsid w:val="003E4C91"/>
    <w:rsid w:val="003E62A5"/>
    <w:rsid w:val="003F313C"/>
    <w:rsid w:val="003F37FC"/>
    <w:rsid w:val="003F4B2C"/>
    <w:rsid w:val="003F551C"/>
    <w:rsid w:val="003F62B0"/>
    <w:rsid w:val="003F72ED"/>
    <w:rsid w:val="003F7D23"/>
    <w:rsid w:val="00400DF4"/>
    <w:rsid w:val="0040550D"/>
    <w:rsid w:val="004069FF"/>
    <w:rsid w:val="00407C13"/>
    <w:rsid w:val="0041041D"/>
    <w:rsid w:val="00410638"/>
    <w:rsid w:val="0041501E"/>
    <w:rsid w:val="004159C3"/>
    <w:rsid w:val="00416EB7"/>
    <w:rsid w:val="00432A58"/>
    <w:rsid w:val="00434617"/>
    <w:rsid w:val="00440900"/>
    <w:rsid w:val="00441BF6"/>
    <w:rsid w:val="00443556"/>
    <w:rsid w:val="004441A0"/>
    <w:rsid w:val="004455BA"/>
    <w:rsid w:val="0045078A"/>
    <w:rsid w:val="0045086D"/>
    <w:rsid w:val="00451504"/>
    <w:rsid w:val="004557A9"/>
    <w:rsid w:val="00456339"/>
    <w:rsid w:val="004607BF"/>
    <w:rsid w:val="00460FB3"/>
    <w:rsid w:val="0046627E"/>
    <w:rsid w:val="00476240"/>
    <w:rsid w:val="00476439"/>
    <w:rsid w:val="0047735C"/>
    <w:rsid w:val="004776BC"/>
    <w:rsid w:val="0048139F"/>
    <w:rsid w:val="00481E40"/>
    <w:rsid w:val="00484ECE"/>
    <w:rsid w:val="00485567"/>
    <w:rsid w:val="004915CB"/>
    <w:rsid w:val="0049166F"/>
    <w:rsid w:val="004924DC"/>
    <w:rsid w:val="004A14E4"/>
    <w:rsid w:val="004A3212"/>
    <w:rsid w:val="004A5494"/>
    <w:rsid w:val="004A61C5"/>
    <w:rsid w:val="004A77DF"/>
    <w:rsid w:val="004B1417"/>
    <w:rsid w:val="004B55B7"/>
    <w:rsid w:val="004B5A60"/>
    <w:rsid w:val="004B6468"/>
    <w:rsid w:val="004B7125"/>
    <w:rsid w:val="004C384C"/>
    <w:rsid w:val="004C3867"/>
    <w:rsid w:val="004C456F"/>
    <w:rsid w:val="004C4CD0"/>
    <w:rsid w:val="004C5B81"/>
    <w:rsid w:val="004C6092"/>
    <w:rsid w:val="004C70DC"/>
    <w:rsid w:val="004D0211"/>
    <w:rsid w:val="004D0794"/>
    <w:rsid w:val="004D5C93"/>
    <w:rsid w:val="004E1288"/>
    <w:rsid w:val="004E7C6B"/>
    <w:rsid w:val="004F06F5"/>
    <w:rsid w:val="004F2C1B"/>
    <w:rsid w:val="004F33A0"/>
    <w:rsid w:val="005040A8"/>
    <w:rsid w:val="0050689D"/>
    <w:rsid w:val="005108C0"/>
    <w:rsid w:val="00511873"/>
    <w:rsid w:val="00512A2F"/>
    <w:rsid w:val="00513B7E"/>
    <w:rsid w:val="00515C74"/>
    <w:rsid w:val="0051713B"/>
    <w:rsid w:val="0052007E"/>
    <w:rsid w:val="0052337A"/>
    <w:rsid w:val="00525137"/>
    <w:rsid w:val="005251DD"/>
    <w:rsid w:val="00532CE7"/>
    <w:rsid w:val="00532E62"/>
    <w:rsid w:val="0053324C"/>
    <w:rsid w:val="00534A28"/>
    <w:rsid w:val="00541508"/>
    <w:rsid w:val="00543498"/>
    <w:rsid w:val="00545512"/>
    <w:rsid w:val="00553016"/>
    <w:rsid w:val="0055599F"/>
    <w:rsid w:val="00556995"/>
    <w:rsid w:val="00556D68"/>
    <w:rsid w:val="00563EB8"/>
    <w:rsid w:val="005647BF"/>
    <w:rsid w:val="00564AF1"/>
    <w:rsid w:val="0057364B"/>
    <w:rsid w:val="00574773"/>
    <w:rsid w:val="0058308D"/>
    <w:rsid w:val="00583FFD"/>
    <w:rsid w:val="00591099"/>
    <w:rsid w:val="005911BE"/>
    <w:rsid w:val="00593152"/>
    <w:rsid w:val="005A10F2"/>
    <w:rsid w:val="005A21E0"/>
    <w:rsid w:val="005A28FF"/>
    <w:rsid w:val="005A3DF8"/>
    <w:rsid w:val="005A5113"/>
    <w:rsid w:val="005A5549"/>
    <w:rsid w:val="005A7038"/>
    <w:rsid w:val="005B121D"/>
    <w:rsid w:val="005C06ED"/>
    <w:rsid w:val="005C2609"/>
    <w:rsid w:val="005C6CF0"/>
    <w:rsid w:val="005D5802"/>
    <w:rsid w:val="005D7119"/>
    <w:rsid w:val="005D7890"/>
    <w:rsid w:val="005E705E"/>
    <w:rsid w:val="005E7C78"/>
    <w:rsid w:val="005F18C5"/>
    <w:rsid w:val="005F3EB1"/>
    <w:rsid w:val="005F46D8"/>
    <w:rsid w:val="005F5469"/>
    <w:rsid w:val="00603FF5"/>
    <w:rsid w:val="00604307"/>
    <w:rsid w:val="0060487F"/>
    <w:rsid w:val="00604EAD"/>
    <w:rsid w:val="006104FB"/>
    <w:rsid w:val="00612A2F"/>
    <w:rsid w:val="006165E5"/>
    <w:rsid w:val="00616E05"/>
    <w:rsid w:val="00622275"/>
    <w:rsid w:val="00624093"/>
    <w:rsid w:val="00625F8F"/>
    <w:rsid w:val="006350D5"/>
    <w:rsid w:val="006404A7"/>
    <w:rsid w:val="006451E4"/>
    <w:rsid w:val="00645B33"/>
    <w:rsid w:val="006516CB"/>
    <w:rsid w:val="00656FC8"/>
    <w:rsid w:val="00657E87"/>
    <w:rsid w:val="00664803"/>
    <w:rsid w:val="0066504F"/>
    <w:rsid w:val="00665BA4"/>
    <w:rsid w:val="00667AF2"/>
    <w:rsid w:val="006710C9"/>
    <w:rsid w:val="006712EC"/>
    <w:rsid w:val="006741AC"/>
    <w:rsid w:val="00674D89"/>
    <w:rsid w:val="00675E37"/>
    <w:rsid w:val="0068174E"/>
    <w:rsid w:val="00681DCE"/>
    <w:rsid w:val="0068260E"/>
    <w:rsid w:val="00693FEC"/>
    <w:rsid w:val="00695BEF"/>
    <w:rsid w:val="006977F6"/>
    <w:rsid w:val="00697A13"/>
    <w:rsid w:val="006A109C"/>
    <w:rsid w:val="006A2056"/>
    <w:rsid w:val="006B0F92"/>
    <w:rsid w:val="006B173A"/>
    <w:rsid w:val="006B344A"/>
    <w:rsid w:val="006B759B"/>
    <w:rsid w:val="006B78D8"/>
    <w:rsid w:val="006C113F"/>
    <w:rsid w:val="006C123E"/>
    <w:rsid w:val="006C1752"/>
    <w:rsid w:val="006C4460"/>
    <w:rsid w:val="006C56D4"/>
    <w:rsid w:val="006C6924"/>
    <w:rsid w:val="006C7CA6"/>
    <w:rsid w:val="006D3E8A"/>
    <w:rsid w:val="006D61F6"/>
    <w:rsid w:val="006E279A"/>
    <w:rsid w:val="006E313B"/>
    <w:rsid w:val="006E4254"/>
    <w:rsid w:val="006E7227"/>
    <w:rsid w:val="006F438E"/>
    <w:rsid w:val="006F5416"/>
    <w:rsid w:val="006F7076"/>
    <w:rsid w:val="00705242"/>
    <w:rsid w:val="00706AD4"/>
    <w:rsid w:val="00707150"/>
    <w:rsid w:val="007140BE"/>
    <w:rsid w:val="007143B4"/>
    <w:rsid w:val="007211F5"/>
    <w:rsid w:val="00723946"/>
    <w:rsid w:val="007240E2"/>
    <w:rsid w:val="00725BB5"/>
    <w:rsid w:val="00730517"/>
    <w:rsid w:val="00730AE8"/>
    <w:rsid w:val="00730F1B"/>
    <w:rsid w:val="007342AC"/>
    <w:rsid w:val="00741493"/>
    <w:rsid w:val="00752180"/>
    <w:rsid w:val="00753CAB"/>
    <w:rsid w:val="00755202"/>
    <w:rsid w:val="00755D3A"/>
    <w:rsid w:val="007578D3"/>
    <w:rsid w:val="007609C6"/>
    <w:rsid w:val="00760EA4"/>
    <w:rsid w:val="0076175D"/>
    <w:rsid w:val="00763B85"/>
    <w:rsid w:val="00764744"/>
    <w:rsid w:val="0076521E"/>
    <w:rsid w:val="007661E9"/>
    <w:rsid w:val="00773220"/>
    <w:rsid w:val="00776169"/>
    <w:rsid w:val="00776527"/>
    <w:rsid w:val="00776EAB"/>
    <w:rsid w:val="00780EF1"/>
    <w:rsid w:val="00782AD8"/>
    <w:rsid w:val="00790711"/>
    <w:rsid w:val="00790764"/>
    <w:rsid w:val="0079124F"/>
    <w:rsid w:val="0079453C"/>
    <w:rsid w:val="00794677"/>
    <w:rsid w:val="00797445"/>
    <w:rsid w:val="007A3861"/>
    <w:rsid w:val="007A516D"/>
    <w:rsid w:val="007B6689"/>
    <w:rsid w:val="007C6BBD"/>
    <w:rsid w:val="007D293C"/>
    <w:rsid w:val="007D40DF"/>
    <w:rsid w:val="007E29B4"/>
    <w:rsid w:val="007E435A"/>
    <w:rsid w:val="007E7E61"/>
    <w:rsid w:val="007E7FCE"/>
    <w:rsid w:val="007F0845"/>
    <w:rsid w:val="007F708D"/>
    <w:rsid w:val="00800216"/>
    <w:rsid w:val="00801E13"/>
    <w:rsid w:val="00807C82"/>
    <w:rsid w:val="00810C82"/>
    <w:rsid w:val="00814B15"/>
    <w:rsid w:val="00816905"/>
    <w:rsid w:val="00821777"/>
    <w:rsid w:val="00821FF6"/>
    <w:rsid w:val="00822574"/>
    <w:rsid w:val="00825C4D"/>
    <w:rsid w:val="008304D1"/>
    <w:rsid w:val="0083143E"/>
    <w:rsid w:val="00831CDE"/>
    <w:rsid w:val="00834304"/>
    <w:rsid w:val="00834FAA"/>
    <w:rsid w:val="0083516C"/>
    <w:rsid w:val="00836086"/>
    <w:rsid w:val="00846121"/>
    <w:rsid w:val="008462A8"/>
    <w:rsid w:val="0084708F"/>
    <w:rsid w:val="008477C8"/>
    <w:rsid w:val="00850815"/>
    <w:rsid w:val="0085114D"/>
    <w:rsid w:val="00852217"/>
    <w:rsid w:val="00855408"/>
    <w:rsid w:val="00855712"/>
    <w:rsid w:val="00856D65"/>
    <w:rsid w:val="00861B41"/>
    <w:rsid w:val="00861BE3"/>
    <w:rsid w:val="00863434"/>
    <w:rsid w:val="00865E4C"/>
    <w:rsid w:val="008701E4"/>
    <w:rsid w:val="00871069"/>
    <w:rsid w:val="00875A32"/>
    <w:rsid w:val="00876086"/>
    <w:rsid w:val="008825B0"/>
    <w:rsid w:val="00884AD6"/>
    <w:rsid w:val="008873D4"/>
    <w:rsid w:val="0089126C"/>
    <w:rsid w:val="0089296D"/>
    <w:rsid w:val="00893E85"/>
    <w:rsid w:val="00894031"/>
    <w:rsid w:val="00895508"/>
    <w:rsid w:val="008A6CB4"/>
    <w:rsid w:val="008B5CF6"/>
    <w:rsid w:val="008B7C02"/>
    <w:rsid w:val="008B7D2B"/>
    <w:rsid w:val="008C0049"/>
    <w:rsid w:val="008C0E88"/>
    <w:rsid w:val="008C53CB"/>
    <w:rsid w:val="008D1E6A"/>
    <w:rsid w:val="008D2A16"/>
    <w:rsid w:val="008D6B35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31A3"/>
    <w:rsid w:val="00924AC8"/>
    <w:rsid w:val="0092597A"/>
    <w:rsid w:val="00925E75"/>
    <w:rsid w:val="00930FB1"/>
    <w:rsid w:val="0093139F"/>
    <w:rsid w:val="00932443"/>
    <w:rsid w:val="00937AE2"/>
    <w:rsid w:val="0094427A"/>
    <w:rsid w:val="00945245"/>
    <w:rsid w:val="00957309"/>
    <w:rsid w:val="0095759C"/>
    <w:rsid w:val="00967E76"/>
    <w:rsid w:val="009721DB"/>
    <w:rsid w:val="0097239B"/>
    <w:rsid w:val="00974923"/>
    <w:rsid w:val="009808F7"/>
    <w:rsid w:val="00980D3D"/>
    <w:rsid w:val="00981FFA"/>
    <w:rsid w:val="009855E1"/>
    <w:rsid w:val="00987A30"/>
    <w:rsid w:val="00992CF3"/>
    <w:rsid w:val="00994868"/>
    <w:rsid w:val="0099574A"/>
    <w:rsid w:val="009968D6"/>
    <w:rsid w:val="009A1CAB"/>
    <w:rsid w:val="009A60D1"/>
    <w:rsid w:val="009B6FD3"/>
    <w:rsid w:val="009C1750"/>
    <w:rsid w:val="009C2E29"/>
    <w:rsid w:val="009C554B"/>
    <w:rsid w:val="009C719E"/>
    <w:rsid w:val="009C7A10"/>
    <w:rsid w:val="009D1120"/>
    <w:rsid w:val="009D3ACD"/>
    <w:rsid w:val="009E5273"/>
    <w:rsid w:val="009E5DDB"/>
    <w:rsid w:val="009E7F05"/>
    <w:rsid w:val="009F46B7"/>
    <w:rsid w:val="009F4CA7"/>
    <w:rsid w:val="00A04CEF"/>
    <w:rsid w:val="00A10D66"/>
    <w:rsid w:val="00A14114"/>
    <w:rsid w:val="00A1537C"/>
    <w:rsid w:val="00A16413"/>
    <w:rsid w:val="00A16E1D"/>
    <w:rsid w:val="00A17D5B"/>
    <w:rsid w:val="00A17EB2"/>
    <w:rsid w:val="00A206E5"/>
    <w:rsid w:val="00A20CC0"/>
    <w:rsid w:val="00A23447"/>
    <w:rsid w:val="00A23E43"/>
    <w:rsid w:val="00A25216"/>
    <w:rsid w:val="00A30F65"/>
    <w:rsid w:val="00A33549"/>
    <w:rsid w:val="00A33A89"/>
    <w:rsid w:val="00A40EAC"/>
    <w:rsid w:val="00A40EDD"/>
    <w:rsid w:val="00A418BC"/>
    <w:rsid w:val="00A4206C"/>
    <w:rsid w:val="00A46DE0"/>
    <w:rsid w:val="00A472EB"/>
    <w:rsid w:val="00A47FCA"/>
    <w:rsid w:val="00A50D73"/>
    <w:rsid w:val="00A52CAD"/>
    <w:rsid w:val="00A53FC7"/>
    <w:rsid w:val="00A62CE1"/>
    <w:rsid w:val="00A668A3"/>
    <w:rsid w:val="00A6741E"/>
    <w:rsid w:val="00A754EA"/>
    <w:rsid w:val="00A75E40"/>
    <w:rsid w:val="00A77D1D"/>
    <w:rsid w:val="00A84A6A"/>
    <w:rsid w:val="00A857C0"/>
    <w:rsid w:val="00A90FED"/>
    <w:rsid w:val="00AA2996"/>
    <w:rsid w:val="00AA2A70"/>
    <w:rsid w:val="00AA52BF"/>
    <w:rsid w:val="00AA559A"/>
    <w:rsid w:val="00AB2AF1"/>
    <w:rsid w:val="00AB535B"/>
    <w:rsid w:val="00AC45BD"/>
    <w:rsid w:val="00AD168E"/>
    <w:rsid w:val="00AD306C"/>
    <w:rsid w:val="00AD4F16"/>
    <w:rsid w:val="00AD68C4"/>
    <w:rsid w:val="00AE09B3"/>
    <w:rsid w:val="00AE0ED3"/>
    <w:rsid w:val="00AE1A83"/>
    <w:rsid w:val="00AE31A7"/>
    <w:rsid w:val="00AF6128"/>
    <w:rsid w:val="00B00913"/>
    <w:rsid w:val="00B01593"/>
    <w:rsid w:val="00B023F2"/>
    <w:rsid w:val="00B04705"/>
    <w:rsid w:val="00B04E70"/>
    <w:rsid w:val="00B07BBB"/>
    <w:rsid w:val="00B10A4D"/>
    <w:rsid w:val="00B14BC1"/>
    <w:rsid w:val="00B17E71"/>
    <w:rsid w:val="00B17FDE"/>
    <w:rsid w:val="00B2379C"/>
    <w:rsid w:val="00B25189"/>
    <w:rsid w:val="00B2687D"/>
    <w:rsid w:val="00B26897"/>
    <w:rsid w:val="00B32DDB"/>
    <w:rsid w:val="00B34528"/>
    <w:rsid w:val="00B34CC9"/>
    <w:rsid w:val="00B402FC"/>
    <w:rsid w:val="00B439DA"/>
    <w:rsid w:val="00B46604"/>
    <w:rsid w:val="00B530CD"/>
    <w:rsid w:val="00B55F5E"/>
    <w:rsid w:val="00B5752E"/>
    <w:rsid w:val="00B63A11"/>
    <w:rsid w:val="00B63B6A"/>
    <w:rsid w:val="00B64C24"/>
    <w:rsid w:val="00B6608F"/>
    <w:rsid w:val="00B67768"/>
    <w:rsid w:val="00B679FB"/>
    <w:rsid w:val="00B71EF7"/>
    <w:rsid w:val="00B7665A"/>
    <w:rsid w:val="00B76D1E"/>
    <w:rsid w:val="00B8028A"/>
    <w:rsid w:val="00B80EC6"/>
    <w:rsid w:val="00B84CF6"/>
    <w:rsid w:val="00B92D1D"/>
    <w:rsid w:val="00B938C5"/>
    <w:rsid w:val="00B95940"/>
    <w:rsid w:val="00BA37EA"/>
    <w:rsid w:val="00BA6C2B"/>
    <w:rsid w:val="00BB46F3"/>
    <w:rsid w:val="00BB4CB1"/>
    <w:rsid w:val="00BB4F98"/>
    <w:rsid w:val="00BB73ED"/>
    <w:rsid w:val="00BC5C12"/>
    <w:rsid w:val="00BC7154"/>
    <w:rsid w:val="00BC731E"/>
    <w:rsid w:val="00BD366B"/>
    <w:rsid w:val="00BD6D50"/>
    <w:rsid w:val="00BE18B9"/>
    <w:rsid w:val="00BE2495"/>
    <w:rsid w:val="00BF1578"/>
    <w:rsid w:val="00BF3B1D"/>
    <w:rsid w:val="00BF723F"/>
    <w:rsid w:val="00C21F94"/>
    <w:rsid w:val="00C27913"/>
    <w:rsid w:val="00C27E4F"/>
    <w:rsid w:val="00C325AE"/>
    <w:rsid w:val="00C32964"/>
    <w:rsid w:val="00C33B68"/>
    <w:rsid w:val="00C36A79"/>
    <w:rsid w:val="00C401D2"/>
    <w:rsid w:val="00C405D4"/>
    <w:rsid w:val="00C4431F"/>
    <w:rsid w:val="00C4513B"/>
    <w:rsid w:val="00C5390B"/>
    <w:rsid w:val="00C53E5D"/>
    <w:rsid w:val="00C54697"/>
    <w:rsid w:val="00C65535"/>
    <w:rsid w:val="00C66B0D"/>
    <w:rsid w:val="00C71E85"/>
    <w:rsid w:val="00C72884"/>
    <w:rsid w:val="00C73885"/>
    <w:rsid w:val="00C747B1"/>
    <w:rsid w:val="00C82191"/>
    <w:rsid w:val="00C83134"/>
    <w:rsid w:val="00C85545"/>
    <w:rsid w:val="00C90CF4"/>
    <w:rsid w:val="00C92EB6"/>
    <w:rsid w:val="00C93389"/>
    <w:rsid w:val="00CA0914"/>
    <w:rsid w:val="00CA6AB4"/>
    <w:rsid w:val="00CA7BE7"/>
    <w:rsid w:val="00CB4930"/>
    <w:rsid w:val="00CC2E7D"/>
    <w:rsid w:val="00CD10A5"/>
    <w:rsid w:val="00CD2076"/>
    <w:rsid w:val="00CD29B5"/>
    <w:rsid w:val="00CD6331"/>
    <w:rsid w:val="00CD7AFB"/>
    <w:rsid w:val="00CE670B"/>
    <w:rsid w:val="00CF39C9"/>
    <w:rsid w:val="00CF4908"/>
    <w:rsid w:val="00CF51EC"/>
    <w:rsid w:val="00CF73AE"/>
    <w:rsid w:val="00D040DD"/>
    <w:rsid w:val="00D075BE"/>
    <w:rsid w:val="00D13986"/>
    <w:rsid w:val="00D21D83"/>
    <w:rsid w:val="00D235B7"/>
    <w:rsid w:val="00D23C02"/>
    <w:rsid w:val="00D25F28"/>
    <w:rsid w:val="00D26071"/>
    <w:rsid w:val="00D27973"/>
    <w:rsid w:val="00D35E1A"/>
    <w:rsid w:val="00D42211"/>
    <w:rsid w:val="00D50F46"/>
    <w:rsid w:val="00D567C6"/>
    <w:rsid w:val="00D57677"/>
    <w:rsid w:val="00D66223"/>
    <w:rsid w:val="00D71625"/>
    <w:rsid w:val="00D751DA"/>
    <w:rsid w:val="00D8084C"/>
    <w:rsid w:val="00D915EA"/>
    <w:rsid w:val="00D96855"/>
    <w:rsid w:val="00DA48C1"/>
    <w:rsid w:val="00DA7C0C"/>
    <w:rsid w:val="00DB08A9"/>
    <w:rsid w:val="00DB2EC8"/>
    <w:rsid w:val="00DB5FC0"/>
    <w:rsid w:val="00DB6566"/>
    <w:rsid w:val="00DC1E84"/>
    <w:rsid w:val="00DC48F1"/>
    <w:rsid w:val="00DC5B3B"/>
    <w:rsid w:val="00DD129F"/>
    <w:rsid w:val="00DD4EFE"/>
    <w:rsid w:val="00DE02BD"/>
    <w:rsid w:val="00DF42FF"/>
    <w:rsid w:val="00DF5908"/>
    <w:rsid w:val="00E01C0E"/>
    <w:rsid w:val="00E03F9A"/>
    <w:rsid w:val="00E0465E"/>
    <w:rsid w:val="00E04694"/>
    <w:rsid w:val="00E063CE"/>
    <w:rsid w:val="00E12B1E"/>
    <w:rsid w:val="00E17262"/>
    <w:rsid w:val="00E253A2"/>
    <w:rsid w:val="00E3309D"/>
    <w:rsid w:val="00E43C1C"/>
    <w:rsid w:val="00E45931"/>
    <w:rsid w:val="00E47EBA"/>
    <w:rsid w:val="00E50156"/>
    <w:rsid w:val="00E51643"/>
    <w:rsid w:val="00E53470"/>
    <w:rsid w:val="00E53874"/>
    <w:rsid w:val="00E539F6"/>
    <w:rsid w:val="00E54E39"/>
    <w:rsid w:val="00E6519D"/>
    <w:rsid w:val="00E67696"/>
    <w:rsid w:val="00E71A58"/>
    <w:rsid w:val="00E72A7A"/>
    <w:rsid w:val="00E75C94"/>
    <w:rsid w:val="00E920F4"/>
    <w:rsid w:val="00E93820"/>
    <w:rsid w:val="00E94A86"/>
    <w:rsid w:val="00E96143"/>
    <w:rsid w:val="00EA0987"/>
    <w:rsid w:val="00EA0C68"/>
    <w:rsid w:val="00EA32BC"/>
    <w:rsid w:val="00EA4302"/>
    <w:rsid w:val="00EB39C7"/>
    <w:rsid w:val="00EB3D8F"/>
    <w:rsid w:val="00EB4511"/>
    <w:rsid w:val="00EC03D7"/>
    <w:rsid w:val="00ED62C6"/>
    <w:rsid w:val="00ED64C1"/>
    <w:rsid w:val="00EE0E68"/>
    <w:rsid w:val="00EE3446"/>
    <w:rsid w:val="00EE3E78"/>
    <w:rsid w:val="00EE4B1B"/>
    <w:rsid w:val="00EE7F19"/>
    <w:rsid w:val="00EF150D"/>
    <w:rsid w:val="00EF1F5A"/>
    <w:rsid w:val="00EF47BF"/>
    <w:rsid w:val="00EF6DB3"/>
    <w:rsid w:val="00F04811"/>
    <w:rsid w:val="00F0488C"/>
    <w:rsid w:val="00F10F11"/>
    <w:rsid w:val="00F15AAA"/>
    <w:rsid w:val="00F15BEF"/>
    <w:rsid w:val="00F24407"/>
    <w:rsid w:val="00F24931"/>
    <w:rsid w:val="00F24FAA"/>
    <w:rsid w:val="00F3364D"/>
    <w:rsid w:val="00F437CC"/>
    <w:rsid w:val="00F43E29"/>
    <w:rsid w:val="00F44537"/>
    <w:rsid w:val="00F44B6A"/>
    <w:rsid w:val="00F47067"/>
    <w:rsid w:val="00F50FC3"/>
    <w:rsid w:val="00F52106"/>
    <w:rsid w:val="00F525EB"/>
    <w:rsid w:val="00F63DDE"/>
    <w:rsid w:val="00F63FB7"/>
    <w:rsid w:val="00F6421B"/>
    <w:rsid w:val="00F649D2"/>
    <w:rsid w:val="00F6602B"/>
    <w:rsid w:val="00F66FD9"/>
    <w:rsid w:val="00F67C4E"/>
    <w:rsid w:val="00F73A0C"/>
    <w:rsid w:val="00F756DB"/>
    <w:rsid w:val="00F84E7D"/>
    <w:rsid w:val="00F85066"/>
    <w:rsid w:val="00F87A4D"/>
    <w:rsid w:val="00F9785E"/>
    <w:rsid w:val="00FA5D4D"/>
    <w:rsid w:val="00FA60AD"/>
    <w:rsid w:val="00FA7115"/>
    <w:rsid w:val="00FB0EE2"/>
    <w:rsid w:val="00FB4423"/>
    <w:rsid w:val="00FB542E"/>
    <w:rsid w:val="00FC0E5F"/>
    <w:rsid w:val="00FC1A95"/>
    <w:rsid w:val="00FC56DE"/>
    <w:rsid w:val="00FC684B"/>
    <w:rsid w:val="00FD3265"/>
    <w:rsid w:val="00FD5F92"/>
    <w:rsid w:val="00FD66F9"/>
    <w:rsid w:val="00FE2F78"/>
    <w:rsid w:val="00FF4082"/>
    <w:rsid w:val="00FF7090"/>
    <w:rsid w:val="00FF7B96"/>
    <w:rsid w:val="010E6CF6"/>
    <w:rsid w:val="0274CEEB"/>
    <w:rsid w:val="11D0C0D9"/>
    <w:rsid w:val="1C7F89FF"/>
    <w:rsid w:val="304DB734"/>
    <w:rsid w:val="30D0B3BE"/>
    <w:rsid w:val="52CC52E2"/>
    <w:rsid w:val="55C2456F"/>
    <w:rsid w:val="614CA75B"/>
    <w:rsid w:val="6B2670A5"/>
    <w:rsid w:val="6E1EAC99"/>
    <w:rsid w:val="7BDB84E4"/>
    <w:rsid w:val="7DB2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1432897"/>
  <w15:docId w15:val="{3A7C6927-7F52-4209-ABA9-A0ACA865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A0987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86BF5E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EA0987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86BF5E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EA0987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86BF5E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1041D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86BF5E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EA0987"/>
    <w:rPr>
      <w:rFonts w:ascii="Arial" w:eastAsia="MS Gothic" w:hAnsi="Arial"/>
      <w:b/>
      <w:bCs/>
      <w:color w:val="86BF5E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EA0987"/>
    <w:rPr>
      <w:rFonts w:ascii="Arial" w:eastAsia="MS Gothic" w:hAnsi="Arial"/>
      <w:b/>
      <w:bCs/>
      <w:color w:val="86BF5E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EA0987"/>
    <w:rPr>
      <w:rFonts w:ascii="Arial" w:eastAsia="MS Gothic" w:hAnsi="Arial"/>
      <w:b/>
      <w:bCs/>
      <w:color w:val="86BF5E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41041D"/>
    <w:rPr>
      <w:rFonts w:ascii="Arial" w:eastAsia="MS Gothic" w:hAnsi="Arial"/>
      <w:b/>
      <w:bCs/>
      <w:iCs/>
      <w:color w:val="86BF5E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0A57D4"/>
    <w:pPr>
      <w:spacing w:after="80" w:line="288" w:lineRule="auto"/>
    </w:pPr>
    <w:rPr>
      <w:rFonts w:ascii="Arial" w:eastAsia="Times New Roman" w:hAnsi="Arial"/>
      <w:b/>
      <w:color w:val="86BF5E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EA0987"/>
    <w:pPr>
      <w:shd w:val="clear" w:color="auto" w:fill="F0F6E9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EA0987"/>
    <w:pPr>
      <w:spacing w:before="240" w:after="240" w:line="276" w:lineRule="auto"/>
      <w:contextualSpacing/>
      <w:jc w:val="both"/>
    </w:pPr>
    <w:rPr>
      <w:rFonts w:ascii="Arial" w:hAnsi="Arial" w:cs="Arial"/>
      <w:color w:val="86BF5E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0A57D4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0A57D4"/>
    <w:pPr>
      <w:spacing w:after="160" w:line="259" w:lineRule="auto"/>
      <w:contextualSpacing/>
    </w:pPr>
    <w:rPr>
      <w:rFonts w:ascii="Arial" w:eastAsia="Times New Roman" w:hAnsi="Arial"/>
      <w:b/>
      <w:color w:val="86BF5E"/>
      <w:lang w:eastAsia="cs-CZ"/>
    </w:rPr>
  </w:style>
  <w:style w:type="paragraph" w:styleId="Nzev">
    <w:name w:val="Title"/>
    <w:link w:val="NzevChar"/>
    <w:uiPriority w:val="10"/>
    <w:qFormat/>
    <w:rsid w:val="001E6062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1E6062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E6062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E6062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EA0987"/>
    <w:pPr>
      <w:shd w:val="clear" w:color="auto" w:fill="F0F6E9"/>
      <w:spacing w:before="240" w:after="240" w:line="276" w:lineRule="auto"/>
      <w:ind w:left="709"/>
      <w:contextualSpacing/>
      <w:jc w:val="both"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EA0987"/>
    <w:pPr>
      <w:spacing w:before="240" w:after="240" w:line="276" w:lineRule="auto"/>
      <w:ind w:left="709"/>
      <w:contextualSpacing/>
      <w:jc w:val="both"/>
    </w:pPr>
    <w:rPr>
      <w:rFonts w:ascii="Arial" w:hAnsi="Arial" w:cs="Arial"/>
      <w:b/>
      <w:color w:val="86BF5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1E6062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1E6062"/>
    <w:rPr>
      <w:b/>
      <w:bCs/>
      <w:smallCaps/>
      <w:color w:val="000000" w:themeColor="text1"/>
      <w:spacing w:val="5"/>
    </w:rPr>
  </w:style>
  <w:style w:type="character" w:styleId="Znakapoznpodarou">
    <w:name w:val="footnote reference"/>
    <w:basedOn w:val="Standardnpsmoodstavce"/>
    <w:rsid w:val="00E063CE"/>
    <w:rPr>
      <w:rFonts w:cs="Times New Roman"/>
      <w:vertAlign w:val="superscript"/>
    </w:rPr>
  </w:style>
  <w:style w:type="paragraph" w:customStyle="1" w:styleId="Nadpis11">
    <w:name w:val="Nadpis 11"/>
    <w:basedOn w:val="Normln"/>
    <w:uiPriority w:val="9"/>
    <w:qFormat/>
    <w:rsid w:val="008A6CB4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8A6CB4"/>
    <w:pPr>
      <w:spacing w:after="0" w:line="240" w:lineRule="auto"/>
      <w:jc w:val="left"/>
    </w:pPr>
    <w:rPr>
      <w:rFonts w:eastAsia="Calibri"/>
      <w:szCs w:val="20"/>
    </w:rPr>
  </w:style>
  <w:style w:type="character" w:styleId="Zdraznn">
    <w:name w:val="Emphasis"/>
    <w:basedOn w:val="Standardnpsmoodstavce"/>
    <w:uiPriority w:val="20"/>
    <w:qFormat/>
    <w:rsid w:val="00C4431F"/>
    <w:rPr>
      <w:i/>
      <w:iCs/>
    </w:rPr>
  </w:style>
  <w:style w:type="character" w:customStyle="1" w:styleId="normaltextrun">
    <w:name w:val="normaltextrun"/>
    <w:basedOn w:val="Standardnpsmoodstavce"/>
    <w:rsid w:val="00C4431F"/>
  </w:style>
  <w:style w:type="paragraph" w:customStyle="1" w:styleId="paragraph">
    <w:name w:val="paragraph"/>
    <w:basedOn w:val="Normln"/>
    <w:rsid w:val="00C4431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C4431F"/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03FF5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5455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4551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45512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5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512"/>
    <w:rPr>
      <w:rFonts w:ascii="Arial" w:eastAsia="Times New Roman" w:hAnsi="Arial"/>
      <w:b/>
      <w:bCs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54551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4551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54551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customStyle="1" w:styleId="spelle">
    <w:name w:val="spelle"/>
    <w:basedOn w:val="Standardnpsmoodstavce"/>
    <w:rsid w:val="00545512"/>
  </w:style>
  <w:style w:type="paragraph" w:styleId="Revize">
    <w:name w:val="Revision"/>
    <w:hidden/>
    <w:uiPriority w:val="99"/>
    <w:semiHidden/>
    <w:rsid w:val="00545512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45512"/>
  </w:style>
  <w:style w:type="character" w:customStyle="1" w:styleId="tabulka">
    <w:name w:val="tabulka"/>
    <w:basedOn w:val="Standardnpsmoodstavce"/>
    <w:rsid w:val="00545512"/>
  </w:style>
  <w:style w:type="paragraph" w:customStyle="1" w:styleId="Default">
    <w:name w:val="Default"/>
    <w:rsid w:val="0054551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45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45512"/>
    <w:rPr>
      <w:rFonts w:ascii="Courier New" w:eastAsia="Times New Roman" w:hAnsi="Courier New" w:cs="Courier New"/>
      <w:lang w:eastAsia="cs-CZ"/>
    </w:rPr>
  </w:style>
  <w:style w:type="paragraph" w:customStyle="1" w:styleId="cay">
    <w:name w:val="c_ay"/>
    <w:basedOn w:val="Normln"/>
    <w:rsid w:val="0054551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cew">
    <w:name w:val="c_ew"/>
    <w:basedOn w:val="Standardnpsmoodstavce"/>
    <w:rsid w:val="00545512"/>
  </w:style>
  <w:style w:type="character" w:styleId="Sledovanodkaz">
    <w:name w:val="FollowedHyperlink"/>
    <w:basedOn w:val="Standardnpsmoodstavce"/>
    <w:uiPriority w:val="99"/>
    <w:semiHidden/>
    <w:unhideWhenUsed/>
    <w:rsid w:val="00545512"/>
    <w:rPr>
      <w:color w:val="800080" w:themeColor="followedHyperlink"/>
      <w:u w:val="single"/>
    </w:rPr>
  </w:style>
  <w:style w:type="character" w:customStyle="1" w:styleId="cfu">
    <w:name w:val="c_fu"/>
    <w:basedOn w:val="Standardnpsmoodstavce"/>
    <w:rsid w:val="00BF3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1df8c39b067b5d25b5f5e865a8e6deb3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0a1e36cc980726b26aea9439dfb6e5b7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8A1E1-1E99-4B4F-B9B5-70567730A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681AD-41B0-431A-9D34-CF6700A12FAC}">
  <ds:schemaRefs>
    <ds:schemaRef ds:uri="http://schemas.microsoft.com/office/2006/documentManagement/types"/>
    <ds:schemaRef ds:uri="http://schemas.microsoft.com/office/2006/metadata/properties"/>
    <ds:schemaRef ds:uri="b8c0c86d-151e-4fca-b0d5-747e6692fa1d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5BC6B78-CD4F-4CCE-9179-CFFE2F383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B9AE42-03C8-4B0F-9925-DB33D9FC1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585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Jana</dc:creator>
  <cp:keywords/>
  <cp:lastModifiedBy>Zábojníková Karolína</cp:lastModifiedBy>
  <cp:revision>3</cp:revision>
  <cp:lastPrinted>2014-07-17T14:07:00Z</cp:lastPrinted>
  <dcterms:created xsi:type="dcterms:W3CDTF">2025-09-16T11:02:00Z</dcterms:created>
  <dcterms:modified xsi:type="dcterms:W3CDTF">2025-09-16T11:06:00Z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  <property fmtid="{D5CDD505-2E9C-101B-9397-08002B2CF9AE}" pid="3" name="Názevformuláře">
    <vt:lpwstr>Publikace CZ barevné - vícetematické analýzy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2018-04-17T07:00:00Z</vt:filetime>
  </property>
  <property fmtid="{D5CDD505-2E9C-101B-9397-08002B2CF9AE}" pid="8" name="Označení">
    <vt:lpwstr>Form_c444</vt:lpwstr>
  </property>
  <property fmtid="{D5CDD505-2E9C-101B-9397-08002B2CF9AE}" pid="9" name="MediaServiceImageTags">
    <vt:lpwstr/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</Properties>
</file>