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A9E" w:rsidRPr="00991A9E" w:rsidRDefault="00991A9E" w:rsidP="009E3131">
      <w:pPr>
        <w:pStyle w:val="Nadpis2"/>
      </w:pPr>
      <w:bookmarkStart w:id="0" w:name="_3.2._Výdaje_domácností"/>
      <w:bookmarkStart w:id="1" w:name="_Toc127174559"/>
      <w:bookmarkStart w:id="2" w:name="_Toc127757331"/>
      <w:bookmarkStart w:id="3" w:name="_Toc127758621"/>
      <w:bookmarkStart w:id="4" w:name="_Toc130184766"/>
      <w:bookmarkStart w:id="5" w:name="_Toc256065142"/>
      <w:bookmarkStart w:id="6" w:name="_Toc481748792"/>
      <w:bookmarkEnd w:id="0"/>
      <w:r w:rsidRPr="00991A9E">
        <w:t>3.2. Výdaje domácností na zdravotní péči</w:t>
      </w:r>
      <w:bookmarkEnd w:id="1"/>
      <w:bookmarkEnd w:id="2"/>
      <w:bookmarkEnd w:id="3"/>
      <w:bookmarkEnd w:id="4"/>
      <w:bookmarkEnd w:id="5"/>
      <w:bookmarkEnd w:id="6"/>
    </w:p>
    <w:p w:rsidR="00991A9E" w:rsidRPr="00991A9E" w:rsidRDefault="00991A9E" w:rsidP="00991A9E">
      <w:pPr>
        <w:keepNext/>
        <w:spacing w:before="120"/>
        <w:jc w:val="both"/>
        <w:rPr>
          <w:rFonts w:cs="Arial"/>
          <w:color w:val="000000"/>
          <w:szCs w:val="20"/>
        </w:rPr>
      </w:pPr>
      <w:r w:rsidRPr="00991A9E">
        <w:rPr>
          <w:rFonts w:cs="Arial"/>
          <w:color w:val="000000"/>
          <w:szCs w:val="20"/>
        </w:rPr>
        <w:t xml:space="preserve">Následující kapitola přináší přehled </w:t>
      </w:r>
      <w:r w:rsidRPr="00991A9E">
        <w:rPr>
          <w:rFonts w:cs="Arial"/>
          <w:b/>
          <w:color w:val="000000"/>
          <w:szCs w:val="20"/>
        </w:rPr>
        <w:t>základních údajů o celkových výdajích domácností na zdravotní péči</w:t>
      </w:r>
      <w:r w:rsidRPr="00991A9E">
        <w:rPr>
          <w:rFonts w:cs="Arial"/>
          <w:color w:val="000000"/>
          <w:szCs w:val="20"/>
        </w:rPr>
        <w:t xml:space="preserve"> za uplynulých deset let. Více pozornosti je věnováno výdajům </w:t>
      </w:r>
      <w:r w:rsidRPr="00991A9E">
        <w:rPr>
          <w:rFonts w:cs="Arial"/>
          <w:b/>
          <w:color w:val="000000"/>
          <w:szCs w:val="20"/>
        </w:rPr>
        <w:t>na léky</w:t>
      </w:r>
      <w:r w:rsidRPr="00991A9E">
        <w:rPr>
          <w:rFonts w:cs="Arial"/>
          <w:color w:val="000000"/>
          <w:szCs w:val="20"/>
        </w:rPr>
        <w:t xml:space="preserve">, které patří k nejnákladnějším položkám českých domácností. Zaměříme se rovněž na informace o výdajích domácností </w:t>
      </w:r>
      <w:r w:rsidRPr="00991A9E">
        <w:rPr>
          <w:rFonts w:cs="Arial"/>
          <w:b/>
          <w:color w:val="000000"/>
          <w:szCs w:val="20"/>
        </w:rPr>
        <w:t xml:space="preserve">na jednotlivé druhy zdravotní péče </w:t>
      </w:r>
      <w:r w:rsidRPr="00991A9E">
        <w:rPr>
          <w:rFonts w:cs="Arial"/>
          <w:color w:val="000000"/>
          <w:szCs w:val="20"/>
        </w:rPr>
        <w:t xml:space="preserve">a připomeneme si </w:t>
      </w:r>
      <w:r w:rsidRPr="00991A9E">
        <w:rPr>
          <w:rFonts w:cs="Arial"/>
          <w:b/>
          <w:color w:val="000000"/>
          <w:szCs w:val="20"/>
        </w:rPr>
        <w:t>vývoj regulačních poplatků</w:t>
      </w:r>
      <w:r w:rsidRPr="00991A9E">
        <w:rPr>
          <w:rFonts w:cs="Arial"/>
          <w:color w:val="000000"/>
          <w:szCs w:val="20"/>
        </w:rPr>
        <w:t xml:space="preserve"> od jejich počátku do současné doby.</w:t>
      </w:r>
    </w:p>
    <w:p w:rsidR="00991A9E" w:rsidRPr="00991A9E" w:rsidRDefault="00991A9E" w:rsidP="00A5555E">
      <w:pPr>
        <w:pStyle w:val="Nadpis3"/>
      </w:pPr>
      <w:bookmarkStart w:id="7" w:name="_Toc481748793"/>
      <w:r w:rsidRPr="00991A9E">
        <w:t>3.2.1. Základní údaje</w:t>
      </w:r>
      <w:bookmarkEnd w:id="7"/>
    </w:p>
    <w:p w:rsidR="00991A9E" w:rsidRPr="00991A9E" w:rsidRDefault="00991A9E" w:rsidP="00991A9E">
      <w:pPr>
        <w:keepNext/>
        <w:spacing w:before="120"/>
        <w:jc w:val="both"/>
        <w:rPr>
          <w:szCs w:val="17"/>
        </w:rPr>
      </w:pPr>
      <w:r w:rsidRPr="00991A9E">
        <w:rPr>
          <w:rFonts w:cs="Arial"/>
          <w:b/>
          <w:color w:val="000000"/>
          <w:szCs w:val="20"/>
        </w:rPr>
        <w:t>Výdaje domácností na zdravotní péči</w:t>
      </w:r>
      <w:r w:rsidRPr="00991A9E">
        <w:rPr>
          <w:rFonts w:cs="Arial"/>
          <w:color w:val="000000"/>
          <w:szCs w:val="20"/>
        </w:rPr>
        <w:t xml:space="preserve"> v roce 2015 dosáhly </w:t>
      </w:r>
      <w:r w:rsidRPr="00991A9E">
        <w:rPr>
          <w:szCs w:val="17"/>
        </w:rPr>
        <w:t>4</w:t>
      </w:r>
      <w:r w:rsidR="007A7329">
        <w:rPr>
          <w:szCs w:val="17"/>
        </w:rPr>
        <w:t>9</w:t>
      </w:r>
      <w:r w:rsidRPr="00991A9E">
        <w:rPr>
          <w:szCs w:val="17"/>
        </w:rPr>
        <w:t> </w:t>
      </w:r>
      <w:r w:rsidR="007A7329">
        <w:rPr>
          <w:szCs w:val="17"/>
        </w:rPr>
        <w:t>358</w:t>
      </w:r>
      <w:r w:rsidRPr="00991A9E">
        <w:rPr>
          <w:szCs w:val="17"/>
        </w:rPr>
        <w:t xml:space="preserve"> mil. Kč</w:t>
      </w:r>
      <w:r w:rsidRPr="00991A9E">
        <w:rPr>
          <w:rFonts w:cs="Arial"/>
          <w:color w:val="000000"/>
          <w:szCs w:val="20"/>
        </w:rPr>
        <w:t>, tedy 1</w:t>
      </w:r>
      <w:r w:rsidR="007A7329">
        <w:rPr>
          <w:rFonts w:cs="Arial"/>
          <w:color w:val="000000"/>
          <w:szCs w:val="20"/>
        </w:rPr>
        <w:t>3</w:t>
      </w:r>
      <w:r w:rsidRPr="00991A9E">
        <w:rPr>
          <w:rFonts w:cs="Arial"/>
          <w:color w:val="000000"/>
          <w:szCs w:val="20"/>
        </w:rPr>
        <w:t>,</w:t>
      </w:r>
      <w:r w:rsidR="007A7329">
        <w:rPr>
          <w:rFonts w:cs="Arial"/>
          <w:color w:val="000000"/>
          <w:szCs w:val="20"/>
        </w:rPr>
        <w:t>8</w:t>
      </w:r>
      <w:r w:rsidRPr="00991A9E">
        <w:rPr>
          <w:rFonts w:cs="Arial"/>
          <w:color w:val="000000"/>
          <w:szCs w:val="20"/>
        </w:rPr>
        <w:t> % z celkových výdajů na z</w:t>
      </w:r>
      <w:r w:rsidR="00662CB7">
        <w:rPr>
          <w:rFonts w:cs="Arial"/>
          <w:color w:val="000000"/>
          <w:szCs w:val="20"/>
        </w:rPr>
        <w:t>dravotní péči v České republice. T</w:t>
      </w:r>
      <w:r w:rsidR="007A7329">
        <w:rPr>
          <w:rFonts w:cs="Arial"/>
          <w:color w:val="000000"/>
          <w:szCs w:val="20"/>
        </w:rPr>
        <w:t xml:space="preserve">ento podíl se mezi roky 2010 – 2013 pohyboval okolo </w:t>
      </w:r>
      <w:proofErr w:type="gramStart"/>
      <w:r w:rsidR="007A7329">
        <w:rPr>
          <w:rFonts w:cs="Arial"/>
          <w:color w:val="000000"/>
          <w:szCs w:val="20"/>
        </w:rPr>
        <w:t>12,5 %</w:t>
      </w:r>
      <w:r w:rsidR="00662CB7">
        <w:rPr>
          <w:rFonts w:cs="Arial"/>
          <w:color w:val="000000"/>
          <w:szCs w:val="20"/>
        </w:rPr>
        <w:t xml:space="preserve"> </w:t>
      </w:r>
      <w:r w:rsidR="00AA06CB">
        <w:rPr>
          <w:rFonts w:cs="Arial"/>
          <w:color w:val="000000"/>
          <w:szCs w:val="20"/>
        </w:rPr>
        <w:t xml:space="preserve">  </w:t>
      </w:r>
      <w:r w:rsidR="00662CB7">
        <w:rPr>
          <w:rFonts w:cs="Arial"/>
          <w:color w:val="000000"/>
          <w:szCs w:val="20"/>
        </w:rPr>
        <w:t>a v roce</w:t>
      </w:r>
      <w:proofErr w:type="gramEnd"/>
      <w:r w:rsidR="00662CB7">
        <w:rPr>
          <w:rFonts w:cs="Arial"/>
          <w:color w:val="000000"/>
          <w:szCs w:val="20"/>
        </w:rPr>
        <w:t xml:space="preserve"> 2013 překročil hranici 13 %. Uvedená </w:t>
      </w:r>
      <w:r w:rsidRPr="00991A9E">
        <w:rPr>
          <w:rFonts w:cs="Arial"/>
          <w:color w:val="000000"/>
          <w:szCs w:val="20"/>
        </w:rPr>
        <w:t xml:space="preserve">částka představuje </w:t>
      </w:r>
      <w:r w:rsidRPr="00991A9E">
        <w:rPr>
          <w:szCs w:val="17"/>
        </w:rPr>
        <w:t xml:space="preserve">více než 2 % z celkových výdajů domácností. Od roku 2010 se </w:t>
      </w:r>
      <w:r w:rsidRPr="00991A9E">
        <w:t xml:space="preserve">výdaje domácností </w:t>
      </w:r>
      <w:r w:rsidRPr="00991A9E">
        <w:rPr>
          <w:szCs w:val="17"/>
        </w:rPr>
        <w:t>na zdravotní péči pohybují nad hranicí 40 miliard Kč a v roce 201</w:t>
      </w:r>
      <w:r w:rsidR="00662CB7">
        <w:rPr>
          <w:szCs w:val="17"/>
        </w:rPr>
        <w:t>5</w:t>
      </w:r>
      <w:r w:rsidRPr="00991A9E">
        <w:rPr>
          <w:szCs w:val="17"/>
        </w:rPr>
        <w:t xml:space="preserve"> dosáhly zatím maximální výše 4</w:t>
      </w:r>
      <w:r w:rsidR="00662CB7">
        <w:rPr>
          <w:szCs w:val="17"/>
        </w:rPr>
        <w:t>9 358</w:t>
      </w:r>
      <w:r w:rsidRPr="00991A9E">
        <w:rPr>
          <w:szCs w:val="17"/>
        </w:rPr>
        <w:t xml:space="preserve"> mil. Kč. Pokud bychom vztáhly přímé výdaje domácností na zdravotní péči na jednoho obyvatele, dosáhly </w:t>
      </w:r>
      <w:r w:rsidR="00C92654">
        <w:rPr>
          <w:szCs w:val="17"/>
        </w:rPr>
        <w:t xml:space="preserve">bychom </w:t>
      </w:r>
      <w:r w:rsidRPr="00991A9E">
        <w:rPr>
          <w:szCs w:val="17"/>
        </w:rPr>
        <w:t>v roce 2015 hodnoty 4,</w:t>
      </w:r>
      <w:r w:rsidR="00662CB7">
        <w:rPr>
          <w:szCs w:val="17"/>
        </w:rPr>
        <w:t>6</w:t>
      </w:r>
      <w:r w:rsidRPr="00991A9E">
        <w:rPr>
          <w:szCs w:val="17"/>
        </w:rPr>
        <w:t xml:space="preserve"> tis. Kč oproti 4,1 tis. v roce 2010. </w:t>
      </w:r>
    </w:p>
    <w:p w:rsidR="00991A9E" w:rsidRPr="00991A9E" w:rsidRDefault="00991A9E" w:rsidP="00991A9E">
      <w:pPr>
        <w:keepNext/>
        <w:spacing w:before="240"/>
        <w:jc w:val="both"/>
        <w:rPr>
          <w:rFonts w:cs="Arial"/>
          <w:b/>
          <w:sz w:val="18"/>
          <w:szCs w:val="18"/>
        </w:rPr>
      </w:pPr>
      <w:r w:rsidRPr="00991A9E">
        <w:rPr>
          <w:rFonts w:cs="Arial"/>
          <w:b/>
          <w:sz w:val="18"/>
          <w:szCs w:val="18"/>
        </w:rPr>
        <w:t>Graf č. 3.2.1 Přímé výdaje domácností v ČR na zdravotní péči, 20</w:t>
      </w:r>
      <w:r w:rsidR="001C1D52">
        <w:rPr>
          <w:rFonts w:cs="Arial"/>
          <w:b/>
          <w:sz w:val="18"/>
          <w:szCs w:val="18"/>
        </w:rPr>
        <w:t>10</w:t>
      </w:r>
      <w:r w:rsidRPr="00991A9E">
        <w:rPr>
          <w:rFonts w:cs="Arial"/>
          <w:b/>
          <w:sz w:val="18"/>
          <w:szCs w:val="18"/>
        </w:rPr>
        <w:t>-2015 (mld. Kč; %)</w:t>
      </w:r>
    </w:p>
    <w:p w:rsidR="00991A9E" w:rsidRPr="00991A9E" w:rsidRDefault="00460D31" w:rsidP="00991A9E">
      <w:pPr>
        <w:keepNext/>
        <w:spacing w:before="240" w:after="120"/>
        <w:jc w:val="both"/>
        <w:rPr>
          <w:rFonts w:cs="Arial"/>
          <w:b/>
          <w:sz w:val="18"/>
          <w:szCs w:val="18"/>
        </w:rPr>
      </w:pPr>
      <w:r>
        <w:rPr>
          <w:noProof/>
        </w:rPr>
        <w:drawing>
          <wp:inline distT="0" distB="0" distL="0" distR="0" wp14:anchorId="3F52497E" wp14:editId="52DA2B08">
            <wp:extent cx="6215865" cy="3318553"/>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91A9E" w:rsidRPr="00991A9E" w:rsidRDefault="00991A9E" w:rsidP="00991A9E">
      <w:pPr>
        <w:keepNext/>
        <w:spacing w:before="120"/>
        <w:jc w:val="right"/>
        <w:rPr>
          <w:b/>
          <w:i/>
          <w:sz w:val="16"/>
          <w:szCs w:val="16"/>
        </w:rPr>
      </w:pPr>
      <w:r w:rsidRPr="00991A9E">
        <w:rPr>
          <w:b/>
          <w:i/>
          <w:sz w:val="16"/>
          <w:szCs w:val="16"/>
        </w:rPr>
        <w:t xml:space="preserve">Zdroj: ČSÚ 2017, Zdravotnické účty ČR 2010 - 2015 </w:t>
      </w:r>
    </w:p>
    <w:p w:rsidR="00C92654" w:rsidRPr="00C92654" w:rsidRDefault="00C92654" w:rsidP="00991A9E">
      <w:pPr>
        <w:keepNext/>
        <w:spacing w:before="120"/>
        <w:jc w:val="both"/>
        <w:rPr>
          <w:rFonts w:cs="Arial"/>
          <w:color w:val="000000"/>
          <w:sz w:val="10"/>
          <w:szCs w:val="20"/>
        </w:rPr>
      </w:pPr>
    </w:p>
    <w:p w:rsidR="00991A9E" w:rsidRPr="00991A9E" w:rsidRDefault="00991A9E" w:rsidP="00991A9E">
      <w:pPr>
        <w:keepNext/>
        <w:spacing w:before="120"/>
        <w:jc w:val="both"/>
        <w:rPr>
          <w:szCs w:val="17"/>
        </w:rPr>
      </w:pPr>
      <w:r w:rsidRPr="00991A9E">
        <w:rPr>
          <w:rFonts w:cs="Arial"/>
          <w:color w:val="000000"/>
          <w:szCs w:val="20"/>
        </w:rPr>
        <w:t xml:space="preserve">Uvedené výdaje zahrnují přímé náklady domácností na zdravotní péči, nikoli platby, které jsou zpětně propláceny (např. refundace od zdravotních pojišťoven při úhradě naléhavé zdravotní péče v zahraničí). </w:t>
      </w:r>
      <w:r w:rsidRPr="00991A9E">
        <w:rPr>
          <w:rFonts w:cs="Arial"/>
          <w:szCs w:val="20"/>
        </w:rPr>
        <w:t>Lidé</w:t>
      </w:r>
      <w:r w:rsidR="00C92654">
        <w:rPr>
          <w:rFonts w:cs="Arial"/>
          <w:szCs w:val="20"/>
        </w:rPr>
        <w:t> </w:t>
      </w:r>
      <w:r w:rsidRPr="00991A9E">
        <w:rPr>
          <w:rFonts w:cs="Arial"/>
          <w:szCs w:val="20"/>
        </w:rPr>
        <w:t>platí z vlastní kapsy především léky, ať už se jedná o doplatky za medikamenty na předpis nebo volně prodejné léky a ostatní léčiva. Z rodinného rozpočtu jsou hrazeny i příplatky u stomatologů, regulační</w:t>
      </w:r>
      <w:r w:rsidR="00C92654">
        <w:rPr>
          <w:rFonts w:cs="Arial"/>
          <w:szCs w:val="20"/>
        </w:rPr>
        <w:t> </w:t>
      </w:r>
      <w:r w:rsidRPr="00991A9E">
        <w:rPr>
          <w:rFonts w:cs="Arial"/>
          <w:szCs w:val="20"/>
        </w:rPr>
        <w:t>poplatky za pohotovostní služby a poplatky za různá potvrzení nebo vstupní vyšetření do zaměstnání u praktického lékaře, platby za nadstandardní výkony, materiál a služby a v neposlední řadě kosmetické operace, služby dentálních hygienistek, nutričních terapeutů a další služby nehrazené z veřejného zdravotního pojištění.</w:t>
      </w:r>
    </w:p>
    <w:p w:rsidR="00991A9E" w:rsidRPr="00991A9E" w:rsidRDefault="00991A9E" w:rsidP="00991A9E">
      <w:pPr>
        <w:keepNext/>
        <w:spacing w:before="200" w:after="120"/>
        <w:jc w:val="both"/>
        <w:outlineLvl w:val="1"/>
        <w:rPr>
          <w:rFonts w:eastAsia="MS Gothic"/>
          <w:b/>
          <w:bCs/>
          <w:i/>
        </w:rPr>
      </w:pPr>
    </w:p>
    <w:p w:rsidR="00991A9E" w:rsidRPr="00991A9E" w:rsidRDefault="00991A9E" w:rsidP="00662CB7">
      <w:pPr>
        <w:jc w:val="both"/>
        <w:rPr>
          <w:rFonts w:eastAsia="MS Gothic"/>
        </w:rPr>
      </w:pPr>
      <w:r w:rsidRPr="00991A9E">
        <w:rPr>
          <w:rFonts w:eastAsia="MS Gothic"/>
        </w:rPr>
        <w:lastRenderedPageBreak/>
        <w:t xml:space="preserve">V roce 2015 utratily české domácnosti za </w:t>
      </w:r>
      <w:r w:rsidRPr="00991A9E">
        <w:rPr>
          <w:rFonts w:eastAsia="MS Gothic"/>
          <w:b/>
        </w:rPr>
        <w:t>léky</w:t>
      </w:r>
      <w:r w:rsidRPr="00991A9E">
        <w:rPr>
          <w:rFonts w:eastAsia="MS Gothic"/>
        </w:rPr>
        <w:t xml:space="preserve"> </w:t>
      </w:r>
      <w:r w:rsidR="00662CB7">
        <w:rPr>
          <w:rFonts w:eastAsia="MS Gothic"/>
        </w:rPr>
        <w:t xml:space="preserve">téměř </w:t>
      </w:r>
      <w:r w:rsidRPr="00991A9E">
        <w:rPr>
          <w:rFonts w:eastAsia="MS Gothic"/>
        </w:rPr>
        <w:t>polovinu (4</w:t>
      </w:r>
      <w:r w:rsidR="00662CB7">
        <w:rPr>
          <w:rFonts w:eastAsia="MS Gothic"/>
        </w:rPr>
        <w:t>8</w:t>
      </w:r>
      <w:r w:rsidRPr="00991A9E">
        <w:rPr>
          <w:rFonts w:eastAsia="MS Gothic"/>
        </w:rPr>
        <w:t> %; 2</w:t>
      </w:r>
      <w:r w:rsidR="00662CB7">
        <w:rPr>
          <w:rFonts w:eastAsia="MS Gothic"/>
        </w:rPr>
        <w:t xml:space="preserve">3,5 mld. Kč) svých výdajů na zdravotní </w:t>
      </w:r>
      <w:r w:rsidRPr="00991A9E">
        <w:rPr>
          <w:rFonts w:eastAsia="MS Gothic"/>
        </w:rPr>
        <w:t xml:space="preserve">péči. Druhou nejdůležitější položkou již od roku 2010 – s </w:t>
      </w:r>
      <w:r w:rsidR="00662CB7">
        <w:rPr>
          <w:rFonts w:eastAsia="MS Gothic"/>
        </w:rPr>
        <w:t>19 % (9</w:t>
      </w:r>
      <w:r w:rsidRPr="00991A9E">
        <w:rPr>
          <w:rFonts w:eastAsia="MS Gothic"/>
        </w:rPr>
        <w:t>,</w:t>
      </w:r>
      <w:r w:rsidR="00662CB7">
        <w:rPr>
          <w:rFonts w:eastAsia="MS Gothic"/>
        </w:rPr>
        <w:t>2</w:t>
      </w:r>
      <w:r w:rsidRPr="00991A9E">
        <w:rPr>
          <w:rFonts w:eastAsia="MS Gothic"/>
        </w:rPr>
        <w:t xml:space="preserve"> mld. Kč) podílem v roce 2015 -  tvoří přímé platby pacientů za </w:t>
      </w:r>
      <w:r w:rsidRPr="00991A9E">
        <w:rPr>
          <w:rFonts w:eastAsia="MS Gothic"/>
          <w:b/>
        </w:rPr>
        <w:t>zubařské výkony</w:t>
      </w:r>
      <w:r w:rsidRPr="00991A9E">
        <w:rPr>
          <w:rFonts w:eastAsia="MS Gothic"/>
        </w:rPr>
        <w:t xml:space="preserve">. </w:t>
      </w:r>
      <w:r w:rsidR="00662CB7">
        <w:rPr>
          <w:rFonts w:eastAsia="MS Gothic"/>
        </w:rPr>
        <w:t xml:space="preserve">Více než </w:t>
      </w:r>
      <w:r w:rsidRPr="00991A9E">
        <w:rPr>
          <w:rFonts w:eastAsia="MS Gothic"/>
        </w:rPr>
        <w:t xml:space="preserve">desetina z výdajů domácností na zdravotní péči směřuje na příspěvky na </w:t>
      </w:r>
      <w:r w:rsidRPr="00991A9E">
        <w:rPr>
          <w:rFonts w:eastAsia="MS Gothic"/>
          <w:b/>
        </w:rPr>
        <w:t>ambulantní péči</w:t>
      </w:r>
      <w:r w:rsidRPr="00991A9E">
        <w:rPr>
          <w:rFonts w:eastAsia="MS Gothic"/>
        </w:rPr>
        <w:t xml:space="preserve">, ať už léčebnou nebo rehabilitační, stejně jako na </w:t>
      </w:r>
      <w:r w:rsidRPr="00991A9E">
        <w:rPr>
          <w:rFonts w:eastAsia="MS Gothic"/>
          <w:b/>
        </w:rPr>
        <w:t>terapeutické pomůcky</w:t>
      </w:r>
      <w:r w:rsidRPr="00991A9E">
        <w:rPr>
          <w:rFonts w:eastAsia="MS Gothic"/>
        </w:rPr>
        <w:t xml:space="preserve">, nejčastěji brýle a kontaktní čočky. </w:t>
      </w:r>
    </w:p>
    <w:p w:rsidR="00991A9E" w:rsidRPr="00991A9E" w:rsidRDefault="00991A9E" w:rsidP="00991A9E">
      <w:pPr>
        <w:keepNext/>
        <w:spacing w:before="240" w:after="120"/>
        <w:jc w:val="both"/>
        <w:rPr>
          <w:rFonts w:cs="Arial"/>
          <w:b/>
          <w:sz w:val="18"/>
          <w:szCs w:val="18"/>
        </w:rPr>
      </w:pPr>
      <w:r w:rsidRPr="00991A9E">
        <w:rPr>
          <w:rFonts w:cs="Arial"/>
          <w:b/>
          <w:sz w:val="18"/>
          <w:szCs w:val="18"/>
        </w:rPr>
        <w:t>Graf č. 3.2.2 Výdaje domácností v ČR na zdravotní péči, 2015 (mil. Kč; %)</w:t>
      </w:r>
    </w:p>
    <w:p w:rsidR="00991A9E" w:rsidRPr="00991A9E" w:rsidRDefault="00991A9E" w:rsidP="00991A9E">
      <w:pPr>
        <w:spacing w:before="240" w:after="120" w:line="240" w:lineRule="auto"/>
        <w:rPr>
          <w:b/>
          <w:sz w:val="18"/>
          <w:szCs w:val="18"/>
        </w:rPr>
      </w:pPr>
      <w:r w:rsidRPr="00B36A65">
        <w:rPr>
          <w:noProof/>
          <w:sz w:val="18"/>
          <w:szCs w:val="20"/>
        </w:rPr>
        <w:drawing>
          <wp:inline distT="0" distB="0" distL="0" distR="0">
            <wp:extent cx="5972810" cy="3667125"/>
            <wp:effectExtent l="0" t="0" r="8890" b="0"/>
            <wp:docPr id="35" name="Graf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1A9E" w:rsidRPr="00991A9E" w:rsidRDefault="00991A9E" w:rsidP="00991A9E">
      <w:pPr>
        <w:spacing w:before="120" w:line="240" w:lineRule="auto"/>
        <w:jc w:val="right"/>
        <w:rPr>
          <w:b/>
          <w:bCs/>
          <w:i/>
          <w:sz w:val="16"/>
          <w:szCs w:val="16"/>
        </w:rPr>
      </w:pPr>
      <w:r w:rsidRPr="00991A9E">
        <w:rPr>
          <w:b/>
          <w:bCs/>
          <w:i/>
          <w:sz w:val="16"/>
          <w:szCs w:val="16"/>
        </w:rPr>
        <w:t xml:space="preserve">Zdroj: ČSÚ 2017, Zdravotnické účty ČR 2010 - 2015 </w:t>
      </w:r>
    </w:p>
    <w:p w:rsidR="00991A9E" w:rsidRPr="00991A9E" w:rsidRDefault="00991A9E" w:rsidP="00991A9E">
      <w:pPr>
        <w:keepNext/>
        <w:spacing w:before="200" w:after="120"/>
        <w:jc w:val="both"/>
        <w:outlineLvl w:val="1"/>
        <w:rPr>
          <w:rFonts w:eastAsia="MS Gothic"/>
          <w:b/>
          <w:bCs/>
          <w:i/>
        </w:rPr>
      </w:pPr>
    </w:p>
    <w:p w:rsidR="00991A9E" w:rsidRPr="007949E3" w:rsidRDefault="00991A9E" w:rsidP="007949E3">
      <w:pPr>
        <w:spacing w:before="240" w:after="120"/>
        <w:rPr>
          <w:rFonts w:eastAsia="MS Gothic"/>
          <w:b/>
          <w:i/>
        </w:rPr>
      </w:pPr>
      <w:r w:rsidRPr="007949E3">
        <w:rPr>
          <w:rFonts w:eastAsia="MS Gothic"/>
          <w:b/>
          <w:i/>
        </w:rPr>
        <w:t>Léky tvoří tradičně největší část výdajů domácností na zdravotní péči</w:t>
      </w:r>
    </w:p>
    <w:p w:rsidR="00991A9E" w:rsidRPr="00991A9E" w:rsidRDefault="00991A9E" w:rsidP="00991A9E">
      <w:pPr>
        <w:keepNext/>
        <w:spacing w:before="120"/>
        <w:jc w:val="both"/>
      </w:pPr>
      <w:r w:rsidRPr="00991A9E">
        <w:t xml:space="preserve">Největší část finančních prostředků na zdravotní péči vydávají domácností každoročně na </w:t>
      </w:r>
      <w:r w:rsidRPr="00991A9E">
        <w:rPr>
          <w:b/>
        </w:rPr>
        <w:t xml:space="preserve">léčiva a ostatní zdravotnické výrobky </w:t>
      </w:r>
      <w:r w:rsidRPr="00991A9E">
        <w:t>(téměř 6</w:t>
      </w:r>
      <w:r w:rsidR="00662CB7">
        <w:t>0</w:t>
      </w:r>
      <w:r w:rsidRPr="00991A9E">
        <w:t xml:space="preserve"> % v roce 2015), z čehož tradičně tvoří největší výdajovou položku, </w:t>
      </w:r>
      <w:r w:rsidR="00662CB7">
        <w:t>více než tři čtvrtiny</w:t>
      </w:r>
      <w:r w:rsidRPr="00991A9E">
        <w:t xml:space="preserve"> z této kategorie, náklady na léky (na předpis i volně prodejné léky). </w:t>
      </w:r>
      <w:r w:rsidR="00DC3B6D">
        <w:t>P</w:t>
      </w:r>
      <w:r w:rsidRPr="00991A9E">
        <w:t xml:space="preserve">ětina výdajů z této kategorie směřuje na terapeutické pomůcky a vybavení (brýle, naslouchadla, ortopedické pomůcky, berle, invalidní vozíky apod.). </w:t>
      </w:r>
    </w:p>
    <w:p w:rsidR="00C92654" w:rsidRPr="00991A9E" w:rsidRDefault="00C92654" w:rsidP="00C92654">
      <w:pPr>
        <w:spacing w:before="200"/>
        <w:jc w:val="both"/>
        <w:rPr>
          <w:szCs w:val="17"/>
        </w:rPr>
      </w:pPr>
      <w:r w:rsidRPr="00991A9E">
        <w:rPr>
          <w:szCs w:val="17"/>
        </w:rPr>
        <w:t>V meziročním srovnání 201</w:t>
      </w:r>
      <w:r w:rsidR="00DC3B6D">
        <w:rPr>
          <w:szCs w:val="17"/>
        </w:rPr>
        <w:t>4</w:t>
      </w:r>
      <w:r w:rsidRPr="00991A9E">
        <w:rPr>
          <w:szCs w:val="17"/>
        </w:rPr>
        <w:t xml:space="preserve"> a 201</w:t>
      </w:r>
      <w:r w:rsidR="00DC3B6D">
        <w:rPr>
          <w:szCs w:val="17"/>
        </w:rPr>
        <w:t>5</w:t>
      </w:r>
      <w:r w:rsidRPr="00991A9E">
        <w:rPr>
          <w:szCs w:val="17"/>
        </w:rPr>
        <w:t xml:space="preserve"> byl zaznamenán nárůst výdajů domácností </w:t>
      </w:r>
      <w:r w:rsidRPr="00991A9E">
        <w:rPr>
          <w:b/>
          <w:szCs w:val="17"/>
        </w:rPr>
        <w:t>na léky na předpis</w:t>
      </w:r>
      <w:r w:rsidRPr="00991A9E">
        <w:rPr>
          <w:szCs w:val="17"/>
        </w:rPr>
        <w:t xml:space="preserve"> o</w:t>
      </w:r>
      <w:r>
        <w:rPr>
          <w:szCs w:val="17"/>
        </w:rPr>
        <w:t> </w:t>
      </w:r>
      <w:r w:rsidR="00DC3B6D">
        <w:rPr>
          <w:szCs w:val="17"/>
        </w:rPr>
        <w:t>625</w:t>
      </w:r>
      <w:r>
        <w:rPr>
          <w:szCs w:val="17"/>
        </w:rPr>
        <w:t> </w:t>
      </w:r>
      <w:r w:rsidRPr="00991A9E">
        <w:rPr>
          <w:szCs w:val="17"/>
        </w:rPr>
        <w:t xml:space="preserve">miliónů Kč </w:t>
      </w:r>
      <w:r w:rsidR="00DC3B6D">
        <w:rPr>
          <w:szCs w:val="17"/>
        </w:rPr>
        <w:t xml:space="preserve">(o 7 %) a dosáhly částky 10 121 mil. Kč. </w:t>
      </w:r>
    </w:p>
    <w:p w:rsidR="00C92654" w:rsidRPr="00991A9E" w:rsidRDefault="00C92654" w:rsidP="00C92654">
      <w:pPr>
        <w:spacing w:before="120"/>
        <w:jc w:val="both"/>
        <w:rPr>
          <w:szCs w:val="17"/>
        </w:rPr>
      </w:pPr>
      <w:r w:rsidRPr="00991A9E">
        <w:rPr>
          <w:szCs w:val="17"/>
        </w:rPr>
        <w:t xml:space="preserve">Obdobný vývoj jako výdaje domácností na léky na předpis mají i výdaje za </w:t>
      </w:r>
      <w:r w:rsidRPr="00991A9E">
        <w:rPr>
          <w:b/>
          <w:szCs w:val="17"/>
        </w:rPr>
        <w:t>volně prodejné léky</w:t>
      </w:r>
      <w:r w:rsidRPr="00991A9E">
        <w:rPr>
          <w:szCs w:val="17"/>
        </w:rPr>
        <w:t xml:space="preserve">, s tím rozdílem, že pokles mezi roky 2012 a 2013 dosáhl 8 % (ve stejném období se snížily výdaje na léky na předpis pouze o necelé 1 %). V následujícím roce došlo k opětovnému nárůstu výdajů domácnosti na léky bez předpisu a odpovídají zhruba úrovni roku 2012. Také v  případě volně prodejných léků dosáhly výdaje domácností v roce 2015 zatím </w:t>
      </w:r>
      <w:r w:rsidR="00AA06CB">
        <w:rPr>
          <w:szCs w:val="17"/>
        </w:rPr>
        <w:t>nejvyšší</w:t>
      </w:r>
      <w:bookmarkStart w:id="8" w:name="_GoBack"/>
      <w:bookmarkEnd w:id="8"/>
      <w:r w:rsidRPr="00991A9E">
        <w:rPr>
          <w:szCs w:val="17"/>
        </w:rPr>
        <w:t xml:space="preserve"> hodnoty - 12 </w:t>
      </w:r>
      <w:r w:rsidR="00DC3B6D">
        <w:rPr>
          <w:szCs w:val="17"/>
        </w:rPr>
        <w:t>744</w:t>
      </w:r>
      <w:r w:rsidRPr="00991A9E">
        <w:rPr>
          <w:szCs w:val="17"/>
        </w:rPr>
        <w:t xml:space="preserve"> mil. Kč. </w:t>
      </w:r>
    </w:p>
    <w:p w:rsidR="00991A9E" w:rsidRDefault="00991A9E" w:rsidP="00991A9E">
      <w:pPr>
        <w:spacing w:before="120"/>
        <w:jc w:val="both"/>
        <w:rPr>
          <w:szCs w:val="17"/>
        </w:rPr>
      </w:pPr>
    </w:p>
    <w:p w:rsidR="00DC3B6D" w:rsidRDefault="00DC3B6D" w:rsidP="00991A9E">
      <w:pPr>
        <w:spacing w:before="120"/>
        <w:jc w:val="both"/>
        <w:rPr>
          <w:szCs w:val="17"/>
        </w:rPr>
      </w:pPr>
    </w:p>
    <w:p w:rsidR="00DC3B6D" w:rsidRPr="00991A9E" w:rsidRDefault="00DC3B6D" w:rsidP="00991A9E">
      <w:pPr>
        <w:spacing w:before="120"/>
        <w:jc w:val="both"/>
        <w:rPr>
          <w:szCs w:val="17"/>
        </w:rPr>
      </w:pPr>
    </w:p>
    <w:p w:rsidR="00991A9E" w:rsidRPr="00991A9E" w:rsidRDefault="00991A9E" w:rsidP="00991A9E">
      <w:pPr>
        <w:spacing w:before="240" w:after="120"/>
        <w:rPr>
          <w:b/>
          <w:sz w:val="18"/>
          <w:szCs w:val="18"/>
        </w:rPr>
      </w:pPr>
      <w:r w:rsidRPr="00991A9E">
        <w:rPr>
          <w:b/>
          <w:sz w:val="18"/>
          <w:szCs w:val="18"/>
        </w:rPr>
        <w:lastRenderedPageBreak/>
        <w:t xml:space="preserve">Tabulka č. 3.2.1 Výdaje domácností </w:t>
      </w:r>
      <w:r w:rsidRPr="00991A9E">
        <w:rPr>
          <w:rFonts w:cs="Arial"/>
          <w:b/>
          <w:sz w:val="18"/>
          <w:szCs w:val="18"/>
        </w:rPr>
        <w:t>v ČR na zdravotní péči</w:t>
      </w:r>
      <w:r w:rsidRPr="00991A9E">
        <w:rPr>
          <w:b/>
          <w:sz w:val="18"/>
          <w:szCs w:val="18"/>
        </w:rPr>
        <w:t xml:space="preserve"> podle druhu poskytnuté zdravotní péče, 2010-2015</w:t>
      </w:r>
    </w:p>
    <w:tbl>
      <w:tblPr>
        <w:tblW w:w="9419" w:type="dxa"/>
        <w:tblInd w:w="55" w:type="dxa"/>
        <w:tblCellMar>
          <w:left w:w="70" w:type="dxa"/>
          <w:right w:w="70" w:type="dxa"/>
        </w:tblCellMar>
        <w:tblLook w:val="04A0" w:firstRow="1" w:lastRow="0" w:firstColumn="1" w:lastColumn="0" w:noHBand="0" w:noVBand="1"/>
      </w:tblPr>
      <w:tblGrid>
        <w:gridCol w:w="3680"/>
        <w:gridCol w:w="807"/>
        <w:gridCol w:w="807"/>
        <w:gridCol w:w="807"/>
        <w:gridCol w:w="807"/>
        <w:gridCol w:w="807"/>
        <w:gridCol w:w="807"/>
        <w:gridCol w:w="897"/>
      </w:tblGrid>
      <w:tr w:rsidR="00991A9E" w:rsidRPr="00991A9E" w:rsidTr="00555E5F">
        <w:trPr>
          <w:trHeight w:val="300"/>
        </w:trPr>
        <w:tc>
          <w:tcPr>
            <w:tcW w:w="3680" w:type="dxa"/>
            <w:vMerge w:val="restart"/>
            <w:tcBorders>
              <w:top w:val="single" w:sz="8" w:space="0" w:color="auto"/>
              <w:left w:val="single" w:sz="8" w:space="0" w:color="auto"/>
              <w:bottom w:val="single" w:sz="8" w:space="0" w:color="000000"/>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center"/>
              <w:rPr>
                <w:rFonts w:cs="Arial"/>
                <w:b/>
                <w:bCs/>
                <w:color w:val="000000"/>
                <w:sz w:val="16"/>
                <w:szCs w:val="16"/>
              </w:rPr>
            </w:pPr>
            <w:r w:rsidRPr="00991A9E">
              <w:rPr>
                <w:rFonts w:cs="Arial"/>
                <w:b/>
                <w:bCs/>
                <w:color w:val="000000"/>
                <w:sz w:val="16"/>
                <w:szCs w:val="16"/>
              </w:rPr>
              <w:t>Druh zdravotní péče</w:t>
            </w:r>
          </w:p>
        </w:tc>
        <w:tc>
          <w:tcPr>
            <w:tcW w:w="4842" w:type="dxa"/>
            <w:gridSpan w:val="6"/>
            <w:tcBorders>
              <w:top w:val="single" w:sz="8" w:space="0" w:color="auto"/>
              <w:left w:val="nil"/>
              <w:bottom w:val="single" w:sz="4" w:space="0" w:color="auto"/>
              <w:right w:val="single" w:sz="4" w:space="0" w:color="auto"/>
            </w:tcBorders>
            <w:shd w:val="clear" w:color="auto" w:fill="F2DBDB" w:themeFill="accent2" w:themeFillTint="33"/>
            <w:noWrap/>
            <w:vAlign w:val="center"/>
            <w:hideMark/>
          </w:tcPr>
          <w:p w:rsidR="00991A9E" w:rsidRPr="00991A9E" w:rsidRDefault="00991A9E" w:rsidP="00991A9E">
            <w:pPr>
              <w:spacing w:line="240" w:lineRule="auto"/>
              <w:jc w:val="center"/>
              <w:rPr>
                <w:rFonts w:cs="Arial"/>
                <w:b/>
                <w:bCs/>
                <w:color w:val="000000"/>
                <w:sz w:val="16"/>
                <w:szCs w:val="16"/>
              </w:rPr>
            </w:pPr>
            <w:r w:rsidRPr="00991A9E">
              <w:rPr>
                <w:rFonts w:cs="Arial"/>
                <w:b/>
                <w:bCs/>
                <w:color w:val="000000"/>
                <w:sz w:val="16"/>
                <w:szCs w:val="16"/>
              </w:rPr>
              <w:t>mil. Kč</w:t>
            </w:r>
          </w:p>
        </w:tc>
        <w:tc>
          <w:tcPr>
            <w:tcW w:w="897" w:type="dxa"/>
            <w:vMerge w:val="restart"/>
            <w:tcBorders>
              <w:top w:val="single" w:sz="8" w:space="0" w:color="auto"/>
              <w:left w:val="single" w:sz="4" w:space="0" w:color="auto"/>
              <w:bottom w:val="single" w:sz="8" w:space="0" w:color="000000"/>
              <w:right w:val="single" w:sz="8" w:space="0" w:color="auto"/>
            </w:tcBorders>
            <w:shd w:val="clear" w:color="auto" w:fill="F2DBDB" w:themeFill="accent2" w:themeFillTint="33"/>
            <w:vAlign w:val="center"/>
            <w:hideMark/>
          </w:tcPr>
          <w:p w:rsidR="00991A9E" w:rsidRPr="00991A9E" w:rsidRDefault="00991A9E" w:rsidP="00991A9E">
            <w:pPr>
              <w:spacing w:line="240" w:lineRule="auto"/>
              <w:jc w:val="center"/>
              <w:rPr>
                <w:rFonts w:cs="Arial"/>
                <w:b/>
                <w:bCs/>
                <w:color w:val="000000"/>
                <w:sz w:val="16"/>
                <w:szCs w:val="16"/>
              </w:rPr>
            </w:pPr>
            <w:r w:rsidRPr="00991A9E">
              <w:rPr>
                <w:rFonts w:cs="Arial"/>
                <w:b/>
                <w:bCs/>
                <w:color w:val="000000"/>
                <w:sz w:val="16"/>
                <w:szCs w:val="16"/>
              </w:rPr>
              <w:t>Index 2015/2014</w:t>
            </w:r>
          </w:p>
        </w:tc>
      </w:tr>
      <w:tr w:rsidR="00991A9E" w:rsidRPr="00991A9E" w:rsidTr="00555E5F">
        <w:trPr>
          <w:trHeight w:val="315"/>
        </w:trPr>
        <w:tc>
          <w:tcPr>
            <w:tcW w:w="3680" w:type="dxa"/>
            <w:vMerge/>
            <w:tcBorders>
              <w:top w:val="single" w:sz="8" w:space="0" w:color="auto"/>
              <w:left w:val="single" w:sz="8" w:space="0" w:color="auto"/>
              <w:bottom w:val="single" w:sz="8" w:space="0" w:color="000000"/>
              <w:right w:val="single" w:sz="8" w:space="0" w:color="auto"/>
            </w:tcBorders>
            <w:vAlign w:val="center"/>
            <w:hideMark/>
          </w:tcPr>
          <w:p w:rsidR="00991A9E" w:rsidRPr="00991A9E" w:rsidRDefault="00991A9E" w:rsidP="00991A9E">
            <w:pPr>
              <w:spacing w:line="240" w:lineRule="auto"/>
              <w:rPr>
                <w:rFonts w:cs="Arial"/>
                <w:b/>
                <w:bCs/>
                <w:color w:val="000000"/>
                <w:sz w:val="16"/>
                <w:szCs w:val="16"/>
              </w:rPr>
            </w:pPr>
          </w:p>
        </w:tc>
        <w:tc>
          <w:tcPr>
            <w:tcW w:w="807" w:type="dxa"/>
            <w:tcBorders>
              <w:top w:val="single" w:sz="4" w:space="0" w:color="auto"/>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center"/>
              <w:rPr>
                <w:rFonts w:cs="Arial"/>
                <w:b/>
                <w:bCs/>
                <w:color w:val="000000"/>
                <w:sz w:val="16"/>
                <w:szCs w:val="16"/>
              </w:rPr>
            </w:pPr>
            <w:r w:rsidRPr="00991A9E">
              <w:rPr>
                <w:rFonts w:cs="Arial"/>
                <w:b/>
                <w:bCs/>
                <w:color w:val="000000"/>
                <w:sz w:val="16"/>
                <w:szCs w:val="16"/>
              </w:rPr>
              <w:t>2010</w:t>
            </w:r>
          </w:p>
        </w:tc>
        <w:tc>
          <w:tcPr>
            <w:tcW w:w="807" w:type="dxa"/>
            <w:tcBorders>
              <w:top w:val="single" w:sz="4" w:space="0" w:color="auto"/>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center"/>
              <w:rPr>
                <w:rFonts w:cs="Arial"/>
                <w:b/>
                <w:bCs/>
                <w:color w:val="000000"/>
                <w:sz w:val="16"/>
                <w:szCs w:val="16"/>
              </w:rPr>
            </w:pPr>
            <w:r w:rsidRPr="00991A9E">
              <w:rPr>
                <w:rFonts w:cs="Arial"/>
                <w:b/>
                <w:bCs/>
                <w:color w:val="000000"/>
                <w:sz w:val="16"/>
                <w:szCs w:val="16"/>
              </w:rPr>
              <w:t>2011</w:t>
            </w:r>
          </w:p>
        </w:tc>
        <w:tc>
          <w:tcPr>
            <w:tcW w:w="807" w:type="dxa"/>
            <w:tcBorders>
              <w:top w:val="single" w:sz="4" w:space="0" w:color="auto"/>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center"/>
              <w:rPr>
                <w:rFonts w:cs="Arial"/>
                <w:b/>
                <w:bCs/>
                <w:color w:val="000000"/>
                <w:sz w:val="16"/>
                <w:szCs w:val="16"/>
              </w:rPr>
            </w:pPr>
            <w:r w:rsidRPr="00991A9E">
              <w:rPr>
                <w:rFonts w:cs="Arial"/>
                <w:b/>
                <w:bCs/>
                <w:color w:val="000000"/>
                <w:sz w:val="16"/>
                <w:szCs w:val="16"/>
              </w:rPr>
              <w:t>2012</w:t>
            </w:r>
          </w:p>
        </w:tc>
        <w:tc>
          <w:tcPr>
            <w:tcW w:w="807" w:type="dxa"/>
            <w:tcBorders>
              <w:top w:val="single" w:sz="4" w:space="0" w:color="auto"/>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center"/>
              <w:rPr>
                <w:rFonts w:cs="Arial"/>
                <w:b/>
                <w:bCs/>
                <w:color w:val="000000"/>
                <w:sz w:val="16"/>
                <w:szCs w:val="16"/>
              </w:rPr>
            </w:pPr>
            <w:r w:rsidRPr="00991A9E">
              <w:rPr>
                <w:rFonts w:cs="Arial"/>
                <w:b/>
                <w:bCs/>
                <w:color w:val="000000"/>
                <w:sz w:val="16"/>
                <w:szCs w:val="16"/>
              </w:rPr>
              <w:t>2013</w:t>
            </w:r>
          </w:p>
        </w:tc>
        <w:tc>
          <w:tcPr>
            <w:tcW w:w="807" w:type="dxa"/>
            <w:tcBorders>
              <w:top w:val="single" w:sz="4" w:space="0" w:color="auto"/>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center"/>
              <w:rPr>
                <w:rFonts w:cs="Arial"/>
                <w:b/>
                <w:bCs/>
                <w:color w:val="000000"/>
                <w:sz w:val="16"/>
                <w:szCs w:val="16"/>
              </w:rPr>
            </w:pPr>
            <w:r w:rsidRPr="00991A9E">
              <w:rPr>
                <w:rFonts w:cs="Arial"/>
                <w:b/>
                <w:bCs/>
                <w:color w:val="000000"/>
                <w:sz w:val="16"/>
                <w:szCs w:val="16"/>
              </w:rPr>
              <w:t>2014</w:t>
            </w:r>
          </w:p>
        </w:tc>
        <w:tc>
          <w:tcPr>
            <w:tcW w:w="807" w:type="dxa"/>
            <w:tcBorders>
              <w:top w:val="single" w:sz="4" w:space="0" w:color="auto"/>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center"/>
              <w:rPr>
                <w:rFonts w:cs="Arial"/>
                <w:b/>
                <w:bCs/>
                <w:color w:val="000000"/>
                <w:sz w:val="16"/>
                <w:szCs w:val="16"/>
              </w:rPr>
            </w:pPr>
            <w:r w:rsidRPr="00991A9E">
              <w:rPr>
                <w:rFonts w:cs="Arial"/>
                <w:b/>
                <w:bCs/>
                <w:color w:val="000000"/>
                <w:sz w:val="16"/>
                <w:szCs w:val="16"/>
              </w:rPr>
              <w:t>2015</w:t>
            </w:r>
          </w:p>
        </w:tc>
        <w:tc>
          <w:tcPr>
            <w:tcW w:w="897" w:type="dxa"/>
            <w:vMerge/>
            <w:tcBorders>
              <w:top w:val="single" w:sz="8" w:space="0" w:color="auto"/>
              <w:left w:val="nil"/>
              <w:bottom w:val="single" w:sz="8" w:space="0" w:color="000000"/>
              <w:right w:val="single" w:sz="8" w:space="0" w:color="auto"/>
            </w:tcBorders>
            <w:vAlign w:val="center"/>
            <w:hideMark/>
          </w:tcPr>
          <w:p w:rsidR="00991A9E" w:rsidRPr="00991A9E" w:rsidRDefault="00991A9E" w:rsidP="00991A9E">
            <w:pPr>
              <w:spacing w:line="240" w:lineRule="auto"/>
              <w:rPr>
                <w:rFonts w:cs="Arial"/>
                <w:b/>
                <w:bCs/>
                <w:color w:val="000000"/>
                <w:sz w:val="16"/>
                <w:szCs w:val="16"/>
              </w:rPr>
            </w:pPr>
          </w:p>
        </w:tc>
      </w:tr>
      <w:tr w:rsidR="00555E5F" w:rsidRPr="00991A9E" w:rsidTr="00CB5E73">
        <w:trPr>
          <w:trHeight w:val="315"/>
        </w:trPr>
        <w:tc>
          <w:tcPr>
            <w:tcW w:w="3680" w:type="dxa"/>
            <w:tcBorders>
              <w:top w:val="nil"/>
              <w:left w:val="single" w:sz="8" w:space="0" w:color="auto"/>
              <w:bottom w:val="single" w:sz="8" w:space="0" w:color="auto"/>
              <w:right w:val="single" w:sz="8" w:space="0" w:color="auto"/>
            </w:tcBorders>
            <w:shd w:val="clear" w:color="auto" w:fill="F2DBDB" w:themeFill="accent2" w:themeFillTint="33"/>
            <w:noWrap/>
            <w:vAlign w:val="center"/>
            <w:hideMark/>
          </w:tcPr>
          <w:p w:rsidR="00555E5F" w:rsidRPr="00991A9E" w:rsidRDefault="00555E5F" w:rsidP="00991A9E">
            <w:pPr>
              <w:spacing w:line="240" w:lineRule="auto"/>
              <w:rPr>
                <w:rFonts w:cs="Arial"/>
                <w:b/>
                <w:bCs/>
                <w:color w:val="000000"/>
                <w:sz w:val="16"/>
                <w:szCs w:val="16"/>
              </w:rPr>
            </w:pPr>
            <w:r w:rsidRPr="00991A9E">
              <w:rPr>
                <w:rFonts w:cs="Arial"/>
                <w:b/>
                <w:bCs/>
                <w:color w:val="000000"/>
                <w:sz w:val="16"/>
                <w:szCs w:val="16"/>
              </w:rPr>
              <w:t>1 Léčebná péče</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555E5F" w:rsidRPr="00991A9E" w:rsidRDefault="00555E5F" w:rsidP="00991A9E">
            <w:pPr>
              <w:spacing w:line="240" w:lineRule="auto"/>
              <w:jc w:val="right"/>
              <w:rPr>
                <w:rFonts w:cs="Arial"/>
                <w:b/>
                <w:bCs/>
                <w:color w:val="000000"/>
                <w:sz w:val="16"/>
                <w:szCs w:val="16"/>
              </w:rPr>
            </w:pPr>
            <w:r w:rsidRPr="00991A9E">
              <w:rPr>
                <w:rFonts w:cs="Arial"/>
                <w:b/>
                <w:bCs/>
                <w:color w:val="000000"/>
                <w:sz w:val="16"/>
                <w:szCs w:val="16"/>
              </w:rPr>
              <w:t>13 315</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555E5F" w:rsidRPr="00991A9E" w:rsidRDefault="00555E5F" w:rsidP="00991A9E">
            <w:pPr>
              <w:spacing w:line="240" w:lineRule="auto"/>
              <w:jc w:val="right"/>
              <w:rPr>
                <w:rFonts w:cs="Arial"/>
                <w:b/>
                <w:bCs/>
                <w:color w:val="000000"/>
                <w:sz w:val="16"/>
                <w:szCs w:val="16"/>
              </w:rPr>
            </w:pPr>
            <w:r w:rsidRPr="00991A9E">
              <w:rPr>
                <w:rFonts w:cs="Arial"/>
                <w:b/>
                <w:bCs/>
                <w:color w:val="000000"/>
                <w:sz w:val="16"/>
                <w:szCs w:val="16"/>
              </w:rPr>
              <w:t>13 337</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555E5F" w:rsidRPr="00991A9E" w:rsidRDefault="00555E5F" w:rsidP="00991A9E">
            <w:pPr>
              <w:spacing w:line="240" w:lineRule="auto"/>
              <w:jc w:val="right"/>
              <w:rPr>
                <w:rFonts w:cs="Arial"/>
                <w:b/>
                <w:bCs/>
                <w:color w:val="000000"/>
                <w:sz w:val="16"/>
                <w:szCs w:val="16"/>
              </w:rPr>
            </w:pPr>
            <w:r w:rsidRPr="00991A9E">
              <w:rPr>
                <w:rFonts w:cs="Arial"/>
                <w:b/>
                <w:bCs/>
                <w:color w:val="000000"/>
                <w:sz w:val="16"/>
                <w:szCs w:val="16"/>
              </w:rPr>
              <w:t>13 038</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555E5F" w:rsidRPr="00991A9E" w:rsidRDefault="00555E5F" w:rsidP="00991A9E">
            <w:pPr>
              <w:spacing w:line="240" w:lineRule="auto"/>
              <w:jc w:val="right"/>
              <w:rPr>
                <w:rFonts w:cs="Arial"/>
                <w:b/>
                <w:bCs/>
                <w:color w:val="000000"/>
                <w:sz w:val="16"/>
                <w:szCs w:val="16"/>
              </w:rPr>
            </w:pPr>
            <w:r w:rsidRPr="00991A9E">
              <w:rPr>
                <w:rFonts w:cs="Arial"/>
                <w:b/>
                <w:bCs/>
                <w:color w:val="000000"/>
                <w:sz w:val="16"/>
                <w:szCs w:val="16"/>
              </w:rPr>
              <w:t>13 758</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555E5F" w:rsidRPr="00991A9E" w:rsidRDefault="00555E5F" w:rsidP="00991A9E">
            <w:pPr>
              <w:spacing w:line="240" w:lineRule="auto"/>
              <w:jc w:val="right"/>
              <w:rPr>
                <w:rFonts w:cs="Arial"/>
                <w:b/>
                <w:bCs/>
                <w:color w:val="000000"/>
                <w:sz w:val="16"/>
                <w:szCs w:val="16"/>
              </w:rPr>
            </w:pPr>
            <w:r w:rsidRPr="00991A9E">
              <w:rPr>
                <w:rFonts w:cs="Arial"/>
                <w:b/>
                <w:bCs/>
                <w:color w:val="000000"/>
                <w:sz w:val="16"/>
                <w:szCs w:val="16"/>
              </w:rPr>
              <w:t>15 301</w:t>
            </w:r>
          </w:p>
        </w:tc>
        <w:tc>
          <w:tcPr>
            <w:tcW w:w="807" w:type="dxa"/>
            <w:tcBorders>
              <w:top w:val="nil"/>
              <w:left w:val="nil"/>
              <w:bottom w:val="single" w:sz="8" w:space="0" w:color="auto"/>
              <w:right w:val="single" w:sz="8" w:space="0" w:color="auto"/>
            </w:tcBorders>
            <w:shd w:val="clear" w:color="auto" w:fill="F2DBDB" w:themeFill="accent2" w:themeFillTint="33"/>
            <w:noWrap/>
            <w:vAlign w:val="bottom"/>
          </w:tcPr>
          <w:p w:rsidR="00555E5F" w:rsidRPr="00FF50EA" w:rsidRDefault="00555E5F">
            <w:pPr>
              <w:jc w:val="right"/>
              <w:rPr>
                <w:rFonts w:cs="Arial"/>
                <w:b/>
                <w:bCs/>
                <w:color w:val="000000"/>
                <w:sz w:val="16"/>
                <w:szCs w:val="16"/>
              </w:rPr>
            </w:pPr>
            <w:r w:rsidRPr="00FF50EA">
              <w:rPr>
                <w:rFonts w:cs="Arial"/>
                <w:b/>
                <w:bCs/>
                <w:color w:val="000000"/>
                <w:sz w:val="16"/>
                <w:szCs w:val="16"/>
              </w:rPr>
              <w:t>16 279</w:t>
            </w:r>
          </w:p>
        </w:tc>
        <w:tc>
          <w:tcPr>
            <w:tcW w:w="897" w:type="dxa"/>
            <w:tcBorders>
              <w:top w:val="nil"/>
              <w:left w:val="nil"/>
              <w:bottom w:val="single" w:sz="8" w:space="0" w:color="auto"/>
              <w:right w:val="single" w:sz="8" w:space="0" w:color="auto"/>
            </w:tcBorders>
            <w:shd w:val="clear" w:color="auto" w:fill="F2DBDB" w:themeFill="accent2" w:themeFillTint="33"/>
            <w:noWrap/>
            <w:vAlign w:val="bottom"/>
          </w:tcPr>
          <w:p w:rsidR="00555E5F" w:rsidRPr="00555E5F" w:rsidRDefault="00555E5F">
            <w:pPr>
              <w:jc w:val="right"/>
              <w:rPr>
                <w:rFonts w:cs="Arial"/>
                <w:b/>
                <w:color w:val="000000"/>
                <w:sz w:val="16"/>
                <w:szCs w:val="16"/>
              </w:rPr>
            </w:pPr>
            <w:r w:rsidRPr="00555E5F">
              <w:rPr>
                <w:rFonts w:cs="Arial"/>
                <w:b/>
                <w:color w:val="000000"/>
                <w:sz w:val="16"/>
                <w:szCs w:val="16"/>
              </w:rPr>
              <w:t>106,4</w:t>
            </w:r>
          </w:p>
        </w:tc>
      </w:tr>
      <w:tr w:rsidR="00555E5F" w:rsidRPr="00991A9E" w:rsidTr="00FF50EA">
        <w:trPr>
          <w:trHeight w:val="315"/>
        </w:trPr>
        <w:tc>
          <w:tcPr>
            <w:tcW w:w="3680" w:type="dxa"/>
            <w:tcBorders>
              <w:top w:val="nil"/>
              <w:left w:val="single" w:sz="8" w:space="0" w:color="auto"/>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rPr>
                <w:rFonts w:cs="Arial"/>
                <w:color w:val="000000"/>
                <w:sz w:val="16"/>
                <w:szCs w:val="16"/>
              </w:rPr>
            </w:pPr>
            <w:r w:rsidRPr="00991A9E">
              <w:rPr>
                <w:rFonts w:cs="Arial"/>
                <w:color w:val="000000"/>
                <w:sz w:val="16"/>
                <w:szCs w:val="16"/>
              </w:rPr>
              <w:t xml:space="preserve"> 1.1 Lůžková léčebná péče</w:t>
            </w:r>
          </w:p>
        </w:tc>
        <w:tc>
          <w:tcPr>
            <w:tcW w:w="807" w:type="dxa"/>
            <w:tcBorders>
              <w:top w:val="nil"/>
              <w:left w:val="nil"/>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487</w:t>
            </w:r>
          </w:p>
        </w:tc>
        <w:tc>
          <w:tcPr>
            <w:tcW w:w="807" w:type="dxa"/>
            <w:tcBorders>
              <w:top w:val="nil"/>
              <w:left w:val="nil"/>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576</w:t>
            </w:r>
          </w:p>
        </w:tc>
        <w:tc>
          <w:tcPr>
            <w:tcW w:w="807" w:type="dxa"/>
            <w:tcBorders>
              <w:top w:val="nil"/>
              <w:left w:val="nil"/>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834</w:t>
            </w:r>
          </w:p>
        </w:tc>
        <w:tc>
          <w:tcPr>
            <w:tcW w:w="807" w:type="dxa"/>
            <w:tcBorders>
              <w:top w:val="nil"/>
              <w:left w:val="nil"/>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699</w:t>
            </w:r>
          </w:p>
        </w:tc>
        <w:tc>
          <w:tcPr>
            <w:tcW w:w="807" w:type="dxa"/>
            <w:tcBorders>
              <w:top w:val="nil"/>
              <w:left w:val="nil"/>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755</w:t>
            </w:r>
          </w:p>
        </w:tc>
        <w:tc>
          <w:tcPr>
            <w:tcW w:w="807" w:type="dxa"/>
            <w:tcBorders>
              <w:top w:val="nil"/>
              <w:left w:val="nil"/>
              <w:bottom w:val="single" w:sz="8" w:space="0" w:color="auto"/>
              <w:right w:val="single" w:sz="8" w:space="0" w:color="auto"/>
            </w:tcBorders>
            <w:shd w:val="clear" w:color="000000" w:fill="FFFFFF"/>
            <w:noWrap/>
            <w:vAlign w:val="center"/>
          </w:tcPr>
          <w:p w:rsidR="00555E5F" w:rsidRPr="00FF50EA" w:rsidRDefault="00555E5F" w:rsidP="00FF50EA">
            <w:pPr>
              <w:jc w:val="right"/>
              <w:rPr>
                <w:rFonts w:cs="Arial"/>
                <w:color w:val="000000"/>
                <w:sz w:val="16"/>
                <w:szCs w:val="16"/>
              </w:rPr>
            </w:pPr>
            <w:r w:rsidRPr="00FF50EA">
              <w:rPr>
                <w:rFonts w:cs="Arial"/>
                <w:color w:val="000000"/>
                <w:sz w:val="16"/>
                <w:szCs w:val="16"/>
              </w:rPr>
              <w:t>814</w:t>
            </w:r>
          </w:p>
        </w:tc>
        <w:tc>
          <w:tcPr>
            <w:tcW w:w="897" w:type="dxa"/>
            <w:tcBorders>
              <w:top w:val="nil"/>
              <w:left w:val="nil"/>
              <w:bottom w:val="single" w:sz="8" w:space="0" w:color="auto"/>
              <w:right w:val="single" w:sz="8" w:space="0" w:color="auto"/>
            </w:tcBorders>
            <w:shd w:val="clear" w:color="auto" w:fill="F2DBDB" w:themeFill="accent2" w:themeFillTint="33"/>
            <w:noWrap/>
            <w:vAlign w:val="bottom"/>
          </w:tcPr>
          <w:p w:rsidR="00555E5F" w:rsidRPr="00555E5F" w:rsidRDefault="00555E5F">
            <w:pPr>
              <w:jc w:val="right"/>
              <w:rPr>
                <w:rFonts w:cs="Arial"/>
                <w:b/>
                <w:color w:val="000000"/>
                <w:sz w:val="16"/>
                <w:szCs w:val="16"/>
              </w:rPr>
            </w:pPr>
            <w:r w:rsidRPr="00555E5F">
              <w:rPr>
                <w:rFonts w:cs="Arial"/>
                <w:b/>
                <w:color w:val="000000"/>
                <w:sz w:val="16"/>
                <w:szCs w:val="16"/>
              </w:rPr>
              <w:t>107,8</w:t>
            </w:r>
          </w:p>
        </w:tc>
      </w:tr>
      <w:tr w:rsidR="00555E5F" w:rsidRPr="00991A9E" w:rsidTr="00FF50EA">
        <w:trPr>
          <w:trHeight w:val="315"/>
        </w:trPr>
        <w:tc>
          <w:tcPr>
            <w:tcW w:w="3680" w:type="dxa"/>
            <w:tcBorders>
              <w:top w:val="nil"/>
              <w:left w:val="single" w:sz="8" w:space="0" w:color="auto"/>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rPr>
                <w:rFonts w:cs="Arial"/>
                <w:color w:val="000000"/>
                <w:sz w:val="16"/>
                <w:szCs w:val="16"/>
              </w:rPr>
            </w:pPr>
            <w:r w:rsidRPr="00991A9E">
              <w:rPr>
                <w:rFonts w:cs="Arial"/>
                <w:color w:val="000000"/>
                <w:sz w:val="16"/>
                <w:szCs w:val="16"/>
              </w:rPr>
              <w:t xml:space="preserve"> 1.3 Ambulantní léčebná péče</w:t>
            </w:r>
          </w:p>
        </w:tc>
        <w:tc>
          <w:tcPr>
            <w:tcW w:w="807" w:type="dxa"/>
            <w:tcBorders>
              <w:top w:val="nil"/>
              <w:left w:val="nil"/>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12 828</w:t>
            </w:r>
          </w:p>
        </w:tc>
        <w:tc>
          <w:tcPr>
            <w:tcW w:w="807" w:type="dxa"/>
            <w:tcBorders>
              <w:top w:val="nil"/>
              <w:left w:val="nil"/>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12 761</w:t>
            </w:r>
          </w:p>
        </w:tc>
        <w:tc>
          <w:tcPr>
            <w:tcW w:w="807" w:type="dxa"/>
            <w:tcBorders>
              <w:top w:val="nil"/>
              <w:left w:val="nil"/>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12 204</w:t>
            </w:r>
          </w:p>
        </w:tc>
        <w:tc>
          <w:tcPr>
            <w:tcW w:w="807" w:type="dxa"/>
            <w:tcBorders>
              <w:top w:val="nil"/>
              <w:left w:val="nil"/>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13 059</w:t>
            </w:r>
          </w:p>
        </w:tc>
        <w:tc>
          <w:tcPr>
            <w:tcW w:w="807" w:type="dxa"/>
            <w:tcBorders>
              <w:top w:val="nil"/>
              <w:left w:val="nil"/>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14 546</w:t>
            </w:r>
          </w:p>
        </w:tc>
        <w:tc>
          <w:tcPr>
            <w:tcW w:w="807" w:type="dxa"/>
            <w:tcBorders>
              <w:top w:val="nil"/>
              <w:left w:val="nil"/>
              <w:bottom w:val="single" w:sz="8" w:space="0" w:color="auto"/>
              <w:right w:val="single" w:sz="8" w:space="0" w:color="auto"/>
            </w:tcBorders>
            <w:shd w:val="clear" w:color="000000" w:fill="FFFFFF"/>
            <w:noWrap/>
            <w:vAlign w:val="center"/>
          </w:tcPr>
          <w:p w:rsidR="00555E5F" w:rsidRPr="00FF50EA" w:rsidRDefault="00555E5F" w:rsidP="00FF50EA">
            <w:pPr>
              <w:jc w:val="right"/>
              <w:rPr>
                <w:rFonts w:cs="Arial"/>
                <w:color w:val="000000"/>
                <w:sz w:val="16"/>
                <w:szCs w:val="16"/>
              </w:rPr>
            </w:pPr>
            <w:r w:rsidRPr="00FF50EA">
              <w:rPr>
                <w:rFonts w:cs="Arial"/>
                <w:color w:val="000000"/>
                <w:sz w:val="16"/>
                <w:szCs w:val="16"/>
              </w:rPr>
              <w:t>15 465</w:t>
            </w:r>
          </w:p>
        </w:tc>
        <w:tc>
          <w:tcPr>
            <w:tcW w:w="897" w:type="dxa"/>
            <w:tcBorders>
              <w:top w:val="nil"/>
              <w:left w:val="nil"/>
              <w:bottom w:val="single" w:sz="8" w:space="0" w:color="auto"/>
              <w:right w:val="single" w:sz="8" w:space="0" w:color="auto"/>
            </w:tcBorders>
            <w:shd w:val="clear" w:color="auto" w:fill="F2DBDB" w:themeFill="accent2" w:themeFillTint="33"/>
            <w:noWrap/>
            <w:vAlign w:val="bottom"/>
          </w:tcPr>
          <w:p w:rsidR="00555E5F" w:rsidRPr="00555E5F" w:rsidRDefault="00555E5F">
            <w:pPr>
              <w:jc w:val="right"/>
              <w:rPr>
                <w:rFonts w:cs="Arial"/>
                <w:b/>
                <w:color w:val="000000"/>
                <w:sz w:val="16"/>
                <w:szCs w:val="16"/>
              </w:rPr>
            </w:pPr>
            <w:r w:rsidRPr="00555E5F">
              <w:rPr>
                <w:rFonts w:cs="Arial"/>
                <w:b/>
                <w:color w:val="000000"/>
                <w:sz w:val="16"/>
                <w:szCs w:val="16"/>
              </w:rPr>
              <w:t>106,3</w:t>
            </w:r>
          </w:p>
        </w:tc>
      </w:tr>
      <w:tr w:rsidR="00555E5F" w:rsidRPr="00991A9E" w:rsidTr="00FF50EA">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rPr>
                <w:rFonts w:cs="Arial"/>
                <w:color w:val="000000"/>
                <w:sz w:val="16"/>
                <w:szCs w:val="16"/>
              </w:rPr>
            </w:pPr>
            <w:r w:rsidRPr="00991A9E">
              <w:rPr>
                <w:rFonts w:cs="Arial"/>
                <w:color w:val="000000"/>
                <w:sz w:val="16"/>
                <w:szCs w:val="16"/>
              </w:rPr>
              <w:t xml:space="preserve">   1.3 1 Všeobecná ambulantní léčebná péče </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2 382</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2 171</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2 302</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2 429</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2 622</w:t>
            </w:r>
          </w:p>
        </w:tc>
        <w:tc>
          <w:tcPr>
            <w:tcW w:w="807" w:type="dxa"/>
            <w:tcBorders>
              <w:top w:val="nil"/>
              <w:left w:val="nil"/>
              <w:bottom w:val="single" w:sz="8" w:space="0" w:color="auto"/>
              <w:right w:val="single" w:sz="8" w:space="0" w:color="auto"/>
            </w:tcBorders>
            <w:shd w:val="clear" w:color="auto" w:fill="auto"/>
            <w:noWrap/>
            <w:vAlign w:val="center"/>
          </w:tcPr>
          <w:p w:rsidR="00555E5F" w:rsidRPr="00FF50EA" w:rsidRDefault="00555E5F" w:rsidP="00FF50EA">
            <w:pPr>
              <w:jc w:val="right"/>
              <w:rPr>
                <w:rFonts w:cs="Arial"/>
                <w:color w:val="000000"/>
                <w:sz w:val="16"/>
                <w:szCs w:val="16"/>
              </w:rPr>
            </w:pPr>
            <w:r w:rsidRPr="00FF50EA">
              <w:rPr>
                <w:rFonts w:cs="Arial"/>
                <w:color w:val="000000"/>
                <w:sz w:val="16"/>
                <w:szCs w:val="16"/>
              </w:rPr>
              <w:t>2 758</w:t>
            </w:r>
          </w:p>
        </w:tc>
        <w:tc>
          <w:tcPr>
            <w:tcW w:w="897" w:type="dxa"/>
            <w:tcBorders>
              <w:top w:val="nil"/>
              <w:left w:val="nil"/>
              <w:bottom w:val="single" w:sz="8" w:space="0" w:color="auto"/>
              <w:right w:val="single" w:sz="8" w:space="0" w:color="auto"/>
            </w:tcBorders>
            <w:shd w:val="clear" w:color="auto" w:fill="F2DBDB" w:themeFill="accent2" w:themeFillTint="33"/>
            <w:noWrap/>
            <w:vAlign w:val="bottom"/>
          </w:tcPr>
          <w:p w:rsidR="00555E5F" w:rsidRPr="00555E5F" w:rsidRDefault="00555E5F">
            <w:pPr>
              <w:jc w:val="right"/>
              <w:rPr>
                <w:rFonts w:cs="Arial"/>
                <w:b/>
                <w:color w:val="000000"/>
                <w:sz w:val="16"/>
                <w:szCs w:val="16"/>
              </w:rPr>
            </w:pPr>
            <w:r w:rsidRPr="00555E5F">
              <w:rPr>
                <w:rFonts w:cs="Arial"/>
                <w:b/>
                <w:color w:val="000000"/>
                <w:sz w:val="16"/>
                <w:szCs w:val="16"/>
              </w:rPr>
              <w:t>105,2</w:t>
            </w:r>
          </w:p>
        </w:tc>
      </w:tr>
      <w:tr w:rsidR="00555E5F" w:rsidRPr="00991A9E" w:rsidTr="00FF50EA">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rPr>
                <w:rFonts w:cs="Arial"/>
                <w:color w:val="000000"/>
                <w:sz w:val="16"/>
                <w:szCs w:val="16"/>
              </w:rPr>
            </w:pPr>
            <w:r w:rsidRPr="00991A9E">
              <w:rPr>
                <w:rFonts w:cs="Arial"/>
                <w:color w:val="000000"/>
                <w:sz w:val="16"/>
                <w:szCs w:val="16"/>
              </w:rPr>
              <w:t xml:space="preserve">   1.3.2 Stomatologická ambulantní léčebná péče</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7 118</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7 737</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6 802</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7 362</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8 436</w:t>
            </w:r>
          </w:p>
        </w:tc>
        <w:tc>
          <w:tcPr>
            <w:tcW w:w="807" w:type="dxa"/>
            <w:tcBorders>
              <w:top w:val="nil"/>
              <w:left w:val="nil"/>
              <w:bottom w:val="single" w:sz="8" w:space="0" w:color="auto"/>
              <w:right w:val="single" w:sz="8" w:space="0" w:color="auto"/>
            </w:tcBorders>
            <w:shd w:val="clear" w:color="auto" w:fill="auto"/>
            <w:noWrap/>
            <w:vAlign w:val="center"/>
          </w:tcPr>
          <w:p w:rsidR="00555E5F" w:rsidRPr="00FF50EA" w:rsidRDefault="00555E5F" w:rsidP="00FF50EA">
            <w:pPr>
              <w:jc w:val="right"/>
              <w:rPr>
                <w:rFonts w:cs="Arial"/>
                <w:color w:val="000000"/>
                <w:sz w:val="16"/>
                <w:szCs w:val="16"/>
              </w:rPr>
            </w:pPr>
            <w:r w:rsidRPr="00FF50EA">
              <w:rPr>
                <w:rFonts w:cs="Arial"/>
                <w:color w:val="000000"/>
                <w:sz w:val="16"/>
                <w:szCs w:val="16"/>
              </w:rPr>
              <w:t>9 236</w:t>
            </w:r>
          </w:p>
        </w:tc>
        <w:tc>
          <w:tcPr>
            <w:tcW w:w="897" w:type="dxa"/>
            <w:tcBorders>
              <w:top w:val="nil"/>
              <w:left w:val="nil"/>
              <w:bottom w:val="single" w:sz="8" w:space="0" w:color="auto"/>
              <w:right w:val="single" w:sz="8" w:space="0" w:color="auto"/>
            </w:tcBorders>
            <w:shd w:val="clear" w:color="auto" w:fill="F2DBDB" w:themeFill="accent2" w:themeFillTint="33"/>
            <w:noWrap/>
            <w:vAlign w:val="bottom"/>
          </w:tcPr>
          <w:p w:rsidR="00555E5F" w:rsidRPr="00555E5F" w:rsidRDefault="00555E5F">
            <w:pPr>
              <w:jc w:val="right"/>
              <w:rPr>
                <w:rFonts w:cs="Arial"/>
                <w:b/>
                <w:color w:val="000000"/>
                <w:sz w:val="16"/>
                <w:szCs w:val="16"/>
              </w:rPr>
            </w:pPr>
            <w:r w:rsidRPr="00555E5F">
              <w:rPr>
                <w:rFonts w:cs="Arial"/>
                <w:b/>
                <w:color w:val="000000"/>
                <w:sz w:val="16"/>
                <w:szCs w:val="16"/>
              </w:rPr>
              <w:t>109,5</w:t>
            </w:r>
          </w:p>
        </w:tc>
      </w:tr>
      <w:tr w:rsidR="00555E5F" w:rsidRPr="00991A9E" w:rsidTr="00FF50EA">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rPr>
                <w:rFonts w:cs="Arial"/>
                <w:color w:val="000000"/>
                <w:sz w:val="16"/>
                <w:szCs w:val="16"/>
              </w:rPr>
            </w:pPr>
            <w:r w:rsidRPr="00991A9E">
              <w:rPr>
                <w:rFonts w:cs="Arial"/>
                <w:color w:val="000000"/>
                <w:sz w:val="16"/>
                <w:szCs w:val="16"/>
              </w:rPr>
              <w:t xml:space="preserve">   1.3.3 Specializovaná ambulantní léčebná péče </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3 328</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2 853</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3 100</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3 268</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3 488</w:t>
            </w:r>
          </w:p>
        </w:tc>
        <w:tc>
          <w:tcPr>
            <w:tcW w:w="807" w:type="dxa"/>
            <w:tcBorders>
              <w:top w:val="nil"/>
              <w:left w:val="nil"/>
              <w:bottom w:val="single" w:sz="8" w:space="0" w:color="auto"/>
              <w:right w:val="single" w:sz="8" w:space="0" w:color="auto"/>
            </w:tcBorders>
            <w:shd w:val="clear" w:color="auto" w:fill="auto"/>
            <w:noWrap/>
            <w:vAlign w:val="center"/>
          </w:tcPr>
          <w:p w:rsidR="00555E5F" w:rsidRPr="00FF50EA" w:rsidRDefault="00555E5F" w:rsidP="00FF50EA">
            <w:pPr>
              <w:jc w:val="right"/>
              <w:rPr>
                <w:rFonts w:cs="Arial"/>
                <w:color w:val="000000"/>
                <w:sz w:val="16"/>
                <w:szCs w:val="16"/>
              </w:rPr>
            </w:pPr>
            <w:r w:rsidRPr="00FF50EA">
              <w:rPr>
                <w:rFonts w:cs="Arial"/>
                <w:color w:val="000000"/>
                <w:sz w:val="16"/>
                <w:szCs w:val="16"/>
              </w:rPr>
              <w:t>3 471</w:t>
            </w:r>
          </w:p>
        </w:tc>
        <w:tc>
          <w:tcPr>
            <w:tcW w:w="897" w:type="dxa"/>
            <w:tcBorders>
              <w:top w:val="nil"/>
              <w:left w:val="nil"/>
              <w:bottom w:val="single" w:sz="8" w:space="0" w:color="auto"/>
              <w:right w:val="single" w:sz="8" w:space="0" w:color="auto"/>
            </w:tcBorders>
            <w:shd w:val="clear" w:color="auto" w:fill="F2DBDB" w:themeFill="accent2" w:themeFillTint="33"/>
            <w:noWrap/>
            <w:vAlign w:val="bottom"/>
          </w:tcPr>
          <w:p w:rsidR="00555E5F" w:rsidRPr="00555E5F" w:rsidRDefault="00555E5F">
            <w:pPr>
              <w:jc w:val="right"/>
              <w:rPr>
                <w:rFonts w:cs="Arial"/>
                <w:b/>
                <w:color w:val="000000"/>
                <w:sz w:val="16"/>
                <w:szCs w:val="16"/>
              </w:rPr>
            </w:pPr>
            <w:r w:rsidRPr="00555E5F">
              <w:rPr>
                <w:rFonts w:cs="Arial"/>
                <w:b/>
                <w:color w:val="000000"/>
                <w:sz w:val="16"/>
                <w:szCs w:val="16"/>
              </w:rPr>
              <w:t>99,5</w:t>
            </w:r>
          </w:p>
        </w:tc>
      </w:tr>
      <w:tr w:rsidR="00555E5F" w:rsidRPr="00991A9E" w:rsidTr="00FF50EA">
        <w:trPr>
          <w:trHeight w:val="315"/>
        </w:trPr>
        <w:tc>
          <w:tcPr>
            <w:tcW w:w="3680" w:type="dxa"/>
            <w:tcBorders>
              <w:top w:val="nil"/>
              <w:left w:val="single" w:sz="8" w:space="0" w:color="auto"/>
              <w:bottom w:val="single" w:sz="8" w:space="0" w:color="auto"/>
              <w:right w:val="single" w:sz="8" w:space="0" w:color="auto"/>
            </w:tcBorders>
            <w:shd w:val="clear" w:color="auto" w:fill="F2DBDB" w:themeFill="accent2" w:themeFillTint="33"/>
            <w:noWrap/>
            <w:vAlign w:val="center"/>
            <w:hideMark/>
          </w:tcPr>
          <w:p w:rsidR="00555E5F" w:rsidRPr="00991A9E" w:rsidRDefault="00555E5F" w:rsidP="00991A9E">
            <w:pPr>
              <w:spacing w:line="240" w:lineRule="auto"/>
              <w:rPr>
                <w:rFonts w:cs="Arial"/>
                <w:b/>
                <w:bCs/>
                <w:color w:val="000000"/>
                <w:sz w:val="16"/>
                <w:szCs w:val="16"/>
              </w:rPr>
            </w:pPr>
            <w:r w:rsidRPr="00991A9E">
              <w:rPr>
                <w:rFonts w:cs="Arial"/>
                <w:b/>
                <w:bCs/>
                <w:color w:val="000000"/>
                <w:sz w:val="16"/>
                <w:szCs w:val="16"/>
              </w:rPr>
              <w:t>2 Rehabilitační péče</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555E5F" w:rsidRPr="00991A9E" w:rsidRDefault="00555E5F" w:rsidP="00991A9E">
            <w:pPr>
              <w:spacing w:line="240" w:lineRule="auto"/>
              <w:jc w:val="right"/>
              <w:rPr>
                <w:rFonts w:cs="Arial"/>
                <w:b/>
                <w:bCs/>
                <w:color w:val="000000"/>
                <w:sz w:val="16"/>
                <w:szCs w:val="16"/>
              </w:rPr>
            </w:pPr>
            <w:r w:rsidRPr="00991A9E">
              <w:rPr>
                <w:rFonts w:cs="Arial"/>
                <w:b/>
                <w:bCs/>
                <w:color w:val="000000"/>
                <w:sz w:val="16"/>
                <w:szCs w:val="16"/>
              </w:rPr>
              <w:t>2 222</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555E5F" w:rsidRPr="00991A9E" w:rsidRDefault="00555E5F" w:rsidP="00991A9E">
            <w:pPr>
              <w:spacing w:line="240" w:lineRule="auto"/>
              <w:jc w:val="right"/>
              <w:rPr>
                <w:rFonts w:cs="Arial"/>
                <w:b/>
                <w:bCs/>
                <w:color w:val="000000"/>
                <w:sz w:val="16"/>
                <w:szCs w:val="16"/>
              </w:rPr>
            </w:pPr>
            <w:r w:rsidRPr="00991A9E">
              <w:rPr>
                <w:rFonts w:cs="Arial"/>
                <w:b/>
                <w:bCs/>
                <w:color w:val="000000"/>
                <w:sz w:val="16"/>
                <w:szCs w:val="16"/>
              </w:rPr>
              <w:t>2 539</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555E5F" w:rsidRPr="00991A9E" w:rsidRDefault="00555E5F" w:rsidP="00991A9E">
            <w:pPr>
              <w:spacing w:line="240" w:lineRule="auto"/>
              <w:jc w:val="right"/>
              <w:rPr>
                <w:rFonts w:cs="Arial"/>
                <w:b/>
                <w:bCs/>
                <w:color w:val="000000"/>
                <w:sz w:val="16"/>
                <w:szCs w:val="16"/>
              </w:rPr>
            </w:pPr>
            <w:r w:rsidRPr="00991A9E">
              <w:rPr>
                <w:rFonts w:cs="Arial"/>
                <w:b/>
                <w:bCs/>
                <w:color w:val="000000"/>
                <w:sz w:val="16"/>
                <w:szCs w:val="16"/>
              </w:rPr>
              <w:t>3 388</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555E5F" w:rsidRPr="00991A9E" w:rsidRDefault="00555E5F" w:rsidP="00991A9E">
            <w:pPr>
              <w:spacing w:line="240" w:lineRule="auto"/>
              <w:jc w:val="right"/>
              <w:rPr>
                <w:rFonts w:cs="Arial"/>
                <w:b/>
                <w:bCs/>
                <w:color w:val="000000"/>
                <w:sz w:val="16"/>
                <w:szCs w:val="16"/>
              </w:rPr>
            </w:pPr>
            <w:r w:rsidRPr="00991A9E">
              <w:rPr>
                <w:rFonts w:cs="Arial"/>
                <w:b/>
                <w:bCs/>
                <w:color w:val="000000"/>
                <w:sz w:val="16"/>
                <w:szCs w:val="16"/>
              </w:rPr>
              <w:t>2 983</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555E5F" w:rsidRPr="00991A9E" w:rsidRDefault="00555E5F" w:rsidP="00991A9E">
            <w:pPr>
              <w:spacing w:line="240" w:lineRule="auto"/>
              <w:jc w:val="right"/>
              <w:rPr>
                <w:rFonts w:cs="Arial"/>
                <w:b/>
                <w:bCs/>
                <w:color w:val="000000"/>
                <w:sz w:val="16"/>
                <w:szCs w:val="16"/>
              </w:rPr>
            </w:pPr>
            <w:r w:rsidRPr="00991A9E">
              <w:rPr>
                <w:rFonts w:cs="Arial"/>
                <w:b/>
                <w:bCs/>
                <w:color w:val="000000"/>
                <w:sz w:val="16"/>
                <w:szCs w:val="16"/>
              </w:rPr>
              <w:t>3 240</w:t>
            </w:r>
          </w:p>
        </w:tc>
        <w:tc>
          <w:tcPr>
            <w:tcW w:w="807" w:type="dxa"/>
            <w:tcBorders>
              <w:top w:val="nil"/>
              <w:left w:val="nil"/>
              <w:bottom w:val="single" w:sz="8" w:space="0" w:color="auto"/>
              <w:right w:val="single" w:sz="8" w:space="0" w:color="auto"/>
            </w:tcBorders>
            <w:shd w:val="clear" w:color="auto" w:fill="F2DBDB" w:themeFill="accent2" w:themeFillTint="33"/>
            <w:noWrap/>
            <w:vAlign w:val="center"/>
          </w:tcPr>
          <w:p w:rsidR="00555E5F" w:rsidRPr="00FF50EA" w:rsidRDefault="00555E5F" w:rsidP="00FF50EA">
            <w:pPr>
              <w:jc w:val="right"/>
              <w:rPr>
                <w:rFonts w:cs="Arial"/>
                <w:b/>
                <w:bCs/>
                <w:color w:val="000000"/>
                <w:sz w:val="16"/>
                <w:szCs w:val="16"/>
              </w:rPr>
            </w:pPr>
            <w:r w:rsidRPr="00FF50EA">
              <w:rPr>
                <w:rFonts w:cs="Arial"/>
                <w:b/>
                <w:bCs/>
                <w:color w:val="000000"/>
                <w:sz w:val="16"/>
                <w:szCs w:val="16"/>
              </w:rPr>
              <w:t>3 562</w:t>
            </w:r>
          </w:p>
        </w:tc>
        <w:tc>
          <w:tcPr>
            <w:tcW w:w="897" w:type="dxa"/>
            <w:tcBorders>
              <w:top w:val="nil"/>
              <w:left w:val="nil"/>
              <w:bottom w:val="single" w:sz="8" w:space="0" w:color="auto"/>
              <w:right w:val="single" w:sz="8" w:space="0" w:color="auto"/>
            </w:tcBorders>
            <w:shd w:val="clear" w:color="auto" w:fill="F2DBDB" w:themeFill="accent2" w:themeFillTint="33"/>
            <w:noWrap/>
            <w:vAlign w:val="bottom"/>
          </w:tcPr>
          <w:p w:rsidR="00555E5F" w:rsidRPr="00555E5F" w:rsidRDefault="00555E5F">
            <w:pPr>
              <w:jc w:val="right"/>
              <w:rPr>
                <w:rFonts w:cs="Arial"/>
                <w:b/>
                <w:color w:val="000000"/>
                <w:sz w:val="16"/>
                <w:szCs w:val="16"/>
              </w:rPr>
            </w:pPr>
            <w:r w:rsidRPr="00555E5F">
              <w:rPr>
                <w:rFonts w:cs="Arial"/>
                <w:b/>
                <w:color w:val="000000"/>
                <w:sz w:val="16"/>
                <w:szCs w:val="16"/>
              </w:rPr>
              <w:t>109,9</w:t>
            </w:r>
          </w:p>
        </w:tc>
      </w:tr>
      <w:tr w:rsidR="00555E5F" w:rsidRPr="00991A9E" w:rsidTr="00FF50EA">
        <w:trPr>
          <w:trHeight w:val="315"/>
        </w:trPr>
        <w:tc>
          <w:tcPr>
            <w:tcW w:w="3680" w:type="dxa"/>
            <w:tcBorders>
              <w:top w:val="nil"/>
              <w:left w:val="single" w:sz="8" w:space="0" w:color="auto"/>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rPr>
                <w:rFonts w:cs="Arial"/>
                <w:color w:val="000000"/>
                <w:sz w:val="16"/>
                <w:szCs w:val="16"/>
              </w:rPr>
            </w:pPr>
            <w:r w:rsidRPr="00991A9E">
              <w:rPr>
                <w:rFonts w:cs="Arial"/>
                <w:color w:val="000000"/>
                <w:sz w:val="16"/>
                <w:szCs w:val="16"/>
              </w:rPr>
              <w:t xml:space="preserve"> 2.1 Lůžková rehabilitační (lázeňská) péče</w:t>
            </w:r>
          </w:p>
        </w:tc>
        <w:tc>
          <w:tcPr>
            <w:tcW w:w="807" w:type="dxa"/>
            <w:tcBorders>
              <w:top w:val="nil"/>
              <w:left w:val="nil"/>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1 596</w:t>
            </w:r>
          </w:p>
        </w:tc>
        <w:tc>
          <w:tcPr>
            <w:tcW w:w="807" w:type="dxa"/>
            <w:tcBorders>
              <w:top w:val="nil"/>
              <w:left w:val="nil"/>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1 888</w:t>
            </w:r>
          </w:p>
        </w:tc>
        <w:tc>
          <w:tcPr>
            <w:tcW w:w="807" w:type="dxa"/>
            <w:tcBorders>
              <w:top w:val="nil"/>
              <w:left w:val="nil"/>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2 732</w:t>
            </w:r>
          </w:p>
        </w:tc>
        <w:tc>
          <w:tcPr>
            <w:tcW w:w="807" w:type="dxa"/>
            <w:tcBorders>
              <w:top w:val="nil"/>
              <w:left w:val="nil"/>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2 289</w:t>
            </w:r>
          </w:p>
        </w:tc>
        <w:tc>
          <w:tcPr>
            <w:tcW w:w="807" w:type="dxa"/>
            <w:tcBorders>
              <w:top w:val="nil"/>
              <w:left w:val="nil"/>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2 473</w:t>
            </w:r>
          </w:p>
        </w:tc>
        <w:tc>
          <w:tcPr>
            <w:tcW w:w="807" w:type="dxa"/>
            <w:tcBorders>
              <w:top w:val="nil"/>
              <w:left w:val="nil"/>
              <w:bottom w:val="single" w:sz="8" w:space="0" w:color="auto"/>
              <w:right w:val="single" w:sz="8" w:space="0" w:color="auto"/>
            </w:tcBorders>
            <w:shd w:val="clear" w:color="000000" w:fill="FFFFFF"/>
            <w:noWrap/>
            <w:vAlign w:val="center"/>
          </w:tcPr>
          <w:p w:rsidR="00555E5F" w:rsidRPr="00FF50EA" w:rsidRDefault="00555E5F" w:rsidP="00FF50EA">
            <w:pPr>
              <w:jc w:val="right"/>
              <w:rPr>
                <w:rFonts w:cs="Arial"/>
                <w:color w:val="000000"/>
                <w:sz w:val="16"/>
                <w:szCs w:val="16"/>
              </w:rPr>
            </w:pPr>
            <w:r w:rsidRPr="00FF50EA">
              <w:rPr>
                <w:rFonts w:cs="Arial"/>
                <w:color w:val="000000"/>
                <w:sz w:val="16"/>
                <w:szCs w:val="16"/>
              </w:rPr>
              <w:t>2 667</w:t>
            </w:r>
          </w:p>
        </w:tc>
        <w:tc>
          <w:tcPr>
            <w:tcW w:w="897" w:type="dxa"/>
            <w:tcBorders>
              <w:top w:val="nil"/>
              <w:left w:val="nil"/>
              <w:bottom w:val="single" w:sz="8" w:space="0" w:color="auto"/>
              <w:right w:val="single" w:sz="8" w:space="0" w:color="auto"/>
            </w:tcBorders>
            <w:shd w:val="clear" w:color="auto" w:fill="F2DBDB" w:themeFill="accent2" w:themeFillTint="33"/>
            <w:noWrap/>
            <w:vAlign w:val="bottom"/>
          </w:tcPr>
          <w:p w:rsidR="00555E5F" w:rsidRPr="00555E5F" w:rsidRDefault="00555E5F">
            <w:pPr>
              <w:jc w:val="right"/>
              <w:rPr>
                <w:rFonts w:cs="Arial"/>
                <w:b/>
                <w:color w:val="000000"/>
                <w:sz w:val="16"/>
                <w:szCs w:val="16"/>
              </w:rPr>
            </w:pPr>
            <w:r w:rsidRPr="00555E5F">
              <w:rPr>
                <w:rFonts w:cs="Arial"/>
                <w:b/>
                <w:color w:val="000000"/>
                <w:sz w:val="16"/>
                <w:szCs w:val="16"/>
              </w:rPr>
              <w:t>107,8</w:t>
            </w:r>
          </w:p>
        </w:tc>
      </w:tr>
      <w:tr w:rsidR="00555E5F" w:rsidRPr="00991A9E" w:rsidTr="00FF50EA">
        <w:trPr>
          <w:trHeight w:val="315"/>
        </w:trPr>
        <w:tc>
          <w:tcPr>
            <w:tcW w:w="3680" w:type="dxa"/>
            <w:tcBorders>
              <w:top w:val="nil"/>
              <w:left w:val="single" w:sz="8" w:space="0" w:color="auto"/>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rPr>
                <w:rFonts w:cs="Arial"/>
                <w:color w:val="000000"/>
                <w:sz w:val="16"/>
                <w:szCs w:val="16"/>
              </w:rPr>
            </w:pPr>
            <w:r w:rsidRPr="00991A9E">
              <w:rPr>
                <w:rFonts w:cs="Arial"/>
                <w:color w:val="000000"/>
                <w:sz w:val="16"/>
                <w:szCs w:val="16"/>
              </w:rPr>
              <w:t xml:space="preserve"> 2.3 Ambulantní rehabilitační péče</w:t>
            </w:r>
          </w:p>
        </w:tc>
        <w:tc>
          <w:tcPr>
            <w:tcW w:w="807" w:type="dxa"/>
            <w:tcBorders>
              <w:top w:val="nil"/>
              <w:left w:val="nil"/>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626</w:t>
            </w:r>
          </w:p>
        </w:tc>
        <w:tc>
          <w:tcPr>
            <w:tcW w:w="807" w:type="dxa"/>
            <w:tcBorders>
              <w:top w:val="nil"/>
              <w:left w:val="nil"/>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651</w:t>
            </w:r>
          </w:p>
        </w:tc>
        <w:tc>
          <w:tcPr>
            <w:tcW w:w="807" w:type="dxa"/>
            <w:tcBorders>
              <w:top w:val="nil"/>
              <w:left w:val="nil"/>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656</w:t>
            </w:r>
          </w:p>
        </w:tc>
        <w:tc>
          <w:tcPr>
            <w:tcW w:w="807" w:type="dxa"/>
            <w:tcBorders>
              <w:top w:val="nil"/>
              <w:left w:val="nil"/>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694</w:t>
            </w:r>
          </w:p>
        </w:tc>
        <w:tc>
          <w:tcPr>
            <w:tcW w:w="807" w:type="dxa"/>
            <w:tcBorders>
              <w:top w:val="nil"/>
              <w:left w:val="nil"/>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767</w:t>
            </w:r>
          </w:p>
        </w:tc>
        <w:tc>
          <w:tcPr>
            <w:tcW w:w="807" w:type="dxa"/>
            <w:tcBorders>
              <w:top w:val="nil"/>
              <w:left w:val="nil"/>
              <w:bottom w:val="single" w:sz="8" w:space="0" w:color="auto"/>
              <w:right w:val="single" w:sz="8" w:space="0" w:color="auto"/>
            </w:tcBorders>
            <w:shd w:val="clear" w:color="000000" w:fill="FFFFFF"/>
            <w:noWrap/>
            <w:vAlign w:val="center"/>
          </w:tcPr>
          <w:p w:rsidR="00555E5F" w:rsidRPr="00FF50EA" w:rsidRDefault="00555E5F" w:rsidP="00FF50EA">
            <w:pPr>
              <w:jc w:val="right"/>
              <w:rPr>
                <w:rFonts w:cs="Arial"/>
                <w:color w:val="000000"/>
                <w:sz w:val="16"/>
                <w:szCs w:val="16"/>
              </w:rPr>
            </w:pPr>
            <w:r w:rsidRPr="00FF50EA">
              <w:rPr>
                <w:rFonts w:cs="Arial"/>
                <w:color w:val="000000"/>
                <w:sz w:val="16"/>
                <w:szCs w:val="16"/>
              </w:rPr>
              <w:t>895</w:t>
            </w:r>
          </w:p>
        </w:tc>
        <w:tc>
          <w:tcPr>
            <w:tcW w:w="897" w:type="dxa"/>
            <w:tcBorders>
              <w:top w:val="nil"/>
              <w:left w:val="nil"/>
              <w:bottom w:val="single" w:sz="8" w:space="0" w:color="auto"/>
              <w:right w:val="single" w:sz="8" w:space="0" w:color="auto"/>
            </w:tcBorders>
            <w:shd w:val="clear" w:color="auto" w:fill="F2DBDB" w:themeFill="accent2" w:themeFillTint="33"/>
            <w:noWrap/>
            <w:vAlign w:val="bottom"/>
          </w:tcPr>
          <w:p w:rsidR="00555E5F" w:rsidRPr="00555E5F" w:rsidRDefault="00555E5F">
            <w:pPr>
              <w:jc w:val="right"/>
              <w:rPr>
                <w:rFonts w:cs="Arial"/>
                <w:b/>
                <w:color w:val="000000"/>
                <w:sz w:val="16"/>
                <w:szCs w:val="16"/>
              </w:rPr>
            </w:pPr>
            <w:r w:rsidRPr="00555E5F">
              <w:rPr>
                <w:rFonts w:cs="Arial"/>
                <w:b/>
                <w:color w:val="000000"/>
                <w:sz w:val="16"/>
                <w:szCs w:val="16"/>
              </w:rPr>
              <w:t>116,7</w:t>
            </w:r>
          </w:p>
        </w:tc>
      </w:tr>
      <w:tr w:rsidR="00555E5F" w:rsidRPr="00991A9E" w:rsidTr="00FF50EA">
        <w:trPr>
          <w:trHeight w:val="315"/>
        </w:trPr>
        <w:tc>
          <w:tcPr>
            <w:tcW w:w="3680" w:type="dxa"/>
            <w:tcBorders>
              <w:top w:val="nil"/>
              <w:left w:val="single" w:sz="8" w:space="0" w:color="auto"/>
              <w:bottom w:val="single" w:sz="8" w:space="0" w:color="auto"/>
              <w:right w:val="single" w:sz="8" w:space="0" w:color="auto"/>
            </w:tcBorders>
            <w:shd w:val="clear" w:color="auto" w:fill="F2DBDB" w:themeFill="accent2" w:themeFillTint="33"/>
            <w:noWrap/>
            <w:vAlign w:val="center"/>
            <w:hideMark/>
          </w:tcPr>
          <w:p w:rsidR="00555E5F" w:rsidRPr="00991A9E" w:rsidRDefault="00555E5F" w:rsidP="00991A9E">
            <w:pPr>
              <w:spacing w:line="240" w:lineRule="auto"/>
              <w:rPr>
                <w:rFonts w:cs="Arial"/>
                <w:b/>
                <w:bCs/>
                <w:color w:val="000000"/>
                <w:sz w:val="16"/>
                <w:szCs w:val="16"/>
              </w:rPr>
            </w:pPr>
            <w:r w:rsidRPr="00991A9E">
              <w:rPr>
                <w:rFonts w:cs="Arial"/>
                <w:b/>
                <w:bCs/>
                <w:color w:val="000000"/>
                <w:sz w:val="16"/>
                <w:szCs w:val="16"/>
              </w:rPr>
              <w:t>3 Dlouhodobá lůžková péče</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555E5F" w:rsidRPr="00991A9E" w:rsidRDefault="00555E5F" w:rsidP="00991A9E">
            <w:pPr>
              <w:spacing w:line="240" w:lineRule="auto"/>
              <w:jc w:val="right"/>
              <w:rPr>
                <w:rFonts w:cs="Arial"/>
                <w:b/>
                <w:bCs/>
                <w:color w:val="000000"/>
                <w:sz w:val="16"/>
                <w:szCs w:val="16"/>
              </w:rPr>
            </w:pPr>
            <w:r w:rsidRPr="00991A9E">
              <w:rPr>
                <w:rFonts w:cs="Arial"/>
                <w:b/>
                <w:bCs/>
                <w:color w:val="000000"/>
                <w:sz w:val="16"/>
                <w:szCs w:val="16"/>
              </w:rPr>
              <w:t>52</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555E5F" w:rsidRPr="00991A9E" w:rsidRDefault="00555E5F" w:rsidP="00991A9E">
            <w:pPr>
              <w:spacing w:line="240" w:lineRule="auto"/>
              <w:jc w:val="right"/>
              <w:rPr>
                <w:rFonts w:cs="Arial"/>
                <w:b/>
                <w:bCs/>
                <w:color w:val="000000"/>
                <w:sz w:val="16"/>
                <w:szCs w:val="16"/>
              </w:rPr>
            </w:pPr>
            <w:r w:rsidRPr="00991A9E">
              <w:rPr>
                <w:rFonts w:cs="Arial"/>
                <w:b/>
                <w:bCs/>
                <w:color w:val="000000"/>
                <w:sz w:val="16"/>
                <w:szCs w:val="16"/>
              </w:rPr>
              <w:t>63</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555E5F" w:rsidRPr="00991A9E" w:rsidRDefault="00555E5F" w:rsidP="00991A9E">
            <w:pPr>
              <w:spacing w:line="240" w:lineRule="auto"/>
              <w:jc w:val="right"/>
              <w:rPr>
                <w:rFonts w:cs="Arial"/>
                <w:b/>
                <w:bCs/>
                <w:color w:val="000000"/>
                <w:sz w:val="16"/>
                <w:szCs w:val="16"/>
              </w:rPr>
            </w:pPr>
            <w:r w:rsidRPr="00991A9E">
              <w:rPr>
                <w:rFonts w:cs="Arial"/>
                <w:b/>
                <w:bCs/>
                <w:color w:val="000000"/>
                <w:sz w:val="16"/>
                <w:szCs w:val="16"/>
              </w:rPr>
              <w:t>93</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555E5F" w:rsidRPr="00991A9E" w:rsidRDefault="00555E5F" w:rsidP="00991A9E">
            <w:pPr>
              <w:spacing w:line="240" w:lineRule="auto"/>
              <w:jc w:val="right"/>
              <w:rPr>
                <w:rFonts w:cs="Arial"/>
                <w:b/>
                <w:bCs/>
                <w:color w:val="000000"/>
                <w:sz w:val="16"/>
                <w:szCs w:val="16"/>
              </w:rPr>
            </w:pPr>
            <w:r w:rsidRPr="00991A9E">
              <w:rPr>
                <w:rFonts w:cs="Arial"/>
                <w:b/>
                <w:bCs/>
                <w:color w:val="000000"/>
                <w:sz w:val="16"/>
                <w:szCs w:val="16"/>
              </w:rPr>
              <w:t>77</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555E5F" w:rsidRPr="00991A9E" w:rsidRDefault="00555E5F" w:rsidP="00991A9E">
            <w:pPr>
              <w:spacing w:line="240" w:lineRule="auto"/>
              <w:jc w:val="right"/>
              <w:rPr>
                <w:rFonts w:cs="Arial"/>
                <w:b/>
                <w:bCs/>
                <w:color w:val="000000"/>
                <w:sz w:val="16"/>
                <w:szCs w:val="16"/>
              </w:rPr>
            </w:pPr>
            <w:r w:rsidRPr="00991A9E">
              <w:rPr>
                <w:rFonts w:cs="Arial"/>
                <w:b/>
                <w:bCs/>
                <w:color w:val="000000"/>
                <w:sz w:val="16"/>
                <w:szCs w:val="16"/>
              </w:rPr>
              <w:t>83</w:t>
            </w:r>
          </w:p>
        </w:tc>
        <w:tc>
          <w:tcPr>
            <w:tcW w:w="807" w:type="dxa"/>
            <w:tcBorders>
              <w:top w:val="nil"/>
              <w:left w:val="nil"/>
              <w:bottom w:val="single" w:sz="8" w:space="0" w:color="auto"/>
              <w:right w:val="single" w:sz="8" w:space="0" w:color="auto"/>
            </w:tcBorders>
            <w:shd w:val="clear" w:color="auto" w:fill="F2DBDB" w:themeFill="accent2" w:themeFillTint="33"/>
            <w:noWrap/>
            <w:vAlign w:val="center"/>
          </w:tcPr>
          <w:p w:rsidR="00555E5F" w:rsidRPr="00FF50EA" w:rsidRDefault="00555E5F" w:rsidP="00FF50EA">
            <w:pPr>
              <w:jc w:val="right"/>
              <w:rPr>
                <w:rFonts w:cs="Arial"/>
                <w:b/>
                <w:bCs/>
                <w:color w:val="000000"/>
                <w:sz w:val="16"/>
                <w:szCs w:val="16"/>
              </w:rPr>
            </w:pPr>
            <w:r w:rsidRPr="00FF50EA">
              <w:rPr>
                <w:rFonts w:cs="Arial"/>
                <w:b/>
                <w:bCs/>
                <w:color w:val="000000"/>
                <w:sz w:val="16"/>
                <w:szCs w:val="16"/>
              </w:rPr>
              <w:t>89</w:t>
            </w:r>
          </w:p>
        </w:tc>
        <w:tc>
          <w:tcPr>
            <w:tcW w:w="897" w:type="dxa"/>
            <w:tcBorders>
              <w:top w:val="nil"/>
              <w:left w:val="nil"/>
              <w:bottom w:val="single" w:sz="8" w:space="0" w:color="auto"/>
              <w:right w:val="single" w:sz="8" w:space="0" w:color="auto"/>
            </w:tcBorders>
            <w:shd w:val="clear" w:color="auto" w:fill="F2DBDB" w:themeFill="accent2" w:themeFillTint="33"/>
            <w:noWrap/>
            <w:vAlign w:val="bottom"/>
          </w:tcPr>
          <w:p w:rsidR="00555E5F" w:rsidRPr="00555E5F" w:rsidRDefault="00555E5F">
            <w:pPr>
              <w:jc w:val="right"/>
              <w:rPr>
                <w:rFonts w:cs="Arial"/>
                <w:b/>
                <w:color w:val="000000"/>
                <w:sz w:val="16"/>
                <w:szCs w:val="16"/>
              </w:rPr>
            </w:pPr>
            <w:r w:rsidRPr="00555E5F">
              <w:rPr>
                <w:rFonts w:cs="Arial"/>
                <w:b/>
                <w:color w:val="000000"/>
                <w:sz w:val="16"/>
                <w:szCs w:val="16"/>
              </w:rPr>
              <w:t>107,2</w:t>
            </w:r>
          </w:p>
        </w:tc>
      </w:tr>
      <w:tr w:rsidR="00555E5F" w:rsidRPr="00991A9E" w:rsidTr="00FF50EA">
        <w:trPr>
          <w:trHeight w:val="315"/>
        </w:trPr>
        <w:tc>
          <w:tcPr>
            <w:tcW w:w="3680" w:type="dxa"/>
            <w:tcBorders>
              <w:top w:val="nil"/>
              <w:left w:val="single" w:sz="8" w:space="0" w:color="auto"/>
              <w:bottom w:val="single" w:sz="8" w:space="0" w:color="auto"/>
              <w:right w:val="single" w:sz="8" w:space="0" w:color="auto"/>
            </w:tcBorders>
            <w:shd w:val="clear" w:color="auto" w:fill="F2DBDB" w:themeFill="accent2" w:themeFillTint="33"/>
            <w:noWrap/>
            <w:vAlign w:val="center"/>
            <w:hideMark/>
          </w:tcPr>
          <w:p w:rsidR="00555E5F" w:rsidRPr="00991A9E" w:rsidRDefault="00555E5F" w:rsidP="00991A9E">
            <w:pPr>
              <w:spacing w:line="240" w:lineRule="auto"/>
              <w:rPr>
                <w:rFonts w:cs="Arial"/>
                <w:b/>
                <w:bCs/>
                <w:color w:val="000000"/>
                <w:sz w:val="16"/>
                <w:szCs w:val="16"/>
              </w:rPr>
            </w:pPr>
            <w:r w:rsidRPr="00991A9E">
              <w:rPr>
                <w:rFonts w:cs="Arial"/>
                <w:b/>
                <w:bCs/>
                <w:color w:val="000000"/>
                <w:sz w:val="16"/>
                <w:szCs w:val="16"/>
              </w:rPr>
              <w:t>5 Léčiva a ostatní zdravotnické výrobky</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555E5F" w:rsidRPr="00991A9E" w:rsidRDefault="00555E5F" w:rsidP="00991A9E">
            <w:pPr>
              <w:spacing w:line="240" w:lineRule="auto"/>
              <w:jc w:val="right"/>
              <w:rPr>
                <w:rFonts w:cs="Arial"/>
                <w:b/>
                <w:bCs/>
                <w:color w:val="000000"/>
                <w:sz w:val="16"/>
                <w:szCs w:val="16"/>
              </w:rPr>
            </w:pPr>
            <w:r w:rsidRPr="00991A9E">
              <w:rPr>
                <w:rFonts w:cs="Arial"/>
                <w:b/>
                <w:bCs/>
                <w:color w:val="000000"/>
                <w:sz w:val="16"/>
                <w:szCs w:val="16"/>
              </w:rPr>
              <w:t>27 115</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555E5F" w:rsidRPr="00991A9E" w:rsidRDefault="00555E5F" w:rsidP="00991A9E">
            <w:pPr>
              <w:spacing w:line="240" w:lineRule="auto"/>
              <w:jc w:val="right"/>
              <w:rPr>
                <w:rFonts w:cs="Arial"/>
                <w:b/>
                <w:bCs/>
                <w:color w:val="000000"/>
                <w:sz w:val="16"/>
                <w:szCs w:val="16"/>
              </w:rPr>
            </w:pPr>
            <w:r w:rsidRPr="00991A9E">
              <w:rPr>
                <w:rFonts w:cs="Arial"/>
                <w:b/>
                <w:bCs/>
                <w:color w:val="000000"/>
                <w:sz w:val="16"/>
                <w:szCs w:val="16"/>
              </w:rPr>
              <w:t>28 089</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555E5F" w:rsidRPr="00991A9E" w:rsidRDefault="00555E5F" w:rsidP="00991A9E">
            <w:pPr>
              <w:spacing w:line="240" w:lineRule="auto"/>
              <w:jc w:val="right"/>
              <w:rPr>
                <w:rFonts w:cs="Arial"/>
                <w:b/>
                <w:bCs/>
                <w:color w:val="000000"/>
                <w:sz w:val="16"/>
                <w:szCs w:val="16"/>
              </w:rPr>
            </w:pPr>
            <w:r w:rsidRPr="00991A9E">
              <w:rPr>
                <w:rFonts w:cs="Arial"/>
                <w:b/>
                <w:bCs/>
                <w:color w:val="000000"/>
                <w:sz w:val="16"/>
                <w:szCs w:val="16"/>
              </w:rPr>
              <w:t>27 723</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555E5F" w:rsidRPr="00991A9E" w:rsidRDefault="00555E5F" w:rsidP="00991A9E">
            <w:pPr>
              <w:spacing w:line="240" w:lineRule="auto"/>
              <w:jc w:val="right"/>
              <w:rPr>
                <w:rFonts w:cs="Arial"/>
                <w:b/>
                <w:bCs/>
                <w:color w:val="000000"/>
                <w:sz w:val="16"/>
                <w:szCs w:val="16"/>
              </w:rPr>
            </w:pPr>
            <w:r w:rsidRPr="00991A9E">
              <w:rPr>
                <w:rFonts w:cs="Arial"/>
                <w:b/>
                <w:bCs/>
                <w:color w:val="000000"/>
                <w:sz w:val="16"/>
                <w:szCs w:val="16"/>
              </w:rPr>
              <w:t>26 648</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555E5F" w:rsidRPr="00991A9E" w:rsidRDefault="00555E5F" w:rsidP="00991A9E">
            <w:pPr>
              <w:spacing w:line="240" w:lineRule="auto"/>
              <w:jc w:val="right"/>
              <w:rPr>
                <w:rFonts w:cs="Arial"/>
                <w:b/>
                <w:bCs/>
                <w:color w:val="000000"/>
                <w:sz w:val="16"/>
                <w:szCs w:val="16"/>
              </w:rPr>
            </w:pPr>
            <w:r w:rsidRPr="00991A9E">
              <w:rPr>
                <w:rFonts w:cs="Arial"/>
                <w:b/>
                <w:bCs/>
                <w:color w:val="000000"/>
                <w:sz w:val="16"/>
                <w:szCs w:val="16"/>
              </w:rPr>
              <w:t>27 867</w:t>
            </w:r>
          </w:p>
        </w:tc>
        <w:tc>
          <w:tcPr>
            <w:tcW w:w="807" w:type="dxa"/>
            <w:tcBorders>
              <w:top w:val="nil"/>
              <w:left w:val="nil"/>
              <w:bottom w:val="single" w:sz="8" w:space="0" w:color="auto"/>
              <w:right w:val="single" w:sz="8" w:space="0" w:color="auto"/>
            </w:tcBorders>
            <w:shd w:val="clear" w:color="auto" w:fill="F2DBDB" w:themeFill="accent2" w:themeFillTint="33"/>
            <w:noWrap/>
            <w:vAlign w:val="center"/>
          </w:tcPr>
          <w:p w:rsidR="00555E5F" w:rsidRPr="00FF50EA" w:rsidRDefault="00555E5F" w:rsidP="00FF50EA">
            <w:pPr>
              <w:jc w:val="right"/>
              <w:rPr>
                <w:rFonts w:cs="Arial"/>
                <w:b/>
                <w:bCs/>
                <w:color w:val="000000"/>
                <w:sz w:val="16"/>
                <w:szCs w:val="16"/>
              </w:rPr>
            </w:pPr>
            <w:r w:rsidRPr="00FF50EA">
              <w:rPr>
                <w:rFonts w:cs="Arial"/>
                <w:b/>
                <w:bCs/>
                <w:color w:val="000000"/>
                <w:sz w:val="16"/>
                <w:szCs w:val="16"/>
              </w:rPr>
              <w:t>29 428</w:t>
            </w:r>
          </w:p>
        </w:tc>
        <w:tc>
          <w:tcPr>
            <w:tcW w:w="897" w:type="dxa"/>
            <w:tcBorders>
              <w:top w:val="nil"/>
              <w:left w:val="nil"/>
              <w:bottom w:val="single" w:sz="8" w:space="0" w:color="auto"/>
              <w:right w:val="single" w:sz="8" w:space="0" w:color="auto"/>
            </w:tcBorders>
            <w:shd w:val="clear" w:color="auto" w:fill="F2DBDB" w:themeFill="accent2" w:themeFillTint="33"/>
            <w:noWrap/>
            <w:vAlign w:val="bottom"/>
          </w:tcPr>
          <w:p w:rsidR="00555E5F" w:rsidRPr="00555E5F" w:rsidRDefault="00555E5F">
            <w:pPr>
              <w:jc w:val="right"/>
              <w:rPr>
                <w:rFonts w:cs="Arial"/>
                <w:b/>
                <w:color w:val="000000"/>
                <w:sz w:val="16"/>
                <w:szCs w:val="16"/>
              </w:rPr>
            </w:pPr>
            <w:r w:rsidRPr="00555E5F">
              <w:rPr>
                <w:rFonts w:cs="Arial"/>
                <w:b/>
                <w:color w:val="000000"/>
                <w:sz w:val="16"/>
                <w:szCs w:val="16"/>
              </w:rPr>
              <w:t>105,6</w:t>
            </w:r>
          </w:p>
        </w:tc>
      </w:tr>
      <w:tr w:rsidR="00555E5F" w:rsidRPr="00991A9E" w:rsidTr="00FF50EA">
        <w:trPr>
          <w:trHeight w:val="315"/>
        </w:trPr>
        <w:tc>
          <w:tcPr>
            <w:tcW w:w="3680" w:type="dxa"/>
            <w:tcBorders>
              <w:top w:val="nil"/>
              <w:left w:val="single" w:sz="8" w:space="0" w:color="auto"/>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rPr>
                <w:rFonts w:cs="Arial"/>
                <w:color w:val="000000"/>
                <w:sz w:val="16"/>
                <w:szCs w:val="16"/>
              </w:rPr>
            </w:pPr>
            <w:r w:rsidRPr="00991A9E">
              <w:rPr>
                <w:rFonts w:cs="Arial"/>
                <w:color w:val="000000"/>
                <w:sz w:val="16"/>
                <w:szCs w:val="16"/>
              </w:rPr>
              <w:t xml:space="preserve"> 5.1 Léčiva a zdravotnický materiál</w:t>
            </w:r>
          </w:p>
        </w:tc>
        <w:tc>
          <w:tcPr>
            <w:tcW w:w="807" w:type="dxa"/>
            <w:tcBorders>
              <w:top w:val="nil"/>
              <w:left w:val="nil"/>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21 380</w:t>
            </w:r>
          </w:p>
        </w:tc>
        <w:tc>
          <w:tcPr>
            <w:tcW w:w="807" w:type="dxa"/>
            <w:tcBorders>
              <w:top w:val="nil"/>
              <w:left w:val="nil"/>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22 347</w:t>
            </w:r>
          </w:p>
        </w:tc>
        <w:tc>
          <w:tcPr>
            <w:tcW w:w="807" w:type="dxa"/>
            <w:tcBorders>
              <w:top w:val="nil"/>
              <w:left w:val="nil"/>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22 163</w:t>
            </w:r>
          </w:p>
        </w:tc>
        <w:tc>
          <w:tcPr>
            <w:tcW w:w="807" w:type="dxa"/>
            <w:tcBorders>
              <w:top w:val="nil"/>
              <w:left w:val="nil"/>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21 102</w:t>
            </w:r>
          </w:p>
        </w:tc>
        <w:tc>
          <w:tcPr>
            <w:tcW w:w="807" w:type="dxa"/>
            <w:tcBorders>
              <w:top w:val="nil"/>
              <w:left w:val="nil"/>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22 264</w:t>
            </w:r>
          </w:p>
        </w:tc>
        <w:tc>
          <w:tcPr>
            <w:tcW w:w="807" w:type="dxa"/>
            <w:tcBorders>
              <w:top w:val="nil"/>
              <w:left w:val="nil"/>
              <w:bottom w:val="single" w:sz="8" w:space="0" w:color="auto"/>
              <w:right w:val="single" w:sz="8" w:space="0" w:color="auto"/>
            </w:tcBorders>
            <w:shd w:val="clear" w:color="000000" w:fill="FFFFFF"/>
            <w:noWrap/>
            <w:vAlign w:val="center"/>
          </w:tcPr>
          <w:p w:rsidR="00555E5F" w:rsidRPr="00FF50EA" w:rsidRDefault="00555E5F" w:rsidP="00FF50EA">
            <w:pPr>
              <w:jc w:val="right"/>
              <w:rPr>
                <w:rFonts w:cs="Arial"/>
                <w:color w:val="000000"/>
                <w:sz w:val="16"/>
                <w:szCs w:val="16"/>
              </w:rPr>
            </w:pPr>
            <w:r w:rsidRPr="00FF50EA">
              <w:rPr>
                <w:rFonts w:cs="Arial"/>
                <w:color w:val="000000"/>
                <w:sz w:val="16"/>
                <w:szCs w:val="16"/>
              </w:rPr>
              <w:t>23 535</w:t>
            </w:r>
          </w:p>
        </w:tc>
        <w:tc>
          <w:tcPr>
            <w:tcW w:w="897" w:type="dxa"/>
            <w:tcBorders>
              <w:top w:val="nil"/>
              <w:left w:val="nil"/>
              <w:bottom w:val="single" w:sz="8" w:space="0" w:color="auto"/>
              <w:right w:val="single" w:sz="8" w:space="0" w:color="auto"/>
            </w:tcBorders>
            <w:shd w:val="clear" w:color="auto" w:fill="F2DBDB" w:themeFill="accent2" w:themeFillTint="33"/>
            <w:noWrap/>
            <w:vAlign w:val="bottom"/>
          </w:tcPr>
          <w:p w:rsidR="00555E5F" w:rsidRPr="00555E5F" w:rsidRDefault="00555E5F">
            <w:pPr>
              <w:jc w:val="right"/>
              <w:rPr>
                <w:rFonts w:cs="Arial"/>
                <w:b/>
                <w:color w:val="000000"/>
                <w:sz w:val="16"/>
                <w:szCs w:val="16"/>
              </w:rPr>
            </w:pPr>
            <w:r w:rsidRPr="00555E5F">
              <w:rPr>
                <w:rFonts w:cs="Arial"/>
                <w:b/>
                <w:color w:val="000000"/>
                <w:sz w:val="16"/>
                <w:szCs w:val="16"/>
              </w:rPr>
              <w:t>105,7</w:t>
            </w:r>
          </w:p>
        </w:tc>
      </w:tr>
      <w:tr w:rsidR="00555E5F" w:rsidRPr="00991A9E" w:rsidTr="00FF50EA">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rPr>
                <w:rFonts w:cs="Arial"/>
                <w:color w:val="000000"/>
                <w:sz w:val="16"/>
                <w:szCs w:val="16"/>
              </w:rPr>
            </w:pPr>
            <w:r w:rsidRPr="00991A9E">
              <w:rPr>
                <w:rFonts w:cs="Arial"/>
                <w:color w:val="000000"/>
                <w:sz w:val="16"/>
                <w:szCs w:val="16"/>
              </w:rPr>
              <w:t xml:space="preserve">   5.1.1 Léky na předpis</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8 932</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9 439</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9 394</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9 303</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9 496</w:t>
            </w:r>
          </w:p>
        </w:tc>
        <w:tc>
          <w:tcPr>
            <w:tcW w:w="807" w:type="dxa"/>
            <w:tcBorders>
              <w:top w:val="nil"/>
              <w:left w:val="nil"/>
              <w:bottom w:val="single" w:sz="8" w:space="0" w:color="auto"/>
              <w:right w:val="single" w:sz="8" w:space="0" w:color="auto"/>
            </w:tcBorders>
            <w:shd w:val="clear" w:color="auto" w:fill="auto"/>
            <w:noWrap/>
            <w:vAlign w:val="center"/>
          </w:tcPr>
          <w:p w:rsidR="00555E5F" w:rsidRPr="00FF50EA" w:rsidRDefault="00555E5F" w:rsidP="00FF50EA">
            <w:pPr>
              <w:jc w:val="right"/>
              <w:rPr>
                <w:rFonts w:cs="Arial"/>
                <w:color w:val="000000"/>
                <w:sz w:val="16"/>
                <w:szCs w:val="16"/>
              </w:rPr>
            </w:pPr>
            <w:r w:rsidRPr="00FF50EA">
              <w:rPr>
                <w:rFonts w:cs="Arial"/>
                <w:color w:val="000000"/>
                <w:sz w:val="16"/>
                <w:szCs w:val="16"/>
              </w:rPr>
              <w:t>10 121</w:t>
            </w:r>
          </w:p>
        </w:tc>
        <w:tc>
          <w:tcPr>
            <w:tcW w:w="897" w:type="dxa"/>
            <w:tcBorders>
              <w:top w:val="nil"/>
              <w:left w:val="nil"/>
              <w:bottom w:val="single" w:sz="8" w:space="0" w:color="auto"/>
              <w:right w:val="single" w:sz="8" w:space="0" w:color="auto"/>
            </w:tcBorders>
            <w:shd w:val="clear" w:color="auto" w:fill="F2DBDB" w:themeFill="accent2" w:themeFillTint="33"/>
            <w:noWrap/>
            <w:vAlign w:val="bottom"/>
          </w:tcPr>
          <w:p w:rsidR="00555E5F" w:rsidRPr="00555E5F" w:rsidRDefault="00555E5F">
            <w:pPr>
              <w:jc w:val="right"/>
              <w:rPr>
                <w:rFonts w:cs="Arial"/>
                <w:b/>
                <w:color w:val="000000"/>
                <w:sz w:val="16"/>
                <w:szCs w:val="16"/>
              </w:rPr>
            </w:pPr>
            <w:r w:rsidRPr="00555E5F">
              <w:rPr>
                <w:rFonts w:cs="Arial"/>
                <w:b/>
                <w:color w:val="000000"/>
                <w:sz w:val="16"/>
                <w:szCs w:val="16"/>
              </w:rPr>
              <w:t>106,6</w:t>
            </w:r>
          </w:p>
        </w:tc>
      </w:tr>
      <w:tr w:rsidR="00555E5F" w:rsidRPr="00991A9E" w:rsidTr="00FF50EA">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rPr>
                <w:rFonts w:cs="Arial"/>
                <w:color w:val="000000"/>
                <w:sz w:val="16"/>
                <w:szCs w:val="16"/>
              </w:rPr>
            </w:pPr>
            <w:r w:rsidRPr="00991A9E">
              <w:rPr>
                <w:rFonts w:cs="Arial"/>
                <w:color w:val="000000"/>
                <w:sz w:val="16"/>
                <w:szCs w:val="16"/>
              </w:rPr>
              <w:t xml:space="preserve">   5.1.2 Volně prodejné léky a léčiva</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11 843</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12 262</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12 088</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11 179</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12 140</w:t>
            </w:r>
          </w:p>
        </w:tc>
        <w:tc>
          <w:tcPr>
            <w:tcW w:w="807" w:type="dxa"/>
            <w:tcBorders>
              <w:top w:val="nil"/>
              <w:left w:val="nil"/>
              <w:bottom w:val="single" w:sz="8" w:space="0" w:color="auto"/>
              <w:right w:val="single" w:sz="8" w:space="0" w:color="auto"/>
            </w:tcBorders>
            <w:shd w:val="clear" w:color="auto" w:fill="auto"/>
            <w:noWrap/>
            <w:vAlign w:val="center"/>
          </w:tcPr>
          <w:p w:rsidR="00555E5F" w:rsidRPr="00FF50EA" w:rsidRDefault="00555E5F" w:rsidP="00FF50EA">
            <w:pPr>
              <w:jc w:val="right"/>
              <w:rPr>
                <w:rFonts w:cs="Arial"/>
                <w:color w:val="000000"/>
                <w:sz w:val="16"/>
                <w:szCs w:val="16"/>
              </w:rPr>
            </w:pPr>
            <w:r w:rsidRPr="00FF50EA">
              <w:rPr>
                <w:rFonts w:cs="Arial"/>
                <w:color w:val="000000"/>
                <w:sz w:val="16"/>
                <w:szCs w:val="16"/>
              </w:rPr>
              <w:t>12 744</w:t>
            </w:r>
          </w:p>
        </w:tc>
        <w:tc>
          <w:tcPr>
            <w:tcW w:w="897" w:type="dxa"/>
            <w:tcBorders>
              <w:top w:val="nil"/>
              <w:left w:val="nil"/>
              <w:bottom w:val="single" w:sz="8" w:space="0" w:color="auto"/>
              <w:right w:val="single" w:sz="8" w:space="0" w:color="auto"/>
            </w:tcBorders>
            <w:shd w:val="clear" w:color="auto" w:fill="F2DBDB" w:themeFill="accent2" w:themeFillTint="33"/>
            <w:noWrap/>
            <w:vAlign w:val="bottom"/>
          </w:tcPr>
          <w:p w:rsidR="00555E5F" w:rsidRPr="00555E5F" w:rsidRDefault="00555E5F">
            <w:pPr>
              <w:jc w:val="right"/>
              <w:rPr>
                <w:rFonts w:cs="Arial"/>
                <w:b/>
                <w:color w:val="000000"/>
                <w:sz w:val="16"/>
                <w:szCs w:val="16"/>
              </w:rPr>
            </w:pPr>
            <w:r w:rsidRPr="00555E5F">
              <w:rPr>
                <w:rFonts w:cs="Arial"/>
                <w:b/>
                <w:color w:val="000000"/>
                <w:sz w:val="16"/>
                <w:szCs w:val="16"/>
              </w:rPr>
              <w:t>105,0</w:t>
            </w:r>
          </w:p>
        </w:tc>
      </w:tr>
      <w:tr w:rsidR="00555E5F" w:rsidRPr="00991A9E" w:rsidTr="00FF50EA">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rPr>
                <w:rFonts w:cs="Arial"/>
                <w:color w:val="000000"/>
                <w:sz w:val="16"/>
                <w:szCs w:val="16"/>
              </w:rPr>
            </w:pPr>
            <w:r w:rsidRPr="00991A9E">
              <w:rPr>
                <w:rFonts w:cs="Arial"/>
                <w:color w:val="000000"/>
                <w:sz w:val="16"/>
                <w:szCs w:val="16"/>
              </w:rPr>
              <w:t xml:space="preserve">   5.1.3 Ostatní zdravotnický materiál a výrobky</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605</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646</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681</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620</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628</w:t>
            </w:r>
          </w:p>
        </w:tc>
        <w:tc>
          <w:tcPr>
            <w:tcW w:w="807" w:type="dxa"/>
            <w:tcBorders>
              <w:top w:val="nil"/>
              <w:left w:val="nil"/>
              <w:bottom w:val="single" w:sz="8" w:space="0" w:color="auto"/>
              <w:right w:val="single" w:sz="8" w:space="0" w:color="auto"/>
            </w:tcBorders>
            <w:shd w:val="clear" w:color="auto" w:fill="auto"/>
            <w:noWrap/>
            <w:vAlign w:val="center"/>
          </w:tcPr>
          <w:p w:rsidR="00555E5F" w:rsidRPr="00FF50EA" w:rsidRDefault="00555E5F" w:rsidP="00FF50EA">
            <w:pPr>
              <w:jc w:val="right"/>
              <w:rPr>
                <w:rFonts w:cs="Arial"/>
                <w:color w:val="000000"/>
                <w:sz w:val="16"/>
                <w:szCs w:val="16"/>
              </w:rPr>
            </w:pPr>
            <w:r w:rsidRPr="00FF50EA">
              <w:rPr>
                <w:rFonts w:cs="Arial"/>
                <w:color w:val="000000"/>
                <w:sz w:val="16"/>
                <w:szCs w:val="16"/>
              </w:rPr>
              <w:t>670</w:t>
            </w:r>
          </w:p>
        </w:tc>
        <w:tc>
          <w:tcPr>
            <w:tcW w:w="897" w:type="dxa"/>
            <w:tcBorders>
              <w:top w:val="nil"/>
              <w:left w:val="nil"/>
              <w:bottom w:val="single" w:sz="8" w:space="0" w:color="auto"/>
              <w:right w:val="single" w:sz="8" w:space="0" w:color="auto"/>
            </w:tcBorders>
            <w:shd w:val="clear" w:color="auto" w:fill="F2DBDB" w:themeFill="accent2" w:themeFillTint="33"/>
            <w:noWrap/>
            <w:vAlign w:val="bottom"/>
          </w:tcPr>
          <w:p w:rsidR="00555E5F" w:rsidRPr="00555E5F" w:rsidRDefault="00555E5F">
            <w:pPr>
              <w:jc w:val="right"/>
              <w:rPr>
                <w:rFonts w:cs="Arial"/>
                <w:b/>
                <w:color w:val="000000"/>
                <w:sz w:val="16"/>
                <w:szCs w:val="16"/>
              </w:rPr>
            </w:pPr>
            <w:r w:rsidRPr="00555E5F">
              <w:rPr>
                <w:rFonts w:cs="Arial"/>
                <w:b/>
                <w:color w:val="000000"/>
                <w:sz w:val="16"/>
                <w:szCs w:val="16"/>
              </w:rPr>
              <w:t>106,7</w:t>
            </w:r>
          </w:p>
        </w:tc>
      </w:tr>
      <w:tr w:rsidR="00555E5F" w:rsidRPr="00991A9E" w:rsidTr="00FF50EA">
        <w:trPr>
          <w:trHeight w:val="315"/>
        </w:trPr>
        <w:tc>
          <w:tcPr>
            <w:tcW w:w="3680" w:type="dxa"/>
            <w:tcBorders>
              <w:top w:val="nil"/>
              <w:left w:val="single" w:sz="8" w:space="0" w:color="auto"/>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rPr>
                <w:rFonts w:cs="Arial"/>
                <w:color w:val="000000"/>
                <w:sz w:val="16"/>
                <w:szCs w:val="16"/>
              </w:rPr>
            </w:pPr>
            <w:r w:rsidRPr="00991A9E">
              <w:rPr>
                <w:rFonts w:cs="Arial"/>
                <w:color w:val="000000"/>
                <w:sz w:val="16"/>
                <w:szCs w:val="16"/>
              </w:rPr>
              <w:t xml:space="preserve"> 5.2 Terapeutické pomůcky </w:t>
            </w:r>
          </w:p>
        </w:tc>
        <w:tc>
          <w:tcPr>
            <w:tcW w:w="807" w:type="dxa"/>
            <w:tcBorders>
              <w:top w:val="nil"/>
              <w:left w:val="nil"/>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5 735</w:t>
            </w:r>
          </w:p>
        </w:tc>
        <w:tc>
          <w:tcPr>
            <w:tcW w:w="807" w:type="dxa"/>
            <w:tcBorders>
              <w:top w:val="nil"/>
              <w:left w:val="nil"/>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5 742</w:t>
            </w:r>
          </w:p>
        </w:tc>
        <w:tc>
          <w:tcPr>
            <w:tcW w:w="807" w:type="dxa"/>
            <w:tcBorders>
              <w:top w:val="nil"/>
              <w:left w:val="nil"/>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5 560</w:t>
            </w:r>
          </w:p>
        </w:tc>
        <w:tc>
          <w:tcPr>
            <w:tcW w:w="807" w:type="dxa"/>
            <w:tcBorders>
              <w:top w:val="nil"/>
              <w:left w:val="nil"/>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5 546</w:t>
            </w:r>
          </w:p>
        </w:tc>
        <w:tc>
          <w:tcPr>
            <w:tcW w:w="807" w:type="dxa"/>
            <w:tcBorders>
              <w:top w:val="nil"/>
              <w:left w:val="nil"/>
              <w:bottom w:val="single" w:sz="8" w:space="0" w:color="auto"/>
              <w:right w:val="single" w:sz="8" w:space="0" w:color="auto"/>
            </w:tcBorders>
            <w:shd w:val="clear" w:color="000000" w:fill="FFFFFF"/>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5 603</w:t>
            </w:r>
          </w:p>
        </w:tc>
        <w:tc>
          <w:tcPr>
            <w:tcW w:w="807" w:type="dxa"/>
            <w:tcBorders>
              <w:top w:val="nil"/>
              <w:left w:val="nil"/>
              <w:bottom w:val="single" w:sz="8" w:space="0" w:color="auto"/>
              <w:right w:val="single" w:sz="8" w:space="0" w:color="auto"/>
            </w:tcBorders>
            <w:shd w:val="clear" w:color="000000" w:fill="FFFFFF"/>
            <w:noWrap/>
            <w:vAlign w:val="center"/>
          </w:tcPr>
          <w:p w:rsidR="00555E5F" w:rsidRPr="00FF50EA" w:rsidRDefault="00555E5F" w:rsidP="00FF50EA">
            <w:pPr>
              <w:jc w:val="right"/>
              <w:rPr>
                <w:rFonts w:cs="Arial"/>
                <w:color w:val="000000"/>
                <w:sz w:val="16"/>
                <w:szCs w:val="16"/>
              </w:rPr>
            </w:pPr>
            <w:r w:rsidRPr="00FF50EA">
              <w:rPr>
                <w:rFonts w:cs="Arial"/>
                <w:color w:val="000000"/>
                <w:sz w:val="16"/>
                <w:szCs w:val="16"/>
              </w:rPr>
              <w:t>5 893</w:t>
            </w:r>
          </w:p>
        </w:tc>
        <w:tc>
          <w:tcPr>
            <w:tcW w:w="897" w:type="dxa"/>
            <w:tcBorders>
              <w:top w:val="nil"/>
              <w:left w:val="nil"/>
              <w:bottom w:val="single" w:sz="8" w:space="0" w:color="auto"/>
              <w:right w:val="single" w:sz="8" w:space="0" w:color="auto"/>
            </w:tcBorders>
            <w:shd w:val="clear" w:color="auto" w:fill="F2DBDB" w:themeFill="accent2" w:themeFillTint="33"/>
            <w:noWrap/>
            <w:vAlign w:val="bottom"/>
          </w:tcPr>
          <w:p w:rsidR="00555E5F" w:rsidRPr="00555E5F" w:rsidRDefault="00555E5F">
            <w:pPr>
              <w:jc w:val="right"/>
              <w:rPr>
                <w:rFonts w:cs="Arial"/>
                <w:b/>
                <w:color w:val="000000"/>
                <w:sz w:val="16"/>
                <w:szCs w:val="16"/>
              </w:rPr>
            </w:pPr>
            <w:r w:rsidRPr="00555E5F">
              <w:rPr>
                <w:rFonts w:cs="Arial"/>
                <w:b/>
                <w:color w:val="000000"/>
                <w:sz w:val="16"/>
                <w:szCs w:val="16"/>
              </w:rPr>
              <w:t>105,2</w:t>
            </w:r>
          </w:p>
        </w:tc>
      </w:tr>
      <w:tr w:rsidR="00555E5F" w:rsidRPr="00991A9E" w:rsidTr="00FF50EA">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rPr>
                <w:rFonts w:cs="Arial"/>
                <w:color w:val="000000"/>
                <w:sz w:val="16"/>
                <w:szCs w:val="16"/>
              </w:rPr>
            </w:pPr>
            <w:r w:rsidRPr="00991A9E">
              <w:rPr>
                <w:rFonts w:cs="Arial"/>
                <w:color w:val="000000"/>
                <w:sz w:val="16"/>
                <w:szCs w:val="16"/>
              </w:rPr>
              <w:t xml:space="preserve">    5.2.1 Brýle a další produkty oční optiky</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3 740</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3 744</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3 626</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3 617</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3 654</w:t>
            </w:r>
          </w:p>
        </w:tc>
        <w:tc>
          <w:tcPr>
            <w:tcW w:w="807" w:type="dxa"/>
            <w:tcBorders>
              <w:top w:val="nil"/>
              <w:left w:val="nil"/>
              <w:bottom w:val="single" w:sz="8" w:space="0" w:color="auto"/>
              <w:right w:val="single" w:sz="8" w:space="0" w:color="auto"/>
            </w:tcBorders>
            <w:shd w:val="clear" w:color="auto" w:fill="auto"/>
            <w:noWrap/>
            <w:vAlign w:val="center"/>
          </w:tcPr>
          <w:p w:rsidR="00555E5F" w:rsidRPr="00FF50EA" w:rsidRDefault="00555E5F" w:rsidP="00FF50EA">
            <w:pPr>
              <w:jc w:val="right"/>
              <w:rPr>
                <w:rFonts w:cs="Arial"/>
                <w:color w:val="000000"/>
                <w:sz w:val="16"/>
                <w:szCs w:val="16"/>
              </w:rPr>
            </w:pPr>
            <w:r w:rsidRPr="00FF50EA">
              <w:rPr>
                <w:rFonts w:cs="Arial"/>
                <w:color w:val="000000"/>
                <w:sz w:val="16"/>
                <w:szCs w:val="16"/>
              </w:rPr>
              <w:t>3 843</w:t>
            </w:r>
          </w:p>
        </w:tc>
        <w:tc>
          <w:tcPr>
            <w:tcW w:w="897" w:type="dxa"/>
            <w:tcBorders>
              <w:top w:val="nil"/>
              <w:left w:val="nil"/>
              <w:bottom w:val="single" w:sz="8" w:space="0" w:color="auto"/>
              <w:right w:val="single" w:sz="8" w:space="0" w:color="auto"/>
            </w:tcBorders>
            <w:shd w:val="clear" w:color="auto" w:fill="F2DBDB" w:themeFill="accent2" w:themeFillTint="33"/>
            <w:noWrap/>
            <w:vAlign w:val="bottom"/>
          </w:tcPr>
          <w:p w:rsidR="00555E5F" w:rsidRPr="00555E5F" w:rsidRDefault="00555E5F">
            <w:pPr>
              <w:jc w:val="right"/>
              <w:rPr>
                <w:rFonts w:cs="Arial"/>
                <w:b/>
                <w:color w:val="000000"/>
                <w:sz w:val="16"/>
                <w:szCs w:val="16"/>
              </w:rPr>
            </w:pPr>
            <w:r w:rsidRPr="00555E5F">
              <w:rPr>
                <w:rFonts w:cs="Arial"/>
                <w:b/>
                <w:color w:val="000000"/>
                <w:sz w:val="16"/>
                <w:szCs w:val="16"/>
              </w:rPr>
              <w:t>105,2</w:t>
            </w:r>
          </w:p>
        </w:tc>
      </w:tr>
      <w:tr w:rsidR="00555E5F" w:rsidRPr="00991A9E" w:rsidTr="00FF50EA">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rPr>
                <w:rFonts w:cs="Arial"/>
                <w:color w:val="000000"/>
                <w:sz w:val="16"/>
                <w:szCs w:val="16"/>
              </w:rPr>
            </w:pPr>
            <w:r w:rsidRPr="00991A9E">
              <w:rPr>
                <w:rFonts w:cs="Arial"/>
                <w:color w:val="000000"/>
                <w:sz w:val="16"/>
                <w:szCs w:val="16"/>
              </w:rPr>
              <w:t xml:space="preserve">    5.2.3 Ortopedické a protetické pomůcky</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296</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297</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287</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286</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289</w:t>
            </w:r>
          </w:p>
        </w:tc>
        <w:tc>
          <w:tcPr>
            <w:tcW w:w="807" w:type="dxa"/>
            <w:tcBorders>
              <w:top w:val="nil"/>
              <w:left w:val="nil"/>
              <w:bottom w:val="single" w:sz="8" w:space="0" w:color="auto"/>
              <w:right w:val="single" w:sz="8" w:space="0" w:color="auto"/>
            </w:tcBorders>
            <w:shd w:val="clear" w:color="auto" w:fill="auto"/>
            <w:noWrap/>
            <w:vAlign w:val="center"/>
          </w:tcPr>
          <w:p w:rsidR="00555E5F" w:rsidRPr="00FF50EA" w:rsidRDefault="00555E5F" w:rsidP="00FF50EA">
            <w:pPr>
              <w:jc w:val="right"/>
              <w:rPr>
                <w:rFonts w:cs="Arial"/>
                <w:color w:val="000000"/>
                <w:sz w:val="16"/>
                <w:szCs w:val="16"/>
              </w:rPr>
            </w:pPr>
            <w:r w:rsidRPr="00FF50EA">
              <w:rPr>
                <w:rFonts w:cs="Arial"/>
                <w:color w:val="000000"/>
                <w:sz w:val="16"/>
                <w:szCs w:val="16"/>
              </w:rPr>
              <w:t>304</w:t>
            </w:r>
          </w:p>
        </w:tc>
        <w:tc>
          <w:tcPr>
            <w:tcW w:w="897" w:type="dxa"/>
            <w:tcBorders>
              <w:top w:val="nil"/>
              <w:left w:val="nil"/>
              <w:bottom w:val="single" w:sz="8" w:space="0" w:color="auto"/>
              <w:right w:val="single" w:sz="8" w:space="0" w:color="auto"/>
            </w:tcBorders>
            <w:shd w:val="clear" w:color="auto" w:fill="F2DBDB" w:themeFill="accent2" w:themeFillTint="33"/>
            <w:noWrap/>
            <w:vAlign w:val="bottom"/>
          </w:tcPr>
          <w:p w:rsidR="00555E5F" w:rsidRPr="00555E5F" w:rsidRDefault="00555E5F">
            <w:pPr>
              <w:jc w:val="right"/>
              <w:rPr>
                <w:rFonts w:cs="Arial"/>
                <w:b/>
                <w:color w:val="000000"/>
                <w:sz w:val="16"/>
                <w:szCs w:val="16"/>
              </w:rPr>
            </w:pPr>
            <w:r w:rsidRPr="00555E5F">
              <w:rPr>
                <w:rFonts w:cs="Arial"/>
                <w:b/>
                <w:color w:val="000000"/>
                <w:sz w:val="16"/>
                <w:szCs w:val="16"/>
              </w:rPr>
              <w:t>105,2</w:t>
            </w:r>
          </w:p>
        </w:tc>
      </w:tr>
      <w:tr w:rsidR="00555E5F" w:rsidRPr="00991A9E" w:rsidTr="00FF50EA">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rPr>
                <w:rFonts w:cs="Arial"/>
                <w:color w:val="000000"/>
                <w:sz w:val="16"/>
                <w:szCs w:val="16"/>
              </w:rPr>
            </w:pPr>
            <w:r w:rsidRPr="00991A9E">
              <w:rPr>
                <w:rFonts w:cs="Arial"/>
                <w:color w:val="000000"/>
                <w:sz w:val="16"/>
                <w:szCs w:val="16"/>
              </w:rPr>
              <w:t xml:space="preserve">    5.2.9 Ostatní terapeutické pomůcky a vybavení</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1 699</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1 701</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1 647</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1 643</w:t>
            </w:r>
          </w:p>
        </w:tc>
        <w:tc>
          <w:tcPr>
            <w:tcW w:w="807" w:type="dxa"/>
            <w:tcBorders>
              <w:top w:val="nil"/>
              <w:left w:val="nil"/>
              <w:bottom w:val="single" w:sz="8" w:space="0" w:color="auto"/>
              <w:right w:val="single" w:sz="8" w:space="0" w:color="auto"/>
            </w:tcBorders>
            <w:shd w:val="clear" w:color="auto" w:fill="auto"/>
            <w:noWrap/>
            <w:vAlign w:val="center"/>
            <w:hideMark/>
          </w:tcPr>
          <w:p w:rsidR="00555E5F" w:rsidRPr="00991A9E" w:rsidRDefault="00555E5F" w:rsidP="00991A9E">
            <w:pPr>
              <w:spacing w:line="240" w:lineRule="auto"/>
              <w:jc w:val="right"/>
              <w:rPr>
                <w:rFonts w:cs="Arial"/>
                <w:color w:val="000000"/>
                <w:sz w:val="16"/>
                <w:szCs w:val="16"/>
              </w:rPr>
            </w:pPr>
            <w:r w:rsidRPr="00991A9E">
              <w:rPr>
                <w:rFonts w:cs="Arial"/>
                <w:color w:val="000000"/>
                <w:sz w:val="16"/>
                <w:szCs w:val="16"/>
              </w:rPr>
              <w:t>1 660</w:t>
            </w:r>
          </w:p>
        </w:tc>
        <w:tc>
          <w:tcPr>
            <w:tcW w:w="807" w:type="dxa"/>
            <w:tcBorders>
              <w:top w:val="nil"/>
              <w:left w:val="nil"/>
              <w:bottom w:val="single" w:sz="8" w:space="0" w:color="auto"/>
              <w:right w:val="single" w:sz="8" w:space="0" w:color="auto"/>
            </w:tcBorders>
            <w:shd w:val="clear" w:color="auto" w:fill="auto"/>
            <w:noWrap/>
            <w:vAlign w:val="center"/>
          </w:tcPr>
          <w:p w:rsidR="00555E5F" w:rsidRPr="00FF50EA" w:rsidRDefault="00555E5F" w:rsidP="00FF50EA">
            <w:pPr>
              <w:jc w:val="right"/>
              <w:rPr>
                <w:rFonts w:cs="Arial"/>
                <w:color w:val="000000"/>
                <w:sz w:val="16"/>
                <w:szCs w:val="16"/>
              </w:rPr>
            </w:pPr>
            <w:r w:rsidRPr="00FF50EA">
              <w:rPr>
                <w:rFonts w:cs="Arial"/>
                <w:color w:val="000000"/>
                <w:sz w:val="16"/>
                <w:szCs w:val="16"/>
              </w:rPr>
              <w:t>1 746</w:t>
            </w:r>
          </w:p>
        </w:tc>
        <w:tc>
          <w:tcPr>
            <w:tcW w:w="897" w:type="dxa"/>
            <w:tcBorders>
              <w:top w:val="nil"/>
              <w:left w:val="nil"/>
              <w:bottom w:val="single" w:sz="8" w:space="0" w:color="auto"/>
              <w:right w:val="single" w:sz="8" w:space="0" w:color="auto"/>
            </w:tcBorders>
            <w:shd w:val="clear" w:color="auto" w:fill="F2DBDB" w:themeFill="accent2" w:themeFillTint="33"/>
            <w:noWrap/>
            <w:vAlign w:val="bottom"/>
          </w:tcPr>
          <w:p w:rsidR="00555E5F" w:rsidRPr="00555E5F" w:rsidRDefault="00555E5F">
            <w:pPr>
              <w:jc w:val="right"/>
              <w:rPr>
                <w:rFonts w:cs="Arial"/>
                <w:b/>
                <w:color w:val="000000"/>
                <w:sz w:val="16"/>
                <w:szCs w:val="16"/>
              </w:rPr>
            </w:pPr>
            <w:r w:rsidRPr="00555E5F">
              <w:rPr>
                <w:rFonts w:cs="Arial"/>
                <w:b/>
                <w:color w:val="000000"/>
                <w:sz w:val="16"/>
                <w:szCs w:val="16"/>
              </w:rPr>
              <w:t>105,2</w:t>
            </w:r>
          </w:p>
        </w:tc>
      </w:tr>
      <w:tr w:rsidR="00555E5F" w:rsidRPr="00991A9E" w:rsidTr="00FF50EA">
        <w:trPr>
          <w:trHeight w:val="315"/>
        </w:trPr>
        <w:tc>
          <w:tcPr>
            <w:tcW w:w="3680" w:type="dxa"/>
            <w:tcBorders>
              <w:top w:val="nil"/>
              <w:left w:val="single" w:sz="8" w:space="0" w:color="auto"/>
              <w:bottom w:val="single" w:sz="8" w:space="0" w:color="auto"/>
              <w:right w:val="single" w:sz="8" w:space="0" w:color="auto"/>
            </w:tcBorders>
            <w:shd w:val="clear" w:color="auto" w:fill="F2DBDB" w:themeFill="accent2" w:themeFillTint="33"/>
            <w:noWrap/>
            <w:vAlign w:val="center"/>
            <w:hideMark/>
          </w:tcPr>
          <w:p w:rsidR="00555E5F" w:rsidRPr="001351C9" w:rsidRDefault="00555E5F" w:rsidP="00991A9E">
            <w:pPr>
              <w:spacing w:line="240" w:lineRule="auto"/>
              <w:rPr>
                <w:rFonts w:cs="Arial"/>
                <w:b/>
                <w:bCs/>
                <w:color w:val="000000"/>
                <w:sz w:val="16"/>
                <w:szCs w:val="16"/>
              </w:rPr>
            </w:pPr>
            <w:r w:rsidRPr="001351C9">
              <w:rPr>
                <w:rFonts w:cs="Arial"/>
                <w:b/>
                <w:bCs/>
                <w:color w:val="000000"/>
                <w:sz w:val="16"/>
                <w:szCs w:val="16"/>
              </w:rPr>
              <w:t>Celkový součet</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555E5F" w:rsidRPr="001351C9" w:rsidRDefault="00555E5F" w:rsidP="00991A9E">
            <w:pPr>
              <w:spacing w:line="240" w:lineRule="auto"/>
              <w:jc w:val="right"/>
              <w:rPr>
                <w:rFonts w:cs="Arial"/>
                <w:b/>
                <w:bCs/>
                <w:color w:val="000000"/>
                <w:sz w:val="16"/>
                <w:szCs w:val="16"/>
              </w:rPr>
            </w:pPr>
            <w:r w:rsidRPr="001351C9">
              <w:rPr>
                <w:rFonts w:cs="Arial"/>
                <w:b/>
                <w:bCs/>
                <w:color w:val="000000"/>
                <w:sz w:val="16"/>
                <w:szCs w:val="16"/>
              </w:rPr>
              <w:t>42 704</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555E5F" w:rsidRPr="001351C9" w:rsidRDefault="00555E5F" w:rsidP="00991A9E">
            <w:pPr>
              <w:spacing w:line="240" w:lineRule="auto"/>
              <w:jc w:val="right"/>
              <w:rPr>
                <w:rFonts w:cs="Arial"/>
                <w:b/>
                <w:bCs/>
                <w:color w:val="000000"/>
                <w:sz w:val="16"/>
                <w:szCs w:val="16"/>
              </w:rPr>
            </w:pPr>
            <w:r w:rsidRPr="001351C9">
              <w:rPr>
                <w:rFonts w:cs="Arial"/>
                <w:b/>
                <w:bCs/>
                <w:color w:val="000000"/>
                <w:sz w:val="16"/>
                <w:szCs w:val="16"/>
              </w:rPr>
              <w:t>44 028</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555E5F" w:rsidRPr="001351C9" w:rsidRDefault="00555E5F" w:rsidP="00991A9E">
            <w:pPr>
              <w:spacing w:line="240" w:lineRule="auto"/>
              <w:jc w:val="right"/>
              <w:rPr>
                <w:rFonts w:cs="Arial"/>
                <w:b/>
                <w:bCs/>
                <w:color w:val="000000"/>
                <w:sz w:val="16"/>
                <w:szCs w:val="16"/>
              </w:rPr>
            </w:pPr>
            <w:r w:rsidRPr="001351C9">
              <w:rPr>
                <w:rFonts w:cs="Arial"/>
                <w:b/>
                <w:bCs/>
                <w:color w:val="000000"/>
                <w:sz w:val="16"/>
                <w:szCs w:val="16"/>
              </w:rPr>
              <w:t>44 242</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555E5F" w:rsidRPr="001351C9" w:rsidRDefault="00555E5F" w:rsidP="00991A9E">
            <w:pPr>
              <w:spacing w:line="240" w:lineRule="auto"/>
              <w:jc w:val="right"/>
              <w:rPr>
                <w:rFonts w:cs="Arial"/>
                <w:b/>
                <w:bCs/>
                <w:color w:val="000000"/>
                <w:sz w:val="16"/>
                <w:szCs w:val="16"/>
              </w:rPr>
            </w:pPr>
            <w:r w:rsidRPr="001351C9">
              <w:rPr>
                <w:rFonts w:cs="Arial"/>
                <w:b/>
                <w:bCs/>
                <w:color w:val="000000"/>
                <w:sz w:val="16"/>
                <w:szCs w:val="16"/>
              </w:rPr>
              <w:t>43 466</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555E5F" w:rsidRPr="001351C9" w:rsidRDefault="00555E5F" w:rsidP="00991A9E">
            <w:pPr>
              <w:spacing w:line="240" w:lineRule="auto"/>
              <w:jc w:val="right"/>
              <w:rPr>
                <w:rFonts w:cs="Arial"/>
                <w:b/>
                <w:bCs/>
                <w:color w:val="000000"/>
                <w:sz w:val="16"/>
                <w:szCs w:val="16"/>
              </w:rPr>
            </w:pPr>
            <w:r w:rsidRPr="001351C9">
              <w:rPr>
                <w:rFonts w:cs="Arial"/>
                <w:b/>
                <w:bCs/>
                <w:color w:val="000000"/>
                <w:sz w:val="16"/>
                <w:szCs w:val="16"/>
              </w:rPr>
              <w:t>46 491</w:t>
            </w:r>
          </w:p>
        </w:tc>
        <w:tc>
          <w:tcPr>
            <w:tcW w:w="807" w:type="dxa"/>
            <w:tcBorders>
              <w:top w:val="nil"/>
              <w:left w:val="nil"/>
              <w:bottom w:val="single" w:sz="8" w:space="0" w:color="auto"/>
              <w:right w:val="single" w:sz="8" w:space="0" w:color="auto"/>
            </w:tcBorders>
            <w:shd w:val="clear" w:color="auto" w:fill="F2DBDB" w:themeFill="accent2" w:themeFillTint="33"/>
            <w:noWrap/>
            <w:vAlign w:val="center"/>
          </w:tcPr>
          <w:p w:rsidR="00555E5F" w:rsidRPr="00FF50EA" w:rsidRDefault="00555E5F" w:rsidP="00FF50EA">
            <w:pPr>
              <w:jc w:val="right"/>
              <w:rPr>
                <w:rFonts w:cs="Arial"/>
                <w:b/>
                <w:color w:val="000000"/>
                <w:sz w:val="16"/>
                <w:szCs w:val="16"/>
              </w:rPr>
            </w:pPr>
            <w:r w:rsidRPr="00FF50EA">
              <w:rPr>
                <w:rFonts w:cs="Arial"/>
                <w:b/>
                <w:color w:val="000000"/>
                <w:sz w:val="16"/>
                <w:szCs w:val="16"/>
              </w:rPr>
              <w:t>49 358</w:t>
            </w:r>
          </w:p>
        </w:tc>
        <w:tc>
          <w:tcPr>
            <w:tcW w:w="897" w:type="dxa"/>
            <w:tcBorders>
              <w:top w:val="nil"/>
              <w:left w:val="nil"/>
              <w:bottom w:val="single" w:sz="8" w:space="0" w:color="auto"/>
              <w:right w:val="single" w:sz="8" w:space="0" w:color="auto"/>
            </w:tcBorders>
            <w:shd w:val="clear" w:color="auto" w:fill="F2DBDB" w:themeFill="accent2" w:themeFillTint="33"/>
            <w:noWrap/>
            <w:vAlign w:val="bottom"/>
          </w:tcPr>
          <w:p w:rsidR="00555E5F" w:rsidRPr="00555E5F" w:rsidRDefault="00555E5F">
            <w:pPr>
              <w:jc w:val="right"/>
              <w:rPr>
                <w:rFonts w:cs="Arial"/>
                <w:b/>
                <w:color w:val="000000"/>
                <w:sz w:val="16"/>
                <w:szCs w:val="16"/>
              </w:rPr>
            </w:pPr>
            <w:r w:rsidRPr="00555E5F">
              <w:rPr>
                <w:rFonts w:cs="Arial"/>
                <w:b/>
                <w:color w:val="000000"/>
                <w:sz w:val="16"/>
                <w:szCs w:val="16"/>
              </w:rPr>
              <w:t>106,2</w:t>
            </w:r>
          </w:p>
        </w:tc>
      </w:tr>
    </w:tbl>
    <w:p w:rsidR="00991A9E" w:rsidRPr="00991A9E" w:rsidRDefault="00991A9E" w:rsidP="00991A9E">
      <w:pPr>
        <w:spacing w:before="120" w:line="240" w:lineRule="auto"/>
        <w:jc w:val="center"/>
        <w:rPr>
          <w:b/>
          <w:bCs/>
          <w:i/>
          <w:sz w:val="16"/>
          <w:szCs w:val="16"/>
        </w:rPr>
      </w:pPr>
      <w:r w:rsidRPr="00991A9E">
        <w:rPr>
          <w:b/>
          <w:bCs/>
          <w:i/>
          <w:sz w:val="16"/>
          <w:szCs w:val="16"/>
        </w:rPr>
        <w:t xml:space="preserve">                                                                                                                 Zdroj: ČSÚ 2017, Zdravotnické účty ČR 2010 - 2015 </w:t>
      </w:r>
    </w:p>
    <w:p w:rsidR="00991A9E" w:rsidRDefault="00991A9E" w:rsidP="00B36A65">
      <w:pPr>
        <w:keepNext/>
        <w:spacing w:before="360" w:after="120"/>
        <w:jc w:val="both"/>
        <w:rPr>
          <w:rFonts w:cs="Arial"/>
          <w:b/>
          <w:sz w:val="18"/>
          <w:szCs w:val="18"/>
        </w:rPr>
      </w:pPr>
      <w:r w:rsidRPr="00991A9E">
        <w:rPr>
          <w:rFonts w:cs="Arial"/>
          <w:b/>
          <w:sz w:val="18"/>
          <w:szCs w:val="18"/>
        </w:rPr>
        <w:t>Graf č. 3.2.3 Výdaje domácností v ČR za léčiva a zdravotnický materiál, 2010-2015 (mil. Kč)</w:t>
      </w:r>
    </w:p>
    <w:p w:rsidR="0059592D" w:rsidRPr="00991A9E" w:rsidRDefault="0059592D" w:rsidP="00B36A65">
      <w:pPr>
        <w:keepNext/>
        <w:spacing w:before="360" w:after="120"/>
        <w:jc w:val="both"/>
        <w:rPr>
          <w:rFonts w:cs="Arial"/>
          <w:b/>
          <w:sz w:val="18"/>
          <w:szCs w:val="18"/>
        </w:rPr>
      </w:pPr>
      <w:r>
        <w:rPr>
          <w:noProof/>
        </w:rPr>
        <w:drawing>
          <wp:inline distT="0" distB="0" distL="0" distR="0" wp14:anchorId="2F07F47D" wp14:editId="7DCB2106">
            <wp:extent cx="6020656" cy="2743200"/>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91A9E" w:rsidRPr="00991A9E" w:rsidRDefault="00991A9E" w:rsidP="00991A9E">
      <w:pPr>
        <w:spacing w:before="120"/>
        <w:jc w:val="right"/>
        <w:rPr>
          <w:noProof/>
          <w:sz w:val="18"/>
          <w:szCs w:val="20"/>
        </w:rPr>
      </w:pPr>
      <w:r w:rsidRPr="00991A9E">
        <w:rPr>
          <w:noProof/>
          <w:sz w:val="18"/>
          <w:szCs w:val="20"/>
        </w:rPr>
        <w:t xml:space="preserve"> </w:t>
      </w:r>
      <w:r w:rsidRPr="00991A9E">
        <w:rPr>
          <w:b/>
          <w:bCs/>
          <w:i/>
          <w:sz w:val="16"/>
          <w:szCs w:val="16"/>
        </w:rPr>
        <w:t>Zdroj: ČSÚ 2017, Zdravotnické účty ČR 2010 - 2015</w:t>
      </w:r>
      <w:r w:rsidRPr="00991A9E">
        <w:rPr>
          <w:i/>
          <w:sz w:val="16"/>
          <w:szCs w:val="16"/>
        </w:rPr>
        <w:t xml:space="preserve"> </w:t>
      </w:r>
    </w:p>
    <w:p w:rsidR="0059592D" w:rsidRDefault="0059592D" w:rsidP="007949E3">
      <w:pPr>
        <w:spacing w:before="240" w:after="120"/>
        <w:rPr>
          <w:rFonts w:eastAsia="MS Gothic"/>
          <w:b/>
          <w:i/>
        </w:rPr>
      </w:pPr>
    </w:p>
    <w:p w:rsidR="00991A9E" w:rsidRPr="007949E3" w:rsidRDefault="00991A9E" w:rsidP="007949E3">
      <w:pPr>
        <w:spacing w:before="240" w:after="120"/>
        <w:rPr>
          <w:rFonts w:eastAsia="MS Gothic"/>
          <w:b/>
          <w:i/>
        </w:rPr>
      </w:pPr>
      <w:r w:rsidRPr="007949E3">
        <w:rPr>
          <w:rFonts w:eastAsia="MS Gothic"/>
          <w:b/>
          <w:i/>
        </w:rPr>
        <w:lastRenderedPageBreak/>
        <w:t>Výdaje domácností za zubařskou péči se v roce 2015 meziročně zvýšily o 6 %</w:t>
      </w:r>
    </w:p>
    <w:p w:rsidR="00991A9E" w:rsidRPr="00991A9E" w:rsidRDefault="00991A9E" w:rsidP="00991A9E">
      <w:pPr>
        <w:spacing w:before="120"/>
        <w:jc w:val="both"/>
        <w:rPr>
          <w:szCs w:val="20"/>
        </w:rPr>
      </w:pPr>
      <w:r w:rsidRPr="00991A9E">
        <w:rPr>
          <w:szCs w:val="20"/>
        </w:rPr>
        <w:t xml:space="preserve">Nejvyšší procentuální nárůst výdajů domácností na zdravotní péči v roce 2015 byl v porovnání s předchozím rokem zaznamenán u výdajů na </w:t>
      </w:r>
      <w:r w:rsidRPr="00991A9E">
        <w:rPr>
          <w:b/>
          <w:szCs w:val="20"/>
        </w:rPr>
        <w:t>ambulantní rehabilitační péči</w:t>
      </w:r>
      <w:r w:rsidRPr="00991A9E">
        <w:rPr>
          <w:szCs w:val="20"/>
        </w:rPr>
        <w:t xml:space="preserve">, </w:t>
      </w:r>
      <w:r w:rsidR="00DC3B6D">
        <w:rPr>
          <w:szCs w:val="20"/>
        </w:rPr>
        <w:t>o 17 %</w:t>
      </w:r>
      <w:r w:rsidRPr="00991A9E">
        <w:rPr>
          <w:szCs w:val="20"/>
        </w:rPr>
        <w:t xml:space="preserve">. To je dáno také relativně nízkou absolutní výší výdajů domácností na tento druh zdravotní péče, a proto i nevelký absolutní nárůst způsobí významné procentuální zvýšení. </w:t>
      </w:r>
    </w:p>
    <w:p w:rsidR="00991A9E" w:rsidRPr="00991A9E" w:rsidRDefault="00991A9E" w:rsidP="00991A9E">
      <w:pPr>
        <w:spacing w:before="120"/>
        <w:jc w:val="both"/>
        <w:rPr>
          <w:szCs w:val="20"/>
        </w:rPr>
      </w:pPr>
      <w:r w:rsidRPr="00991A9E">
        <w:rPr>
          <w:szCs w:val="20"/>
        </w:rPr>
        <w:t xml:space="preserve">V porovnání s rokem 2014 </w:t>
      </w:r>
      <w:r w:rsidR="00DC3B6D">
        <w:rPr>
          <w:szCs w:val="20"/>
        </w:rPr>
        <w:t>se zvýšily</w:t>
      </w:r>
      <w:r w:rsidRPr="00991A9E">
        <w:rPr>
          <w:szCs w:val="20"/>
        </w:rPr>
        <w:t xml:space="preserve"> výdaje na lůžkovou rehabilitační péči, jejíž podstatnou součástí je </w:t>
      </w:r>
      <w:r w:rsidRPr="00991A9E">
        <w:rPr>
          <w:b/>
          <w:szCs w:val="20"/>
        </w:rPr>
        <w:t>lázeňská léčba</w:t>
      </w:r>
      <w:r w:rsidRPr="00991A9E">
        <w:rPr>
          <w:szCs w:val="20"/>
        </w:rPr>
        <w:t>. Domácnosti se finančně podílejí především na příspěvkové lázeňské péči, která byla v roce 2013 na základě novely vyhlášky tzv. Indikačního programu o týden zkrácena, což se projevilo snížením těchto výdajů v tomto roce. V dubnu 2014 bylo toto omezení zrušeno a výdaje na lůžkovou rehabi</w:t>
      </w:r>
      <w:r w:rsidR="00DC3B6D">
        <w:rPr>
          <w:szCs w:val="20"/>
        </w:rPr>
        <w:t xml:space="preserve">litační péči pozvolna vzrostly, což se potvrdilo i v roce 2015. </w:t>
      </w:r>
      <w:r w:rsidRPr="00991A9E">
        <w:rPr>
          <w:szCs w:val="20"/>
        </w:rPr>
        <w:t>Lázeňský fond v roce 2015 zahrnoval 88 lázeňských léčeben s 22 504 lůžky. Na vlastní náklady pobývalo v lázeňských zařízeních 121 642 dospělých tuzemských pacientů a 379 dětí a mladistvých. Z přijatých dospělých pacientů, kteří si pobyt hradili, se 78</w:t>
      </w:r>
      <w:r w:rsidR="0002040C">
        <w:rPr>
          <w:szCs w:val="20"/>
        </w:rPr>
        <w:t xml:space="preserve"> </w:t>
      </w:r>
      <w:r w:rsidRPr="00991A9E">
        <w:rPr>
          <w:szCs w:val="20"/>
        </w:rPr>
        <w:t>% z nich léčilo s nemocemi pohybového ústrojí, 9 % s potížemi oběhového systému a</w:t>
      </w:r>
      <w:r w:rsidR="0002040C">
        <w:rPr>
          <w:szCs w:val="20"/>
        </w:rPr>
        <w:t> </w:t>
      </w:r>
      <w:r w:rsidRPr="00991A9E">
        <w:rPr>
          <w:szCs w:val="20"/>
        </w:rPr>
        <w:t>7</w:t>
      </w:r>
      <w:r w:rsidR="0002040C">
        <w:rPr>
          <w:szCs w:val="20"/>
        </w:rPr>
        <w:t> </w:t>
      </w:r>
      <w:r w:rsidRPr="00991A9E">
        <w:rPr>
          <w:szCs w:val="20"/>
        </w:rPr>
        <w:t>% s problémy s dýchacími cestami. Děti a mladiství, jejichž pobyt v lázních byl hrazen z rozpočtu domácností, se nejčastěji léčily s problémy pohybového ústrojí – 49 %, s nemocemi nervového systému – 22</w:t>
      </w:r>
      <w:r w:rsidR="0002040C">
        <w:rPr>
          <w:szCs w:val="20"/>
        </w:rPr>
        <w:t> </w:t>
      </w:r>
      <w:r w:rsidRPr="00991A9E">
        <w:rPr>
          <w:szCs w:val="20"/>
        </w:rPr>
        <w:t xml:space="preserve">% a s nemocemi dýchací soustavy – 19 %. </w:t>
      </w:r>
    </w:p>
    <w:p w:rsidR="00991A9E" w:rsidRPr="00991A9E" w:rsidRDefault="00991A9E" w:rsidP="00991A9E">
      <w:pPr>
        <w:spacing w:before="120"/>
        <w:jc w:val="both"/>
        <w:rPr>
          <w:szCs w:val="17"/>
        </w:rPr>
      </w:pPr>
      <w:r w:rsidRPr="00991A9E">
        <w:rPr>
          <w:szCs w:val="17"/>
        </w:rPr>
        <w:t xml:space="preserve">Výdaje domácností </w:t>
      </w:r>
      <w:r w:rsidRPr="00991A9E">
        <w:rPr>
          <w:b/>
          <w:szCs w:val="17"/>
        </w:rPr>
        <w:t xml:space="preserve">na specializovanou ambulantní péči, </w:t>
      </w:r>
      <w:r w:rsidRPr="00991A9E">
        <w:rPr>
          <w:szCs w:val="17"/>
        </w:rPr>
        <w:t xml:space="preserve">které zahrnují širokou škálu nejrůznějších úhrad například za služby nutričních terapeutů, center léčby obezity, center asistované reprodukce, dermatologické zákroky nehrazené ze zdravotního pojištění, kosmetické operace a další, </w:t>
      </w:r>
      <w:r w:rsidR="00DC3B6D">
        <w:rPr>
          <w:szCs w:val="17"/>
        </w:rPr>
        <w:t xml:space="preserve">zůstávají v porovnání s rokem 2014 stabilní. </w:t>
      </w:r>
    </w:p>
    <w:p w:rsidR="00991A9E" w:rsidRPr="00991A9E" w:rsidRDefault="00991A9E" w:rsidP="00991A9E">
      <w:pPr>
        <w:spacing w:before="120"/>
        <w:jc w:val="both"/>
        <w:rPr>
          <w:szCs w:val="20"/>
        </w:rPr>
      </w:pPr>
      <w:r w:rsidRPr="00991A9E">
        <w:rPr>
          <w:szCs w:val="17"/>
        </w:rPr>
        <w:t xml:space="preserve">Výdaje na </w:t>
      </w:r>
      <w:r w:rsidRPr="00991A9E">
        <w:rPr>
          <w:b/>
          <w:szCs w:val="17"/>
        </w:rPr>
        <w:t>všeobecnou ambulantní léčebnou péči</w:t>
      </w:r>
      <w:r w:rsidRPr="00991A9E">
        <w:rPr>
          <w:szCs w:val="17"/>
        </w:rPr>
        <w:t xml:space="preserve"> (zejména péče </w:t>
      </w:r>
      <w:r w:rsidRPr="00991A9E">
        <w:rPr>
          <w:szCs w:val="20"/>
        </w:rPr>
        <w:t xml:space="preserve">praktických lékařů pro dospělé a pro děti a dorost) meziročně </w:t>
      </w:r>
      <w:r w:rsidR="00DC3B6D">
        <w:rPr>
          <w:szCs w:val="20"/>
        </w:rPr>
        <w:t>mírně vzrostly (o 5 %)</w:t>
      </w:r>
      <w:r w:rsidRPr="00991A9E">
        <w:rPr>
          <w:szCs w:val="20"/>
        </w:rPr>
        <w:t>. U všeobecné ambulantní péče se může, mimo jiné, jednat o výdaje na různá očkování nebo preventivní vyšetření nehrazená ze zdravotního pojištění. Podle informací Ústavu zdravotnických informací a statistik</w:t>
      </w:r>
      <w:r w:rsidR="0002040C">
        <w:rPr>
          <w:szCs w:val="20"/>
        </w:rPr>
        <w:t xml:space="preserve"> ČR</w:t>
      </w:r>
      <w:r w:rsidRPr="00991A9E">
        <w:rPr>
          <w:szCs w:val="20"/>
        </w:rPr>
        <w:t xml:space="preserve"> bylo na území ČR v roce 2015 vedeno 4 653 samostatných ordinací praktického lékaře pro dospělé, ve kterých působilo 4 912 lékařů a 1 994 samostatných ordinací pro děti s 2 020 lékaři. </w:t>
      </w:r>
    </w:p>
    <w:p w:rsidR="00991A9E" w:rsidRPr="00991A9E" w:rsidRDefault="00991A9E" w:rsidP="00991A9E">
      <w:pPr>
        <w:spacing w:before="120"/>
        <w:jc w:val="both"/>
        <w:rPr>
          <w:szCs w:val="20"/>
        </w:rPr>
      </w:pPr>
      <w:r w:rsidRPr="00991A9E">
        <w:rPr>
          <w:szCs w:val="20"/>
        </w:rPr>
        <w:t xml:space="preserve">Výdaje domácností na </w:t>
      </w:r>
      <w:r w:rsidRPr="00991A9E">
        <w:rPr>
          <w:b/>
          <w:szCs w:val="20"/>
        </w:rPr>
        <w:t>stomatologickou ambulantní péči</w:t>
      </w:r>
      <w:r w:rsidRPr="00991A9E">
        <w:rPr>
          <w:szCs w:val="20"/>
        </w:rPr>
        <w:t>, které jsou stabilně vyšší než výdaje za</w:t>
      </w:r>
      <w:r w:rsidR="0002040C">
        <w:rPr>
          <w:szCs w:val="20"/>
        </w:rPr>
        <w:t> </w:t>
      </w:r>
      <w:r w:rsidRPr="00991A9E">
        <w:rPr>
          <w:szCs w:val="20"/>
        </w:rPr>
        <w:t>všeobecnou i specializovanou ambulantní péči dohromady, vzrostly v roce 2015 v porovnání s předchozím rokem</w:t>
      </w:r>
      <w:r w:rsidR="0002040C" w:rsidRPr="0002040C">
        <w:rPr>
          <w:szCs w:val="20"/>
        </w:rPr>
        <w:t xml:space="preserve"> </w:t>
      </w:r>
      <w:r w:rsidR="0002040C" w:rsidRPr="00991A9E">
        <w:rPr>
          <w:szCs w:val="20"/>
        </w:rPr>
        <w:t xml:space="preserve">o </w:t>
      </w:r>
      <w:r w:rsidR="00DC3B6D">
        <w:rPr>
          <w:szCs w:val="20"/>
        </w:rPr>
        <w:t>10</w:t>
      </w:r>
      <w:r w:rsidR="0002040C" w:rsidRPr="00991A9E">
        <w:rPr>
          <w:szCs w:val="20"/>
        </w:rPr>
        <w:t xml:space="preserve"> %</w:t>
      </w:r>
      <w:r w:rsidRPr="00991A9E">
        <w:rPr>
          <w:szCs w:val="20"/>
        </w:rPr>
        <w:t>. U stomatologů, kteří spolupracují se zdravotními pojišťovnami</w:t>
      </w:r>
      <w:r w:rsidR="0002040C">
        <w:rPr>
          <w:szCs w:val="20"/>
        </w:rPr>
        <w:t>,</w:t>
      </w:r>
      <w:r w:rsidRPr="00991A9E">
        <w:rPr>
          <w:szCs w:val="20"/>
        </w:rPr>
        <w:t xml:space="preserve"> si často pacienti připlácí za nestandardní lékařské úkony a materiály. Pokud zubař nemá uzavřenou smlouvu se zdravotními pojišťovnami, jsou veškeré zákroky hrazené dle ceníku příslušného pracoviště. Podle informace </w:t>
      </w:r>
      <w:r w:rsidR="0002040C" w:rsidRPr="00991A9E">
        <w:rPr>
          <w:szCs w:val="20"/>
        </w:rPr>
        <w:t>České lékařské</w:t>
      </w:r>
      <w:r w:rsidRPr="00991A9E">
        <w:rPr>
          <w:szCs w:val="20"/>
        </w:rPr>
        <w:t xml:space="preserve"> stomatologické komory působilo na území České republiky k  </w:t>
      </w:r>
      <w:r w:rsidR="0002040C" w:rsidRPr="00991A9E">
        <w:rPr>
          <w:szCs w:val="20"/>
        </w:rPr>
        <w:t>31. 12. 2015</w:t>
      </w:r>
      <w:r w:rsidRPr="00991A9E">
        <w:rPr>
          <w:szCs w:val="20"/>
        </w:rPr>
        <w:t xml:space="preserve"> aktivně 8 117 zubních lékařů.</w:t>
      </w:r>
    </w:p>
    <w:p w:rsidR="00991A9E" w:rsidRPr="00991A9E" w:rsidRDefault="00991A9E" w:rsidP="00991A9E">
      <w:pPr>
        <w:spacing w:before="120"/>
        <w:jc w:val="both"/>
        <w:rPr>
          <w:szCs w:val="17"/>
        </w:rPr>
      </w:pPr>
      <w:r w:rsidRPr="00991A9E">
        <w:rPr>
          <w:szCs w:val="17"/>
        </w:rPr>
        <w:t xml:space="preserve">Výdaje domácností na </w:t>
      </w:r>
      <w:r w:rsidRPr="00991A9E">
        <w:rPr>
          <w:b/>
          <w:szCs w:val="17"/>
        </w:rPr>
        <w:t>regulační poplatky</w:t>
      </w:r>
      <w:r w:rsidRPr="00991A9E">
        <w:rPr>
          <w:szCs w:val="17"/>
        </w:rPr>
        <w:t xml:space="preserve"> ve výši 90,- Kč za pohotovostní služby jsou zahrnuty v této analýze v ambulantní léčebné péči.</w:t>
      </w:r>
      <w:r w:rsidR="00A55FDE">
        <w:rPr>
          <w:szCs w:val="17"/>
        </w:rPr>
        <w:t>.</w:t>
      </w:r>
      <w:r w:rsidRPr="00991A9E">
        <w:rPr>
          <w:szCs w:val="17"/>
        </w:rPr>
        <w:t xml:space="preserve">  </w:t>
      </w:r>
    </w:p>
    <w:p w:rsidR="00991A9E" w:rsidRPr="007949E3" w:rsidRDefault="00991A9E" w:rsidP="007949E3">
      <w:pPr>
        <w:spacing w:before="240" w:after="120"/>
        <w:rPr>
          <w:rFonts w:eastAsia="MS Gothic"/>
          <w:b/>
          <w:i/>
        </w:rPr>
      </w:pPr>
      <w:r w:rsidRPr="007949E3">
        <w:rPr>
          <w:rFonts w:eastAsia="MS Gothic"/>
          <w:b/>
          <w:i/>
        </w:rPr>
        <w:t>Regulační poplatky přinášely do zdravotnického systému každoročně více než 5 miliard</w:t>
      </w:r>
    </w:p>
    <w:p w:rsidR="00991A9E" w:rsidRPr="00991A9E" w:rsidRDefault="00991A9E" w:rsidP="00991A9E">
      <w:pPr>
        <w:spacing w:before="120"/>
        <w:jc w:val="both"/>
        <w:rPr>
          <w:szCs w:val="20"/>
        </w:rPr>
      </w:pPr>
      <w:r w:rsidRPr="00991A9E">
        <w:rPr>
          <w:rFonts w:cs="Arial"/>
          <w:szCs w:val="20"/>
        </w:rPr>
        <w:t xml:space="preserve">V souladu se zákonem č.261/2007 Sb., o stabilizaci veřejných rozpočtů, kterým byl mimo jiné změněn zákon č.48/1997 Sb., o veřejném zdravotním pojištění, začali pacienti od počátku roku 2008 hradit zdravotnickým zařízením </w:t>
      </w:r>
      <w:r w:rsidRPr="00991A9E">
        <w:rPr>
          <w:rFonts w:cs="Arial"/>
          <w:b/>
          <w:szCs w:val="20"/>
        </w:rPr>
        <w:t>čtyři druhy regulačních poplatků</w:t>
      </w:r>
      <w:r w:rsidRPr="00991A9E">
        <w:rPr>
          <w:rFonts w:cs="Arial"/>
          <w:szCs w:val="20"/>
        </w:rPr>
        <w:t>. Cílem regulačních poplatků bylo především lepší využití prostředků veřejného zdravotního pojištění, omezení zbytečných návštěv u lékařů, neúčelné předepisování a</w:t>
      </w:r>
      <w:r w:rsidR="00A55FDE">
        <w:rPr>
          <w:rFonts w:cs="Arial"/>
          <w:szCs w:val="20"/>
        </w:rPr>
        <w:t> </w:t>
      </w:r>
      <w:r w:rsidRPr="00991A9E">
        <w:rPr>
          <w:rFonts w:cs="Arial"/>
          <w:szCs w:val="20"/>
        </w:rPr>
        <w:t xml:space="preserve">ušetření výdajů za levné léky a přesunutí finančních prostředků na péči pro těžce nemocné pacienty. </w:t>
      </w:r>
    </w:p>
    <w:p w:rsidR="00991A9E" w:rsidRPr="00991A9E" w:rsidRDefault="00991A9E" w:rsidP="00991A9E">
      <w:pPr>
        <w:spacing w:before="120"/>
        <w:jc w:val="both"/>
        <w:rPr>
          <w:rFonts w:cs="Arial"/>
          <w:szCs w:val="20"/>
        </w:rPr>
      </w:pPr>
      <w:r w:rsidRPr="00991A9E">
        <w:rPr>
          <w:rFonts w:cs="Arial"/>
          <w:szCs w:val="20"/>
        </w:rPr>
        <w:t xml:space="preserve">I když regulační poplatky vyvolaly ve společnosti bouřlivou debatu, nakonec se ukázalo, že jejich zavedením se snížil počet návštěv na pohotovosti i v běžných ambulancích. Avšak už o rok později došlo k opětovnému nárůstu regulačních poplatků za ošetření na pohotovosti i za počet předepsaných léků. Pacienti si na regulační </w:t>
      </w:r>
      <w:r w:rsidR="00A55FDE">
        <w:rPr>
          <w:rFonts w:cs="Arial"/>
          <w:szCs w:val="20"/>
        </w:rPr>
        <w:t xml:space="preserve">poplatky poměrně rychle zvykli a </w:t>
      </w:r>
      <w:r w:rsidRPr="00991A9E">
        <w:rPr>
          <w:rFonts w:cs="Arial"/>
          <w:szCs w:val="20"/>
        </w:rPr>
        <w:t xml:space="preserve">od častějšího využívání pohotovostních služeb </w:t>
      </w:r>
      <w:r w:rsidR="00A55FDE">
        <w:rPr>
          <w:rFonts w:cs="Arial"/>
          <w:szCs w:val="20"/>
        </w:rPr>
        <w:t xml:space="preserve">je </w:t>
      </w:r>
      <w:r w:rsidRPr="00991A9E">
        <w:rPr>
          <w:rFonts w:cs="Arial"/>
          <w:szCs w:val="20"/>
        </w:rPr>
        <w:t>neodradily. Rozsah využití se v porovnání s  rokem 2008 ještě zvýšil.</w:t>
      </w:r>
    </w:p>
    <w:p w:rsidR="00991A9E" w:rsidRPr="00991A9E" w:rsidRDefault="00991A9E" w:rsidP="00991A9E">
      <w:pPr>
        <w:spacing w:before="120"/>
        <w:jc w:val="both"/>
        <w:rPr>
          <w:rFonts w:cs="Arial"/>
          <w:bCs/>
          <w:szCs w:val="20"/>
        </w:rPr>
      </w:pPr>
      <w:r w:rsidRPr="00991A9E">
        <w:rPr>
          <w:rFonts w:cs="Arial"/>
          <w:bCs/>
          <w:szCs w:val="20"/>
        </w:rPr>
        <w:lastRenderedPageBreak/>
        <w:t xml:space="preserve">Zatímco ještě v roce </w:t>
      </w:r>
      <w:r w:rsidRPr="00991A9E">
        <w:rPr>
          <w:rFonts w:cs="Arial"/>
          <w:b/>
          <w:bCs/>
          <w:szCs w:val="20"/>
        </w:rPr>
        <w:t>2008</w:t>
      </w:r>
      <w:r w:rsidRPr="00991A9E">
        <w:rPr>
          <w:rFonts w:cs="Arial"/>
          <w:bCs/>
          <w:szCs w:val="20"/>
        </w:rPr>
        <w:t xml:space="preserve"> tvořily poplatky za návštěvu u lékaře 32</w:t>
      </w:r>
      <w:r w:rsidR="00A55FDE">
        <w:rPr>
          <w:rFonts w:cs="Arial"/>
          <w:bCs/>
          <w:szCs w:val="20"/>
        </w:rPr>
        <w:t xml:space="preserve"> </w:t>
      </w:r>
      <w:r w:rsidRPr="00991A9E">
        <w:rPr>
          <w:rFonts w:cs="Arial"/>
          <w:bCs/>
          <w:szCs w:val="20"/>
        </w:rPr>
        <w:t>% všech uhrazených poplatků, o rok později se jejich zastoupení snížilo na 28 %. Zmíněný pokles byl částečně ovlivněn i zrušením regulačního poplatku za návštěvu lékaře pro děti do 18 let s výjimkou návštěvy klinického psychologa a logopeda. Tato</w:t>
      </w:r>
      <w:r w:rsidR="007D6E98">
        <w:rPr>
          <w:rFonts w:cs="Arial"/>
          <w:bCs/>
          <w:szCs w:val="20"/>
        </w:rPr>
        <w:t> </w:t>
      </w:r>
      <w:r w:rsidRPr="00991A9E">
        <w:rPr>
          <w:rFonts w:cs="Arial"/>
          <w:bCs/>
          <w:szCs w:val="20"/>
        </w:rPr>
        <w:t xml:space="preserve">změna vstoupila v platnost </w:t>
      </w:r>
      <w:r w:rsidRPr="00991A9E">
        <w:rPr>
          <w:rFonts w:cs="Arial"/>
          <w:b/>
          <w:bCs/>
          <w:szCs w:val="20"/>
        </w:rPr>
        <w:t>1. dubna 2009</w:t>
      </w:r>
      <w:r w:rsidRPr="00991A9E">
        <w:rPr>
          <w:rFonts w:cs="Arial"/>
          <w:bCs/>
          <w:szCs w:val="20"/>
        </w:rPr>
        <w:t xml:space="preserve">. </w:t>
      </w:r>
    </w:p>
    <w:p w:rsidR="00991A9E" w:rsidRPr="00991A9E" w:rsidRDefault="00991A9E" w:rsidP="00991A9E">
      <w:pPr>
        <w:keepNext/>
        <w:spacing w:before="120"/>
        <w:jc w:val="both"/>
        <w:rPr>
          <w:rFonts w:cs="Arial"/>
          <w:szCs w:val="20"/>
        </w:rPr>
      </w:pPr>
      <w:r w:rsidRPr="00991A9E">
        <w:rPr>
          <w:rFonts w:cs="Arial"/>
          <w:szCs w:val="20"/>
        </w:rPr>
        <w:t xml:space="preserve">V roce </w:t>
      </w:r>
      <w:r w:rsidRPr="00991A9E">
        <w:rPr>
          <w:rFonts w:cs="Arial"/>
          <w:b/>
          <w:szCs w:val="20"/>
        </w:rPr>
        <w:t>2011</w:t>
      </w:r>
      <w:r w:rsidRPr="00991A9E">
        <w:rPr>
          <w:rFonts w:cs="Arial"/>
          <w:szCs w:val="20"/>
        </w:rPr>
        <w:t xml:space="preserve"> zůstaly poplatky za hospitalizaci na stejné úrovni jako v roce předchozím i přesto, že od 1.</w:t>
      </w:r>
      <w:r w:rsidR="007D6E98">
        <w:rPr>
          <w:rFonts w:cs="Arial"/>
          <w:szCs w:val="20"/>
        </w:rPr>
        <w:t> </w:t>
      </w:r>
      <w:r w:rsidRPr="00991A9E">
        <w:rPr>
          <w:rFonts w:cs="Arial"/>
          <w:szCs w:val="20"/>
        </w:rPr>
        <w:t>12.</w:t>
      </w:r>
      <w:r w:rsidR="007D6E98">
        <w:rPr>
          <w:rFonts w:cs="Arial"/>
          <w:szCs w:val="20"/>
        </w:rPr>
        <w:t> </w:t>
      </w:r>
      <w:r w:rsidRPr="00991A9E">
        <w:rPr>
          <w:rFonts w:cs="Arial"/>
          <w:szCs w:val="20"/>
        </w:rPr>
        <w:t>2011 došlo ke změně výše regulačního poplatku za jeden den pobytu v nemocnici, ústavním či lázeňském zařízení z 60 Kč na 100 Kč. Výše poplatků za recept a za využití pohotovostních služeb poklesla o šest a sedm procent. Meziroční srovnání ukázalo 10% pokles výdajů za návštěvu u lékaře. Právě v daném roce 2011 dosáhla výše regulačního poplatku za návštěvu u lékaře nejnižší hodnoty ve výši 1 374 mil. Kč, což bylo nejméně za celou dobu jeho platnosti.</w:t>
      </w:r>
    </w:p>
    <w:p w:rsidR="00991A9E" w:rsidRPr="00991A9E" w:rsidRDefault="00991A9E" w:rsidP="00991A9E">
      <w:pPr>
        <w:spacing w:before="120"/>
        <w:jc w:val="both"/>
        <w:rPr>
          <w:rFonts w:cs="Arial"/>
          <w:szCs w:val="20"/>
        </w:rPr>
      </w:pPr>
      <w:r w:rsidRPr="00991A9E">
        <w:rPr>
          <w:rFonts w:cs="Arial"/>
          <w:szCs w:val="20"/>
        </w:rPr>
        <w:t xml:space="preserve">Rok </w:t>
      </w:r>
      <w:r w:rsidRPr="00991A9E">
        <w:rPr>
          <w:rFonts w:cs="Arial"/>
          <w:b/>
          <w:szCs w:val="20"/>
        </w:rPr>
        <w:t>2012</w:t>
      </w:r>
      <w:r w:rsidRPr="00991A9E">
        <w:rPr>
          <w:rFonts w:cs="Arial"/>
          <w:szCs w:val="20"/>
        </w:rPr>
        <w:t xml:space="preserve"> přinesl výrazné zvýšení výdajů za hospitalizaci právě z důvodu zavedení vyššího regulačního poplatku za každý den hospitalizace. Celková výše regulačního poplatku za návštěvu u lékaře se zvýšila o</w:t>
      </w:r>
      <w:r w:rsidR="007D6E98">
        <w:rPr>
          <w:rFonts w:cs="Arial"/>
          <w:szCs w:val="20"/>
        </w:rPr>
        <w:t> </w:t>
      </w:r>
      <w:r w:rsidRPr="00991A9E">
        <w:rPr>
          <w:rFonts w:cs="Arial"/>
          <w:szCs w:val="20"/>
        </w:rPr>
        <w:t xml:space="preserve">sedm procent. Poplatky za využití pohotovostních služeb v roce 2012 zůstaly na stejné úrovni jako v roce předchozím. Meziroční srovnání ukazuje téměř čtvrtinový pokles regulačního poplatku za recept. S novým rokem se změnil koncept platby za recept. Od 1. 1. 2012 se již neplatilo 30 Kč za jednotlivé položky, ale za celý recept, což ovlivnilo výrazné snížení výše tohoto poplatku. </w:t>
      </w:r>
    </w:p>
    <w:p w:rsidR="00991A9E" w:rsidRPr="00991A9E" w:rsidRDefault="00991A9E" w:rsidP="00991A9E">
      <w:pPr>
        <w:spacing w:before="120"/>
        <w:jc w:val="both"/>
        <w:rPr>
          <w:rFonts w:cs="Arial"/>
          <w:szCs w:val="20"/>
        </w:rPr>
      </w:pPr>
      <w:r w:rsidRPr="00991A9E">
        <w:rPr>
          <w:rFonts w:cs="Arial"/>
          <w:bCs/>
          <w:szCs w:val="20"/>
        </w:rPr>
        <w:t xml:space="preserve">Rok </w:t>
      </w:r>
      <w:r w:rsidRPr="00991A9E">
        <w:rPr>
          <w:rFonts w:cs="Arial"/>
          <w:b/>
          <w:bCs/>
          <w:szCs w:val="20"/>
        </w:rPr>
        <w:t>2014</w:t>
      </w:r>
      <w:r w:rsidRPr="00991A9E">
        <w:rPr>
          <w:rFonts w:cs="Arial"/>
          <w:bCs/>
          <w:szCs w:val="20"/>
        </w:rPr>
        <w:t xml:space="preserve"> začal podstatnou změnou v systému veřejného zdravotního pojištění. Na základě nálezu Ústavního soudu ze dne 20. června 2013 s účinností od 1. ledna 2014 byla zrušena povinnost pacientů hradit regulační poplatek ve výši 100 korun na den za pobyt v lůžkových zařízeních</w:t>
      </w:r>
      <w:r w:rsidRPr="00991A9E">
        <w:rPr>
          <w:rFonts w:cs="Arial"/>
          <w:szCs w:val="20"/>
        </w:rPr>
        <w:t xml:space="preserve"> (nemocnicích, psychiatrických léčebnách, odborných léčebných ústavech, lázních nebo léčebnách dlouhodobě nemocných). Tato legislativní úprava následně pochopitelně způsobila snížení výdajů domácností na zdravotní péči.</w:t>
      </w:r>
    </w:p>
    <w:p w:rsidR="00991A9E" w:rsidRPr="00991A9E" w:rsidRDefault="00991A9E" w:rsidP="00991A9E">
      <w:pPr>
        <w:spacing w:before="120"/>
        <w:jc w:val="both"/>
        <w:rPr>
          <w:rFonts w:cs="Arial"/>
          <w:szCs w:val="20"/>
        </w:rPr>
      </w:pPr>
      <w:r w:rsidRPr="00991A9E">
        <w:rPr>
          <w:rFonts w:cs="Arial"/>
          <w:szCs w:val="20"/>
        </w:rPr>
        <w:t>Vláda České republiky dne 2. července 2014 schválila novelu výše uvedeného zákona č.48/1997 Sb. o</w:t>
      </w:r>
      <w:r w:rsidR="007D6E98">
        <w:rPr>
          <w:rFonts w:cs="Arial"/>
          <w:szCs w:val="20"/>
        </w:rPr>
        <w:t> </w:t>
      </w:r>
      <w:r w:rsidRPr="00991A9E">
        <w:rPr>
          <w:rFonts w:cs="Arial"/>
          <w:szCs w:val="20"/>
        </w:rPr>
        <w:t xml:space="preserve">veřejném zdravotním pojištění, která zrušila od </w:t>
      </w:r>
      <w:r w:rsidRPr="00991A9E">
        <w:rPr>
          <w:rFonts w:cs="Arial"/>
          <w:b/>
          <w:szCs w:val="20"/>
        </w:rPr>
        <w:t>1. ledna 2015</w:t>
      </w:r>
      <w:r w:rsidRPr="00991A9E">
        <w:rPr>
          <w:rFonts w:cs="Arial"/>
          <w:szCs w:val="20"/>
        </w:rPr>
        <w:t xml:space="preserve"> třicetikorunové regulační poplatky za návštěvu u lékaře a poplatek v lékárnách. V platnosti nadále zůstává devadesátikorunový regulační poplatek za využití lékařské a zubní pohotovosti. </w:t>
      </w:r>
    </w:p>
    <w:p w:rsidR="00991A9E" w:rsidRPr="00991A9E" w:rsidRDefault="00991A9E" w:rsidP="00991A9E">
      <w:pPr>
        <w:keepNext/>
        <w:spacing w:before="240" w:after="120"/>
        <w:jc w:val="both"/>
        <w:rPr>
          <w:rFonts w:cs="Arial"/>
          <w:b/>
          <w:sz w:val="18"/>
          <w:szCs w:val="18"/>
        </w:rPr>
      </w:pPr>
      <w:r w:rsidRPr="00991A9E">
        <w:rPr>
          <w:rFonts w:cs="Arial"/>
          <w:b/>
          <w:sz w:val="18"/>
          <w:szCs w:val="18"/>
        </w:rPr>
        <w:t>Graf č. 3.2.4 Výdaje domácností v ČR na regulační poplatky, 2008-2015 (mil. Kč)</w:t>
      </w:r>
    </w:p>
    <w:p w:rsidR="00991A9E" w:rsidRPr="00991A9E" w:rsidRDefault="00991A9E" w:rsidP="00991A9E">
      <w:pPr>
        <w:spacing w:before="120"/>
        <w:jc w:val="right"/>
        <w:rPr>
          <w:szCs w:val="17"/>
        </w:rPr>
      </w:pPr>
      <w:r w:rsidRPr="00991A9E">
        <w:rPr>
          <w:noProof/>
          <w:color w:val="D96D7F"/>
          <w:sz w:val="18"/>
          <w:szCs w:val="20"/>
        </w:rPr>
        <w:drawing>
          <wp:inline distT="0" distB="0" distL="0" distR="0">
            <wp:extent cx="6115050" cy="3257550"/>
            <wp:effectExtent l="19050" t="0" r="0" b="0"/>
            <wp:docPr id="37" name="Graf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991A9E">
        <w:rPr>
          <w:b/>
          <w:bCs/>
          <w:i/>
          <w:sz w:val="16"/>
          <w:szCs w:val="16"/>
        </w:rPr>
        <w:t>Zdroj: ČSÚ 2017, Zdravotnické účty ČR 2010 - 2015</w:t>
      </w:r>
      <w:r w:rsidRPr="00991A9E">
        <w:rPr>
          <w:i/>
          <w:sz w:val="16"/>
          <w:szCs w:val="16"/>
        </w:rPr>
        <w:t xml:space="preserve"> </w:t>
      </w:r>
    </w:p>
    <w:p w:rsidR="00991A9E" w:rsidRPr="007949E3" w:rsidRDefault="00991A9E" w:rsidP="007949E3">
      <w:pPr>
        <w:spacing w:before="240" w:after="120"/>
        <w:rPr>
          <w:b/>
          <w:i/>
        </w:rPr>
      </w:pPr>
      <w:r w:rsidRPr="007949E3">
        <w:rPr>
          <w:b/>
          <w:i/>
        </w:rPr>
        <w:t>Kdo a kdy neplatí za pohotovost</w:t>
      </w:r>
    </w:p>
    <w:p w:rsidR="007D6E98" w:rsidRDefault="00991A9E" w:rsidP="00991A9E">
      <w:pPr>
        <w:spacing w:before="120" w:after="120"/>
        <w:jc w:val="both"/>
        <w:rPr>
          <w:rFonts w:cs="Arial"/>
          <w:szCs w:val="20"/>
        </w:rPr>
      </w:pPr>
      <w:r w:rsidRPr="00991A9E">
        <w:rPr>
          <w:rFonts w:cs="Arial"/>
          <w:szCs w:val="20"/>
        </w:rPr>
        <w:lastRenderedPageBreak/>
        <w:t>Pokud v rámci pohotovostní služby ošetřující lékař shledá, že stav pacienta vyžaduje hospitalizaci, regulační poplatek se neplatí.</w:t>
      </w:r>
    </w:p>
    <w:p w:rsidR="00991A9E" w:rsidRPr="00991A9E" w:rsidRDefault="00991A9E" w:rsidP="00991A9E">
      <w:pPr>
        <w:spacing w:before="120" w:after="120"/>
        <w:jc w:val="both"/>
        <w:rPr>
          <w:rFonts w:cs="Arial"/>
          <w:szCs w:val="20"/>
        </w:rPr>
      </w:pPr>
      <w:r w:rsidRPr="00991A9E">
        <w:rPr>
          <w:rFonts w:cs="Arial"/>
          <w:szCs w:val="20"/>
        </w:rPr>
        <w:t>Regulační poplatek za pohotovost neplatí pojištěnci v dětských domovech pro děti do tří let, ve školských zařízeních pro výkon ústavní či ochranné výchovy a v domovech pro osoby se zdravotním postižením. Dále</w:t>
      </w:r>
      <w:r w:rsidR="007D6E98">
        <w:rPr>
          <w:rFonts w:cs="Arial"/>
          <w:szCs w:val="20"/>
        </w:rPr>
        <w:t> </w:t>
      </w:r>
      <w:r w:rsidRPr="00991A9E">
        <w:rPr>
          <w:rFonts w:cs="Arial"/>
          <w:szCs w:val="20"/>
        </w:rPr>
        <w:t xml:space="preserve">je neplatí také pojištěnci svěření rozhodnutím soudu do pěstounské péče, poručnické péče nebo do péče jiné osoby podle občanského zákoníku. </w:t>
      </w:r>
    </w:p>
    <w:p w:rsidR="00991A9E" w:rsidRPr="00991A9E" w:rsidRDefault="00991A9E" w:rsidP="00991A9E">
      <w:pPr>
        <w:spacing w:before="120" w:after="120"/>
        <w:jc w:val="both"/>
        <w:rPr>
          <w:rFonts w:cs="Arial"/>
          <w:szCs w:val="20"/>
        </w:rPr>
      </w:pPr>
      <w:r w:rsidRPr="00991A9E">
        <w:rPr>
          <w:rFonts w:cs="Arial"/>
          <w:szCs w:val="20"/>
        </w:rPr>
        <w:t>Regulační poplatek nehradí ani pacienti z domovů pro osoby se zdravotním postižením, domovů pro seniory, domovů se zvláštním režimem nebo v lůžkových zdravotnických zařízeních, pokud jim po úhradě ubytování a stravy zbude méně než 800 korun měsíčně, případně žádný příjem nemají. Osvobozeni od poplatku jsou také ti, kdo se prokážou dokladem o dávce v hmotné nouzi, který není starší než 30 dnů.</w:t>
      </w:r>
    </w:p>
    <w:p w:rsidR="00991A9E" w:rsidRPr="00991A9E" w:rsidRDefault="00991A9E" w:rsidP="00991A9E">
      <w:pPr>
        <w:spacing w:before="120" w:after="120"/>
        <w:jc w:val="both"/>
        <w:rPr>
          <w:rFonts w:cs="Arial"/>
          <w:szCs w:val="20"/>
        </w:rPr>
      </w:pPr>
      <w:r w:rsidRPr="00991A9E">
        <w:rPr>
          <w:rFonts w:cs="Arial"/>
          <w:szCs w:val="20"/>
        </w:rPr>
        <w:t>Na návštěvní službu, tedy přivolání lékaře do domácnosti, se regulační poplatek jako za pohotovost nevztahuje.</w:t>
      </w:r>
    </w:p>
    <w:p w:rsidR="00991A9E" w:rsidRPr="00991A9E" w:rsidRDefault="00991A9E" w:rsidP="00991A9E">
      <w:pPr>
        <w:keepNext/>
        <w:spacing w:before="240" w:after="120"/>
        <w:jc w:val="both"/>
        <w:rPr>
          <w:rFonts w:cs="Arial"/>
          <w:b/>
          <w:sz w:val="18"/>
          <w:szCs w:val="18"/>
        </w:rPr>
      </w:pPr>
      <w:r w:rsidRPr="00991A9E">
        <w:rPr>
          <w:rFonts w:cs="Arial"/>
          <w:b/>
          <w:sz w:val="18"/>
          <w:szCs w:val="18"/>
        </w:rPr>
        <w:t>Graf č. 3.2.5 Výdaje domácností v ČR na regulační poplatek za pohotovost, 2008-2015 (mil. Kč)</w:t>
      </w:r>
    </w:p>
    <w:p w:rsidR="00991A9E" w:rsidRPr="00991A9E" w:rsidRDefault="00991A9E" w:rsidP="00991A9E">
      <w:pPr>
        <w:shd w:val="clear" w:color="auto" w:fill="FFFFFF"/>
        <w:jc w:val="both"/>
        <w:rPr>
          <w:rFonts w:ascii="Times New Roman" w:hAnsi="Times New Roman"/>
          <w:color w:val="000000"/>
          <w:sz w:val="24"/>
        </w:rPr>
      </w:pPr>
      <w:r w:rsidRPr="00991A9E">
        <w:rPr>
          <w:noProof/>
        </w:rPr>
        <w:drawing>
          <wp:inline distT="0" distB="0" distL="0" distR="0">
            <wp:extent cx="6191250" cy="3228975"/>
            <wp:effectExtent l="0" t="0" r="0" b="0"/>
            <wp:docPr id="38" name="Graf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991A9E">
        <w:rPr>
          <w:rFonts w:cs="Arial"/>
          <w:color w:val="000000"/>
          <w:szCs w:val="20"/>
        </w:rPr>
        <w:br/>
      </w:r>
      <w:r w:rsidRPr="00991A9E">
        <w:rPr>
          <w:b/>
          <w:bCs/>
          <w:i/>
          <w:sz w:val="16"/>
          <w:szCs w:val="16"/>
        </w:rPr>
        <w:t xml:space="preserve">                                                                                                                                 Zdroj: ČSÚ 2017, Zdravotnické účty ČR 2010 - 2015</w:t>
      </w:r>
    </w:p>
    <w:p w:rsidR="007D6E98" w:rsidRDefault="007D6E98" w:rsidP="00991A9E">
      <w:pPr>
        <w:spacing w:before="120"/>
        <w:jc w:val="both"/>
        <w:rPr>
          <w:szCs w:val="17"/>
        </w:rPr>
      </w:pPr>
    </w:p>
    <w:p w:rsidR="00991A9E" w:rsidRPr="00991A9E" w:rsidRDefault="00991A9E" w:rsidP="00991A9E">
      <w:pPr>
        <w:spacing w:before="120"/>
        <w:jc w:val="both"/>
        <w:rPr>
          <w:szCs w:val="17"/>
        </w:rPr>
      </w:pPr>
      <w:r w:rsidRPr="00991A9E">
        <w:rPr>
          <w:szCs w:val="17"/>
        </w:rPr>
        <w:t xml:space="preserve">Po výrazném nárůstu výdajů na regulační poplatek za pohotovost v roce 2009, kdy byla překročena dvousetmiliónová hranice, docházelo k jejich pozvolnému snižování až do roku 2012. V roce 2013 byl zaznamenán mírný nárůst výdajů za pohotovostní služby, který pokračoval i v následujících letech. </w:t>
      </w:r>
      <w:r w:rsidRPr="00991A9E">
        <w:rPr>
          <w:b/>
          <w:szCs w:val="17"/>
        </w:rPr>
        <w:t>V</w:t>
      </w:r>
      <w:r w:rsidR="007D6E98">
        <w:rPr>
          <w:b/>
          <w:szCs w:val="17"/>
        </w:rPr>
        <w:t> </w:t>
      </w:r>
      <w:r w:rsidRPr="00991A9E">
        <w:rPr>
          <w:b/>
          <w:szCs w:val="17"/>
        </w:rPr>
        <w:t>roce</w:t>
      </w:r>
      <w:r w:rsidR="007D6E98">
        <w:rPr>
          <w:b/>
          <w:szCs w:val="17"/>
        </w:rPr>
        <w:t> </w:t>
      </w:r>
      <w:r w:rsidRPr="00991A9E">
        <w:rPr>
          <w:b/>
          <w:szCs w:val="17"/>
        </w:rPr>
        <w:t>2015 vydaly české domácnosti za poplatky za pohotovost 192 miliónů Kč</w:t>
      </w:r>
      <w:r w:rsidRPr="00991A9E">
        <w:rPr>
          <w:szCs w:val="17"/>
        </w:rPr>
        <w:t>, což odpovídá úrovni z roku 2010.</w:t>
      </w:r>
    </w:p>
    <w:p w:rsidR="00991A9E" w:rsidRPr="00991A9E" w:rsidRDefault="00991A9E" w:rsidP="00991A9E">
      <w:pPr>
        <w:spacing w:before="120"/>
        <w:jc w:val="both"/>
        <w:rPr>
          <w:szCs w:val="17"/>
        </w:rPr>
      </w:pPr>
      <w:r w:rsidRPr="00991A9E">
        <w:rPr>
          <w:szCs w:val="17"/>
        </w:rPr>
        <w:t>Na základě výše výdajů za regulační poplatky v roce 2015 mezi nejčastější diagnózy, se kterými lidé pohotovostní službu dlouhodobě vyhledávají, patří poranění, otravy a popáleniny (53 mil. Kč), nemoci dýchacích cest (25 mil. Kč) a onemocnění trávicí soustavy (20 mil. Kč) z celkových 192 mil. Kč.</w:t>
      </w:r>
    </w:p>
    <w:p w:rsidR="007D6E98" w:rsidRDefault="007D6E98">
      <w:pPr>
        <w:spacing w:line="240" w:lineRule="auto"/>
        <w:rPr>
          <w:rFonts w:cs="Arial"/>
          <w:b/>
          <w:sz w:val="18"/>
          <w:szCs w:val="18"/>
        </w:rPr>
      </w:pPr>
      <w:r>
        <w:rPr>
          <w:rFonts w:cs="Arial"/>
          <w:b/>
          <w:sz w:val="18"/>
          <w:szCs w:val="18"/>
        </w:rPr>
        <w:br w:type="page"/>
      </w:r>
    </w:p>
    <w:p w:rsidR="00991A9E" w:rsidRPr="00991A9E" w:rsidRDefault="00991A9E" w:rsidP="00991A9E">
      <w:pPr>
        <w:spacing w:before="120"/>
        <w:jc w:val="both"/>
        <w:rPr>
          <w:rFonts w:cs="Arial"/>
          <w:b/>
          <w:sz w:val="18"/>
          <w:szCs w:val="18"/>
        </w:rPr>
      </w:pPr>
      <w:r w:rsidRPr="00991A9E">
        <w:rPr>
          <w:rFonts w:cs="Arial"/>
          <w:b/>
          <w:sz w:val="18"/>
          <w:szCs w:val="18"/>
        </w:rPr>
        <w:lastRenderedPageBreak/>
        <w:t>Graf č. 3.2.6 Průměrné roční výdaje (v Kč) na regulační poplatky za jednoho pojištěnce 2008 – 2015 (v mil. Kč)</w:t>
      </w:r>
    </w:p>
    <w:p w:rsidR="00991A9E" w:rsidRPr="00991A9E" w:rsidRDefault="00991A9E" w:rsidP="00991A9E">
      <w:pPr>
        <w:spacing w:before="120"/>
        <w:jc w:val="both"/>
        <w:rPr>
          <w:rFonts w:cs="Arial"/>
          <w:szCs w:val="20"/>
        </w:rPr>
      </w:pPr>
      <w:r w:rsidRPr="00991A9E">
        <w:rPr>
          <w:rFonts w:cs="Arial"/>
          <w:noProof/>
        </w:rPr>
        <w:drawing>
          <wp:inline distT="0" distB="0" distL="0" distR="0">
            <wp:extent cx="6172200" cy="3638550"/>
            <wp:effectExtent l="19050" t="0" r="0" b="0"/>
            <wp:docPr id="39" name="Graf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91A9E" w:rsidRPr="00991A9E" w:rsidRDefault="007D6E98" w:rsidP="00991A9E">
      <w:pPr>
        <w:spacing w:before="120"/>
        <w:jc w:val="both"/>
        <w:rPr>
          <w:bCs/>
          <w:i/>
          <w:sz w:val="16"/>
          <w:szCs w:val="16"/>
        </w:rPr>
      </w:pPr>
      <w:r>
        <w:rPr>
          <w:bCs/>
          <w:i/>
          <w:sz w:val="16"/>
          <w:szCs w:val="16"/>
        </w:rPr>
        <w:t>Pozn.:</w:t>
      </w:r>
      <w:r w:rsidR="00991A9E" w:rsidRPr="00991A9E">
        <w:rPr>
          <w:bCs/>
          <w:i/>
          <w:sz w:val="16"/>
          <w:szCs w:val="16"/>
        </w:rPr>
        <w:t xml:space="preserve"> </w:t>
      </w:r>
      <w:r>
        <w:rPr>
          <w:bCs/>
          <w:i/>
          <w:sz w:val="16"/>
          <w:szCs w:val="16"/>
        </w:rPr>
        <w:t>č</w:t>
      </w:r>
      <w:r w:rsidR="00991A9E" w:rsidRPr="00991A9E">
        <w:rPr>
          <w:bCs/>
          <w:i/>
          <w:sz w:val="16"/>
          <w:szCs w:val="16"/>
        </w:rPr>
        <w:t>erveně označené hodnoty označují průměrné roční výdaje za jednoho pojištěnce poslední rok před zrušením daného regulačního poplatku</w:t>
      </w:r>
    </w:p>
    <w:p w:rsidR="00991A9E" w:rsidRPr="00991A9E" w:rsidRDefault="00991A9E" w:rsidP="00991A9E">
      <w:pPr>
        <w:spacing w:before="120"/>
        <w:jc w:val="right"/>
        <w:rPr>
          <w:szCs w:val="17"/>
        </w:rPr>
      </w:pPr>
      <w:r w:rsidRPr="00991A9E">
        <w:rPr>
          <w:b/>
          <w:bCs/>
          <w:i/>
          <w:sz w:val="16"/>
          <w:szCs w:val="16"/>
        </w:rPr>
        <w:t>Zdroj: ČSÚ 2017, Zdravotnické účty ČR 2010 - 2015</w:t>
      </w:r>
      <w:r w:rsidRPr="00991A9E">
        <w:rPr>
          <w:i/>
          <w:sz w:val="16"/>
          <w:szCs w:val="16"/>
        </w:rPr>
        <w:t xml:space="preserve"> </w:t>
      </w:r>
    </w:p>
    <w:p w:rsidR="007D6E98" w:rsidRDefault="007D6E98" w:rsidP="00991A9E">
      <w:pPr>
        <w:spacing w:before="120"/>
        <w:jc w:val="both"/>
        <w:rPr>
          <w:rFonts w:cs="Arial"/>
          <w:szCs w:val="20"/>
        </w:rPr>
      </w:pPr>
    </w:p>
    <w:p w:rsidR="00991A9E" w:rsidRDefault="00991A9E" w:rsidP="00991A9E">
      <w:pPr>
        <w:spacing w:before="120"/>
        <w:jc w:val="both"/>
        <w:rPr>
          <w:rFonts w:cs="Arial"/>
          <w:szCs w:val="20"/>
        </w:rPr>
      </w:pPr>
      <w:r w:rsidRPr="00991A9E">
        <w:rPr>
          <w:rFonts w:cs="Arial"/>
          <w:szCs w:val="20"/>
        </w:rPr>
        <w:t>Na rozdíl od ostatních regulačních poplatků dlouhodobě nedošlo u poplatku za pohotovost k legislativním úpravám a také proto zůstává výše regulačního poplatku stabilní a pohybuje se u obou pohlaví kolem 18 Kč za jednoho pojištěnce na rok. Nejvyšší výdaje byly zaznamenány u obou pohlaví u nejmladší věkové skupiny do 4 let. Za ošetření na pohotovosti bylo vydáno v roce 2015 za každého chlapce 42 Kč a za každou dívku 38 Kč.</w:t>
      </w:r>
    </w:p>
    <w:p w:rsidR="00AB64E8" w:rsidRDefault="00AB64E8" w:rsidP="00991A9E">
      <w:pPr>
        <w:spacing w:before="120"/>
        <w:jc w:val="both"/>
        <w:rPr>
          <w:rFonts w:cs="Arial"/>
          <w:szCs w:val="20"/>
        </w:rPr>
      </w:pPr>
    </w:p>
    <w:p w:rsidR="00AA3BA1" w:rsidRDefault="00AA3BA1">
      <w:pPr>
        <w:spacing w:line="240" w:lineRule="auto"/>
        <w:rPr>
          <w:rFonts w:eastAsia="MS Gothic"/>
          <w:b/>
          <w:bCs/>
          <w:color w:val="BC091B"/>
          <w:sz w:val="28"/>
          <w:szCs w:val="26"/>
        </w:rPr>
      </w:pPr>
      <w:bookmarkStart w:id="9" w:name="_3.3._Výdaje_na"/>
      <w:bookmarkStart w:id="10" w:name="_Toc481748794"/>
      <w:bookmarkEnd w:id="9"/>
      <w:bookmarkEnd w:id="10"/>
    </w:p>
    <w:sectPr w:rsidR="00AA3BA1" w:rsidSect="00DA0D9F">
      <w:headerReference w:type="even" r:id="rId15"/>
      <w:headerReference w:type="default" r:id="rId16"/>
      <w:footerReference w:type="even" r:id="rId17"/>
      <w:footerReference w:type="default" r:id="rId18"/>
      <w:pgSz w:w="11906" w:h="16838" w:code="9"/>
      <w:pgMar w:top="1134" w:right="1134" w:bottom="1418" w:left="1134" w:header="680" w:footer="680" w:gutter="0"/>
      <w:pgNumType w:start="2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9F8" w:rsidRDefault="00ED09F8" w:rsidP="00E71A58">
      <w:r>
        <w:separator/>
      </w:r>
    </w:p>
  </w:endnote>
  <w:endnote w:type="continuationSeparator" w:id="0">
    <w:p w:rsidR="00ED09F8" w:rsidRDefault="00ED09F8"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charset w:val="00"/>
    <w:family w:val="auto"/>
    <w:pitch w:val="variable"/>
    <w:sig w:usb0="00000001" w:usb1="00000001"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DC" w:rsidRDefault="00BD2BDC" w:rsidP="003A6B38">
    <w:pPr>
      <w:pStyle w:val="Zpat"/>
      <w:tabs>
        <w:tab w:val="clear" w:pos="4536"/>
        <w:tab w:val="clear" w:pos="9072"/>
        <w:tab w:val="center" w:pos="4820"/>
        <w:tab w:val="right" w:pos="9639"/>
      </w:tabs>
    </w:pPr>
    <w:r>
      <w:rPr>
        <w:noProof/>
        <w:lang w:eastAsia="cs-CZ"/>
      </w:rPr>
      <w:drawing>
        <wp:anchor distT="0" distB="0" distL="114300" distR="114300" simplePos="0" relativeHeight="251659264" behindDoc="0" locked="0" layoutInCell="1" allowOverlap="1" wp14:anchorId="4D3EB857" wp14:editId="7A32D06C">
          <wp:simplePos x="0" y="0"/>
          <wp:positionH relativeFrom="column">
            <wp:posOffset>5660390</wp:posOffset>
          </wp:positionH>
          <wp:positionV relativeFrom="paragraph">
            <wp:posOffset>-52070</wp:posOffset>
          </wp:positionV>
          <wp:extent cx="466725" cy="219075"/>
          <wp:effectExtent l="0" t="0" r="9525" b="9525"/>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pic:spPr>
              </pic:pic>
            </a:graphicData>
          </a:graphic>
        </wp:anchor>
      </w:drawing>
    </w:r>
    <w:r w:rsidR="00416C0A" w:rsidRPr="005A21E0">
      <w:rPr>
        <w:rFonts w:ascii="Arial" w:hAnsi="Arial" w:cs="Arial"/>
        <w:sz w:val="16"/>
        <w:szCs w:val="16"/>
      </w:rPr>
      <w:fldChar w:fldCharType="begin"/>
    </w:r>
    <w:r w:rsidRPr="005A21E0">
      <w:rPr>
        <w:rFonts w:ascii="Arial" w:hAnsi="Arial" w:cs="Arial"/>
        <w:sz w:val="16"/>
        <w:szCs w:val="16"/>
      </w:rPr>
      <w:instrText>PAGE   \* MERGEFORMAT</w:instrText>
    </w:r>
    <w:r w:rsidR="00416C0A" w:rsidRPr="005A21E0">
      <w:rPr>
        <w:rFonts w:ascii="Arial" w:hAnsi="Arial" w:cs="Arial"/>
        <w:sz w:val="16"/>
        <w:szCs w:val="16"/>
      </w:rPr>
      <w:fldChar w:fldCharType="separate"/>
    </w:r>
    <w:r w:rsidR="00AA06CB">
      <w:rPr>
        <w:rFonts w:ascii="Arial" w:hAnsi="Arial" w:cs="Arial"/>
        <w:noProof/>
        <w:sz w:val="16"/>
        <w:szCs w:val="16"/>
      </w:rPr>
      <w:t>32</w:t>
    </w:r>
    <w:r w:rsidR="00416C0A" w:rsidRPr="005A21E0">
      <w:rPr>
        <w:rFonts w:ascii="Arial" w:hAnsi="Arial" w:cs="Arial"/>
        <w:sz w:val="16"/>
        <w:szCs w:val="16"/>
      </w:rPr>
      <w:fldChar w:fldCharType="end"/>
    </w:r>
    <w:r>
      <w:rPr>
        <w:rFonts w:ascii="Arial" w:hAnsi="Arial" w:cs="Arial"/>
        <w:sz w:val="16"/>
        <w:szCs w:val="16"/>
      </w:rPr>
      <w:tab/>
      <w:t>2017</w:t>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DC" w:rsidRDefault="00BD2BDC" w:rsidP="003A6B38">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6192" behindDoc="0" locked="0" layoutInCell="1" allowOverlap="1" wp14:anchorId="0A72B1E1" wp14:editId="6D1EB4EA">
          <wp:simplePos x="0" y="0"/>
          <wp:positionH relativeFrom="column">
            <wp:posOffset>3810</wp:posOffset>
          </wp:positionH>
          <wp:positionV relativeFrom="paragraph">
            <wp:posOffset>90170</wp:posOffset>
          </wp:positionV>
          <wp:extent cx="495300" cy="266700"/>
          <wp:effectExtent l="0" t="0" r="0" b="0"/>
          <wp:wrapNone/>
          <wp:docPr id="1"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pic:spPr>
              </pic:pic>
            </a:graphicData>
          </a:graphic>
        </wp:anchor>
      </w:drawing>
    </w:r>
    <w:r>
      <w:tab/>
    </w:r>
    <w:r>
      <w:tab/>
    </w:r>
  </w:p>
  <w:p w:rsidR="00BD2BDC" w:rsidRDefault="00BD2BDC"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2017</w:t>
    </w:r>
    <w:r>
      <w:tab/>
    </w:r>
    <w:r>
      <w:tab/>
    </w:r>
    <w:r w:rsidR="00416C0A" w:rsidRPr="00B6608F">
      <w:rPr>
        <w:rFonts w:ascii="Arial" w:hAnsi="Arial" w:cs="Arial"/>
        <w:sz w:val="16"/>
        <w:szCs w:val="16"/>
      </w:rPr>
      <w:fldChar w:fldCharType="begin"/>
    </w:r>
    <w:r w:rsidRPr="00B6608F">
      <w:rPr>
        <w:rFonts w:ascii="Arial" w:hAnsi="Arial" w:cs="Arial"/>
        <w:sz w:val="16"/>
        <w:szCs w:val="16"/>
      </w:rPr>
      <w:instrText>PAGE   \* MERGEFORMAT</w:instrText>
    </w:r>
    <w:r w:rsidR="00416C0A" w:rsidRPr="00B6608F">
      <w:rPr>
        <w:rFonts w:ascii="Arial" w:hAnsi="Arial" w:cs="Arial"/>
        <w:sz w:val="16"/>
        <w:szCs w:val="16"/>
      </w:rPr>
      <w:fldChar w:fldCharType="separate"/>
    </w:r>
    <w:r w:rsidR="00AA06CB">
      <w:rPr>
        <w:rFonts w:ascii="Arial" w:hAnsi="Arial" w:cs="Arial"/>
        <w:noProof/>
        <w:sz w:val="16"/>
        <w:szCs w:val="16"/>
      </w:rPr>
      <w:t>31</w:t>
    </w:r>
    <w:r w:rsidR="00416C0A" w:rsidRPr="00B6608F">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9F8" w:rsidRDefault="00ED09F8" w:rsidP="00E71A58">
      <w:r>
        <w:separator/>
      </w:r>
    </w:p>
  </w:footnote>
  <w:footnote w:type="continuationSeparator" w:id="0">
    <w:p w:rsidR="00ED09F8" w:rsidRDefault="00ED09F8" w:rsidP="00E71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DC" w:rsidRPr="002175EE" w:rsidRDefault="00BD2BDC" w:rsidP="00D67975">
    <w:pPr>
      <w:pStyle w:val="Nadpis1"/>
      <w:rPr>
        <w:b w:val="0"/>
        <w:color w:val="auto"/>
        <w:sz w:val="16"/>
        <w:szCs w:val="16"/>
      </w:rPr>
    </w:pPr>
    <w:r w:rsidRPr="002175EE">
      <w:rPr>
        <w:b w:val="0"/>
        <w:color w:val="auto"/>
        <w:sz w:val="16"/>
        <w:szCs w:val="16"/>
      </w:rPr>
      <w:t>Výs</w:t>
    </w:r>
    <w:r>
      <w:rPr>
        <w:b w:val="0"/>
        <w:color w:val="auto"/>
        <w:sz w:val="16"/>
        <w:szCs w:val="16"/>
      </w:rPr>
      <w:t>ledky zdravotnických účtů ČR 2010–2015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DC" w:rsidRPr="002175EE" w:rsidRDefault="00BD2BDC" w:rsidP="002175EE">
    <w:pPr>
      <w:pStyle w:val="Nadpis1"/>
      <w:rPr>
        <w:b w:val="0"/>
        <w:color w:val="auto"/>
        <w:sz w:val="16"/>
        <w:szCs w:val="16"/>
      </w:rPr>
    </w:pPr>
    <w:r w:rsidRPr="002175EE">
      <w:rPr>
        <w:b w:val="0"/>
        <w:color w:val="auto"/>
        <w:sz w:val="16"/>
        <w:szCs w:val="16"/>
      </w:rPr>
      <w:t xml:space="preserve">Výsledky </w:t>
    </w:r>
    <w:r>
      <w:rPr>
        <w:b w:val="0"/>
        <w:color w:val="auto"/>
        <w:sz w:val="16"/>
        <w:szCs w:val="16"/>
      </w:rPr>
      <w:t>zdravotnických účtů ČR 2010–2015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C21"/>
    <w:multiLevelType w:val="hybridMultilevel"/>
    <w:tmpl w:val="99D61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AF5F6D"/>
    <w:multiLevelType w:val="hybridMultilevel"/>
    <w:tmpl w:val="5824D116"/>
    <w:lvl w:ilvl="0" w:tplc="F938899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BA26586"/>
    <w:multiLevelType w:val="hybridMultilevel"/>
    <w:tmpl w:val="5F2EFD9C"/>
    <w:lvl w:ilvl="0" w:tplc="04050001">
      <w:start w:val="5"/>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087D8F"/>
    <w:multiLevelType w:val="hybridMultilevel"/>
    <w:tmpl w:val="5DE801E0"/>
    <w:lvl w:ilvl="0" w:tplc="267E35CE">
      <w:start w:val="1"/>
      <w:numFmt w:val="decimal"/>
      <w:lvlText w:val="(%1)"/>
      <w:lvlJc w:val="left"/>
      <w:pPr>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DB521B"/>
    <w:multiLevelType w:val="hybridMultilevel"/>
    <w:tmpl w:val="2DC43A6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D9632BB"/>
    <w:multiLevelType w:val="hybridMultilevel"/>
    <w:tmpl w:val="29F85DA0"/>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1FFD6DEF"/>
    <w:multiLevelType w:val="multilevel"/>
    <w:tmpl w:val="58CE67C4"/>
    <w:lvl w:ilvl="0">
      <w:start w:val="1"/>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5666454"/>
    <w:multiLevelType w:val="hybridMultilevel"/>
    <w:tmpl w:val="936055B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8504B67"/>
    <w:multiLevelType w:val="hybridMultilevel"/>
    <w:tmpl w:val="141024E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2C8760B6"/>
    <w:multiLevelType w:val="hybridMultilevel"/>
    <w:tmpl w:val="2EF6101A"/>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nsid w:val="2E814446"/>
    <w:multiLevelType w:val="hybridMultilevel"/>
    <w:tmpl w:val="12C803C8"/>
    <w:lvl w:ilvl="0" w:tplc="CD9C6B54">
      <w:start w:val="2"/>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F952F38"/>
    <w:multiLevelType w:val="multilevel"/>
    <w:tmpl w:val="7BD287E4"/>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BD815B2"/>
    <w:multiLevelType w:val="hybridMultilevel"/>
    <w:tmpl w:val="132CDB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3D0A6F9C"/>
    <w:multiLevelType w:val="hybridMultilevel"/>
    <w:tmpl w:val="5C0CA8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2322D3E"/>
    <w:multiLevelType w:val="hybridMultilevel"/>
    <w:tmpl w:val="2DA69084"/>
    <w:lvl w:ilvl="0" w:tplc="F9388996">
      <w:start w:val="1"/>
      <w:numFmt w:val="bullet"/>
      <w:lvlText w:val="-"/>
      <w:lvlJc w:val="left"/>
      <w:pPr>
        <w:tabs>
          <w:tab w:val="num" w:pos="765"/>
        </w:tabs>
        <w:ind w:left="765" w:hanging="405"/>
      </w:pPr>
      <w:rPr>
        <w:rFonts w:ascii="Times New Roman" w:eastAsia="Times New Roman" w:hAnsi="Times New Roman" w:cs="Times New Roman" w:hint="default"/>
      </w:rPr>
    </w:lvl>
    <w:lvl w:ilvl="1" w:tplc="F938899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251525A"/>
    <w:multiLevelType w:val="multilevel"/>
    <w:tmpl w:val="1B6E9F1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37647E6"/>
    <w:multiLevelType w:val="hybridMultilevel"/>
    <w:tmpl w:val="7D3E41A0"/>
    <w:lvl w:ilvl="0" w:tplc="F9388996">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45645A0C"/>
    <w:multiLevelType w:val="hybridMultilevel"/>
    <w:tmpl w:val="D004DA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97844F8"/>
    <w:multiLevelType w:val="hybridMultilevel"/>
    <w:tmpl w:val="1C3A2F2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nsid w:val="4AFF5011"/>
    <w:multiLevelType w:val="hybridMultilevel"/>
    <w:tmpl w:val="AAAE5906"/>
    <w:lvl w:ilvl="0" w:tplc="BB2899F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CC32522"/>
    <w:multiLevelType w:val="hybridMultilevel"/>
    <w:tmpl w:val="7F9C2826"/>
    <w:lvl w:ilvl="0" w:tplc="F9388996">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5256672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3854D3E"/>
    <w:multiLevelType w:val="multilevel"/>
    <w:tmpl w:val="C57A87AC"/>
    <w:lvl w:ilvl="0">
      <w:start w:val="2"/>
      <w:numFmt w:val="decimal"/>
      <w:lvlText w:val="%1."/>
      <w:lvlJc w:val="left"/>
      <w:pPr>
        <w:ind w:left="36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24">
    <w:nsid w:val="5B952ED8"/>
    <w:multiLevelType w:val="multilevel"/>
    <w:tmpl w:val="83DAB85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3050CCD"/>
    <w:multiLevelType w:val="multilevel"/>
    <w:tmpl w:val="61B826CE"/>
    <w:lvl w:ilvl="0">
      <w:start w:val="2"/>
      <w:numFmt w:val="decimal"/>
      <w:lvlText w:val="%1."/>
      <w:lvlJc w:val="left"/>
      <w:pPr>
        <w:ind w:left="360" w:hanging="360"/>
      </w:pPr>
      <w:rPr>
        <w:rFonts w:hint="default"/>
      </w:rPr>
    </w:lvl>
    <w:lvl w:ilvl="1">
      <w:start w:val="2"/>
      <w:numFmt w:val="decimal"/>
      <w:isLgl/>
      <w:lvlText w:val="%1.%2"/>
      <w:lvlJc w:val="left"/>
      <w:pPr>
        <w:ind w:left="480" w:hanging="360"/>
      </w:pPr>
      <w:rPr>
        <w:rFonts w:hint="default"/>
      </w:rPr>
    </w:lvl>
    <w:lvl w:ilvl="2">
      <w:start w:val="1"/>
      <w:numFmt w:val="decimal"/>
      <w:isLgl/>
      <w:lvlText w:val="%1.%2.%3"/>
      <w:lvlJc w:val="left"/>
      <w:pPr>
        <w:ind w:left="60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200" w:hanging="72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920" w:hanging="1080"/>
      </w:pPr>
      <w:rPr>
        <w:rFonts w:hint="default"/>
      </w:rPr>
    </w:lvl>
    <w:lvl w:ilvl="8">
      <w:start w:val="1"/>
      <w:numFmt w:val="decimal"/>
      <w:isLgl/>
      <w:lvlText w:val="%1.%2.%3.%4.%5.%6.%7.%8.%9"/>
      <w:lvlJc w:val="left"/>
      <w:pPr>
        <w:ind w:left="2400" w:hanging="1440"/>
      </w:pPr>
      <w:rPr>
        <w:rFonts w:hint="default"/>
      </w:rPr>
    </w:lvl>
  </w:abstractNum>
  <w:abstractNum w:abstractNumId="26">
    <w:nsid w:val="6F893287"/>
    <w:multiLevelType w:val="multilevel"/>
    <w:tmpl w:val="418C03A2"/>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3FE39F3"/>
    <w:multiLevelType w:val="hybridMultilevel"/>
    <w:tmpl w:val="405C553E"/>
    <w:lvl w:ilvl="0" w:tplc="04050001">
      <w:start w:val="7"/>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6415C6D"/>
    <w:multiLevelType w:val="hybridMultilevel"/>
    <w:tmpl w:val="A598291C"/>
    <w:lvl w:ilvl="0" w:tplc="5F1AC2C0">
      <w:start w:val="1"/>
      <w:numFmt w:val="lowerLetter"/>
      <w:lvlText w:val="%1)"/>
      <w:lvlJc w:val="left"/>
      <w:pPr>
        <w:ind w:left="360" w:hanging="360"/>
      </w:pPr>
      <w:rPr>
        <w:rFonts w:hint="default"/>
        <w:i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7A020001"/>
    <w:multiLevelType w:val="multilevel"/>
    <w:tmpl w:val="4A3A04D4"/>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B762E6D"/>
    <w:multiLevelType w:val="hybridMultilevel"/>
    <w:tmpl w:val="586A2F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E571231"/>
    <w:multiLevelType w:val="hybridMultilevel"/>
    <w:tmpl w:val="EF7631D6"/>
    <w:lvl w:ilvl="0" w:tplc="D4C2B7B4">
      <w:start w:val="1"/>
      <w:numFmt w:val="lowerLetter"/>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7F9F4163"/>
    <w:multiLevelType w:val="hybridMultilevel"/>
    <w:tmpl w:val="A78ADFC6"/>
    <w:lvl w:ilvl="0" w:tplc="242AA788">
      <w:numFmt w:val="bullet"/>
      <w:lvlText w:val="-"/>
      <w:lvlJc w:val="left"/>
      <w:pPr>
        <w:ind w:left="1788" w:hanging="360"/>
      </w:pPr>
      <w:rPr>
        <w:rFonts w:ascii="Arial" w:eastAsia="Times New Roman" w:hAnsi="Arial" w:cs="Aria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num w:numId="1">
    <w:abstractNumId w:val="15"/>
  </w:num>
  <w:num w:numId="2">
    <w:abstractNumId w:val="21"/>
  </w:num>
  <w:num w:numId="3">
    <w:abstractNumId w:val="3"/>
  </w:num>
  <w:num w:numId="4">
    <w:abstractNumId w:val="22"/>
  </w:num>
  <w:num w:numId="5">
    <w:abstractNumId w:val="1"/>
  </w:num>
  <w:num w:numId="6">
    <w:abstractNumId w:val="7"/>
  </w:num>
  <w:num w:numId="7">
    <w:abstractNumId w:val="17"/>
  </w:num>
  <w:num w:numId="8">
    <w:abstractNumId w:val="26"/>
  </w:num>
  <w:num w:numId="9">
    <w:abstractNumId w:val="16"/>
  </w:num>
  <w:num w:numId="10">
    <w:abstractNumId w:val="24"/>
  </w:num>
  <w:num w:numId="11">
    <w:abstractNumId w:val="6"/>
  </w:num>
  <w:num w:numId="12">
    <w:abstractNumId w:val="29"/>
  </w:num>
  <w:num w:numId="13">
    <w:abstractNumId w:val="20"/>
  </w:num>
  <w:num w:numId="14">
    <w:abstractNumId w:val="23"/>
  </w:num>
  <w:num w:numId="15">
    <w:abstractNumId w:val="25"/>
  </w:num>
  <w:num w:numId="16">
    <w:abstractNumId w:val="2"/>
  </w:num>
  <w:num w:numId="17">
    <w:abstractNumId w:val="11"/>
  </w:num>
  <w:num w:numId="18">
    <w:abstractNumId w:val="27"/>
  </w:num>
  <w:num w:numId="19">
    <w:abstractNumId w:val="0"/>
  </w:num>
  <w:num w:numId="20">
    <w:abstractNumId w:val="32"/>
  </w:num>
  <w:num w:numId="21">
    <w:abstractNumId w:val="4"/>
  </w:num>
  <w:num w:numId="22">
    <w:abstractNumId w:val="19"/>
  </w:num>
  <w:num w:numId="23">
    <w:abstractNumId w:val="12"/>
  </w:num>
  <w:num w:numId="24">
    <w:abstractNumId w:val="9"/>
  </w:num>
  <w:num w:numId="25">
    <w:abstractNumId w:val="31"/>
  </w:num>
  <w:num w:numId="26">
    <w:abstractNumId w:val="13"/>
  </w:num>
  <w:num w:numId="27">
    <w:abstractNumId w:val="8"/>
  </w:num>
  <w:num w:numId="28">
    <w:abstractNumId w:val="28"/>
  </w:num>
  <w:num w:numId="29">
    <w:abstractNumId w:val="10"/>
  </w:num>
  <w:num w:numId="30">
    <w:abstractNumId w:val="14"/>
  </w:num>
  <w:num w:numId="31">
    <w:abstractNumId w:val="5"/>
  </w:num>
  <w:num w:numId="32">
    <w:abstractNumId w:val="30"/>
  </w:num>
  <w:num w:numId="33">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proofState w:spelling="clean" w:grammar="clean"/>
  <w:attachedTemplate r:id="rId1"/>
  <w:defaultTabStop w:val="708"/>
  <w:hyphenationZone w:val="425"/>
  <w:evenAndOddHeaders/>
  <w:drawingGridHorizontalSpacing w:val="110"/>
  <w:displayHorizontalDrawingGridEvery w:val="2"/>
  <w:characterSpacingControl w:val="doNotCompress"/>
  <w:hdrShapeDefaults>
    <o:shapedefaults v:ext="edit" spidmax="4097">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641"/>
    <w:rsid w:val="0000767A"/>
    <w:rsid w:val="00007BF6"/>
    <w:rsid w:val="00010702"/>
    <w:rsid w:val="0002040C"/>
    <w:rsid w:val="000307D2"/>
    <w:rsid w:val="0004694F"/>
    <w:rsid w:val="00052D0B"/>
    <w:rsid w:val="00062EC5"/>
    <w:rsid w:val="0006345C"/>
    <w:rsid w:val="00074403"/>
    <w:rsid w:val="0007543A"/>
    <w:rsid w:val="00087634"/>
    <w:rsid w:val="000A1183"/>
    <w:rsid w:val="000A2D10"/>
    <w:rsid w:val="000C3408"/>
    <w:rsid w:val="000D0933"/>
    <w:rsid w:val="000D21E1"/>
    <w:rsid w:val="000D5E39"/>
    <w:rsid w:val="000E5DE5"/>
    <w:rsid w:val="00110E3B"/>
    <w:rsid w:val="001149A1"/>
    <w:rsid w:val="00121C92"/>
    <w:rsid w:val="00133BA8"/>
    <w:rsid w:val="001351C9"/>
    <w:rsid w:val="001405FA"/>
    <w:rsid w:val="001425C3"/>
    <w:rsid w:val="00154ED5"/>
    <w:rsid w:val="00162D56"/>
    <w:rsid w:val="00163793"/>
    <w:rsid w:val="001714F2"/>
    <w:rsid w:val="00172311"/>
    <w:rsid w:val="00185010"/>
    <w:rsid w:val="00190B38"/>
    <w:rsid w:val="00193560"/>
    <w:rsid w:val="001A177C"/>
    <w:rsid w:val="001A3B66"/>
    <w:rsid w:val="001A552F"/>
    <w:rsid w:val="001B3110"/>
    <w:rsid w:val="001B61BC"/>
    <w:rsid w:val="001C1D52"/>
    <w:rsid w:val="001E3731"/>
    <w:rsid w:val="001F4597"/>
    <w:rsid w:val="00210AA5"/>
    <w:rsid w:val="00213C72"/>
    <w:rsid w:val="002175EE"/>
    <w:rsid w:val="0022139E"/>
    <w:rsid w:val="00223335"/>
    <w:rsid w:val="002237C6"/>
    <w:rsid w:val="002252E0"/>
    <w:rsid w:val="002255F6"/>
    <w:rsid w:val="00226272"/>
    <w:rsid w:val="00227AA9"/>
    <w:rsid w:val="00236443"/>
    <w:rsid w:val="002436BA"/>
    <w:rsid w:val="00244A15"/>
    <w:rsid w:val="0024799E"/>
    <w:rsid w:val="00247A40"/>
    <w:rsid w:val="00254100"/>
    <w:rsid w:val="00264C1E"/>
    <w:rsid w:val="00270041"/>
    <w:rsid w:val="0028438F"/>
    <w:rsid w:val="00290B98"/>
    <w:rsid w:val="002A795D"/>
    <w:rsid w:val="002B6C95"/>
    <w:rsid w:val="002C1EDC"/>
    <w:rsid w:val="002C43BD"/>
    <w:rsid w:val="002E02A1"/>
    <w:rsid w:val="002F59C4"/>
    <w:rsid w:val="00304771"/>
    <w:rsid w:val="00306C5B"/>
    <w:rsid w:val="003209D6"/>
    <w:rsid w:val="00330C8E"/>
    <w:rsid w:val="00341E61"/>
    <w:rsid w:val="00344398"/>
    <w:rsid w:val="00345347"/>
    <w:rsid w:val="0035195A"/>
    <w:rsid w:val="00352ACB"/>
    <w:rsid w:val="00356E1F"/>
    <w:rsid w:val="003657F3"/>
    <w:rsid w:val="00375B3D"/>
    <w:rsid w:val="00385D98"/>
    <w:rsid w:val="00394B23"/>
    <w:rsid w:val="00396A34"/>
    <w:rsid w:val="00397972"/>
    <w:rsid w:val="003A2B4D"/>
    <w:rsid w:val="003A478C"/>
    <w:rsid w:val="003A5525"/>
    <w:rsid w:val="003A6B38"/>
    <w:rsid w:val="003B34FF"/>
    <w:rsid w:val="003B4169"/>
    <w:rsid w:val="003B5A32"/>
    <w:rsid w:val="003B5B99"/>
    <w:rsid w:val="003C627D"/>
    <w:rsid w:val="003C6CC2"/>
    <w:rsid w:val="003E037E"/>
    <w:rsid w:val="003F313C"/>
    <w:rsid w:val="004004F4"/>
    <w:rsid w:val="0040155D"/>
    <w:rsid w:val="00403484"/>
    <w:rsid w:val="00416C0A"/>
    <w:rsid w:val="004242B2"/>
    <w:rsid w:val="00426A61"/>
    <w:rsid w:val="00437DC6"/>
    <w:rsid w:val="00452EBE"/>
    <w:rsid w:val="00460D31"/>
    <w:rsid w:val="00470E57"/>
    <w:rsid w:val="00476265"/>
    <w:rsid w:val="0048086F"/>
    <w:rsid w:val="0048139F"/>
    <w:rsid w:val="004859A8"/>
    <w:rsid w:val="004A081C"/>
    <w:rsid w:val="004A77DF"/>
    <w:rsid w:val="004B2C1E"/>
    <w:rsid w:val="004B55B7"/>
    <w:rsid w:val="004B7591"/>
    <w:rsid w:val="004C3867"/>
    <w:rsid w:val="004C4ABE"/>
    <w:rsid w:val="004C4CD0"/>
    <w:rsid w:val="004C70DC"/>
    <w:rsid w:val="004D0211"/>
    <w:rsid w:val="004E1007"/>
    <w:rsid w:val="004F06F5"/>
    <w:rsid w:val="004F0E28"/>
    <w:rsid w:val="004F209C"/>
    <w:rsid w:val="004F78C3"/>
    <w:rsid w:val="005108C0"/>
    <w:rsid w:val="00511873"/>
    <w:rsid w:val="00513B7E"/>
    <w:rsid w:val="00514041"/>
    <w:rsid w:val="005221B3"/>
    <w:rsid w:val="0052495E"/>
    <w:rsid w:val="00525137"/>
    <w:rsid w:val="005251DD"/>
    <w:rsid w:val="00532D7D"/>
    <w:rsid w:val="005376AD"/>
    <w:rsid w:val="00542E84"/>
    <w:rsid w:val="00544082"/>
    <w:rsid w:val="005513E1"/>
    <w:rsid w:val="00555E5F"/>
    <w:rsid w:val="00557A96"/>
    <w:rsid w:val="00572C92"/>
    <w:rsid w:val="00583FFD"/>
    <w:rsid w:val="00586971"/>
    <w:rsid w:val="00593152"/>
    <w:rsid w:val="00593E87"/>
    <w:rsid w:val="0059592D"/>
    <w:rsid w:val="005A21E0"/>
    <w:rsid w:val="005A7316"/>
    <w:rsid w:val="005B20AA"/>
    <w:rsid w:val="005C2045"/>
    <w:rsid w:val="005D1BF3"/>
    <w:rsid w:val="005D514D"/>
    <w:rsid w:val="005D5802"/>
    <w:rsid w:val="005E0178"/>
    <w:rsid w:val="005E1DD5"/>
    <w:rsid w:val="005E73F3"/>
    <w:rsid w:val="005F153A"/>
    <w:rsid w:val="006016D1"/>
    <w:rsid w:val="00604307"/>
    <w:rsid w:val="0060487F"/>
    <w:rsid w:val="00624093"/>
    <w:rsid w:val="00625E0F"/>
    <w:rsid w:val="00633AEB"/>
    <w:rsid w:val="00633F6D"/>
    <w:rsid w:val="006352A8"/>
    <w:rsid w:val="00635B35"/>
    <w:rsid w:val="006366C8"/>
    <w:rsid w:val="006404A7"/>
    <w:rsid w:val="006419F8"/>
    <w:rsid w:val="006451E4"/>
    <w:rsid w:val="00645EF8"/>
    <w:rsid w:val="00653860"/>
    <w:rsid w:val="00655906"/>
    <w:rsid w:val="0065667A"/>
    <w:rsid w:val="00657E87"/>
    <w:rsid w:val="00662CB7"/>
    <w:rsid w:val="006710C9"/>
    <w:rsid w:val="00675DD1"/>
    <w:rsid w:val="00675E37"/>
    <w:rsid w:val="00677696"/>
    <w:rsid w:val="0068260E"/>
    <w:rsid w:val="0069246C"/>
    <w:rsid w:val="006941CE"/>
    <w:rsid w:val="00695BEF"/>
    <w:rsid w:val="00697219"/>
    <w:rsid w:val="006977F6"/>
    <w:rsid w:val="00697A13"/>
    <w:rsid w:val="00697C9B"/>
    <w:rsid w:val="006A109C"/>
    <w:rsid w:val="006A31C8"/>
    <w:rsid w:val="006A420D"/>
    <w:rsid w:val="006B7581"/>
    <w:rsid w:val="006B78D8"/>
    <w:rsid w:val="006C113F"/>
    <w:rsid w:val="006D61F6"/>
    <w:rsid w:val="006E1FDB"/>
    <w:rsid w:val="006E279A"/>
    <w:rsid w:val="006E313B"/>
    <w:rsid w:val="006E5DFC"/>
    <w:rsid w:val="007051F5"/>
    <w:rsid w:val="0070676A"/>
    <w:rsid w:val="007211F5"/>
    <w:rsid w:val="007271FD"/>
    <w:rsid w:val="00730AE8"/>
    <w:rsid w:val="00741493"/>
    <w:rsid w:val="0074736D"/>
    <w:rsid w:val="00750951"/>
    <w:rsid w:val="00752180"/>
    <w:rsid w:val="00755D3A"/>
    <w:rsid w:val="0075757C"/>
    <w:rsid w:val="007609C6"/>
    <w:rsid w:val="00760D36"/>
    <w:rsid w:val="0077264D"/>
    <w:rsid w:val="00776527"/>
    <w:rsid w:val="00784861"/>
    <w:rsid w:val="007949E3"/>
    <w:rsid w:val="007A01BD"/>
    <w:rsid w:val="007A4E4E"/>
    <w:rsid w:val="007A68E8"/>
    <w:rsid w:val="007A7329"/>
    <w:rsid w:val="007B47EE"/>
    <w:rsid w:val="007B60D9"/>
    <w:rsid w:val="007D3A47"/>
    <w:rsid w:val="007D6E98"/>
    <w:rsid w:val="007E12CE"/>
    <w:rsid w:val="007E7E61"/>
    <w:rsid w:val="007F6B36"/>
    <w:rsid w:val="00802A57"/>
    <w:rsid w:val="00814887"/>
    <w:rsid w:val="00821FF6"/>
    <w:rsid w:val="0083143E"/>
    <w:rsid w:val="00834FAA"/>
    <w:rsid w:val="0083596D"/>
    <w:rsid w:val="00836086"/>
    <w:rsid w:val="00853E06"/>
    <w:rsid w:val="00857578"/>
    <w:rsid w:val="008605E5"/>
    <w:rsid w:val="00860953"/>
    <w:rsid w:val="008620CA"/>
    <w:rsid w:val="0087055B"/>
    <w:rsid w:val="00876086"/>
    <w:rsid w:val="008877B0"/>
    <w:rsid w:val="008B309A"/>
    <w:rsid w:val="008B7C02"/>
    <w:rsid w:val="008C0E88"/>
    <w:rsid w:val="008D2A16"/>
    <w:rsid w:val="008E31FF"/>
    <w:rsid w:val="008E401B"/>
    <w:rsid w:val="008F60FD"/>
    <w:rsid w:val="009003A8"/>
    <w:rsid w:val="009020FE"/>
    <w:rsid w:val="00902EFF"/>
    <w:rsid w:val="0090382A"/>
    <w:rsid w:val="00921F14"/>
    <w:rsid w:val="009233F1"/>
    <w:rsid w:val="009248E3"/>
    <w:rsid w:val="0094427A"/>
    <w:rsid w:val="00944EA6"/>
    <w:rsid w:val="009552B1"/>
    <w:rsid w:val="00972CA2"/>
    <w:rsid w:val="00973454"/>
    <w:rsid w:val="00974923"/>
    <w:rsid w:val="00991A9E"/>
    <w:rsid w:val="009A23E5"/>
    <w:rsid w:val="009B6FD3"/>
    <w:rsid w:val="009C00F3"/>
    <w:rsid w:val="009C3912"/>
    <w:rsid w:val="009E14B5"/>
    <w:rsid w:val="009E3131"/>
    <w:rsid w:val="009E5300"/>
    <w:rsid w:val="009F30E4"/>
    <w:rsid w:val="00A10D66"/>
    <w:rsid w:val="00A1636E"/>
    <w:rsid w:val="00A202A7"/>
    <w:rsid w:val="00A204CF"/>
    <w:rsid w:val="00A23E43"/>
    <w:rsid w:val="00A33EFD"/>
    <w:rsid w:val="00A34DA0"/>
    <w:rsid w:val="00A35033"/>
    <w:rsid w:val="00A460B2"/>
    <w:rsid w:val="00A46DE0"/>
    <w:rsid w:val="00A52EC2"/>
    <w:rsid w:val="00A5555E"/>
    <w:rsid w:val="00A55FDE"/>
    <w:rsid w:val="00A62CE1"/>
    <w:rsid w:val="00A75E40"/>
    <w:rsid w:val="00A857C0"/>
    <w:rsid w:val="00A902A5"/>
    <w:rsid w:val="00A94AB5"/>
    <w:rsid w:val="00A953D4"/>
    <w:rsid w:val="00AA0168"/>
    <w:rsid w:val="00AA06CB"/>
    <w:rsid w:val="00AA315F"/>
    <w:rsid w:val="00AA3BA1"/>
    <w:rsid w:val="00AA559A"/>
    <w:rsid w:val="00AB2AF1"/>
    <w:rsid w:val="00AB3CE2"/>
    <w:rsid w:val="00AB64E8"/>
    <w:rsid w:val="00AC1752"/>
    <w:rsid w:val="00AC4A24"/>
    <w:rsid w:val="00AD239A"/>
    <w:rsid w:val="00AD306C"/>
    <w:rsid w:val="00AE33C2"/>
    <w:rsid w:val="00AF25EE"/>
    <w:rsid w:val="00B01CAD"/>
    <w:rsid w:val="00B17C49"/>
    <w:rsid w:val="00B17E71"/>
    <w:rsid w:val="00B17FDE"/>
    <w:rsid w:val="00B2098B"/>
    <w:rsid w:val="00B32DDB"/>
    <w:rsid w:val="00B36A65"/>
    <w:rsid w:val="00B40A03"/>
    <w:rsid w:val="00B44676"/>
    <w:rsid w:val="00B448FC"/>
    <w:rsid w:val="00B4643E"/>
    <w:rsid w:val="00B513EB"/>
    <w:rsid w:val="00B551E6"/>
    <w:rsid w:val="00B6608F"/>
    <w:rsid w:val="00B76D1E"/>
    <w:rsid w:val="00B801AF"/>
    <w:rsid w:val="00B80EDA"/>
    <w:rsid w:val="00B81475"/>
    <w:rsid w:val="00B95940"/>
    <w:rsid w:val="00B97BEC"/>
    <w:rsid w:val="00BA0E5F"/>
    <w:rsid w:val="00BA493B"/>
    <w:rsid w:val="00BA4D62"/>
    <w:rsid w:val="00BC3543"/>
    <w:rsid w:val="00BC5568"/>
    <w:rsid w:val="00BC66E8"/>
    <w:rsid w:val="00BD2BDC"/>
    <w:rsid w:val="00BD366B"/>
    <w:rsid w:val="00BD6D50"/>
    <w:rsid w:val="00BD7706"/>
    <w:rsid w:val="00BE23F8"/>
    <w:rsid w:val="00C01506"/>
    <w:rsid w:val="00C107E7"/>
    <w:rsid w:val="00C21F94"/>
    <w:rsid w:val="00C3177E"/>
    <w:rsid w:val="00C41EFF"/>
    <w:rsid w:val="00C556F4"/>
    <w:rsid w:val="00C64B75"/>
    <w:rsid w:val="00C80F44"/>
    <w:rsid w:val="00C90CF4"/>
    <w:rsid w:val="00C91D7C"/>
    <w:rsid w:val="00C92654"/>
    <w:rsid w:val="00C93389"/>
    <w:rsid w:val="00C97E34"/>
    <w:rsid w:val="00CA0463"/>
    <w:rsid w:val="00CA24C7"/>
    <w:rsid w:val="00CB7349"/>
    <w:rsid w:val="00CC1931"/>
    <w:rsid w:val="00CC1CC4"/>
    <w:rsid w:val="00CC475C"/>
    <w:rsid w:val="00CD288B"/>
    <w:rsid w:val="00CE337B"/>
    <w:rsid w:val="00CF51EC"/>
    <w:rsid w:val="00D03693"/>
    <w:rsid w:val="00D040DD"/>
    <w:rsid w:val="00D10241"/>
    <w:rsid w:val="00D15A3E"/>
    <w:rsid w:val="00D30233"/>
    <w:rsid w:val="00D32AAF"/>
    <w:rsid w:val="00D347C8"/>
    <w:rsid w:val="00D51805"/>
    <w:rsid w:val="00D602CE"/>
    <w:rsid w:val="00D60433"/>
    <w:rsid w:val="00D61A47"/>
    <w:rsid w:val="00D67975"/>
    <w:rsid w:val="00D7363A"/>
    <w:rsid w:val="00D842D3"/>
    <w:rsid w:val="00DA0D9F"/>
    <w:rsid w:val="00DA3AAF"/>
    <w:rsid w:val="00DA45FF"/>
    <w:rsid w:val="00DB4F3B"/>
    <w:rsid w:val="00DC2E00"/>
    <w:rsid w:val="00DC3B6D"/>
    <w:rsid w:val="00DC5B3B"/>
    <w:rsid w:val="00DE2D8F"/>
    <w:rsid w:val="00DE3724"/>
    <w:rsid w:val="00DF00E1"/>
    <w:rsid w:val="00DF4DBA"/>
    <w:rsid w:val="00DF5641"/>
    <w:rsid w:val="00E01C0E"/>
    <w:rsid w:val="00E03893"/>
    <w:rsid w:val="00E04694"/>
    <w:rsid w:val="00E069D1"/>
    <w:rsid w:val="00E22935"/>
    <w:rsid w:val="00E263D4"/>
    <w:rsid w:val="00E2712D"/>
    <w:rsid w:val="00E42B4D"/>
    <w:rsid w:val="00E438DF"/>
    <w:rsid w:val="00E5040E"/>
    <w:rsid w:val="00E55504"/>
    <w:rsid w:val="00E71A58"/>
    <w:rsid w:val="00E8493B"/>
    <w:rsid w:val="00E90C72"/>
    <w:rsid w:val="00EA0C68"/>
    <w:rsid w:val="00EB3661"/>
    <w:rsid w:val="00ED09F8"/>
    <w:rsid w:val="00ED286F"/>
    <w:rsid w:val="00EE39DC"/>
    <w:rsid w:val="00EE3E78"/>
    <w:rsid w:val="00EE5A6E"/>
    <w:rsid w:val="00EF1AEF"/>
    <w:rsid w:val="00EF1F5A"/>
    <w:rsid w:val="00EF4D97"/>
    <w:rsid w:val="00F014FF"/>
    <w:rsid w:val="00F02F8E"/>
    <w:rsid w:val="00F03967"/>
    <w:rsid w:val="00F04811"/>
    <w:rsid w:val="00F0488C"/>
    <w:rsid w:val="00F15BEF"/>
    <w:rsid w:val="00F24FAA"/>
    <w:rsid w:val="00F3364D"/>
    <w:rsid w:val="00F41C6D"/>
    <w:rsid w:val="00F6371C"/>
    <w:rsid w:val="00F63DDE"/>
    <w:rsid w:val="00F63FB7"/>
    <w:rsid w:val="00F6458A"/>
    <w:rsid w:val="00F71B42"/>
    <w:rsid w:val="00F73A0C"/>
    <w:rsid w:val="00FC0C8F"/>
    <w:rsid w:val="00FC0E5F"/>
    <w:rsid w:val="00FC1CDE"/>
    <w:rsid w:val="00FC56DE"/>
    <w:rsid w:val="00FD0311"/>
    <w:rsid w:val="00FD778F"/>
    <w:rsid w:val="00FE04DC"/>
    <w:rsid w:val="00FE2F78"/>
    <w:rsid w:val="00FF5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ecf4dd,#eaecee,#fcec0a,#fcecdb,#f1da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ln">
    <w:name w:val="Normal"/>
    <w:qFormat/>
    <w:rsid w:val="007B47EE"/>
    <w:pPr>
      <w:spacing w:line="288" w:lineRule="auto"/>
    </w:pPr>
    <w:rPr>
      <w:rFonts w:ascii="Arial" w:eastAsia="Times New Roman" w:hAnsi="Arial"/>
      <w:szCs w:val="24"/>
    </w:rPr>
  </w:style>
  <w:style w:type="paragraph" w:styleId="Nadpis1">
    <w:name w:val="heading 1"/>
    <w:next w:val="Normln"/>
    <w:link w:val="Nadpis1Char"/>
    <w:qFormat/>
    <w:rsid w:val="00BC3543"/>
    <w:pPr>
      <w:keepNext/>
      <w:keepLines/>
      <w:spacing w:after="200" w:line="288" w:lineRule="auto"/>
      <w:outlineLvl w:val="0"/>
    </w:pPr>
    <w:rPr>
      <w:rFonts w:ascii="Arial" w:eastAsia="MS Gothic" w:hAnsi="Arial"/>
      <w:b/>
      <w:bCs/>
      <w:color w:val="BC091B"/>
      <w:sz w:val="32"/>
      <w:szCs w:val="28"/>
    </w:rPr>
  </w:style>
  <w:style w:type="paragraph" w:styleId="Nadpis2">
    <w:name w:val="heading 2"/>
    <w:next w:val="Normln"/>
    <w:link w:val="Nadpis2Char"/>
    <w:qFormat/>
    <w:rsid w:val="00A1636E"/>
    <w:pPr>
      <w:keepNext/>
      <w:keepLines/>
      <w:spacing w:before="120" w:after="240" w:line="288" w:lineRule="auto"/>
      <w:outlineLvl w:val="1"/>
    </w:pPr>
    <w:rPr>
      <w:rFonts w:ascii="Arial" w:eastAsia="MS Gothic" w:hAnsi="Arial"/>
      <w:b/>
      <w:bCs/>
      <w:color w:val="BC091B"/>
      <w:sz w:val="28"/>
      <w:szCs w:val="26"/>
    </w:rPr>
  </w:style>
  <w:style w:type="paragraph" w:styleId="Nadpis3">
    <w:name w:val="heading 3"/>
    <w:next w:val="Normln"/>
    <w:link w:val="Nadpis3Char"/>
    <w:qFormat/>
    <w:rsid w:val="00EE39DC"/>
    <w:pPr>
      <w:keepNext/>
      <w:keepLines/>
      <w:spacing w:before="240" w:after="120" w:line="288" w:lineRule="auto"/>
      <w:outlineLvl w:val="2"/>
    </w:pPr>
    <w:rPr>
      <w:rFonts w:ascii="Arial" w:eastAsia="MS Gothic" w:hAnsi="Arial"/>
      <w:b/>
      <w:bCs/>
      <w:color w:val="BC091B"/>
      <w:sz w:val="24"/>
      <w:szCs w:val="24"/>
    </w:rPr>
  </w:style>
  <w:style w:type="paragraph" w:styleId="Nadpis4">
    <w:name w:val="heading 4"/>
    <w:next w:val="Normln"/>
    <w:link w:val="Nadpis4Char"/>
    <w:qFormat/>
    <w:rsid w:val="005108C0"/>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qFormat/>
    <w:rsid w:val="00110E3B"/>
    <w:pPr>
      <w:keepNext/>
      <w:spacing w:before="120" w:after="120" w:line="240" w:lineRule="auto"/>
      <w:jc w:val="center"/>
      <w:outlineLvl w:val="4"/>
    </w:pPr>
    <w:rPr>
      <w:b/>
      <w:bCs/>
      <w:sz w:val="16"/>
      <w:szCs w:val="16"/>
    </w:rPr>
  </w:style>
  <w:style w:type="paragraph" w:styleId="Nadpis6">
    <w:name w:val="heading 6"/>
    <w:basedOn w:val="Normln"/>
    <w:next w:val="Normln"/>
    <w:link w:val="Nadpis6Char"/>
    <w:qFormat/>
    <w:rsid w:val="00110E3B"/>
    <w:pPr>
      <w:keepNext/>
      <w:spacing w:before="120" w:after="120" w:line="240" w:lineRule="auto"/>
      <w:jc w:val="both"/>
      <w:outlineLvl w:val="5"/>
    </w:pPr>
    <w:rPr>
      <w:b/>
      <w:bCs/>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qFormat/>
    <w:rsid w:val="0048086F"/>
    <w:pPr>
      <w:spacing w:line="288" w:lineRule="auto"/>
      <w:contextualSpacing/>
      <w:outlineLvl w:val="0"/>
    </w:pPr>
    <w:rPr>
      <w:rFonts w:ascii="Arial" w:eastAsia="MS Gothic" w:hAnsi="Arial"/>
      <w:b/>
      <w:caps/>
      <w:color w:val="BC091B"/>
      <w:sz w:val="56"/>
      <w:szCs w:val="52"/>
    </w:rPr>
  </w:style>
  <w:style w:type="character" w:customStyle="1" w:styleId="NzevChar">
    <w:name w:val="Název Char"/>
    <w:link w:val="Nzev"/>
    <w:rsid w:val="0048086F"/>
    <w:rPr>
      <w:rFonts w:ascii="Arial" w:eastAsia="MS Gothic" w:hAnsi="Arial"/>
      <w:b/>
      <w:caps/>
      <w:color w:val="BC091B"/>
      <w:sz w:val="56"/>
      <w:szCs w:val="52"/>
      <w:lang w:bidi="ar-SA"/>
    </w:rPr>
  </w:style>
  <w:style w:type="paragraph" w:styleId="Podtitul">
    <w:name w:val="Subtitle"/>
    <w:next w:val="Normln"/>
    <w:link w:val="PodtitulChar"/>
    <w:uiPriority w:val="11"/>
    <w:qFormat/>
    <w:rsid w:val="00BC3543"/>
    <w:pPr>
      <w:numPr>
        <w:ilvl w:val="1"/>
      </w:numPr>
      <w:spacing w:line="288" w:lineRule="auto"/>
    </w:pPr>
    <w:rPr>
      <w:rFonts w:ascii="Arial" w:eastAsia="MS Gothic" w:hAnsi="Arial"/>
      <w:b/>
      <w:iCs/>
      <w:color w:val="BC091B"/>
      <w:sz w:val="28"/>
      <w:szCs w:val="24"/>
    </w:rPr>
  </w:style>
  <w:style w:type="character" w:customStyle="1" w:styleId="PodtitulChar">
    <w:name w:val="Podtitul Char"/>
    <w:link w:val="Podtitul"/>
    <w:uiPriority w:val="11"/>
    <w:rsid w:val="00BC3543"/>
    <w:rPr>
      <w:rFonts w:ascii="Arial" w:eastAsia="MS Gothic" w:hAnsi="Arial"/>
      <w:b/>
      <w:iCs/>
      <w:color w:val="BC091B"/>
      <w:sz w:val="28"/>
      <w:szCs w:val="24"/>
      <w:lang w:bidi="ar-SA"/>
    </w:rPr>
  </w:style>
  <w:style w:type="character" w:customStyle="1" w:styleId="Nadpis1Char">
    <w:name w:val="Nadpis 1 Char"/>
    <w:link w:val="Nadpis1"/>
    <w:rsid w:val="00BC3543"/>
    <w:rPr>
      <w:rFonts w:ascii="Arial" w:eastAsia="MS Gothic" w:hAnsi="Arial"/>
      <w:b/>
      <w:bCs/>
      <w:color w:val="BC091B"/>
      <w:sz w:val="32"/>
      <w:szCs w:val="28"/>
      <w:lang w:bidi="ar-SA"/>
    </w:rPr>
  </w:style>
  <w:style w:type="character" w:customStyle="1" w:styleId="Nadpis2Char">
    <w:name w:val="Nadpis 2 Char"/>
    <w:link w:val="Nadpis2"/>
    <w:rsid w:val="00A1636E"/>
    <w:rPr>
      <w:rFonts w:ascii="Arial" w:eastAsia="MS Gothic" w:hAnsi="Arial"/>
      <w:b/>
      <w:bCs/>
      <w:color w:val="BC091B"/>
      <w:sz w:val="28"/>
      <w:szCs w:val="26"/>
    </w:rPr>
  </w:style>
  <w:style w:type="character" w:customStyle="1" w:styleId="Nadpis3Char">
    <w:name w:val="Nadpis 3 Char"/>
    <w:link w:val="Nadpis3"/>
    <w:rsid w:val="00EE39DC"/>
    <w:rPr>
      <w:rFonts w:ascii="Arial" w:eastAsia="MS Gothic" w:hAnsi="Arial"/>
      <w:b/>
      <w:bCs/>
      <w:color w:val="BC091B"/>
      <w:sz w:val="24"/>
      <w:szCs w:val="24"/>
    </w:rPr>
  </w:style>
  <w:style w:type="character" w:customStyle="1" w:styleId="Nadpis4Char">
    <w:name w:val="Nadpis 4 Char"/>
    <w:link w:val="Nadpis4"/>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C3543"/>
    <w:pPr>
      <w:ind w:left="1134"/>
    </w:pPr>
    <w:rPr>
      <w:rFonts w:ascii="Arial" w:hAnsi="Arial" w:cs="Arial"/>
      <w:color w:val="BC091B"/>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210AA5"/>
    <w:pPr>
      <w:shd w:val="clear" w:color="auto" w:fill="F5DADD"/>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210AA5"/>
    <w:rPr>
      <w:rFonts w:ascii="Arial" w:hAnsi="Arial"/>
      <w:color w:val="000000"/>
      <w:sz w:val="24"/>
      <w:szCs w:val="24"/>
      <w:shd w:val="clear" w:color="auto" w:fill="F5DADD"/>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Box-Lideaspolecnost">
    <w:name w:val="Box - Lide a spolecnost"/>
    <w:next w:val="Normln"/>
    <w:link w:val="Box-LideaspolecnostChar"/>
    <w:rsid w:val="00BC3543"/>
    <w:pPr>
      <w:shd w:val="clear" w:color="auto" w:fill="F5DADD"/>
      <w:spacing w:line="288" w:lineRule="auto"/>
      <w:ind w:left="1134"/>
    </w:pPr>
    <w:rPr>
      <w:rFonts w:ascii="Arial" w:hAnsi="Arial" w:cs="Arial"/>
    </w:rPr>
  </w:style>
  <w:style w:type="character" w:customStyle="1" w:styleId="Box-LideaspolecnostChar">
    <w:name w:val="Box - Lide a spolecnost Char"/>
    <w:link w:val="Box-Lideaspolecnost"/>
    <w:rsid w:val="00BC3543"/>
    <w:rPr>
      <w:rFonts w:ascii="Arial" w:hAnsi="Arial" w:cs="Arial"/>
      <w:shd w:val="clear" w:color="auto" w:fill="F5DADD"/>
      <w:lang w:val="cs-CZ" w:eastAsia="cs-CZ" w:bidi="ar-SA"/>
    </w:rPr>
  </w:style>
  <w:style w:type="paragraph" w:customStyle="1" w:styleId="Obsah">
    <w:name w:val="Obsah"/>
    <w:next w:val="Normln"/>
    <w:link w:val="ObsahChar"/>
    <w:qFormat/>
    <w:rsid w:val="007B47EE"/>
    <w:pPr>
      <w:spacing w:after="200"/>
    </w:pPr>
    <w:rPr>
      <w:rFonts w:ascii="Arial" w:eastAsia="MS Gothic" w:hAnsi="Arial"/>
      <w:b/>
      <w:bCs/>
      <w:color w:val="BC091B"/>
      <w:sz w:val="32"/>
      <w:szCs w:val="28"/>
    </w:rPr>
  </w:style>
  <w:style w:type="character" w:customStyle="1" w:styleId="ObsahChar">
    <w:name w:val="Obsah Char"/>
    <w:link w:val="Obsah"/>
    <w:rsid w:val="007B47EE"/>
    <w:rPr>
      <w:rFonts w:ascii="Arial" w:eastAsia="MS Gothic" w:hAnsi="Arial"/>
      <w:b/>
      <w:bCs/>
      <w:color w:val="BC091B"/>
      <w:sz w:val="32"/>
      <w:szCs w:val="28"/>
      <w:lang w:bidi="ar-SA"/>
    </w:rPr>
  </w:style>
  <w:style w:type="paragraph" w:styleId="Textpoznpodarou">
    <w:name w:val="footnote text"/>
    <w:basedOn w:val="Normln"/>
    <w:link w:val="TextpoznpodarouChar"/>
    <w:semiHidden/>
    <w:rsid w:val="00542E84"/>
    <w:pPr>
      <w:spacing w:before="120" w:after="120" w:line="240" w:lineRule="auto"/>
      <w:jc w:val="both"/>
    </w:pPr>
    <w:rPr>
      <w:sz w:val="16"/>
      <w:szCs w:val="20"/>
    </w:rPr>
  </w:style>
  <w:style w:type="character" w:customStyle="1" w:styleId="TextpoznpodarouChar">
    <w:name w:val="Text pozn. pod čarou Char"/>
    <w:basedOn w:val="Standardnpsmoodstavce"/>
    <w:link w:val="Textpoznpodarou"/>
    <w:semiHidden/>
    <w:rsid w:val="00542E84"/>
    <w:rPr>
      <w:rFonts w:ascii="Arial" w:eastAsia="Times New Roman" w:hAnsi="Arial"/>
      <w:sz w:val="16"/>
    </w:rPr>
  </w:style>
  <w:style w:type="character" w:styleId="Znakapoznpodarou">
    <w:name w:val="footnote reference"/>
    <w:basedOn w:val="Standardnpsmoodstavce"/>
    <w:semiHidden/>
    <w:rsid w:val="00542E84"/>
    <w:rPr>
      <w:vertAlign w:val="superscript"/>
    </w:rPr>
  </w:style>
  <w:style w:type="paragraph" w:customStyle="1" w:styleId="Poznamkapodcarou">
    <w:name w:val="Poznamka pod carou"/>
    <w:basedOn w:val="Normln"/>
    <w:rsid w:val="00542E84"/>
    <w:pPr>
      <w:spacing w:before="120" w:after="120" w:line="240" w:lineRule="auto"/>
    </w:pPr>
    <w:rPr>
      <w:sz w:val="16"/>
      <w:szCs w:val="20"/>
    </w:rPr>
  </w:style>
  <w:style w:type="character" w:customStyle="1" w:styleId="Nadpis5Char">
    <w:name w:val="Nadpis 5 Char"/>
    <w:basedOn w:val="Standardnpsmoodstavce"/>
    <w:link w:val="Nadpis5"/>
    <w:rsid w:val="00110E3B"/>
    <w:rPr>
      <w:rFonts w:ascii="Arial" w:eastAsia="Times New Roman" w:hAnsi="Arial"/>
      <w:b/>
      <w:bCs/>
      <w:sz w:val="16"/>
      <w:szCs w:val="16"/>
    </w:rPr>
  </w:style>
  <w:style w:type="character" w:customStyle="1" w:styleId="Nadpis6Char">
    <w:name w:val="Nadpis 6 Char"/>
    <w:basedOn w:val="Standardnpsmoodstavce"/>
    <w:link w:val="Nadpis6"/>
    <w:rsid w:val="00110E3B"/>
    <w:rPr>
      <w:rFonts w:ascii="Arial" w:eastAsia="Times New Roman" w:hAnsi="Arial"/>
      <w:b/>
      <w:bCs/>
      <w:sz w:val="16"/>
      <w:szCs w:val="24"/>
    </w:rPr>
  </w:style>
  <w:style w:type="paragraph" w:customStyle="1" w:styleId="Nadpisvlastn1">
    <w:name w:val="Nadpis vlastní 1"/>
    <w:basedOn w:val="Normln"/>
    <w:rsid w:val="00110E3B"/>
    <w:pPr>
      <w:spacing w:before="120" w:after="360" w:line="240" w:lineRule="auto"/>
      <w:jc w:val="both"/>
    </w:pPr>
    <w:rPr>
      <w:b/>
      <w:bCs/>
      <w:sz w:val="36"/>
      <w:szCs w:val="20"/>
    </w:rPr>
  </w:style>
  <w:style w:type="paragraph" w:customStyle="1" w:styleId="Nadpisvlastn2">
    <w:name w:val="Nadpis vlastní 2"/>
    <w:basedOn w:val="Nadpisvlastn1"/>
    <w:rsid w:val="00110E3B"/>
    <w:rPr>
      <w14:shadow w14:blurRad="50800" w14:dist="38100" w14:dir="2700000" w14:sx="100000" w14:sy="100000" w14:kx="0" w14:ky="0" w14:algn="tl">
        <w14:srgbClr w14:val="000000">
          <w14:alpha w14:val="60000"/>
        </w14:srgbClr>
      </w14:shadow>
    </w:rPr>
  </w:style>
  <w:style w:type="paragraph" w:styleId="Zkladntextodsazen">
    <w:name w:val="Body Text Indent"/>
    <w:basedOn w:val="Normln"/>
    <w:link w:val="ZkladntextodsazenChar"/>
    <w:semiHidden/>
    <w:rsid w:val="00110E3B"/>
    <w:pPr>
      <w:spacing w:before="120" w:after="120" w:line="240" w:lineRule="auto"/>
      <w:ind w:firstLine="720"/>
      <w:jc w:val="both"/>
    </w:pPr>
  </w:style>
  <w:style w:type="character" w:customStyle="1" w:styleId="ZkladntextodsazenChar">
    <w:name w:val="Základní text odsazený Char"/>
    <w:basedOn w:val="Standardnpsmoodstavce"/>
    <w:link w:val="Zkladntextodsazen"/>
    <w:semiHidden/>
    <w:rsid w:val="00110E3B"/>
    <w:rPr>
      <w:rFonts w:ascii="Arial" w:eastAsia="Times New Roman" w:hAnsi="Arial"/>
      <w:szCs w:val="24"/>
    </w:rPr>
  </w:style>
  <w:style w:type="paragraph" w:customStyle="1" w:styleId="xl25">
    <w:name w:val="xl2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cs="Arial"/>
      <w:sz w:val="16"/>
      <w:szCs w:val="16"/>
    </w:rPr>
  </w:style>
  <w:style w:type="paragraph" w:customStyle="1" w:styleId="xl26">
    <w:name w:val="xl2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6"/>
      <w:szCs w:val="16"/>
    </w:rPr>
  </w:style>
  <w:style w:type="paragraph" w:customStyle="1" w:styleId="xl27">
    <w:name w:val="xl2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cs="Arial"/>
      <w:sz w:val="16"/>
      <w:szCs w:val="16"/>
    </w:rPr>
  </w:style>
  <w:style w:type="paragraph" w:customStyle="1" w:styleId="xl28">
    <w:name w:val="xl28"/>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cs="Arial"/>
      <w:sz w:val="16"/>
      <w:szCs w:val="16"/>
    </w:rPr>
  </w:style>
  <w:style w:type="paragraph" w:customStyle="1" w:styleId="xl29">
    <w:name w:val="xl29"/>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cs="Arial"/>
      <w:sz w:val="16"/>
      <w:szCs w:val="16"/>
    </w:rPr>
  </w:style>
  <w:style w:type="paragraph" w:customStyle="1" w:styleId="xl30">
    <w:name w:val="xl30"/>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both"/>
    </w:pPr>
    <w:rPr>
      <w:rFonts w:cs="Arial"/>
      <w:sz w:val="16"/>
      <w:szCs w:val="16"/>
    </w:rPr>
  </w:style>
  <w:style w:type="paragraph" w:customStyle="1" w:styleId="xl31">
    <w:name w:val="xl31"/>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cs="Arial"/>
      <w:sz w:val="16"/>
      <w:szCs w:val="16"/>
    </w:rPr>
  </w:style>
  <w:style w:type="paragraph" w:customStyle="1" w:styleId="xl32">
    <w:name w:val="xl32"/>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both"/>
    </w:pPr>
    <w:rPr>
      <w:rFonts w:cs="Arial"/>
      <w:sz w:val="16"/>
      <w:szCs w:val="16"/>
    </w:rPr>
  </w:style>
  <w:style w:type="paragraph" w:customStyle="1" w:styleId="xl33">
    <w:name w:val="xl33"/>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4">
    <w:name w:val="xl34"/>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5">
    <w:name w:val="xl35"/>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both"/>
    </w:pPr>
    <w:rPr>
      <w:rFonts w:cs="Arial"/>
      <w:b/>
      <w:bCs/>
      <w:sz w:val="16"/>
      <w:szCs w:val="16"/>
    </w:rPr>
  </w:style>
  <w:style w:type="paragraph" w:customStyle="1" w:styleId="xl24">
    <w:name w:val="xl24"/>
    <w:basedOn w:val="Normln"/>
    <w:rsid w:val="00110E3B"/>
    <w:pPr>
      <w:spacing w:before="100" w:beforeAutospacing="1" w:after="100" w:afterAutospacing="1" w:line="240" w:lineRule="auto"/>
      <w:jc w:val="center"/>
      <w:textAlignment w:val="center"/>
    </w:pPr>
    <w:rPr>
      <w:rFonts w:ascii="Arial Unicode MS" w:eastAsia="Arial Unicode MS" w:hAnsi="Arial Unicode MS" w:cs="Arial Unicode MS"/>
    </w:rPr>
  </w:style>
  <w:style w:type="paragraph" w:customStyle="1" w:styleId="xl36">
    <w:name w:val="xl36"/>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7">
    <w:name w:val="xl37"/>
    <w:basedOn w:val="Normln"/>
    <w:rsid w:val="00110E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8">
    <w:name w:val="xl38"/>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rPr>
  </w:style>
  <w:style w:type="paragraph" w:customStyle="1" w:styleId="xl39">
    <w:name w:val="xl39"/>
    <w:basedOn w:val="Normln"/>
    <w:rsid w:val="00110E3B"/>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0">
    <w:name w:val="xl40"/>
    <w:basedOn w:val="Normln"/>
    <w:rsid w:val="00110E3B"/>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1">
    <w:name w:val="xl41"/>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6"/>
      <w:szCs w:val="16"/>
    </w:rPr>
  </w:style>
  <w:style w:type="paragraph" w:customStyle="1" w:styleId="xl42">
    <w:name w:val="xl42"/>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3">
    <w:name w:val="xl43"/>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4">
    <w:name w:val="xl44"/>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5">
    <w:name w:val="xl4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6">
    <w:name w:val="xl4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7">
    <w:name w:val="xl47"/>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48">
    <w:name w:val="xl48"/>
    <w:basedOn w:val="Normln"/>
    <w:rsid w:val="00110E3B"/>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both"/>
    </w:pPr>
    <w:rPr>
      <w:rFonts w:eastAsia="Arial Unicode MS" w:cs="Arial"/>
      <w:b/>
      <w:bCs/>
      <w:color w:val="000000"/>
      <w:sz w:val="16"/>
      <w:szCs w:val="16"/>
    </w:rPr>
  </w:style>
  <w:style w:type="paragraph" w:customStyle="1" w:styleId="xl49">
    <w:name w:val="xl49"/>
    <w:basedOn w:val="Normln"/>
    <w:rsid w:val="00110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eastAsia="Arial Unicode MS" w:cs="Arial Unicode MS"/>
      <w:sz w:val="16"/>
      <w:szCs w:val="16"/>
    </w:rPr>
  </w:style>
  <w:style w:type="paragraph" w:customStyle="1" w:styleId="xl50">
    <w:name w:val="xl50"/>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1">
    <w:name w:val="xl51"/>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2">
    <w:name w:val="xl52"/>
    <w:basedOn w:val="Normln"/>
    <w:rsid w:val="00110E3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3">
    <w:name w:val="xl53"/>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54">
    <w:name w:val="xl54"/>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Arial Unicode MS" w:cs="Arial Unicode MS"/>
      <w:sz w:val="16"/>
      <w:szCs w:val="16"/>
    </w:rPr>
  </w:style>
  <w:style w:type="paragraph" w:customStyle="1" w:styleId="xl55">
    <w:name w:val="xl55"/>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eastAsia="Arial Unicode MS" w:cs="Arial Unicode MS"/>
      <w:sz w:val="16"/>
      <w:szCs w:val="16"/>
    </w:rPr>
  </w:style>
  <w:style w:type="paragraph" w:customStyle="1" w:styleId="xl56">
    <w:name w:val="xl56"/>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57">
    <w:name w:val="xl5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b/>
      <w:bCs/>
      <w:sz w:val="16"/>
      <w:szCs w:val="16"/>
    </w:rPr>
  </w:style>
  <w:style w:type="paragraph" w:customStyle="1" w:styleId="xl58">
    <w:name w:val="xl58"/>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9">
    <w:name w:val="xl59"/>
    <w:basedOn w:val="Normln"/>
    <w:rsid w:val="00110E3B"/>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eastAsia="Arial Unicode MS" w:cs="Arial"/>
      <w:color w:val="000000"/>
    </w:rPr>
  </w:style>
  <w:style w:type="paragraph" w:customStyle="1" w:styleId="xl60">
    <w:name w:val="xl60"/>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1">
    <w:name w:val="xl61"/>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2">
    <w:name w:val="xl62"/>
    <w:basedOn w:val="Normln"/>
    <w:rsid w:val="00110E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3">
    <w:name w:val="xl63"/>
    <w:basedOn w:val="Normln"/>
    <w:rsid w:val="00110E3B"/>
    <w:pPr>
      <w:pBdr>
        <w:top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4">
    <w:name w:val="xl64"/>
    <w:basedOn w:val="Normln"/>
    <w:rsid w:val="00110E3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5">
    <w:name w:val="xl65"/>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6">
    <w:name w:val="xl66"/>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7">
    <w:name w:val="xl67"/>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8">
    <w:name w:val="xl68"/>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9">
    <w:name w:val="xl69"/>
    <w:basedOn w:val="Normln"/>
    <w:rsid w:val="00110E3B"/>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both"/>
    </w:pPr>
    <w:rPr>
      <w:rFonts w:eastAsia="Arial Unicode MS" w:cs="Arial"/>
      <w:sz w:val="16"/>
      <w:szCs w:val="16"/>
    </w:rPr>
  </w:style>
  <w:style w:type="paragraph" w:customStyle="1" w:styleId="xl70">
    <w:name w:val="xl70"/>
    <w:basedOn w:val="Normln"/>
    <w:rsid w:val="00110E3B"/>
    <w:pPr>
      <w:pBdr>
        <w:top w:val="single" w:sz="4" w:space="0" w:color="auto"/>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1">
    <w:name w:val="xl71"/>
    <w:basedOn w:val="Normln"/>
    <w:rsid w:val="00110E3B"/>
    <w:pPr>
      <w:pBdr>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2">
    <w:name w:val="xl72"/>
    <w:basedOn w:val="Normln"/>
    <w:rsid w:val="00110E3B"/>
    <w:pPr>
      <w:pBdr>
        <w:top w:val="single" w:sz="4" w:space="0" w:color="auto"/>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3">
    <w:name w:val="xl73"/>
    <w:basedOn w:val="Normln"/>
    <w:rsid w:val="00110E3B"/>
    <w:pPr>
      <w:pBdr>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4">
    <w:name w:val="xl74"/>
    <w:basedOn w:val="Normln"/>
    <w:rsid w:val="00110E3B"/>
    <w:pPr>
      <w:pBdr>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5">
    <w:name w:val="xl75"/>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rPr>
  </w:style>
  <w:style w:type="paragraph" w:customStyle="1" w:styleId="xl76">
    <w:name w:val="xl76"/>
    <w:basedOn w:val="Normln"/>
    <w:rsid w:val="00110E3B"/>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7">
    <w:name w:val="xl77"/>
    <w:basedOn w:val="Normln"/>
    <w:rsid w:val="00110E3B"/>
    <w:pPr>
      <w:pBdr>
        <w:left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8">
    <w:name w:val="xl78"/>
    <w:basedOn w:val="Normln"/>
    <w:rsid w:val="00110E3B"/>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character" w:styleId="slostrnky">
    <w:name w:val="page number"/>
    <w:basedOn w:val="Standardnpsmoodstavce"/>
    <w:semiHidden/>
    <w:rsid w:val="00110E3B"/>
  </w:style>
  <w:style w:type="paragraph" w:styleId="Zkladntext">
    <w:name w:val="Body Text"/>
    <w:basedOn w:val="Normln"/>
    <w:link w:val="ZkladntextChar"/>
    <w:semiHidden/>
    <w:rsid w:val="00110E3B"/>
    <w:pPr>
      <w:spacing w:before="120" w:after="120" w:line="240" w:lineRule="auto"/>
      <w:jc w:val="both"/>
    </w:pPr>
  </w:style>
  <w:style w:type="character" w:customStyle="1" w:styleId="ZkladntextChar">
    <w:name w:val="Základní text Char"/>
    <w:basedOn w:val="Standardnpsmoodstavce"/>
    <w:link w:val="Zkladntext"/>
    <w:semiHidden/>
    <w:rsid w:val="00110E3B"/>
    <w:rPr>
      <w:rFonts w:ascii="Arial" w:eastAsia="Times New Roman" w:hAnsi="Arial"/>
      <w:szCs w:val="24"/>
    </w:rPr>
  </w:style>
  <w:style w:type="paragraph" w:styleId="Obsah1">
    <w:name w:val="toc 1"/>
    <w:basedOn w:val="Normln"/>
    <w:next w:val="Normln"/>
    <w:autoRedefine/>
    <w:uiPriority w:val="39"/>
    <w:rsid w:val="00110E3B"/>
    <w:pPr>
      <w:spacing w:before="120" w:after="120" w:line="240" w:lineRule="auto"/>
      <w:jc w:val="both"/>
    </w:pPr>
  </w:style>
  <w:style w:type="paragraph" w:styleId="Obsah2">
    <w:name w:val="toc 2"/>
    <w:basedOn w:val="Normln"/>
    <w:next w:val="Normln"/>
    <w:autoRedefine/>
    <w:uiPriority w:val="39"/>
    <w:rsid w:val="00110E3B"/>
    <w:pPr>
      <w:spacing w:before="120" w:after="120" w:line="240" w:lineRule="auto"/>
      <w:ind w:left="240"/>
      <w:jc w:val="both"/>
    </w:pPr>
  </w:style>
  <w:style w:type="paragraph" w:styleId="Obsah3">
    <w:name w:val="toc 3"/>
    <w:basedOn w:val="Normln"/>
    <w:next w:val="Normln"/>
    <w:autoRedefine/>
    <w:uiPriority w:val="39"/>
    <w:rsid w:val="00110E3B"/>
    <w:pPr>
      <w:spacing w:before="120" w:after="120" w:line="240" w:lineRule="auto"/>
      <w:ind w:left="480"/>
      <w:jc w:val="both"/>
    </w:pPr>
  </w:style>
  <w:style w:type="paragraph" w:styleId="Obsah4">
    <w:name w:val="toc 4"/>
    <w:basedOn w:val="Normln"/>
    <w:next w:val="Normln"/>
    <w:autoRedefine/>
    <w:semiHidden/>
    <w:rsid w:val="00110E3B"/>
    <w:pPr>
      <w:spacing w:before="120" w:after="120" w:line="240" w:lineRule="auto"/>
      <w:ind w:left="720"/>
      <w:jc w:val="both"/>
    </w:pPr>
  </w:style>
  <w:style w:type="paragraph" w:styleId="Obsah5">
    <w:name w:val="toc 5"/>
    <w:basedOn w:val="Normln"/>
    <w:next w:val="Normln"/>
    <w:autoRedefine/>
    <w:semiHidden/>
    <w:rsid w:val="00110E3B"/>
    <w:pPr>
      <w:spacing w:before="120" w:after="120" w:line="240" w:lineRule="auto"/>
      <w:ind w:left="960"/>
      <w:jc w:val="both"/>
    </w:pPr>
  </w:style>
  <w:style w:type="paragraph" w:styleId="Obsah6">
    <w:name w:val="toc 6"/>
    <w:basedOn w:val="Normln"/>
    <w:next w:val="Normln"/>
    <w:autoRedefine/>
    <w:semiHidden/>
    <w:rsid w:val="00110E3B"/>
    <w:pPr>
      <w:spacing w:before="120" w:after="120" w:line="240" w:lineRule="auto"/>
      <w:ind w:left="1200"/>
      <w:jc w:val="both"/>
    </w:pPr>
  </w:style>
  <w:style w:type="paragraph" w:styleId="Obsah7">
    <w:name w:val="toc 7"/>
    <w:basedOn w:val="Normln"/>
    <w:next w:val="Normln"/>
    <w:autoRedefine/>
    <w:semiHidden/>
    <w:rsid w:val="00110E3B"/>
    <w:pPr>
      <w:spacing w:before="120" w:after="120" w:line="240" w:lineRule="auto"/>
      <w:ind w:left="1440"/>
      <w:jc w:val="both"/>
    </w:pPr>
  </w:style>
  <w:style w:type="paragraph" w:styleId="Obsah8">
    <w:name w:val="toc 8"/>
    <w:basedOn w:val="Normln"/>
    <w:next w:val="Normln"/>
    <w:autoRedefine/>
    <w:semiHidden/>
    <w:rsid w:val="00110E3B"/>
    <w:pPr>
      <w:spacing w:before="120" w:after="120" w:line="240" w:lineRule="auto"/>
      <w:ind w:left="1680"/>
      <w:jc w:val="both"/>
    </w:pPr>
  </w:style>
  <w:style w:type="paragraph" w:styleId="Obsah9">
    <w:name w:val="toc 9"/>
    <w:basedOn w:val="Normln"/>
    <w:next w:val="Normln"/>
    <w:autoRedefine/>
    <w:semiHidden/>
    <w:rsid w:val="00110E3B"/>
    <w:pPr>
      <w:spacing w:before="120" w:after="120" w:line="240" w:lineRule="auto"/>
      <w:ind w:left="1920"/>
      <w:jc w:val="both"/>
    </w:pPr>
  </w:style>
  <w:style w:type="character" w:styleId="Sledovanodkaz">
    <w:name w:val="FollowedHyperlink"/>
    <w:basedOn w:val="Standardnpsmoodstavce"/>
    <w:semiHidden/>
    <w:rsid w:val="00110E3B"/>
    <w:rPr>
      <w:color w:val="800080"/>
      <w:u w:val="single"/>
    </w:rPr>
  </w:style>
  <w:style w:type="paragraph" w:customStyle="1" w:styleId="normalnsodrkami">
    <w:name w:val="normalní s odrážkami"/>
    <w:basedOn w:val="Normln"/>
    <w:rsid w:val="00110E3B"/>
    <w:pPr>
      <w:numPr>
        <w:numId w:val="6"/>
      </w:numPr>
      <w:spacing w:before="120" w:after="120" w:line="240" w:lineRule="auto"/>
      <w:jc w:val="both"/>
    </w:pPr>
  </w:style>
  <w:style w:type="paragraph" w:styleId="Zkladntext2">
    <w:name w:val="Body Text 2"/>
    <w:basedOn w:val="Normln"/>
    <w:link w:val="Zkladntext2Char"/>
    <w:semiHidden/>
    <w:rsid w:val="00110E3B"/>
    <w:pPr>
      <w:spacing w:before="120" w:after="120" w:line="240" w:lineRule="auto"/>
      <w:jc w:val="both"/>
    </w:pPr>
    <w:rPr>
      <w:rFonts w:cs="Arial"/>
    </w:rPr>
  </w:style>
  <w:style w:type="character" w:customStyle="1" w:styleId="Zkladntext2Char">
    <w:name w:val="Základní text 2 Char"/>
    <w:basedOn w:val="Standardnpsmoodstavce"/>
    <w:link w:val="Zkladntext2"/>
    <w:semiHidden/>
    <w:rsid w:val="00110E3B"/>
    <w:rPr>
      <w:rFonts w:ascii="Arial" w:eastAsia="Times New Roman" w:hAnsi="Arial" w:cs="Arial"/>
      <w:szCs w:val="24"/>
    </w:rPr>
  </w:style>
  <w:style w:type="paragraph" w:customStyle="1" w:styleId="Default">
    <w:name w:val="Default"/>
    <w:rsid w:val="00110E3B"/>
    <w:pPr>
      <w:autoSpaceDE w:val="0"/>
      <w:autoSpaceDN w:val="0"/>
      <w:adjustRightInd w:val="0"/>
    </w:pPr>
    <w:rPr>
      <w:rFonts w:ascii="Times New Roman" w:eastAsia="Times New Roman" w:hAnsi="Times New Roman"/>
      <w:color w:val="000000"/>
      <w:sz w:val="24"/>
      <w:szCs w:val="24"/>
    </w:rPr>
  </w:style>
  <w:style w:type="paragraph" w:styleId="Zkladntext3">
    <w:name w:val="Body Text 3"/>
    <w:basedOn w:val="Normln"/>
    <w:link w:val="Zkladntext3Char"/>
    <w:semiHidden/>
    <w:rsid w:val="00110E3B"/>
    <w:pPr>
      <w:spacing w:before="120" w:after="120" w:line="240" w:lineRule="auto"/>
      <w:jc w:val="both"/>
    </w:pPr>
    <w:rPr>
      <w:rFonts w:cs="Arial"/>
    </w:rPr>
  </w:style>
  <w:style w:type="character" w:customStyle="1" w:styleId="Zkladntext3Char">
    <w:name w:val="Základní text 3 Char"/>
    <w:basedOn w:val="Standardnpsmoodstavce"/>
    <w:link w:val="Zkladntext3"/>
    <w:semiHidden/>
    <w:rsid w:val="00110E3B"/>
    <w:rPr>
      <w:rFonts w:ascii="Arial" w:eastAsia="Times New Roman" w:hAnsi="Arial" w:cs="Arial"/>
      <w:szCs w:val="24"/>
    </w:rPr>
  </w:style>
  <w:style w:type="paragraph" w:styleId="Textvysvtlivek">
    <w:name w:val="endnote text"/>
    <w:basedOn w:val="Normln"/>
    <w:link w:val="TextvysvtlivekChar"/>
    <w:semiHidden/>
    <w:rsid w:val="00110E3B"/>
    <w:pPr>
      <w:spacing w:before="120" w:after="120" w:line="240" w:lineRule="auto"/>
      <w:jc w:val="both"/>
    </w:pPr>
    <w:rPr>
      <w:szCs w:val="20"/>
    </w:rPr>
  </w:style>
  <w:style w:type="character" w:customStyle="1" w:styleId="TextvysvtlivekChar">
    <w:name w:val="Text vysvětlivek Char"/>
    <w:basedOn w:val="Standardnpsmoodstavce"/>
    <w:link w:val="Textvysvtlivek"/>
    <w:semiHidden/>
    <w:rsid w:val="00110E3B"/>
    <w:rPr>
      <w:rFonts w:ascii="Arial" w:eastAsia="Times New Roman" w:hAnsi="Arial"/>
    </w:rPr>
  </w:style>
  <w:style w:type="character" w:styleId="Odkaznavysvtlivky">
    <w:name w:val="endnote reference"/>
    <w:basedOn w:val="Standardnpsmoodstavce"/>
    <w:semiHidden/>
    <w:rsid w:val="00110E3B"/>
    <w:rPr>
      <w:vertAlign w:val="superscript"/>
    </w:rPr>
  </w:style>
  <w:style w:type="character" w:styleId="Siln">
    <w:name w:val="Strong"/>
    <w:basedOn w:val="Standardnpsmoodstavce"/>
    <w:uiPriority w:val="22"/>
    <w:qFormat/>
    <w:rsid w:val="00110E3B"/>
    <w:rPr>
      <w:b/>
      <w:bCs/>
    </w:rPr>
  </w:style>
  <w:style w:type="character" w:customStyle="1" w:styleId="longtext1">
    <w:name w:val="long_text1"/>
    <w:basedOn w:val="Standardnpsmoodstavce"/>
    <w:rsid w:val="00110E3B"/>
    <w:rPr>
      <w:sz w:val="20"/>
      <w:szCs w:val="20"/>
    </w:rPr>
  </w:style>
  <w:style w:type="paragraph" w:styleId="Normlnweb">
    <w:name w:val="Normal (Web)"/>
    <w:basedOn w:val="Normln"/>
    <w:uiPriority w:val="99"/>
    <w:unhideWhenUsed/>
    <w:rsid w:val="00110E3B"/>
    <w:pPr>
      <w:spacing w:before="100" w:beforeAutospacing="1" w:after="100" w:afterAutospacing="1" w:line="240" w:lineRule="auto"/>
      <w:jc w:val="both"/>
    </w:pPr>
  </w:style>
  <w:style w:type="paragraph" w:customStyle="1" w:styleId="nazevtabulky">
    <w:name w:val="nazev tabulky"/>
    <w:basedOn w:val="Normln"/>
    <w:qFormat/>
    <w:rsid w:val="00110E3B"/>
    <w:pPr>
      <w:spacing w:before="240" w:after="240" w:line="240" w:lineRule="auto"/>
    </w:pPr>
    <w:rPr>
      <w:b/>
      <w:bCs/>
      <w:szCs w:val="17"/>
    </w:rPr>
  </w:style>
  <w:style w:type="paragraph" w:styleId="Odstavecseseznamem">
    <w:name w:val="List Paragraph"/>
    <w:basedOn w:val="Normln"/>
    <w:uiPriority w:val="34"/>
    <w:qFormat/>
    <w:rsid w:val="00110E3B"/>
    <w:pPr>
      <w:spacing w:before="120" w:after="120" w:line="240" w:lineRule="auto"/>
      <w:ind w:left="720"/>
      <w:contextualSpacing/>
      <w:jc w:val="both"/>
    </w:pPr>
  </w:style>
  <w:style w:type="numbering" w:customStyle="1" w:styleId="Bezseznamu1">
    <w:name w:val="Bez seznamu1"/>
    <w:next w:val="Bezseznamu"/>
    <w:uiPriority w:val="99"/>
    <w:semiHidden/>
    <w:unhideWhenUsed/>
    <w:rsid w:val="00DB4F3B"/>
  </w:style>
  <w:style w:type="table" w:styleId="Mkatabulky">
    <w:name w:val="Table Grid"/>
    <w:basedOn w:val="Normlntabulka"/>
    <w:uiPriority w:val="59"/>
    <w:rsid w:val="00DB4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lastn">
    <w:name w:val="Text vlastní"/>
    <w:basedOn w:val="Normln"/>
    <w:rsid w:val="00DB4F3B"/>
    <w:pPr>
      <w:spacing w:before="120" w:line="240" w:lineRule="auto"/>
      <w:jc w:val="both"/>
    </w:pPr>
    <w:rPr>
      <w:sz w:val="18"/>
      <w:szCs w:val="20"/>
    </w:rPr>
  </w:style>
  <w:style w:type="character" w:styleId="Odkaznakoment">
    <w:name w:val="annotation reference"/>
    <w:basedOn w:val="Standardnpsmoodstavce"/>
    <w:uiPriority w:val="99"/>
    <w:semiHidden/>
    <w:unhideWhenUsed/>
    <w:rsid w:val="00DB4F3B"/>
    <w:rPr>
      <w:sz w:val="16"/>
      <w:szCs w:val="16"/>
    </w:rPr>
  </w:style>
  <w:style w:type="paragraph" w:styleId="Textkomente">
    <w:name w:val="annotation text"/>
    <w:basedOn w:val="Normln"/>
    <w:link w:val="TextkomenteChar"/>
    <w:uiPriority w:val="99"/>
    <w:semiHidden/>
    <w:unhideWhenUsed/>
    <w:rsid w:val="00DB4F3B"/>
    <w:pPr>
      <w:keepNext/>
      <w:spacing w:line="240" w:lineRule="auto"/>
      <w:jc w:val="both"/>
    </w:pPr>
    <w:rPr>
      <w:szCs w:val="20"/>
    </w:rPr>
  </w:style>
  <w:style w:type="character" w:customStyle="1" w:styleId="TextkomenteChar">
    <w:name w:val="Text komentáře Char"/>
    <w:basedOn w:val="Standardnpsmoodstavce"/>
    <w:link w:val="Textkomente"/>
    <w:uiPriority w:val="99"/>
    <w:semiHidden/>
    <w:rsid w:val="00DB4F3B"/>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DB4F3B"/>
    <w:rPr>
      <w:b/>
      <w:bCs/>
    </w:rPr>
  </w:style>
  <w:style w:type="character" w:customStyle="1" w:styleId="PedmtkomenteChar">
    <w:name w:val="Předmět komentáře Char"/>
    <w:basedOn w:val="TextkomenteChar"/>
    <w:link w:val="Pedmtkomente"/>
    <w:uiPriority w:val="99"/>
    <w:semiHidden/>
    <w:rsid w:val="00DB4F3B"/>
    <w:rPr>
      <w:rFonts w:ascii="Arial" w:eastAsia="Times New Roman" w:hAnsi="Arial"/>
      <w:b/>
      <w:bCs/>
    </w:rPr>
  </w:style>
  <w:style w:type="table" w:styleId="Stednmka3zvraznn2">
    <w:name w:val="Medium Grid 3 Accent 2"/>
    <w:basedOn w:val="Normlntabulka"/>
    <w:uiPriority w:val="60"/>
    <w:rsid w:val="003519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numbering" w:customStyle="1" w:styleId="Bezseznamu2">
    <w:name w:val="Bez seznamu2"/>
    <w:next w:val="Bezseznamu"/>
    <w:uiPriority w:val="99"/>
    <w:semiHidden/>
    <w:unhideWhenUsed/>
    <w:rsid w:val="00DE3724"/>
  </w:style>
  <w:style w:type="paragraph" w:styleId="Nadpisobsahu">
    <w:name w:val="TOC Heading"/>
    <w:basedOn w:val="Nadpis1"/>
    <w:next w:val="Normln"/>
    <w:uiPriority w:val="39"/>
    <w:semiHidden/>
    <w:unhideWhenUsed/>
    <w:qFormat/>
    <w:rsid w:val="00DE3724"/>
    <w:pPr>
      <w:spacing w:before="480" w:after="0" w:line="276" w:lineRule="auto"/>
      <w:outlineLvl w:val="9"/>
    </w:pPr>
    <w:rPr>
      <w:rFonts w:asciiTheme="majorHAnsi" w:eastAsiaTheme="majorEastAsia" w:hAnsiTheme="majorHAnsi" w:cstheme="majorBidi"/>
      <w:color w:val="365F91" w:themeColor="accent1" w:themeShade="BF"/>
      <w:sz w:val="28"/>
    </w:rPr>
  </w:style>
  <w:style w:type="numbering" w:customStyle="1" w:styleId="Bezseznamu3">
    <w:name w:val="Bez seznamu3"/>
    <w:next w:val="Bezseznamu"/>
    <w:uiPriority w:val="99"/>
    <w:semiHidden/>
    <w:unhideWhenUsed/>
    <w:rsid w:val="00F41C6D"/>
  </w:style>
  <w:style w:type="table" w:customStyle="1" w:styleId="Mkatabulky1">
    <w:name w:val="Mřížka tabulky1"/>
    <w:basedOn w:val="Normlntabulka"/>
    <w:next w:val="Mkatabulky"/>
    <w:uiPriority w:val="59"/>
    <w:rsid w:val="00802A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802A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ln">
    <w:name w:val="Normal"/>
    <w:qFormat/>
    <w:rsid w:val="007B47EE"/>
    <w:pPr>
      <w:spacing w:line="288" w:lineRule="auto"/>
    </w:pPr>
    <w:rPr>
      <w:rFonts w:ascii="Arial" w:eastAsia="Times New Roman" w:hAnsi="Arial"/>
      <w:szCs w:val="24"/>
    </w:rPr>
  </w:style>
  <w:style w:type="paragraph" w:styleId="Nadpis1">
    <w:name w:val="heading 1"/>
    <w:next w:val="Normln"/>
    <w:link w:val="Nadpis1Char"/>
    <w:qFormat/>
    <w:rsid w:val="00BC3543"/>
    <w:pPr>
      <w:keepNext/>
      <w:keepLines/>
      <w:spacing w:after="200" w:line="288" w:lineRule="auto"/>
      <w:outlineLvl w:val="0"/>
    </w:pPr>
    <w:rPr>
      <w:rFonts w:ascii="Arial" w:eastAsia="MS Gothic" w:hAnsi="Arial"/>
      <w:b/>
      <w:bCs/>
      <w:color w:val="BC091B"/>
      <w:sz w:val="32"/>
      <w:szCs w:val="28"/>
    </w:rPr>
  </w:style>
  <w:style w:type="paragraph" w:styleId="Nadpis2">
    <w:name w:val="heading 2"/>
    <w:next w:val="Normln"/>
    <w:link w:val="Nadpis2Char"/>
    <w:qFormat/>
    <w:rsid w:val="00A1636E"/>
    <w:pPr>
      <w:keepNext/>
      <w:keepLines/>
      <w:spacing w:before="120" w:after="240" w:line="288" w:lineRule="auto"/>
      <w:outlineLvl w:val="1"/>
    </w:pPr>
    <w:rPr>
      <w:rFonts w:ascii="Arial" w:eastAsia="MS Gothic" w:hAnsi="Arial"/>
      <w:b/>
      <w:bCs/>
      <w:color w:val="BC091B"/>
      <w:sz w:val="28"/>
      <w:szCs w:val="26"/>
    </w:rPr>
  </w:style>
  <w:style w:type="paragraph" w:styleId="Nadpis3">
    <w:name w:val="heading 3"/>
    <w:next w:val="Normln"/>
    <w:link w:val="Nadpis3Char"/>
    <w:qFormat/>
    <w:rsid w:val="00EE39DC"/>
    <w:pPr>
      <w:keepNext/>
      <w:keepLines/>
      <w:spacing w:before="240" w:after="120" w:line="288" w:lineRule="auto"/>
      <w:outlineLvl w:val="2"/>
    </w:pPr>
    <w:rPr>
      <w:rFonts w:ascii="Arial" w:eastAsia="MS Gothic" w:hAnsi="Arial"/>
      <w:b/>
      <w:bCs/>
      <w:color w:val="BC091B"/>
      <w:sz w:val="24"/>
      <w:szCs w:val="24"/>
    </w:rPr>
  </w:style>
  <w:style w:type="paragraph" w:styleId="Nadpis4">
    <w:name w:val="heading 4"/>
    <w:next w:val="Normln"/>
    <w:link w:val="Nadpis4Char"/>
    <w:qFormat/>
    <w:rsid w:val="005108C0"/>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qFormat/>
    <w:rsid w:val="00110E3B"/>
    <w:pPr>
      <w:keepNext/>
      <w:spacing w:before="120" w:after="120" w:line="240" w:lineRule="auto"/>
      <w:jc w:val="center"/>
      <w:outlineLvl w:val="4"/>
    </w:pPr>
    <w:rPr>
      <w:b/>
      <w:bCs/>
      <w:sz w:val="16"/>
      <w:szCs w:val="16"/>
    </w:rPr>
  </w:style>
  <w:style w:type="paragraph" w:styleId="Nadpis6">
    <w:name w:val="heading 6"/>
    <w:basedOn w:val="Normln"/>
    <w:next w:val="Normln"/>
    <w:link w:val="Nadpis6Char"/>
    <w:qFormat/>
    <w:rsid w:val="00110E3B"/>
    <w:pPr>
      <w:keepNext/>
      <w:spacing w:before="120" w:after="120" w:line="240" w:lineRule="auto"/>
      <w:jc w:val="both"/>
      <w:outlineLvl w:val="5"/>
    </w:pPr>
    <w:rPr>
      <w:b/>
      <w:bCs/>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qFormat/>
    <w:rsid w:val="0048086F"/>
    <w:pPr>
      <w:spacing w:line="288" w:lineRule="auto"/>
      <w:contextualSpacing/>
      <w:outlineLvl w:val="0"/>
    </w:pPr>
    <w:rPr>
      <w:rFonts w:ascii="Arial" w:eastAsia="MS Gothic" w:hAnsi="Arial"/>
      <w:b/>
      <w:caps/>
      <w:color w:val="BC091B"/>
      <w:sz w:val="56"/>
      <w:szCs w:val="52"/>
    </w:rPr>
  </w:style>
  <w:style w:type="character" w:customStyle="1" w:styleId="NzevChar">
    <w:name w:val="Název Char"/>
    <w:link w:val="Nzev"/>
    <w:rsid w:val="0048086F"/>
    <w:rPr>
      <w:rFonts w:ascii="Arial" w:eastAsia="MS Gothic" w:hAnsi="Arial"/>
      <w:b/>
      <w:caps/>
      <w:color w:val="BC091B"/>
      <w:sz w:val="56"/>
      <w:szCs w:val="52"/>
      <w:lang w:bidi="ar-SA"/>
    </w:rPr>
  </w:style>
  <w:style w:type="paragraph" w:styleId="Podtitul">
    <w:name w:val="Subtitle"/>
    <w:next w:val="Normln"/>
    <w:link w:val="PodtitulChar"/>
    <w:uiPriority w:val="11"/>
    <w:qFormat/>
    <w:rsid w:val="00BC3543"/>
    <w:pPr>
      <w:numPr>
        <w:ilvl w:val="1"/>
      </w:numPr>
      <w:spacing w:line="288" w:lineRule="auto"/>
    </w:pPr>
    <w:rPr>
      <w:rFonts w:ascii="Arial" w:eastAsia="MS Gothic" w:hAnsi="Arial"/>
      <w:b/>
      <w:iCs/>
      <w:color w:val="BC091B"/>
      <w:sz w:val="28"/>
      <w:szCs w:val="24"/>
    </w:rPr>
  </w:style>
  <w:style w:type="character" w:customStyle="1" w:styleId="PodtitulChar">
    <w:name w:val="Podtitul Char"/>
    <w:link w:val="Podtitul"/>
    <w:uiPriority w:val="11"/>
    <w:rsid w:val="00BC3543"/>
    <w:rPr>
      <w:rFonts w:ascii="Arial" w:eastAsia="MS Gothic" w:hAnsi="Arial"/>
      <w:b/>
      <w:iCs/>
      <w:color w:val="BC091B"/>
      <w:sz w:val="28"/>
      <w:szCs w:val="24"/>
      <w:lang w:bidi="ar-SA"/>
    </w:rPr>
  </w:style>
  <w:style w:type="character" w:customStyle="1" w:styleId="Nadpis1Char">
    <w:name w:val="Nadpis 1 Char"/>
    <w:link w:val="Nadpis1"/>
    <w:rsid w:val="00BC3543"/>
    <w:rPr>
      <w:rFonts w:ascii="Arial" w:eastAsia="MS Gothic" w:hAnsi="Arial"/>
      <w:b/>
      <w:bCs/>
      <w:color w:val="BC091B"/>
      <w:sz w:val="32"/>
      <w:szCs w:val="28"/>
      <w:lang w:bidi="ar-SA"/>
    </w:rPr>
  </w:style>
  <w:style w:type="character" w:customStyle="1" w:styleId="Nadpis2Char">
    <w:name w:val="Nadpis 2 Char"/>
    <w:link w:val="Nadpis2"/>
    <w:rsid w:val="00A1636E"/>
    <w:rPr>
      <w:rFonts w:ascii="Arial" w:eastAsia="MS Gothic" w:hAnsi="Arial"/>
      <w:b/>
      <w:bCs/>
      <w:color w:val="BC091B"/>
      <w:sz w:val="28"/>
      <w:szCs w:val="26"/>
    </w:rPr>
  </w:style>
  <w:style w:type="character" w:customStyle="1" w:styleId="Nadpis3Char">
    <w:name w:val="Nadpis 3 Char"/>
    <w:link w:val="Nadpis3"/>
    <w:rsid w:val="00EE39DC"/>
    <w:rPr>
      <w:rFonts w:ascii="Arial" w:eastAsia="MS Gothic" w:hAnsi="Arial"/>
      <w:b/>
      <w:bCs/>
      <w:color w:val="BC091B"/>
      <w:sz w:val="24"/>
      <w:szCs w:val="24"/>
    </w:rPr>
  </w:style>
  <w:style w:type="character" w:customStyle="1" w:styleId="Nadpis4Char">
    <w:name w:val="Nadpis 4 Char"/>
    <w:link w:val="Nadpis4"/>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C3543"/>
    <w:pPr>
      <w:ind w:left="1134"/>
    </w:pPr>
    <w:rPr>
      <w:rFonts w:ascii="Arial" w:hAnsi="Arial" w:cs="Arial"/>
      <w:color w:val="BC091B"/>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210AA5"/>
    <w:pPr>
      <w:shd w:val="clear" w:color="auto" w:fill="F5DADD"/>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210AA5"/>
    <w:rPr>
      <w:rFonts w:ascii="Arial" w:hAnsi="Arial"/>
      <w:color w:val="000000"/>
      <w:sz w:val="24"/>
      <w:szCs w:val="24"/>
      <w:shd w:val="clear" w:color="auto" w:fill="F5DADD"/>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Box-Lideaspolecnost">
    <w:name w:val="Box - Lide a spolecnost"/>
    <w:next w:val="Normln"/>
    <w:link w:val="Box-LideaspolecnostChar"/>
    <w:rsid w:val="00BC3543"/>
    <w:pPr>
      <w:shd w:val="clear" w:color="auto" w:fill="F5DADD"/>
      <w:spacing w:line="288" w:lineRule="auto"/>
      <w:ind w:left="1134"/>
    </w:pPr>
    <w:rPr>
      <w:rFonts w:ascii="Arial" w:hAnsi="Arial" w:cs="Arial"/>
    </w:rPr>
  </w:style>
  <w:style w:type="character" w:customStyle="1" w:styleId="Box-LideaspolecnostChar">
    <w:name w:val="Box - Lide a spolecnost Char"/>
    <w:link w:val="Box-Lideaspolecnost"/>
    <w:rsid w:val="00BC3543"/>
    <w:rPr>
      <w:rFonts w:ascii="Arial" w:hAnsi="Arial" w:cs="Arial"/>
      <w:shd w:val="clear" w:color="auto" w:fill="F5DADD"/>
      <w:lang w:val="cs-CZ" w:eastAsia="cs-CZ" w:bidi="ar-SA"/>
    </w:rPr>
  </w:style>
  <w:style w:type="paragraph" w:customStyle="1" w:styleId="Obsah">
    <w:name w:val="Obsah"/>
    <w:next w:val="Normln"/>
    <w:link w:val="ObsahChar"/>
    <w:qFormat/>
    <w:rsid w:val="007B47EE"/>
    <w:pPr>
      <w:spacing w:after="200"/>
    </w:pPr>
    <w:rPr>
      <w:rFonts w:ascii="Arial" w:eastAsia="MS Gothic" w:hAnsi="Arial"/>
      <w:b/>
      <w:bCs/>
      <w:color w:val="BC091B"/>
      <w:sz w:val="32"/>
      <w:szCs w:val="28"/>
    </w:rPr>
  </w:style>
  <w:style w:type="character" w:customStyle="1" w:styleId="ObsahChar">
    <w:name w:val="Obsah Char"/>
    <w:link w:val="Obsah"/>
    <w:rsid w:val="007B47EE"/>
    <w:rPr>
      <w:rFonts w:ascii="Arial" w:eastAsia="MS Gothic" w:hAnsi="Arial"/>
      <w:b/>
      <w:bCs/>
      <w:color w:val="BC091B"/>
      <w:sz w:val="32"/>
      <w:szCs w:val="28"/>
      <w:lang w:bidi="ar-SA"/>
    </w:rPr>
  </w:style>
  <w:style w:type="paragraph" w:styleId="Textpoznpodarou">
    <w:name w:val="footnote text"/>
    <w:basedOn w:val="Normln"/>
    <w:link w:val="TextpoznpodarouChar"/>
    <w:semiHidden/>
    <w:rsid w:val="00542E84"/>
    <w:pPr>
      <w:spacing w:before="120" w:after="120" w:line="240" w:lineRule="auto"/>
      <w:jc w:val="both"/>
    </w:pPr>
    <w:rPr>
      <w:sz w:val="16"/>
      <w:szCs w:val="20"/>
    </w:rPr>
  </w:style>
  <w:style w:type="character" w:customStyle="1" w:styleId="TextpoznpodarouChar">
    <w:name w:val="Text pozn. pod čarou Char"/>
    <w:basedOn w:val="Standardnpsmoodstavce"/>
    <w:link w:val="Textpoznpodarou"/>
    <w:semiHidden/>
    <w:rsid w:val="00542E84"/>
    <w:rPr>
      <w:rFonts w:ascii="Arial" w:eastAsia="Times New Roman" w:hAnsi="Arial"/>
      <w:sz w:val="16"/>
    </w:rPr>
  </w:style>
  <w:style w:type="character" w:styleId="Znakapoznpodarou">
    <w:name w:val="footnote reference"/>
    <w:basedOn w:val="Standardnpsmoodstavce"/>
    <w:semiHidden/>
    <w:rsid w:val="00542E84"/>
    <w:rPr>
      <w:vertAlign w:val="superscript"/>
    </w:rPr>
  </w:style>
  <w:style w:type="paragraph" w:customStyle="1" w:styleId="Poznamkapodcarou">
    <w:name w:val="Poznamka pod carou"/>
    <w:basedOn w:val="Normln"/>
    <w:rsid w:val="00542E84"/>
    <w:pPr>
      <w:spacing w:before="120" w:after="120" w:line="240" w:lineRule="auto"/>
    </w:pPr>
    <w:rPr>
      <w:sz w:val="16"/>
      <w:szCs w:val="20"/>
    </w:rPr>
  </w:style>
  <w:style w:type="character" w:customStyle="1" w:styleId="Nadpis5Char">
    <w:name w:val="Nadpis 5 Char"/>
    <w:basedOn w:val="Standardnpsmoodstavce"/>
    <w:link w:val="Nadpis5"/>
    <w:rsid w:val="00110E3B"/>
    <w:rPr>
      <w:rFonts w:ascii="Arial" w:eastAsia="Times New Roman" w:hAnsi="Arial"/>
      <w:b/>
      <w:bCs/>
      <w:sz w:val="16"/>
      <w:szCs w:val="16"/>
    </w:rPr>
  </w:style>
  <w:style w:type="character" w:customStyle="1" w:styleId="Nadpis6Char">
    <w:name w:val="Nadpis 6 Char"/>
    <w:basedOn w:val="Standardnpsmoodstavce"/>
    <w:link w:val="Nadpis6"/>
    <w:rsid w:val="00110E3B"/>
    <w:rPr>
      <w:rFonts w:ascii="Arial" w:eastAsia="Times New Roman" w:hAnsi="Arial"/>
      <w:b/>
      <w:bCs/>
      <w:sz w:val="16"/>
      <w:szCs w:val="24"/>
    </w:rPr>
  </w:style>
  <w:style w:type="paragraph" w:customStyle="1" w:styleId="Nadpisvlastn1">
    <w:name w:val="Nadpis vlastní 1"/>
    <w:basedOn w:val="Normln"/>
    <w:rsid w:val="00110E3B"/>
    <w:pPr>
      <w:spacing w:before="120" w:after="360" w:line="240" w:lineRule="auto"/>
      <w:jc w:val="both"/>
    </w:pPr>
    <w:rPr>
      <w:b/>
      <w:bCs/>
      <w:sz w:val="36"/>
      <w:szCs w:val="20"/>
    </w:rPr>
  </w:style>
  <w:style w:type="paragraph" w:customStyle="1" w:styleId="Nadpisvlastn2">
    <w:name w:val="Nadpis vlastní 2"/>
    <w:basedOn w:val="Nadpisvlastn1"/>
    <w:rsid w:val="00110E3B"/>
    <w:rPr>
      <w14:shadow w14:blurRad="50800" w14:dist="38100" w14:dir="2700000" w14:sx="100000" w14:sy="100000" w14:kx="0" w14:ky="0" w14:algn="tl">
        <w14:srgbClr w14:val="000000">
          <w14:alpha w14:val="60000"/>
        </w14:srgbClr>
      </w14:shadow>
    </w:rPr>
  </w:style>
  <w:style w:type="paragraph" w:styleId="Zkladntextodsazen">
    <w:name w:val="Body Text Indent"/>
    <w:basedOn w:val="Normln"/>
    <w:link w:val="ZkladntextodsazenChar"/>
    <w:semiHidden/>
    <w:rsid w:val="00110E3B"/>
    <w:pPr>
      <w:spacing w:before="120" w:after="120" w:line="240" w:lineRule="auto"/>
      <w:ind w:firstLine="720"/>
      <w:jc w:val="both"/>
    </w:pPr>
  </w:style>
  <w:style w:type="character" w:customStyle="1" w:styleId="ZkladntextodsazenChar">
    <w:name w:val="Základní text odsazený Char"/>
    <w:basedOn w:val="Standardnpsmoodstavce"/>
    <w:link w:val="Zkladntextodsazen"/>
    <w:semiHidden/>
    <w:rsid w:val="00110E3B"/>
    <w:rPr>
      <w:rFonts w:ascii="Arial" w:eastAsia="Times New Roman" w:hAnsi="Arial"/>
      <w:szCs w:val="24"/>
    </w:rPr>
  </w:style>
  <w:style w:type="paragraph" w:customStyle="1" w:styleId="xl25">
    <w:name w:val="xl2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cs="Arial"/>
      <w:sz w:val="16"/>
      <w:szCs w:val="16"/>
    </w:rPr>
  </w:style>
  <w:style w:type="paragraph" w:customStyle="1" w:styleId="xl26">
    <w:name w:val="xl2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6"/>
      <w:szCs w:val="16"/>
    </w:rPr>
  </w:style>
  <w:style w:type="paragraph" w:customStyle="1" w:styleId="xl27">
    <w:name w:val="xl2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cs="Arial"/>
      <w:sz w:val="16"/>
      <w:szCs w:val="16"/>
    </w:rPr>
  </w:style>
  <w:style w:type="paragraph" w:customStyle="1" w:styleId="xl28">
    <w:name w:val="xl28"/>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cs="Arial"/>
      <w:sz w:val="16"/>
      <w:szCs w:val="16"/>
    </w:rPr>
  </w:style>
  <w:style w:type="paragraph" w:customStyle="1" w:styleId="xl29">
    <w:name w:val="xl29"/>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cs="Arial"/>
      <w:sz w:val="16"/>
      <w:szCs w:val="16"/>
    </w:rPr>
  </w:style>
  <w:style w:type="paragraph" w:customStyle="1" w:styleId="xl30">
    <w:name w:val="xl30"/>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both"/>
    </w:pPr>
    <w:rPr>
      <w:rFonts w:cs="Arial"/>
      <w:sz w:val="16"/>
      <w:szCs w:val="16"/>
    </w:rPr>
  </w:style>
  <w:style w:type="paragraph" w:customStyle="1" w:styleId="xl31">
    <w:name w:val="xl31"/>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cs="Arial"/>
      <w:sz w:val="16"/>
      <w:szCs w:val="16"/>
    </w:rPr>
  </w:style>
  <w:style w:type="paragraph" w:customStyle="1" w:styleId="xl32">
    <w:name w:val="xl32"/>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both"/>
    </w:pPr>
    <w:rPr>
      <w:rFonts w:cs="Arial"/>
      <w:sz w:val="16"/>
      <w:szCs w:val="16"/>
    </w:rPr>
  </w:style>
  <w:style w:type="paragraph" w:customStyle="1" w:styleId="xl33">
    <w:name w:val="xl33"/>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4">
    <w:name w:val="xl34"/>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5">
    <w:name w:val="xl35"/>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both"/>
    </w:pPr>
    <w:rPr>
      <w:rFonts w:cs="Arial"/>
      <w:b/>
      <w:bCs/>
      <w:sz w:val="16"/>
      <w:szCs w:val="16"/>
    </w:rPr>
  </w:style>
  <w:style w:type="paragraph" w:customStyle="1" w:styleId="xl24">
    <w:name w:val="xl24"/>
    <w:basedOn w:val="Normln"/>
    <w:rsid w:val="00110E3B"/>
    <w:pPr>
      <w:spacing w:before="100" w:beforeAutospacing="1" w:after="100" w:afterAutospacing="1" w:line="240" w:lineRule="auto"/>
      <w:jc w:val="center"/>
      <w:textAlignment w:val="center"/>
    </w:pPr>
    <w:rPr>
      <w:rFonts w:ascii="Arial Unicode MS" w:eastAsia="Arial Unicode MS" w:hAnsi="Arial Unicode MS" w:cs="Arial Unicode MS"/>
    </w:rPr>
  </w:style>
  <w:style w:type="paragraph" w:customStyle="1" w:styleId="xl36">
    <w:name w:val="xl36"/>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7">
    <w:name w:val="xl37"/>
    <w:basedOn w:val="Normln"/>
    <w:rsid w:val="00110E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8">
    <w:name w:val="xl38"/>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rPr>
  </w:style>
  <w:style w:type="paragraph" w:customStyle="1" w:styleId="xl39">
    <w:name w:val="xl39"/>
    <w:basedOn w:val="Normln"/>
    <w:rsid w:val="00110E3B"/>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0">
    <w:name w:val="xl40"/>
    <w:basedOn w:val="Normln"/>
    <w:rsid w:val="00110E3B"/>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1">
    <w:name w:val="xl41"/>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6"/>
      <w:szCs w:val="16"/>
    </w:rPr>
  </w:style>
  <w:style w:type="paragraph" w:customStyle="1" w:styleId="xl42">
    <w:name w:val="xl42"/>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3">
    <w:name w:val="xl43"/>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4">
    <w:name w:val="xl44"/>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5">
    <w:name w:val="xl4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6">
    <w:name w:val="xl4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7">
    <w:name w:val="xl47"/>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48">
    <w:name w:val="xl48"/>
    <w:basedOn w:val="Normln"/>
    <w:rsid w:val="00110E3B"/>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both"/>
    </w:pPr>
    <w:rPr>
      <w:rFonts w:eastAsia="Arial Unicode MS" w:cs="Arial"/>
      <w:b/>
      <w:bCs/>
      <w:color w:val="000000"/>
      <w:sz w:val="16"/>
      <w:szCs w:val="16"/>
    </w:rPr>
  </w:style>
  <w:style w:type="paragraph" w:customStyle="1" w:styleId="xl49">
    <w:name w:val="xl49"/>
    <w:basedOn w:val="Normln"/>
    <w:rsid w:val="00110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eastAsia="Arial Unicode MS" w:cs="Arial Unicode MS"/>
      <w:sz w:val="16"/>
      <w:szCs w:val="16"/>
    </w:rPr>
  </w:style>
  <w:style w:type="paragraph" w:customStyle="1" w:styleId="xl50">
    <w:name w:val="xl50"/>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1">
    <w:name w:val="xl51"/>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2">
    <w:name w:val="xl52"/>
    <w:basedOn w:val="Normln"/>
    <w:rsid w:val="00110E3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3">
    <w:name w:val="xl53"/>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54">
    <w:name w:val="xl54"/>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Arial Unicode MS" w:cs="Arial Unicode MS"/>
      <w:sz w:val="16"/>
      <w:szCs w:val="16"/>
    </w:rPr>
  </w:style>
  <w:style w:type="paragraph" w:customStyle="1" w:styleId="xl55">
    <w:name w:val="xl55"/>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eastAsia="Arial Unicode MS" w:cs="Arial Unicode MS"/>
      <w:sz w:val="16"/>
      <w:szCs w:val="16"/>
    </w:rPr>
  </w:style>
  <w:style w:type="paragraph" w:customStyle="1" w:styleId="xl56">
    <w:name w:val="xl56"/>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57">
    <w:name w:val="xl5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b/>
      <w:bCs/>
      <w:sz w:val="16"/>
      <w:szCs w:val="16"/>
    </w:rPr>
  </w:style>
  <w:style w:type="paragraph" w:customStyle="1" w:styleId="xl58">
    <w:name w:val="xl58"/>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9">
    <w:name w:val="xl59"/>
    <w:basedOn w:val="Normln"/>
    <w:rsid w:val="00110E3B"/>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eastAsia="Arial Unicode MS" w:cs="Arial"/>
      <w:color w:val="000000"/>
    </w:rPr>
  </w:style>
  <w:style w:type="paragraph" w:customStyle="1" w:styleId="xl60">
    <w:name w:val="xl60"/>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1">
    <w:name w:val="xl61"/>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2">
    <w:name w:val="xl62"/>
    <w:basedOn w:val="Normln"/>
    <w:rsid w:val="00110E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3">
    <w:name w:val="xl63"/>
    <w:basedOn w:val="Normln"/>
    <w:rsid w:val="00110E3B"/>
    <w:pPr>
      <w:pBdr>
        <w:top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4">
    <w:name w:val="xl64"/>
    <w:basedOn w:val="Normln"/>
    <w:rsid w:val="00110E3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5">
    <w:name w:val="xl65"/>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6">
    <w:name w:val="xl66"/>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7">
    <w:name w:val="xl67"/>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8">
    <w:name w:val="xl68"/>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9">
    <w:name w:val="xl69"/>
    <w:basedOn w:val="Normln"/>
    <w:rsid w:val="00110E3B"/>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both"/>
    </w:pPr>
    <w:rPr>
      <w:rFonts w:eastAsia="Arial Unicode MS" w:cs="Arial"/>
      <w:sz w:val="16"/>
      <w:szCs w:val="16"/>
    </w:rPr>
  </w:style>
  <w:style w:type="paragraph" w:customStyle="1" w:styleId="xl70">
    <w:name w:val="xl70"/>
    <w:basedOn w:val="Normln"/>
    <w:rsid w:val="00110E3B"/>
    <w:pPr>
      <w:pBdr>
        <w:top w:val="single" w:sz="4" w:space="0" w:color="auto"/>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1">
    <w:name w:val="xl71"/>
    <w:basedOn w:val="Normln"/>
    <w:rsid w:val="00110E3B"/>
    <w:pPr>
      <w:pBdr>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2">
    <w:name w:val="xl72"/>
    <w:basedOn w:val="Normln"/>
    <w:rsid w:val="00110E3B"/>
    <w:pPr>
      <w:pBdr>
        <w:top w:val="single" w:sz="4" w:space="0" w:color="auto"/>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3">
    <w:name w:val="xl73"/>
    <w:basedOn w:val="Normln"/>
    <w:rsid w:val="00110E3B"/>
    <w:pPr>
      <w:pBdr>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4">
    <w:name w:val="xl74"/>
    <w:basedOn w:val="Normln"/>
    <w:rsid w:val="00110E3B"/>
    <w:pPr>
      <w:pBdr>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5">
    <w:name w:val="xl75"/>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rPr>
  </w:style>
  <w:style w:type="paragraph" w:customStyle="1" w:styleId="xl76">
    <w:name w:val="xl76"/>
    <w:basedOn w:val="Normln"/>
    <w:rsid w:val="00110E3B"/>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7">
    <w:name w:val="xl77"/>
    <w:basedOn w:val="Normln"/>
    <w:rsid w:val="00110E3B"/>
    <w:pPr>
      <w:pBdr>
        <w:left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8">
    <w:name w:val="xl78"/>
    <w:basedOn w:val="Normln"/>
    <w:rsid w:val="00110E3B"/>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character" w:styleId="slostrnky">
    <w:name w:val="page number"/>
    <w:basedOn w:val="Standardnpsmoodstavce"/>
    <w:semiHidden/>
    <w:rsid w:val="00110E3B"/>
  </w:style>
  <w:style w:type="paragraph" w:styleId="Zkladntext">
    <w:name w:val="Body Text"/>
    <w:basedOn w:val="Normln"/>
    <w:link w:val="ZkladntextChar"/>
    <w:semiHidden/>
    <w:rsid w:val="00110E3B"/>
    <w:pPr>
      <w:spacing w:before="120" w:after="120" w:line="240" w:lineRule="auto"/>
      <w:jc w:val="both"/>
    </w:pPr>
  </w:style>
  <w:style w:type="character" w:customStyle="1" w:styleId="ZkladntextChar">
    <w:name w:val="Základní text Char"/>
    <w:basedOn w:val="Standardnpsmoodstavce"/>
    <w:link w:val="Zkladntext"/>
    <w:semiHidden/>
    <w:rsid w:val="00110E3B"/>
    <w:rPr>
      <w:rFonts w:ascii="Arial" w:eastAsia="Times New Roman" w:hAnsi="Arial"/>
      <w:szCs w:val="24"/>
    </w:rPr>
  </w:style>
  <w:style w:type="paragraph" w:styleId="Obsah1">
    <w:name w:val="toc 1"/>
    <w:basedOn w:val="Normln"/>
    <w:next w:val="Normln"/>
    <w:autoRedefine/>
    <w:uiPriority w:val="39"/>
    <w:rsid w:val="00110E3B"/>
    <w:pPr>
      <w:spacing w:before="120" w:after="120" w:line="240" w:lineRule="auto"/>
      <w:jc w:val="both"/>
    </w:pPr>
  </w:style>
  <w:style w:type="paragraph" w:styleId="Obsah2">
    <w:name w:val="toc 2"/>
    <w:basedOn w:val="Normln"/>
    <w:next w:val="Normln"/>
    <w:autoRedefine/>
    <w:uiPriority w:val="39"/>
    <w:rsid w:val="00110E3B"/>
    <w:pPr>
      <w:spacing w:before="120" w:after="120" w:line="240" w:lineRule="auto"/>
      <w:ind w:left="240"/>
      <w:jc w:val="both"/>
    </w:pPr>
  </w:style>
  <w:style w:type="paragraph" w:styleId="Obsah3">
    <w:name w:val="toc 3"/>
    <w:basedOn w:val="Normln"/>
    <w:next w:val="Normln"/>
    <w:autoRedefine/>
    <w:uiPriority w:val="39"/>
    <w:rsid w:val="00110E3B"/>
    <w:pPr>
      <w:spacing w:before="120" w:after="120" w:line="240" w:lineRule="auto"/>
      <w:ind w:left="480"/>
      <w:jc w:val="both"/>
    </w:pPr>
  </w:style>
  <w:style w:type="paragraph" w:styleId="Obsah4">
    <w:name w:val="toc 4"/>
    <w:basedOn w:val="Normln"/>
    <w:next w:val="Normln"/>
    <w:autoRedefine/>
    <w:semiHidden/>
    <w:rsid w:val="00110E3B"/>
    <w:pPr>
      <w:spacing w:before="120" w:after="120" w:line="240" w:lineRule="auto"/>
      <w:ind w:left="720"/>
      <w:jc w:val="both"/>
    </w:pPr>
  </w:style>
  <w:style w:type="paragraph" w:styleId="Obsah5">
    <w:name w:val="toc 5"/>
    <w:basedOn w:val="Normln"/>
    <w:next w:val="Normln"/>
    <w:autoRedefine/>
    <w:semiHidden/>
    <w:rsid w:val="00110E3B"/>
    <w:pPr>
      <w:spacing w:before="120" w:after="120" w:line="240" w:lineRule="auto"/>
      <w:ind w:left="960"/>
      <w:jc w:val="both"/>
    </w:pPr>
  </w:style>
  <w:style w:type="paragraph" w:styleId="Obsah6">
    <w:name w:val="toc 6"/>
    <w:basedOn w:val="Normln"/>
    <w:next w:val="Normln"/>
    <w:autoRedefine/>
    <w:semiHidden/>
    <w:rsid w:val="00110E3B"/>
    <w:pPr>
      <w:spacing w:before="120" w:after="120" w:line="240" w:lineRule="auto"/>
      <w:ind w:left="1200"/>
      <w:jc w:val="both"/>
    </w:pPr>
  </w:style>
  <w:style w:type="paragraph" w:styleId="Obsah7">
    <w:name w:val="toc 7"/>
    <w:basedOn w:val="Normln"/>
    <w:next w:val="Normln"/>
    <w:autoRedefine/>
    <w:semiHidden/>
    <w:rsid w:val="00110E3B"/>
    <w:pPr>
      <w:spacing w:before="120" w:after="120" w:line="240" w:lineRule="auto"/>
      <w:ind w:left="1440"/>
      <w:jc w:val="both"/>
    </w:pPr>
  </w:style>
  <w:style w:type="paragraph" w:styleId="Obsah8">
    <w:name w:val="toc 8"/>
    <w:basedOn w:val="Normln"/>
    <w:next w:val="Normln"/>
    <w:autoRedefine/>
    <w:semiHidden/>
    <w:rsid w:val="00110E3B"/>
    <w:pPr>
      <w:spacing w:before="120" w:after="120" w:line="240" w:lineRule="auto"/>
      <w:ind w:left="1680"/>
      <w:jc w:val="both"/>
    </w:pPr>
  </w:style>
  <w:style w:type="paragraph" w:styleId="Obsah9">
    <w:name w:val="toc 9"/>
    <w:basedOn w:val="Normln"/>
    <w:next w:val="Normln"/>
    <w:autoRedefine/>
    <w:semiHidden/>
    <w:rsid w:val="00110E3B"/>
    <w:pPr>
      <w:spacing w:before="120" w:after="120" w:line="240" w:lineRule="auto"/>
      <w:ind w:left="1920"/>
      <w:jc w:val="both"/>
    </w:pPr>
  </w:style>
  <w:style w:type="character" w:styleId="Sledovanodkaz">
    <w:name w:val="FollowedHyperlink"/>
    <w:basedOn w:val="Standardnpsmoodstavce"/>
    <w:semiHidden/>
    <w:rsid w:val="00110E3B"/>
    <w:rPr>
      <w:color w:val="800080"/>
      <w:u w:val="single"/>
    </w:rPr>
  </w:style>
  <w:style w:type="paragraph" w:customStyle="1" w:styleId="normalnsodrkami">
    <w:name w:val="normalní s odrážkami"/>
    <w:basedOn w:val="Normln"/>
    <w:rsid w:val="00110E3B"/>
    <w:pPr>
      <w:numPr>
        <w:numId w:val="6"/>
      </w:numPr>
      <w:spacing w:before="120" w:after="120" w:line="240" w:lineRule="auto"/>
      <w:jc w:val="both"/>
    </w:pPr>
  </w:style>
  <w:style w:type="paragraph" w:styleId="Zkladntext2">
    <w:name w:val="Body Text 2"/>
    <w:basedOn w:val="Normln"/>
    <w:link w:val="Zkladntext2Char"/>
    <w:semiHidden/>
    <w:rsid w:val="00110E3B"/>
    <w:pPr>
      <w:spacing w:before="120" w:after="120" w:line="240" w:lineRule="auto"/>
      <w:jc w:val="both"/>
    </w:pPr>
    <w:rPr>
      <w:rFonts w:cs="Arial"/>
    </w:rPr>
  </w:style>
  <w:style w:type="character" w:customStyle="1" w:styleId="Zkladntext2Char">
    <w:name w:val="Základní text 2 Char"/>
    <w:basedOn w:val="Standardnpsmoodstavce"/>
    <w:link w:val="Zkladntext2"/>
    <w:semiHidden/>
    <w:rsid w:val="00110E3B"/>
    <w:rPr>
      <w:rFonts w:ascii="Arial" w:eastAsia="Times New Roman" w:hAnsi="Arial" w:cs="Arial"/>
      <w:szCs w:val="24"/>
    </w:rPr>
  </w:style>
  <w:style w:type="paragraph" w:customStyle="1" w:styleId="Default">
    <w:name w:val="Default"/>
    <w:rsid w:val="00110E3B"/>
    <w:pPr>
      <w:autoSpaceDE w:val="0"/>
      <w:autoSpaceDN w:val="0"/>
      <w:adjustRightInd w:val="0"/>
    </w:pPr>
    <w:rPr>
      <w:rFonts w:ascii="Times New Roman" w:eastAsia="Times New Roman" w:hAnsi="Times New Roman"/>
      <w:color w:val="000000"/>
      <w:sz w:val="24"/>
      <w:szCs w:val="24"/>
    </w:rPr>
  </w:style>
  <w:style w:type="paragraph" w:styleId="Zkladntext3">
    <w:name w:val="Body Text 3"/>
    <w:basedOn w:val="Normln"/>
    <w:link w:val="Zkladntext3Char"/>
    <w:semiHidden/>
    <w:rsid w:val="00110E3B"/>
    <w:pPr>
      <w:spacing w:before="120" w:after="120" w:line="240" w:lineRule="auto"/>
      <w:jc w:val="both"/>
    </w:pPr>
    <w:rPr>
      <w:rFonts w:cs="Arial"/>
    </w:rPr>
  </w:style>
  <w:style w:type="character" w:customStyle="1" w:styleId="Zkladntext3Char">
    <w:name w:val="Základní text 3 Char"/>
    <w:basedOn w:val="Standardnpsmoodstavce"/>
    <w:link w:val="Zkladntext3"/>
    <w:semiHidden/>
    <w:rsid w:val="00110E3B"/>
    <w:rPr>
      <w:rFonts w:ascii="Arial" w:eastAsia="Times New Roman" w:hAnsi="Arial" w:cs="Arial"/>
      <w:szCs w:val="24"/>
    </w:rPr>
  </w:style>
  <w:style w:type="paragraph" w:styleId="Textvysvtlivek">
    <w:name w:val="endnote text"/>
    <w:basedOn w:val="Normln"/>
    <w:link w:val="TextvysvtlivekChar"/>
    <w:semiHidden/>
    <w:rsid w:val="00110E3B"/>
    <w:pPr>
      <w:spacing w:before="120" w:after="120" w:line="240" w:lineRule="auto"/>
      <w:jc w:val="both"/>
    </w:pPr>
    <w:rPr>
      <w:szCs w:val="20"/>
    </w:rPr>
  </w:style>
  <w:style w:type="character" w:customStyle="1" w:styleId="TextvysvtlivekChar">
    <w:name w:val="Text vysvětlivek Char"/>
    <w:basedOn w:val="Standardnpsmoodstavce"/>
    <w:link w:val="Textvysvtlivek"/>
    <w:semiHidden/>
    <w:rsid w:val="00110E3B"/>
    <w:rPr>
      <w:rFonts w:ascii="Arial" w:eastAsia="Times New Roman" w:hAnsi="Arial"/>
    </w:rPr>
  </w:style>
  <w:style w:type="character" w:styleId="Odkaznavysvtlivky">
    <w:name w:val="endnote reference"/>
    <w:basedOn w:val="Standardnpsmoodstavce"/>
    <w:semiHidden/>
    <w:rsid w:val="00110E3B"/>
    <w:rPr>
      <w:vertAlign w:val="superscript"/>
    </w:rPr>
  </w:style>
  <w:style w:type="character" w:styleId="Siln">
    <w:name w:val="Strong"/>
    <w:basedOn w:val="Standardnpsmoodstavce"/>
    <w:uiPriority w:val="22"/>
    <w:qFormat/>
    <w:rsid w:val="00110E3B"/>
    <w:rPr>
      <w:b/>
      <w:bCs/>
    </w:rPr>
  </w:style>
  <w:style w:type="character" w:customStyle="1" w:styleId="longtext1">
    <w:name w:val="long_text1"/>
    <w:basedOn w:val="Standardnpsmoodstavce"/>
    <w:rsid w:val="00110E3B"/>
    <w:rPr>
      <w:sz w:val="20"/>
      <w:szCs w:val="20"/>
    </w:rPr>
  </w:style>
  <w:style w:type="paragraph" w:styleId="Normlnweb">
    <w:name w:val="Normal (Web)"/>
    <w:basedOn w:val="Normln"/>
    <w:uiPriority w:val="99"/>
    <w:unhideWhenUsed/>
    <w:rsid w:val="00110E3B"/>
    <w:pPr>
      <w:spacing w:before="100" w:beforeAutospacing="1" w:after="100" w:afterAutospacing="1" w:line="240" w:lineRule="auto"/>
      <w:jc w:val="both"/>
    </w:pPr>
  </w:style>
  <w:style w:type="paragraph" w:customStyle="1" w:styleId="nazevtabulky">
    <w:name w:val="nazev tabulky"/>
    <w:basedOn w:val="Normln"/>
    <w:qFormat/>
    <w:rsid w:val="00110E3B"/>
    <w:pPr>
      <w:spacing w:before="240" w:after="240" w:line="240" w:lineRule="auto"/>
    </w:pPr>
    <w:rPr>
      <w:b/>
      <w:bCs/>
      <w:szCs w:val="17"/>
    </w:rPr>
  </w:style>
  <w:style w:type="paragraph" w:styleId="Odstavecseseznamem">
    <w:name w:val="List Paragraph"/>
    <w:basedOn w:val="Normln"/>
    <w:uiPriority w:val="34"/>
    <w:qFormat/>
    <w:rsid w:val="00110E3B"/>
    <w:pPr>
      <w:spacing w:before="120" w:after="120" w:line="240" w:lineRule="auto"/>
      <w:ind w:left="720"/>
      <w:contextualSpacing/>
      <w:jc w:val="both"/>
    </w:pPr>
  </w:style>
  <w:style w:type="numbering" w:customStyle="1" w:styleId="Bezseznamu1">
    <w:name w:val="Bez seznamu1"/>
    <w:next w:val="Bezseznamu"/>
    <w:uiPriority w:val="99"/>
    <w:semiHidden/>
    <w:unhideWhenUsed/>
    <w:rsid w:val="00DB4F3B"/>
  </w:style>
  <w:style w:type="table" w:styleId="Mkatabulky">
    <w:name w:val="Table Grid"/>
    <w:basedOn w:val="Normlntabulka"/>
    <w:uiPriority w:val="59"/>
    <w:rsid w:val="00DB4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lastn">
    <w:name w:val="Text vlastní"/>
    <w:basedOn w:val="Normln"/>
    <w:rsid w:val="00DB4F3B"/>
    <w:pPr>
      <w:spacing w:before="120" w:line="240" w:lineRule="auto"/>
      <w:jc w:val="both"/>
    </w:pPr>
    <w:rPr>
      <w:sz w:val="18"/>
      <w:szCs w:val="20"/>
    </w:rPr>
  </w:style>
  <w:style w:type="character" w:styleId="Odkaznakoment">
    <w:name w:val="annotation reference"/>
    <w:basedOn w:val="Standardnpsmoodstavce"/>
    <w:uiPriority w:val="99"/>
    <w:semiHidden/>
    <w:unhideWhenUsed/>
    <w:rsid w:val="00DB4F3B"/>
    <w:rPr>
      <w:sz w:val="16"/>
      <w:szCs w:val="16"/>
    </w:rPr>
  </w:style>
  <w:style w:type="paragraph" w:styleId="Textkomente">
    <w:name w:val="annotation text"/>
    <w:basedOn w:val="Normln"/>
    <w:link w:val="TextkomenteChar"/>
    <w:uiPriority w:val="99"/>
    <w:semiHidden/>
    <w:unhideWhenUsed/>
    <w:rsid w:val="00DB4F3B"/>
    <w:pPr>
      <w:keepNext/>
      <w:spacing w:line="240" w:lineRule="auto"/>
      <w:jc w:val="both"/>
    </w:pPr>
    <w:rPr>
      <w:szCs w:val="20"/>
    </w:rPr>
  </w:style>
  <w:style w:type="character" w:customStyle="1" w:styleId="TextkomenteChar">
    <w:name w:val="Text komentáře Char"/>
    <w:basedOn w:val="Standardnpsmoodstavce"/>
    <w:link w:val="Textkomente"/>
    <w:uiPriority w:val="99"/>
    <w:semiHidden/>
    <w:rsid w:val="00DB4F3B"/>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DB4F3B"/>
    <w:rPr>
      <w:b/>
      <w:bCs/>
    </w:rPr>
  </w:style>
  <w:style w:type="character" w:customStyle="1" w:styleId="PedmtkomenteChar">
    <w:name w:val="Předmět komentáře Char"/>
    <w:basedOn w:val="TextkomenteChar"/>
    <w:link w:val="Pedmtkomente"/>
    <w:uiPriority w:val="99"/>
    <w:semiHidden/>
    <w:rsid w:val="00DB4F3B"/>
    <w:rPr>
      <w:rFonts w:ascii="Arial" w:eastAsia="Times New Roman" w:hAnsi="Arial"/>
      <w:b/>
      <w:bCs/>
    </w:rPr>
  </w:style>
  <w:style w:type="table" w:styleId="Stednmka3zvraznn2">
    <w:name w:val="Medium Grid 3 Accent 2"/>
    <w:basedOn w:val="Normlntabulka"/>
    <w:uiPriority w:val="60"/>
    <w:rsid w:val="003519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numbering" w:customStyle="1" w:styleId="Bezseznamu2">
    <w:name w:val="Bez seznamu2"/>
    <w:next w:val="Bezseznamu"/>
    <w:uiPriority w:val="99"/>
    <w:semiHidden/>
    <w:unhideWhenUsed/>
    <w:rsid w:val="00DE3724"/>
  </w:style>
  <w:style w:type="paragraph" w:styleId="Nadpisobsahu">
    <w:name w:val="TOC Heading"/>
    <w:basedOn w:val="Nadpis1"/>
    <w:next w:val="Normln"/>
    <w:uiPriority w:val="39"/>
    <w:semiHidden/>
    <w:unhideWhenUsed/>
    <w:qFormat/>
    <w:rsid w:val="00DE3724"/>
    <w:pPr>
      <w:spacing w:before="480" w:after="0" w:line="276" w:lineRule="auto"/>
      <w:outlineLvl w:val="9"/>
    </w:pPr>
    <w:rPr>
      <w:rFonts w:asciiTheme="majorHAnsi" w:eastAsiaTheme="majorEastAsia" w:hAnsiTheme="majorHAnsi" w:cstheme="majorBidi"/>
      <w:color w:val="365F91" w:themeColor="accent1" w:themeShade="BF"/>
      <w:sz w:val="28"/>
    </w:rPr>
  </w:style>
  <w:style w:type="numbering" w:customStyle="1" w:styleId="Bezseznamu3">
    <w:name w:val="Bez seznamu3"/>
    <w:next w:val="Bezseznamu"/>
    <w:uiPriority w:val="99"/>
    <w:semiHidden/>
    <w:unhideWhenUsed/>
    <w:rsid w:val="00F41C6D"/>
  </w:style>
  <w:style w:type="table" w:customStyle="1" w:styleId="Mkatabulky1">
    <w:name w:val="Mřížka tabulky1"/>
    <w:basedOn w:val="Normlntabulka"/>
    <w:next w:val="Mkatabulky"/>
    <w:uiPriority w:val="59"/>
    <w:rsid w:val="00802A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802A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336567908">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8301331">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NIC~1\AppData\Local\Temp\publikace%20bar_lide%20a%20spolecnost.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5495622893997852E-2"/>
          <c:y val="3.4581785198778976E-2"/>
          <c:w val="0.91465989583333329"/>
          <c:h val="0.72782987042846692"/>
        </c:manualLayout>
      </c:layout>
      <c:barChart>
        <c:barDir val="col"/>
        <c:grouping val="clustered"/>
        <c:varyColors val="0"/>
        <c:ser>
          <c:idx val="0"/>
          <c:order val="0"/>
          <c:tx>
            <c:strRef>
              <c:f>'G1'!$A$5</c:f>
              <c:strCache>
                <c:ptCount val="1"/>
                <c:pt idx="0">
                  <c:v>absolutně v mld. Kč</c:v>
                </c:pt>
              </c:strCache>
            </c:strRef>
          </c:tx>
          <c:spPr>
            <a:solidFill>
              <a:srgbClr val="D96D75"/>
            </a:solidFill>
            <a:ln>
              <a:noFill/>
            </a:ln>
          </c:spPr>
          <c:invertIfNegative val="0"/>
          <c:dLbls>
            <c:dLbl>
              <c:idx val="0"/>
              <c:layout>
                <c:manualLayout>
                  <c:x val="0"/>
                  <c:y val="7.6628352490421452E-3"/>
                </c:manualLayout>
              </c:layout>
              <c:dLblPos val="outEnd"/>
              <c:showLegendKey val="0"/>
              <c:showVal val="1"/>
              <c:showCatName val="0"/>
              <c:showSerName val="0"/>
              <c:showPercent val="0"/>
              <c:showBubbleSize val="0"/>
            </c:dLbl>
            <c:dLbl>
              <c:idx val="1"/>
              <c:layout>
                <c:manualLayout>
                  <c:x val="4.409722222222202E-3"/>
                  <c:y val="7.6628352490421452E-3"/>
                </c:manualLayout>
              </c:layout>
              <c:dLblPos val="outEnd"/>
              <c:showLegendKey val="0"/>
              <c:showVal val="1"/>
              <c:showCatName val="0"/>
              <c:showSerName val="0"/>
              <c:showPercent val="0"/>
              <c:showBubbleSize val="0"/>
            </c:dLbl>
            <c:dLbl>
              <c:idx val="2"/>
              <c:layout>
                <c:manualLayout>
                  <c:x val="0"/>
                  <c:y val="1.5325670498084221E-2"/>
                </c:manualLayout>
              </c:layout>
              <c:dLblPos val="outEnd"/>
              <c:showLegendKey val="0"/>
              <c:showVal val="1"/>
              <c:showCatName val="0"/>
              <c:showSerName val="0"/>
              <c:showPercent val="0"/>
              <c:showBubbleSize val="0"/>
            </c:dLbl>
            <c:dLbl>
              <c:idx val="3"/>
              <c:layout>
                <c:manualLayout>
                  <c:x val="-2.204861111111111E-3"/>
                  <c:y val="1.1494252873563218E-2"/>
                </c:manualLayout>
              </c:layout>
              <c:dLblPos val="outEnd"/>
              <c:showLegendKey val="0"/>
              <c:showVal val="1"/>
              <c:showCatName val="0"/>
              <c:showSerName val="0"/>
              <c:showPercent val="0"/>
              <c:showBubbleSize val="0"/>
            </c:dLbl>
            <c:dLbl>
              <c:idx val="4"/>
              <c:layout>
                <c:manualLayout>
                  <c:x val="-8.0843973490926958E-17"/>
                  <c:y val="1.1494252873563218E-2"/>
                </c:manualLayout>
              </c:layout>
              <c:dLblPos val="outEnd"/>
              <c:showLegendKey val="0"/>
              <c:showVal val="1"/>
              <c:showCatName val="0"/>
              <c:showSerName val="0"/>
              <c:showPercent val="0"/>
              <c:showBubbleSize val="0"/>
            </c:dLbl>
            <c:dLbl>
              <c:idx val="5"/>
              <c:layout>
                <c:manualLayout>
                  <c:x val="-2.204861111111111E-3"/>
                  <c:y val="1.1494252873563218E-2"/>
                </c:manualLayout>
              </c:layout>
              <c:dLblPos val="outEnd"/>
              <c:showLegendKey val="0"/>
              <c:showVal val="1"/>
              <c:showCatName val="0"/>
              <c:showSerName val="0"/>
              <c:showPercent val="0"/>
              <c:showBubbleSize val="0"/>
            </c:dLbl>
            <c:dLbl>
              <c:idx val="6"/>
              <c:layout>
                <c:manualLayout>
                  <c:x val="-8.0843973490926958E-17"/>
                  <c:y val="2.2988505747126436E-2"/>
                </c:manualLayout>
              </c:layout>
              <c:dLblPos val="outEnd"/>
              <c:showLegendKey val="0"/>
              <c:showVal val="1"/>
              <c:showCatName val="0"/>
              <c:showSerName val="0"/>
              <c:showPercent val="0"/>
              <c:showBubbleSize val="0"/>
            </c:dLbl>
            <c:dLbl>
              <c:idx val="7"/>
              <c:layout>
                <c:manualLayout>
                  <c:x val="0"/>
                  <c:y val="7.6628352490420749E-3"/>
                </c:manualLayout>
              </c:layout>
              <c:dLblPos val="outEnd"/>
              <c:showLegendKey val="0"/>
              <c:showVal val="1"/>
              <c:showCatName val="0"/>
              <c:showSerName val="0"/>
              <c:showPercent val="0"/>
              <c:showBubbleSize val="0"/>
            </c:dLbl>
            <c:dLbl>
              <c:idx val="8"/>
              <c:layout>
                <c:manualLayout>
                  <c:x val="8.819444444444444E-3"/>
                  <c:y val="1.149395118713609E-2"/>
                </c:manualLayout>
              </c:layout>
              <c:dLblPos val="outEnd"/>
              <c:showLegendKey val="0"/>
              <c:showVal val="1"/>
              <c:showCatName val="0"/>
              <c:showSerName val="0"/>
              <c:showPercent val="0"/>
              <c:showBubbleSize val="0"/>
            </c:dLbl>
            <c:dLbl>
              <c:idx val="9"/>
              <c:layout>
                <c:manualLayout>
                  <c:x val="0"/>
                  <c:y val="1.1494252873563218E-2"/>
                </c:manualLayout>
              </c:layout>
              <c:dLblPos val="outEnd"/>
              <c:showLegendKey val="0"/>
              <c:showVal val="1"/>
              <c:showCatName val="0"/>
              <c:showSerName val="0"/>
              <c:showPercent val="0"/>
              <c:showBubbleSize val="0"/>
            </c:dLbl>
            <c:dLbl>
              <c:idx val="10"/>
              <c:layout>
                <c:manualLayout>
                  <c:x val="-1.6168794698185392E-16"/>
                  <c:y val="7.6628352490421452E-3"/>
                </c:manualLayout>
              </c:layout>
              <c:dLblPos val="outEnd"/>
              <c:showLegendKey val="0"/>
              <c:showVal val="1"/>
              <c:showCatName val="0"/>
              <c:showSerName val="0"/>
              <c:showPercent val="0"/>
              <c:showBubbleSize val="0"/>
            </c:dLbl>
            <c:txPr>
              <a:bodyPr/>
              <a:lstStyle/>
              <a:p>
                <a:pPr>
                  <a:defRPr b="1"/>
                </a:pPr>
                <a:endParaRPr lang="cs-CZ"/>
              </a:p>
            </c:txPr>
            <c:dLblPos val="outEnd"/>
            <c:showLegendKey val="0"/>
            <c:showVal val="1"/>
            <c:showCatName val="0"/>
            <c:showSerName val="0"/>
            <c:showPercent val="0"/>
            <c:showBubbleSize val="0"/>
            <c:showLeaderLines val="0"/>
          </c:dLbls>
          <c:cat>
            <c:strRef>
              <c:f>'G1'!$B$4:$G$4</c:f>
              <c:strCache>
                <c:ptCount val="6"/>
                <c:pt idx="0">
                  <c:v>2010</c:v>
                </c:pt>
                <c:pt idx="1">
                  <c:v>2011</c:v>
                </c:pt>
                <c:pt idx="2">
                  <c:v>2012</c:v>
                </c:pt>
                <c:pt idx="3">
                  <c:v>2013</c:v>
                </c:pt>
                <c:pt idx="4">
                  <c:v>2014</c:v>
                </c:pt>
                <c:pt idx="5">
                  <c:v>2015</c:v>
                </c:pt>
              </c:strCache>
            </c:strRef>
          </c:cat>
          <c:val>
            <c:numRef>
              <c:f>'G1'!$B$5:$G$5</c:f>
              <c:numCache>
                <c:formatCode>0.0</c:formatCode>
                <c:ptCount val="6"/>
                <c:pt idx="0">
                  <c:v>42.7</c:v>
                </c:pt>
                <c:pt idx="1">
                  <c:v>44</c:v>
                </c:pt>
                <c:pt idx="2">
                  <c:v>44.2</c:v>
                </c:pt>
                <c:pt idx="3">
                  <c:v>43.5</c:v>
                </c:pt>
                <c:pt idx="4">
                  <c:v>46.5</c:v>
                </c:pt>
                <c:pt idx="5">
                  <c:v>49.4</c:v>
                </c:pt>
              </c:numCache>
            </c:numRef>
          </c:val>
        </c:ser>
        <c:dLbls>
          <c:showLegendKey val="0"/>
          <c:showVal val="0"/>
          <c:showCatName val="0"/>
          <c:showSerName val="0"/>
          <c:showPercent val="0"/>
          <c:showBubbleSize val="0"/>
        </c:dLbls>
        <c:gapWidth val="45"/>
        <c:overlap val="-5"/>
        <c:axId val="135990272"/>
        <c:axId val="136160384"/>
      </c:barChart>
      <c:lineChart>
        <c:grouping val="standard"/>
        <c:varyColors val="0"/>
        <c:ser>
          <c:idx val="2"/>
          <c:order val="1"/>
          <c:tx>
            <c:strRef>
              <c:f>'G1'!$A$7</c:f>
              <c:strCache>
                <c:ptCount val="1"/>
                <c:pt idx="0">
                  <c:v>% z celkových výdajů domácností</c:v>
                </c:pt>
              </c:strCache>
            </c:strRef>
          </c:tx>
          <c:spPr>
            <a:ln>
              <a:solidFill>
                <a:srgbClr val="FFC000"/>
              </a:solidFill>
            </a:ln>
          </c:spPr>
          <c:marker>
            <c:symbol val="triangle"/>
            <c:size val="6"/>
            <c:spPr>
              <a:solidFill>
                <a:srgbClr val="FFC000"/>
              </a:solidFill>
              <a:ln w="3175">
                <a:solidFill>
                  <a:srgbClr val="FF0000"/>
                </a:solidFill>
              </a:ln>
            </c:spPr>
          </c:marker>
          <c:dLbls>
            <c:dLblPos val="t"/>
            <c:showLegendKey val="0"/>
            <c:showVal val="1"/>
            <c:showCatName val="0"/>
            <c:showSerName val="0"/>
            <c:showPercent val="0"/>
            <c:showBubbleSize val="0"/>
            <c:showLeaderLines val="0"/>
          </c:dLbls>
          <c:cat>
            <c:strRef>
              <c:f>'G1'!$B$4:$G$4</c:f>
              <c:strCache>
                <c:ptCount val="6"/>
                <c:pt idx="0">
                  <c:v>2010</c:v>
                </c:pt>
                <c:pt idx="1">
                  <c:v>2011</c:v>
                </c:pt>
                <c:pt idx="2">
                  <c:v>2012</c:v>
                </c:pt>
                <c:pt idx="3">
                  <c:v>2013</c:v>
                </c:pt>
                <c:pt idx="4">
                  <c:v>2014</c:v>
                </c:pt>
                <c:pt idx="5">
                  <c:v>2015</c:v>
                </c:pt>
              </c:strCache>
            </c:strRef>
          </c:cat>
          <c:val>
            <c:numRef>
              <c:f>'G1'!$B$7:$G$7</c:f>
              <c:numCache>
                <c:formatCode>0.0%</c:formatCode>
                <c:ptCount val="6"/>
                <c:pt idx="0">
                  <c:v>2.224025517437506E-2</c:v>
                </c:pt>
                <c:pt idx="1">
                  <c:v>2.2477925655282619E-2</c:v>
                </c:pt>
                <c:pt idx="2">
                  <c:v>2.2430081073071321E-2</c:v>
                </c:pt>
                <c:pt idx="3">
                  <c:v>2.1734405564007825E-2</c:v>
                </c:pt>
                <c:pt idx="4">
                  <c:v>2.2777213381833288E-2</c:v>
                </c:pt>
                <c:pt idx="5">
                  <c:v>2.3417482999808014E-2</c:v>
                </c:pt>
              </c:numCache>
            </c:numRef>
          </c:val>
          <c:smooth val="0"/>
        </c:ser>
        <c:ser>
          <c:idx val="1"/>
          <c:order val="2"/>
          <c:tx>
            <c:strRef>
              <c:f>'G1'!$A$6</c:f>
              <c:strCache>
                <c:ptCount val="1"/>
                <c:pt idx="0">
                  <c:v>% z celkových výdajů na zdravotní péči</c:v>
                </c:pt>
              </c:strCache>
            </c:strRef>
          </c:tx>
          <c:spPr>
            <a:ln>
              <a:solidFill>
                <a:srgbClr val="187BB8"/>
              </a:solidFill>
              <a:prstDash val="solid"/>
            </a:ln>
          </c:spPr>
          <c:marker>
            <c:symbol val="diamond"/>
            <c:size val="6"/>
            <c:spPr>
              <a:solidFill>
                <a:srgbClr val="187BB8"/>
              </a:solidFill>
              <a:ln w="3175">
                <a:solidFill>
                  <a:sysClr val="windowText" lastClr="000000"/>
                </a:solidFill>
              </a:ln>
            </c:spPr>
          </c:marker>
          <c:dLbls>
            <c:dLblPos val="t"/>
            <c:showLegendKey val="0"/>
            <c:showVal val="1"/>
            <c:showCatName val="0"/>
            <c:showSerName val="0"/>
            <c:showPercent val="0"/>
            <c:showBubbleSize val="0"/>
            <c:showLeaderLines val="0"/>
          </c:dLbls>
          <c:cat>
            <c:strRef>
              <c:f>'G1'!$B$4:$G$4</c:f>
              <c:strCache>
                <c:ptCount val="6"/>
                <c:pt idx="0">
                  <c:v>2010</c:v>
                </c:pt>
                <c:pt idx="1">
                  <c:v>2011</c:v>
                </c:pt>
                <c:pt idx="2">
                  <c:v>2012</c:v>
                </c:pt>
                <c:pt idx="3">
                  <c:v>2013</c:v>
                </c:pt>
                <c:pt idx="4">
                  <c:v>2014</c:v>
                </c:pt>
                <c:pt idx="5">
                  <c:v>2015</c:v>
                </c:pt>
              </c:strCache>
            </c:strRef>
          </c:cat>
          <c:val>
            <c:numRef>
              <c:f>'G1'!$B$6:$G$6</c:f>
              <c:numCache>
                <c:formatCode>0.0%</c:formatCode>
                <c:ptCount val="6"/>
                <c:pt idx="0">
                  <c:v>0.12562518387761107</c:v>
                </c:pt>
                <c:pt idx="1">
                  <c:v>0.12835472578763127</c:v>
                </c:pt>
                <c:pt idx="2">
                  <c:v>0.12715765247410818</c:v>
                </c:pt>
                <c:pt idx="3">
                  <c:v>0.12467755803955288</c:v>
                </c:pt>
                <c:pt idx="4">
                  <c:v>0.1327054794520548</c:v>
                </c:pt>
                <c:pt idx="5">
                  <c:v>0.13798882681564245</c:v>
                </c:pt>
              </c:numCache>
            </c:numRef>
          </c:val>
          <c:smooth val="0"/>
        </c:ser>
        <c:dLbls>
          <c:showLegendKey val="0"/>
          <c:showVal val="0"/>
          <c:showCatName val="0"/>
          <c:showSerName val="0"/>
          <c:showPercent val="0"/>
          <c:showBubbleSize val="0"/>
        </c:dLbls>
        <c:marker val="1"/>
        <c:smooth val="0"/>
        <c:axId val="135990784"/>
        <c:axId val="136160960"/>
      </c:lineChart>
      <c:catAx>
        <c:axId val="135990272"/>
        <c:scaling>
          <c:orientation val="minMax"/>
        </c:scaling>
        <c:delete val="0"/>
        <c:axPos val="b"/>
        <c:numFmt formatCode="General" sourceLinked="1"/>
        <c:majorTickMark val="none"/>
        <c:minorTickMark val="none"/>
        <c:tickLblPos val="nextTo"/>
        <c:txPr>
          <a:bodyPr rot="0" vert="horz"/>
          <a:lstStyle/>
          <a:p>
            <a:pPr>
              <a:defRPr/>
            </a:pPr>
            <a:endParaRPr lang="cs-CZ"/>
          </a:p>
        </c:txPr>
        <c:crossAx val="136160384"/>
        <c:crosses val="autoZero"/>
        <c:auto val="1"/>
        <c:lblAlgn val="ctr"/>
        <c:lblOffset val="100"/>
        <c:noMultiLvlLbl val="0"/>
      </c:catAx>
      <c:valAx>
        <c:axId val="136160384"/>
        <c:scaling>
          <c:orientation val="minMax"/>
          <c:max val="70"/>
          <c:min val="0"/>
        </c:scaling>
        <c:delete val="0"/>
        <c:axPos val="l"/>
        <c:majorGridlines>
          <c:spPr>
            <a:ln>
              <a:solidFill>
                <a:schemeClr val="bg1">
                  <a:lumMod val="65000"/>
                </a:schemeClr>
              </a:solidFill>
              <a:prstDash val="sysDash"/>
            </a:ln>
          </c:spPr>
        </c:majorGridlines>
        <c:numFmt formatCode="0" sourceLinked="0"/>
        <c:majorTickMark val="none"/>
        <c:minorTickMark val="none"/>
        <c:tickLblPos val="nextTo"/>
        <c:spPr>
          <a:ln w="3175">
            <a:solidFill>
              <a:schemeClr val="bg1">
                <a:lumMod val="75000"/>
              </a:schemeClr>
            </a:solidFill>
          </a:ln>
        </c:spPr>
        <c:txPr>
          <a:bodyPr/>
          <a:lstStyle/>
          <a:p>
            <a:pPr>
              <a:defRPr>
                <a:solidFill>
                  <a:sysClr val="windowText" lastClr="000000"/>
                </a:solidFill>
              </a:defRPr>
            </a:pPr>
            <a:endParaRPr lang="cs-CZ"/>
          </a:p>
        </c:txPr>
        <c:crossAx val="135990272"/>
        <c:crosses val="autoZero"/>
        <c:crossBetween val="between"/>
        <c:majorUnit val="10"/>
        <c:minorUnit val="1"/>
      </c:valAx>
      <c:valAx>
        <c:axId val="136160960"/>
        <c:scaling>
          <c:orientation val="minMax"/>
          <c:max val="0.18000000000000002"/>
          <c:min val="0"/>
        </c:scaling>
        <c:delete val="0"/>
        <c:axPos val="r"/>
        <c:numFmt formatCode="0%" sourceLinked="0"/>
        <c:majorTickMark val="none"/>
        <c:minorTickMark val="none"/>
        <c:tickLblPos val="nextTo"/>
        <c:spPr>
          <a:ln w="3175">
            <a:solidFill>
              <a:schemeClr val="bg1">
                <a:lumMod val="75000"/>
              </a:schemeClr>
            </a:solidFill>
          </a:ln>
        </c:spPr>
        <c:crossAx val="135990784"/>
        <c:crosses val="max"/>
        <c:crossBetween val="between"/>
        <c:majorUnit val="2.0000000000000004E-2"/>
        <c:minorUnit val="1.0000000000000013E-4"/>
      </c:valAx>
      <c:catAx>
        <c:axId val="135990784"/>
        <c:scaling>
          <c:orientation val="minMax"/>
        </c:scaling>
        <c:delete val="1"/>
        <c:axPos val="b"/>
        <c:numFmt formatCode="General" sourceLinked="1"/>
        <c:majorTickMark val="out"/>
        <c:minorTickMark val="none"/>
        <c:tickLblPos val="none"/>
        <c:crossAx val="136160960"/>
        <c:crosses val="autoZero"/>
        <c:auto val="1"/>
        <c:lblAlgn val="ctr"/>
        <c:lblOffset val="100"/>
        <c:noMultiLvlLbl val="0"/>
      </c:catAx>
      <c:spPr>
        <a:solidFill>
          <a:schemeClr val="bg1"/>
        </a:solidFill>
        <a:ln>
          <a:noFill/>
        </a:ln>
      </c:spPr>
    </c:plotArea>
    <c:legend>
      <c:legendPos val="b"/>
      <c:layout>
        <c:manualLayout>
          <c:xMode val="edge"/>
          <c:yMode val="edge"/>
          <c:x val="4.8266840277777785E-2"/>
          <c:y val="0.86899930612121756"/>
          <c:w val="0.91669548611111107"/>
          <c:h val="0.10801218813165596"/>
        </c:manualLayout>
      </c:layout>
      <c:overlay val="0"/>
      <c:spPr>
        <a:solidFill>
          <a:schemeClr val="bg1"/>
        </a:solidFill>
        <a:ln>
          <a:noFill/>
        </a:ln>
      </c:spPr>
    </c:legend>
    <c:plotVisOnly val="1"/>
    <c:dispBlanksAs val="gap"/>
    <c:showDLblsOverMax val="0"/>
  </c:chart>
  <c:spPr>
    <a:solidFill>
      <a:schemeClr val="bg1"/>
    </a:solidFill>
    <a:ln>
      <a:noFill/>
    </a:ln>
  </c:spPr>
  <c:txPr>
    <a:bodyPr/>
    <a:lstStyle/>
    <a:p>
      <a:pPr>
        <a:defRPr sz="800">
          <a:latin typeface="Arial" panose="020B0604020202020204" pitchFamily="34" charset="0"/>
          <a:cs typeface="Arial" panose="020B0604020202020204" pitchFamily="34" charset="0"/>
        </a:defRPr>
      </a:pPr>
      <a:endParaRPr lang="cs-CZ"/>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46371640818978"/>
          <c:y val="0.17643549101816847"/>
          <c:w val="0.48824690556036437"/>
          <c:h val="0.79522950540273352"/>
        </c:manualLayout>
      </c:layout>
      <c:pieChart>
        <c:varyColors val="1"/>
        <c:ser>
          <c:idx val="0"/>
          <c:order val="0"/>
          <c:spPr>
            <a:ln>
              <a:solidFill>
                <a:sysClr val="window" lastClr="FFFFFF">
                  <a:lumMod val="50000"/>
                </a:sysClr>
              </a:solidFill>
            </a:ln>
          </c:spPr>
          <c:dPt>
            <c:idx val="0"/>
            <c:bubble3D val="0"/>
            <c:spPr>
              <a:solidFill>
                <a:srgbClr val="FFFF8C"/>
              </a:solidFill>
              <a:ln>
                <a:solidFill>
                  <a:sysClr val="window" lastClr="FFFFFF">
                    <a:lumMod val="50000"/>
                  </a:sysClr>
                </a:solidFill>
              </a:ln>
            </c:spPr>
          </c:dPt>
          <c:dPt>
            <c:idx val="1"/>
            <c:bubble3D val="0"/>
            <c:spPr>
              <a:solidFill>
                <a:srgbClr val="92D050"/>
              </a:solidFill>
              <a:ln>
                <a:solidFill>
                  <a:sysClr val="window" lastClr="FFFFFF">
                    <a:lumMod val="50000"/>
                  </a:sysClr>
                </a:solidFill>
              </a:ln>
            </c:spPr>
          </c:dPt>
          <c:dPt>
            <c:idx val="2"/>
            <c:bubble3D val="0"/>
            <c:spPr>
              <a:solidFill>
                <a:srgbClr val="0071BC"/>
              </a:solidFill>
              <a:ln>
                <a:solidFill>
                  <a:sysClr val="window" lastClr="FFFFFF">
                    <a:lumMod val="50000"/>
                  </a:sysClr>
                </a:solidFill>
              </a:ln>
            </c:spPr>
          </c:dPt>
          <c:dPt>
            <c:idx val="3"/>
            <c:bubble3D val="0"/>
            <c:spPr>
              <a:solidFill>
                <a:srgbClr val="D96D7F"/>
              </a:solidFill>
              <a:ln>
                <a:solidFill>
                  <a:sysClr val="window" lastClr="FFFFFF">
                    <a:lumMod val="50000"/>
                  </a:sysClr>
                </a:solidFill>
              </a:ln>
            </c:spPr>
          </c:dPt>
          <c:dPt>
            <c:idx val="4"/>
            <c:bubble3D val="0"/>
            <c:spPr>
              <a:solidFill>
                <a:srgbClr val="FFC000"/>
              </a:solidFill>
              <a:ln>
                <a:solidFill>
                  <a:sysClr val="window" lastClr="FFFFFF">
                    <a:lumMod val="50000"/>
                  </a:sysClr>
                </a:solidFill>
              </a:ln>
            </c:spPr>
          </c:dPt>
          <c:dLbls>
            <c:dLbl>
              <c:idx val="0"/>
              <c:layout>
                <c:manualLayout>
                  <c:x val="-3.9019579074354876E-3"/>
                  <c:y val="-5.2434469299470826E-3"/>
                </c:manualLayout>
              </c:layout>
              <c:showLegendKey val="0"/>
              <c:showVal val="0"/>
              <c:showCatName val="1"/>
              <c:showSerName val="0"/>
              <c:showPercent val="1"/>
              <c:showBubbleSize val="0"/>
            </c:dLbl>
            <c:dLbl>
              <c:idx val="1"/>
              <c:layout>
                <c:manualLayout>
                  <c:x val="4.0335118645997453E-2"/>
                  <c:y val="-2.2333571939871177E-3"/>
                </c:manualLayout>
              </c:layout>
              <c:tx>
                <c:rich>
                  <a:bodyPr/>
                  <a:lstStyle/>
                  <a:p>
                    <a:r>
                      <a:rPr lang="en-US"/>
                      <a:t>Ambulantní péče
(léčebná, rehabilitační)
1</a:t>
                    </a:r>
                    <a:r>
                      <a:rPr lang="cs-CZ"/>
                      <a:t>4</a:t>
                    </a:r>
                    <a:r>
                      <a:rPr lang="en-US"/>
                      <a:t>%</a:t>
                    </a:r>
                  </a:p>
                </c:rich>
              </c:tx>
              <c:showLegendKey val="0"/>
              <c:showVal val="0"/>
              <c:showCatName val="1"/>
              <c:showSerName val="0"/>
              <c:showPercent val="1"/>
              <c:showBubbleSize val="0"/>
            </c:dLbl>
            <c:dLbl>
              <c:idx val="2"/>
              <c:layout>
                <c:manualLayout>
                  <c:x val="4.8426285115381246E-2"/>
                  <c:y val="3.5614002795105189E-2"/>
                </c:manualLayout>
              </c:layout>
              <c:tx>
                <c:rich>
                  <a:bodyPr/>
                  <a:lstStyle/>
                  <a:p>
                    <a:r>
                      <a:rPr lang="en-US"/>
                      <a:t>Stomatologická ambulantní péče
</a:t>
                    </a:r>
                    <a:r>
                      <a:rPr lang="cs-CZ"/>
                      <a:t>19</a:t>
                    </a:r>
                    <a:r>
                      <a:rPr lang="en-US"/>
                      <a:t>%</a:t>
                    </a:r>
                  </a:p>
                </c:rich>
              </c:tx>
              <c:showLegendKey val="0"/>
              <c:showVal val="0"/>
              <c:showCatName val="1"/>
              <c:showSerName val="0"/>
              <c:showPercent val="1"/>
              <c:showBubbleSize val="0"/>
            </c:dLbl>
            <c:dLbl>
              <c:idx val="3"/>
              <c:layout>
                <c:manualLayout>
                  <c:x val="-3.9505358449373112E-2"/>
                  <c:y val="3.5616457033779882E-3"/>
                </c:manualLayout>
              </c:layout>
              <c:tx>
                <c:rich>
                  <a:bodyPr/>
                  <a:lstStyle/>
                  <a:p>
                    <a:r>
                      <a:rPr lang="en-US" sz="800">
                        <a:latin typeface="Arial" panose="020B0604020202020204" pitchFamily="34" charset="0"/>
                        <a:cs typeface="Arial" panose="020B0604020202020204" pitchFamily="34" charset="0"/>
                      </a:rPr>
                      <a:t>Léčiva a zdravotnický materiál </a:t>
                    </a:r>
                    <a:endParaRPr lang="cs-CZ" sz="800">
                      <a:latin typeface="Arial" panose="020B0604020202020204" pitchFamily="34" charset="0"/>
                      <a:cs typeface="Arial" panose="020B0604020202020204" pitchFamily="34" charset="0"/>
                    </a:endParaRPr>
                  </a:p>
                  <a:p>
                    <a:r>
                      <a:rPr lang="cs-CZ" sz="800">
                        <a:latin typeface="Arial" panose="020B0604020202020204" pitchFamily="34" charset="0"/>
                        <a:cs typeface="Arial" panose="020B0604020202020204" pitchFamily="34" charset="0"/>
                      </a:rPr>
                      <a:t>48</a:t>
                    </a:r>
                    <a:r>
                      <a:rPr lang="en-US" sz="800">
                        <a:latin typeface="Arial" panose="020B0604020202020204" pitchFamily="34" charset="0"/>
                        <a:cs typeface="Arial" panose="020B0604020202020204" pitchFamily="34" charset="0"/>
                      </a:rPr>
                      <a:t>%</a:t>
                    </a:r>
                  </a:p>
                </c:rich>
              </c:tx>
              <c:showLegendKey val="0"/>
              <c:showVal val="0"/>
              <c:showCatName val="1"/>
              <c:showSerName val="0"/>
              <c:showPercent val="1"/>
              <c:showBubbleSize val="0"/>
            </c:dLbl>
            <c:dLbl>
              <c:idx val="4"/>
              <c:layout>
                <c:manualLayout>
                  <c:x val="-3.9496652329473095E-2"/>
                  <c:y val="-2.1216893342877595E-2"/>
                </c:manualLayout>
              </c:layout>
              <c:tx>
                <c:rich>
                  <a:bodyPr/>
                  <a:lstStyle/>
                  <a:p>
                    <a:r>
                      <a:rPr lang="en-US"/>
                      <a:t>Terapeutické pomůcky
1</a:t>
                    </a:r>
                    <a:r>
                      <a:rPr lang="cs-CZ"/>
                      <a:t>2</a:t>
                    </a:r>
                    <a:r>
                      <a:rPr lang="en-US"/>
                      <a:t>%</a:t>
                    </a:r>
                  </a:p>
                </c:rich>
              </c:tx>
              <c:showLegendKey val="0"/>
              <c:showVal val="0"/>
              <c:showCatName val="1"/>
              <c:showSerName val="0"/>
              <c:showPercent val="1"/>
              <c:showBubbleSize val="0"/>
            </c:dLbl>
            <c:txPr>
              <a:bodyPr/>
              <a:lstStyle/>
              <a:p>
                <a:pPr>
                  <a:defRPr sz="800"/>
                </a:pPr>
                <a:endParaRPr lang="cs-CZ"/>
              </a:p>
            </c:txPr>
            <c:showLegendKey val="0"/>
            <c:showVal val="0"/>
            <c:showCatName val="1"/>
            <c:showSerName val="0"/>
            <c:showPercent val="1"/>
            <c:showBubbleSize val="0"/>
            <c:showLeaderLines val="0"/>
          </c:dLbls>
          <c:cat>
            <c:strRef>
              <c:f>'G2+tabulka 1'!$L$14:$L$18</c:f>
              <c:strCache>
                <c:ptCount val="5"/>
                <c:pt idx="0">
                  <c:v>Lůžková péče
(léčebná, rehabilitační, dlouhodobá)</c:v>
                </c:pt>
                <c:pt idx="1">
                  <c:v>Ambulantní péče
(léčebná, rehabilitační)</c:v>
                </c:pt>
                <c:pt idx="2">
                  <c:v>Stomatologická ambulantní péče</c:v>
                </c:pt>
                <c:pt idx="3">
                  <c:v>Léčiva a zdravotnický materiál</c:v>
                </c:pt>
                <c:pt idx="4">
                  <c:v>Terapeutické pomůcky</c:v>
                </c:pt>
              </c:strCache>
            </c:strRef>
          </c:cat>
          <c:val>
            <c:numRef>
              <c:f>'G2+tabulka 1'!$M$14:$M$18</c:f>
              <c:numCache>
                <c:formatCode>#,##0</c:formatCode>
                <c:ptCount val="5"/>
                <c:pt idx="0">
                  <c:v>3044</c:v>
                </c:pt>
                <c:pt idx="1">
                  <c:v>5711</c:v>
                </c:pt>
                <c:pt idx="2">
                  <c:v>8908</c:v>
                </c:pt>
                <c:pt idx="3">
                  <c:v>22390</c:v>
                </c:pt>
                <c:pt idx="4">
                  <c:v>4990</c:v>
                </c:pt>
              </c:numCache>
            </c:numRef>
          </c:val>
        </c:ser>
        <c:ser>
          <c:idx val="1"/>
          <c:order val="1"/>
          <c:cat>
            <c:strRef>
              <c:f>'G2+tabulka 1'!$L$14:$L$18</c:f>
              <c:strCache>
                <c:ptCount val="5"/>
                <c:pt idx="0">
                  <c:v>Lůžková péče
(léčebná, rehabilitační, dlouhodobá)</c:v>
                </c:pt>
                <c:pt idx="1">
                  <c:v>Ambulantní péče
(léčebná, rehabilitační)</c:v>
                </c:pt>
                <c:pt idx="2">
                  <c:v>Stomatologická ambulantní péče</c:v>
                </c:pt>
                <c:pt idx="3">
                  <c:v>Léčiva a zdravotnický materiál</c:v>
                </c:pt>
                <c:pt idx="4">
                  <c:v>Terapeutické pomůcky</c:v>
                </c:pt>
              </c:strCache>
            </c:strRef>
          </c:cat>
          <c:val>
            <c:numRef>
              <c:f>'G2+tabulka 1'!$N$14:$N$18</c:f>
              <c:numCache>
                <c:formatCode>0</c:formatCode>
                <c:ptCount val="5"/>
                <c:pt idx="0">
                  <c:v>6.7579868126012821</c:v>
                </c:pt>
                <c:pt idx="1">
                  <c:v>12</c:v>
                </c:pt>
                <c:pt idx="2">
                  <c:v>19.776657860266852</c:v>
                </c:pt>
                <c:pt idx="3">
                  <c:v>49.708056745776261</c:v>
                </c:pt>
                <c:pt idx="4">
                  <c:v>11.078302954954149</c:v>
                </c:pt>
              </c:numCache>
            </c:numRef>
          </c:val>
        </c:ser>
        <c:dLbls>
          <c:showLegendKey val="0"/>
          <c:showVal val="0"/>
          <c:showCatName val="0"/>
          <c:showSerName val="0"/>
          <c:showPercent val="0"/>
          <c:showBubbleSize val="0"/>
          <c:showLeaderLines val="0"/>
        </c:dLbls>
        <c:firstSliceAng val="0"/>
      </c:pieChart>
    </c:plotArea>
    <c:plotVisOnly val="1"/>
    <c:dispBlanksAs val="zero"/>
    <c:showDLblsOverMax val="0"/>
  </c:chart>
  <c:spPr>
    <a:ln>
      <a:noFill/>
    </a:ln>
  </c:spPr>
  <c:txPr>
    <a:bodyPr/>
    <a:lstStyle/>
    <a:p>
      <a:pPr>
        <a:defRPr sz="900">
          <a:latin typeface="Arial" panose="020B0604020202020204" pitchFamily="34" charset="0"/>
          <a:cs typeface="Arial" panose="020B0604020202020204" pitchFamily="34" charset="0"/>
        </a:defRPr>
      </a:pPr>
      <a:endParaRPr lang="cs-CZ"/>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6501122106553299E-2"/>
          <c:y val="5.0925925925925923E-2"/>
          <c:w val="0.8927718572289205"/>
          <c:h val="0.75876275882181399"/>
        </c:manualLayout>
      </c:layout>
      <c:lineChart>
        <c:grouping val="standard"/>
        <c:varyColors val="0"/>
        <c:ser>
          <c:idx val="0"/>
          <c:order val="0"/>
          <c:tx>
            <c:strRef>
              <c:f>List2!$A$3</c:f>
              <c:strCache>
                <c:ptCount val="1"/>
                <c:pt idx="0">
                  <c:v>Léky na předpis</c:v>
                </c:pt>
              </c:strCache>
            </c:strRef>
          </c:tx>
          <c:spPr>
            <a:ln>
              <a:solidFill>
                <a:srgbClr val="0070C0"/>
              </a:solidFill>
            </a:ln>
          </c:spPr>
          <c:marker>
            <c:spPr>
              <a:solidFill>
                <a:srgbClr val="0070C0"/>
              </a:solidFill>
              <a:ln w="3175">
                <a:solidFill>
                  <a:schemeClr val="tx1"/>
                </a:solidFill>
              </a:ln>
            </c:spPr>
          </c:marker>
          <c:dLbls>
            <c:numFmt formatCode="#,##0" sourceLinked="0"/>
            <c:txPr>
              <a:bodyPr/>
              <a:lstStyle/>
              <a:p>
                <a:pPr>
                  <a:defRPr sz="800">
                    <a:latin typeface="Arial" panose="020B0604020202020204" pitchFamily="34" charset="0"/>
                    <a:cs typeface="Arial" panose="020B0604020202020204" pitchFamily="34" charset="0"/>
                  </a:defRPr>
                </a:pPr>
                <a:endParaRPr lang="cs-CZ"/>
              </a:p>
            </c:txPr>
            <c:dLblPos val="b"/>
            <c:showLegendKey val="0"/>
            <c:showVal val="1"/>
            <c:showCatName val="0"/>
            <c:showSerName val="0"/>
            <c:showPercent val="0"/>
            <c:showBubbleSize val="0"/>
            <c:showLeaderLines val="0"/>
          </c:dLbls>
          <c:cat>
            <c:numRef>
              <c:f>List2!$B$2:$G$2</c:f>
              <c:numCache>
                <c:formatCode>General</c:formatCode>
                <c:ptCount val="6"/>
                <c:pt idx="0">
                  <c:v>2010</c:v>
                </c:pt>
                <c:pt idx="1">
                  <c:v>2011</c:v>
                </c:pt>
                <c:pt idx="2">
                  <c:v>2012</c:v>
                </c:pt>
                <c:pt idx="3">
                  <c:v>2013</c:v>
                </c:pt>
                <c:pt idx="4">
                  <c:v>2014</c:v>
                </c:pt>
                <c:pt idx="5">
                  <c:v>2015</c:v>
                </c:pt>
              </c:numCache>
            </c:numRef>
          </c:cat>
          <c:val>
            <c:numRef>
              <c:f>List2!$B$3:$G$3</c:f>
              <c:numCache>
                <c:formatCode>General</c:formatCode>
                <c:ptCount val="6"/>
                <c:pt idx="0">
                  <c:v>8932</c:v>
                </c:pt>
                <c:pt idx="1">
                  <c:v>9439</c:v>
                </c:pt>
                <c:pt idx="2">
                  <c:v>9394</c:v>
                </c:pt>
                <c:pt idx="3">
                  <c:v>9303</c:v>
                </c:pt>
                <c:pt idx="4">
                  <c:v>9496</c:v>
                </c:pt>
                <c:pt idx="5">
                  <c:v>10121</c:v>
                </c:pt>
              </c:numCache>
            </c:numRef>
          </c:val>
          <c:smooth val="0"/>
        </c:ser>
        <c:ser>
          <c:idx val="1"/>
          <c:order val="1"/>
          <c:tx>
            <c:strRef>
              <c:f>List2!$A$4</c:f>
              <c:strCache>
                <c:ptCount val="1"/>
                <c:pt idx="0">
                  <c:v>Volně prodejné léky</c:v>
                </c:pt>
              </c:strCache>
            </c:strRef>
          </c:tx>
          <c:spPr>
            <a:ln>
              <a:solidFill>
                <a:srgbClr val="D96D7F"/>
              </a:solidFill>
            </a:ln>
          </c:spPr>
          <c:marker>
            <c:spPr>
              <a:solidFill>
                <a:srgbClr val="D96D7F"/>
              </a:solidFill>
              <a:ln>
                <a:solidFill>
                  <a:schemeClr val="accent2">
                    <a:lumMod val="75000"/>
                  </a:schemeClr>
                </a:solidFill>
              </a:ln>
            </c:spPr>
          </c:marker>
          <c:dLbls>
            <c:numFmt formatCode="#,##0" sourceLinked="0"/>
            <c:txPr>
              <a:bodyPr/>
              <a:lstStyle/>
              <a:p>
                <a:pPr>
                  <a:defRPr sz="800">
                    <a:latin typeface="Arial" panose="020B0604020202020204" pitchFamily="34" charset="0"/>
                    <a:cs typeface="Arial" panose="020B0604020202020204" pitchFamily="34" charset="0"/>
                  </a:defRPr>
                </a:pPr>
                <a:endParaRPr lang="cs-CZ"/>
              </a:p>
            </c:txPr>
            <c:dLblPos val="t"/>
            <c:showLegendKey val="0"/>
            <c:showVal val="1"/>
            <c:showCatName val="0"/>
            <c:showSerName val="0"/>
            <c:showPercent val="0"/>
            <c:showBubbleSize val="0"/>
            <c:showLeaderLines val="0"/>
          </c:dLbls>
          <c:cat>
            <c:numRef>
              <c:f>List2!$B$2:$G$2</c:f>
              <c:numCache>
                <c:formatCode>General</c:formatCode>
                <c:ptCount val="6"/>
                <c:pt idx="0">
                  <c:v>2010</c:v>
                </c:pt>
                <c:pt idx="1">
                  <c:v>2011</c:v>
                </c:pt>
                <c:pt idx="2">
                  <c:v>2012</c:v>
                </c:pt>
                <c:pt idx="3">
                  <c:v>2013</c:v>
                </c:pt>
                <c:pt idx="4">
                  <c:v>2014</c:v>
                </c:pt>
                <c:pt idx="5">
                  <c:v>2015</c:v>
                </c:pt>
              </c:numCache>
            </c:numRef>
          </c:cat>
          <c:val>
            <c:numRef>
              <c:f>List2!$B$4:$G$4</c:f>
              <c:numCache>
                <c:formatCode>General</c:formatCode>
                <c:ptCount val="6"/>
                <c:pt idx="0">
                  <c:v>11843</c:v>
                </c:pt>
                <c:pt idx="1">
                  <c:v>12262</c:v>
                </c:pt>
                <c:pt idx="2">
                  <c:v>12088</c:v>
                </c:pt>
                <c:pt idx="3">
                  <c:v>11179</c:v>
                </c:pt>
                <c:pt idx="4">
                  <c:v>12140</c:v>
                </c:pt>
                <c:pt idx="5">
                  <c:v>12744</c:v>
                </c:pt>
              </c:numCache>
            </c:numRef>
          </c:val>
          <c:smooth val="0"/>
        </c:ser>
        <c:ser>
          <c:idx val="2"/>
          <c:order val="2"/>
          <c:tx>
            <c:strRef>
              <c:f>List2!$A$5</c:f>
              <c:strCache>
                <c:ptCount val="1"/>
                <c:pt idx="0">
                  <c:v>Ostatní zdravotnický materiál a výrobky</c:v>
                </c:pt>
              </c:strCache>
            </c:strRef>
          </c:tx>
          <c:spPr>
            <a:ln>
              <a:solidFill>
                <a:srgbClr val="FFC000"/>
              </a:solidFill>
            </a:ln>
          </c:spPr>
          <c:marker>
            <c:spPr>
              <a:solidFill>
                <a:srgbClr val="FFC000"/>
              </a:solidFill>
              <a:ln w="3175">
                <a:solidFill>
                  <a:srgbClr val="FF0000"/>
                </a:solidFill>
              </a:ln>
            </c:spPr>
          </c:marker>
          <c:dLbls>
            <c:txPr>
              <a:bodyPr/>
              <a:lstStyle/>
              <a:p>
                <a:pPr>
                  <a:defRPr sz="800">
                    <a:latin typeface="Arial" panose="020B0604020202020204" pitchFamily="34" charset="0"/>
                    <a:cs typeface="Arial" panose="020B0604020202020204" pitchFamily="34" charset="0"/>
                  </a:defRPr>
                </a:pPr>
                <a:endParaRPr lang="cs-CZ"/>
              </a:p>
            </c:txPr>
            <c:dLblPos val="t"/>
            <c:showLegendKey val="0"/>
            <c:showVal val="1"/>
            <c:showCatName val="0"/>
            <c:showSerName val="0"/>
            <c:showPercent val="0"/>
            <c:showBubbleSize val="0"/>
            <c:showLeaderLines val="0"/>
          </c:dLbls>
          <c:cat>
            <c:numRef>
              <c:f>List2!$B$2:$G$2</c:f>
              <c:numCache>
                <c:formatCode>General</c:formatCode>
                <c:ptCount val="6"/>
                <c:pt idx="0">
                  <c:v>2010</c:v>
                </c:pt>
                <c:pt idx="1">
                  <c:v>2011</c:v>
                </c:pt>
                <c:pt idx="2">
                  <c:v>2012</c:v>
                </c:pt>
                <c:pt idx="3">
                  <c:v>2013</c:v>
                </c:pt>
                <c:pt idx="4">
                  <c:v>2014</c:v>
                </c:pt>
                <c:pt idx="5">
                  <c:v>2015</c:v>
                </c:pt>
              </c:numCache>
            </c:numRef>
          </c:cat>
          <c:val>
            <c:numRef>
              <c:f>List2!$B$5:$G$5</c:f>
              <c:numCache>
                <c:formatCode>General</c:formatCode>
                <c:ptCount val="6"/>
                <c:pt idx="0">
                  <c:v>605</c:v>
                </c:pt>
                <c:pt idx="1">
                  <c:v>646</c:v>
                </c:pt>
                <c:pt idx="2">
                  <c:v>681</c:v>
                </c:pt>
                <c:pt idx="3">
                  <c:v>620</c:v>
                </c:pt>
                <c:pt idx="4">
                  <c:v>628</c:v>
                </c:pt>
                <c:pt idx="5">
                  <c:v>670</c:v>
                </c:pt>
              </c:numCache>
            </c:numRef>
          </c:val>
          <c:smooth val="0"/>
        </c:ser>
        <c:dLbls>
          <c:showLegendKey val="0"/>
          <c:showVal val="0"/>
          <c:showCatName val="0"/>
          <c:showSerName val="0"/>
          <c:showPercent val="0"/>
          <c:showBubbleSize val="0"/>
        </c:dLbls>
        <c:marker val="1"/>
        <c:smooth val="0"/>
        <c:axId val="136349696"/>
        <c:axId val="136165568"/>
      </c:lineChart>
      <c:catAx>
        <c:axId val="136349696"/>
        <c:scaling>
          <c:orientation val="minMax"/>
        </c:scaling>
        <c:delete val="0"/>
        <c:axPos val="b"/>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36165568"/>
        <c:crosses val="autoZero"/>
        <c:auto val="1"/>
        <c:lblAlgn val="ctr"/>
        <c:lblOffset val="100"/>
        <c:noMultiLvlLbl val="0"/>
      </c:catAx>
      <c:valAx>
        <c:axId val="136165568"/>
        <c:scaling>
          <c:orientation val="minMax"/>
        </c:scaling>
        <c:delete val="0"/>
        <c:axPos val="l"/>
        <c:majorGridlines>
          <c:spPr>
            <a:ln>
              <a:solidFill>
                <a:schemeClr val="bg1">
                  <a:lumMod val="75000"/>
                </a:schemeClr>
              </a:solidFill>
            </a:ln>
          </c:spPr>
        </c:majorGridlines>
        <c:numFmt formatCode="#,##0" sourceLinked="0"/>
        <c:majorTickMark val="out"/>
        <c:minorTickMark val="none"/>
        <c:tickLblPos val="nextTo"/>
        <c:spPr>
          <a:ln>
            <a:solidFill>
              <a:schemeClr val="bg1">
                <a:lumMod val="75000"/>
              </a:schemeClr>
            </a:solidFill>
          </a:ln>
        </c:spPr>
        <c:txPr>
          <a:bodyPr/>
          <a:lstStyle/>
          <a:p>
            <a:pPr>
              <a:defRPr sz="800">
                <a:latin typeface="Arial" panose="020B0604020202020204" pitchFamily="34" charset="0"/>
                <a:cs typeface="Arial" panose="020B0604020202020204" pitchFamily="34" charset="0"/>
              </a:defRPr>
            </a:pPr>
            <a:endParaRPr lang="cs-CZ"/>
          </a:p>
        </c:txPr>
        <c:crossAx val="136349696"/>
        <c:crosses val="autoZero"/>
        <c:crossBetween val="between"/>
      </c:valAx>
      <c:spPr>
        <a:ln>
          <a:noFill/>
        </a:ln>
      </c:spPr>
    </c:plotArea>
    <c:legend>
      <c:legendPos val="b"/>
      <c:layout/>
      <c:overlay val="0"/>
      <c:txPr>
        <a:bodyPr/>
        <a:lstStyle/>
        <a:p>
          <a:pPr>
            <a:defRPr sz="800">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5674189051727392E-2"/>
          <c:y val="2.75338828260503E-2"/>
          <c:w val="0.9443258109482735"/>
          <c:h val="0.79880707893969394"/>
        </c:manualLayout>
      </c:layout>
      <c:barChart>
        <c:barDir val="col"/>
        <c:grouping val="stacked"/>
        <c:varyColors val="0"/>
        <c:ser>
          <c:idx val="0"/>
          <c:order val="0"/>
          <c:tx>
            <c:strRef>
              <c:f>'graf 4'!$A$6</c:f>
              <c:strCache>
                <c:ptCount val="1"/>
                <c:pt idx="0">
                  <c:v> Poplatky za pohotovost</c:v>
                </c:pt>
              </c:strCache>
            </c:strRef>
          </c:tx>
          <c:spPr>
            <a:solidFill>
              <a:srgbClr val="FFC000"/>
            </a:solidFill>
            <a:ln>
              <a:solidFill>
                <a:sysClr val="window" lastClr="FFFFFF">
                  <a:lumMod val="50000"/>
                </a:sysClr>
              </a:solidFill>
            </a:ln>
          </c:spPr>
          <c:invertIfNegative val="0"/>
          <c:dLbls>
            <c:dLbl>
              <c:idx val="7"/>
              <c:layout>
                <c:manualLayout>
                  <c:x val="6.1823802163831574E-3"/>
                  <c:y val="-4.0200997955482133E-2"/>
                </c:manualLayout>
              </c:layout>
              <c:showLegendKey val="0"/>
              <c:showVal val="1"/>
              <c:showCatName val="0"/>
              <c:showSerName val="0"/>
              <c:showPercent val="0"/>
              <c:showBubbleSize val="0"/>
            </c:dLbl>
            <c:txPr>
              <a:bodyPr/>
              <a:lstStyle/>
              <a:p>
                <a:pPr>
                  <a:defRPr sz="800" b="1">
                    <a:latin typeface="Arial" panose="020B0604020202020204" pitchFamily="34" charset="0"/>
                    <a:cs typeface="Arial" panose="020B0604020202020204" pitchFamily="34" charset="0"/>
                  </a:defRPr>
                </a:pPr>
                <a:endParaRPr lang="cs-CZ"/>
              </a:p>
            </c:txPr>
            <c:showLegendKey val="0"/>
            <c:showVal val="0"/>
            <c:showCatName val="0"/>
            <c:showSerName val="0"/>
            <c:showPercent val="0"/>
            <c:showBubbleSize val="0"/>
          </c:dLbls>
          <c:cat>
            <c:numRef>
              <c:f>'graf 4'!$B$2:$I$2</c:f>
              <c:numCache>
                <c:formatCode>General</c:formatCode>
                <c:ptCount val="8"/>
                <c:pt idx="0">
                  <c:v>2008</c:v>
                </c:pt>
                <c:pt idx="1">
                  <c:v>2009</c:v>
                </c:pt>
                <c:pt idx="2">
                  <c:v>2010</c:v>
                </c:pt>
                <c:pt idx="3">
                  <c:v>2011</c:v>
                </c:pt>
                <c:pt idx="4">
                  <c:v>2012</c:v>
                </c:pt>
                <c:pt idx="5">
                  <c:v>2013</c:v>
                </c:pt>
                <c:pt idx="6">
                  <c:v>2014</c:v>
                </c:pt>
                <c:pt idx="7">
                  <c:v>2015</c:v>
                </c:pt>
              </c:numCache>
            </c:numRef>
          </c:cat>
          <c:val>
            <c:numRef>
              <c:f>'graf 4'!$B$6:$I$6</c:f>
              <c:numCache>
                <c:formatCode>General</c:formatCode>
                <c:ptCount val="8"/>
                <c:pt idx="0">
                  <c:v>178</c:v>
                </c:pt>
                <c:pt idx="1">
                  <c:v>208</c:v>
                </c:pt>
                <c:pt idx="2">
                  <c:v>191</c:v>
                </c:pt>
                <c:pt idx="3">
                  <c:v>180</c:v>
                </c:pt>
                <c:pt idx="4">
                  <c:v>179</c:v>
                </c:pt>
                <c:pt idx="5">
                  <c:v>182</c:v>
                </c:pt>
                <c:pt idx="6">
                  <c:v>187</c:v>
                </c:pt>
                <c:pt idx="7">
                  <c:v>192</c:v>
                </c:pt>
              </c:numCache>
            </c:numRef>
          </c:val>
        </c:ser>
        <c:ser>
          <c:idx val="2"/>
          <c:order val="1"/>
          <c:tx>
            <c:strRef>
              <c:f>'graf 4'!$A$4</c:f>
              <c:strCache>
                <c:ptCount val="1"/>
                <c:pt idx="0">
                  <c:v> Poplatky za návštěvu lékaře</c:v>
                </c:pt>
              </c:strCache>
            </c:strRef>
          </c:tx>
          <c:spPr>
            <a:solidFill>
              <a:srgbClr val="0071BC"/>
            </a:solidFill>
            <a:ln>
              <a:solidFill>
                <a:sysClr val="window" lastClr="FFFFFF">
                  <a:lumMod val="50000"/>
                </a:sysClr>
              </a:solidFill>
            </a:ln>
          </c:spPr>
          <c:invertIfNegative val="0"/>
          <c:dLbls>
            <c:dLbl>
              <c:idx val="7"/>
              <c:delete val="1"/>
            </c:dLbl>
            <c:txPr>
              <a:bodyPr/>
              <a:lstStyle/>
              <a:p>
                <a:pPr>
                  <a:defRPr sz="800">
                    <a:solidFill>
                      <a:schemeClr val="bg1"/>
                    </a:solidFill>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dLbls>
          <c:cat>
            <c:numRef>
              <c:f>'graf 4'!$B$2:$I$2</c:f>
              <c:numCache>
                <c:formatCode>General</c:formatCode>
                <c:ptCount val="8"/>
                <c:pt idx="0">
                  <c:v>2008</c:v>
                </c:pt>
                <c:pt idx="1">
                  <c:v>2009</c:v>
                </c:pt>
                <c:pt idx="2">
                  <c:v>2010</c:v>
                </c:pt>
                <c:pt idx="3">
                  <c:v>2011</c:v>
                </c:pt>
                <c:pt idx="4">
                  <c:v>2012</c:v>
                </c:pt>
                <c:pt idx="5">
                  <c:v>2013</c:v>
                </c:pt>
                <c:pt idx="6">
                  <c:v>2014</c:v>
                </c:pt>
                <c:pt idx="7">
                  <c:v>2015</c:v>
                </c:pt>
              </c:numCache>
            </c:numRef>
          </c:cat>
          <c:val>
            <c:numRef>
              <c:f>'graf 4'!$B$4:$I$4</c:f>
              <c:numCache>
                <c:formatCode>#,##0</c:formatCode>
                <c:ptCount val="8"/>
                <c:pt idx="0">
                  <c:v>1806</c:v>
                </c:pt>
                <c:pt idx="1">
                  <c:v>1650</c:v>
                </c:pt>
                <c:pt idx="2">
                  <c:v>1530</c:v>
                </c:pt>
                <c:pt idx="3">
                  <c:v>1374</c:v>
                </c:pt>
                <c:pt idx="4">
                  <c:v>1474</c:v>
                </c:pt>
                <c:pt idx="5">
                  <c:v>1505</c:v>
                </c:pt>
                <c:pt idx="6">
                  <c:v>1502</c:v>
                </c:pt>
                <c:pt idx="7">
                  <c:v>0</c:v>
                </c:pt>
              </c:numCache>
            </c:numRef>
          </c:val>
        </c:ser>
        <c:ser>
          <c:idx val="3"/>
          <c:order val="2"/>
          <c:tx>
            <c:strRef>
              <c:f>'graf 4'!$A$3</c:f>
              <c:strCache>
                <c:ptCount val="1"/>
                <c:pt idx="0">
                  <c:v> Poplatky za recept</c:v>
                </c:pt>
              </c:strCache>
            </c:strRef>
          </c:tx>
          <c:spPr>
            <a:solidFill>
              <a:srgbClr val="D96D7F"/>
            </a:solidFill>
            <a:ln>
              <a:solidFill>
                <a:sysClr val="window" lastClr="FFFFFF">
                  <a:lumMod val="50000"/>
                </a:sysClr>
              </a:solidFill>
            </a:ln>
          </c:spPr>
          <c:invertIfNegative val="0"/>
          <c:dLbls>
            <c:txPr>
              <a:bodyPr/>
              <a:lstStyle/>
              <a:p>
                <a:pPr>
                  <a:defRPr sz="800">
                    <a:solidFill>
                      <a:schemeClr val="bg1"/>
                    </a:solidFill>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dLbls>
          <c:cat>
            <c:numRef>
              <c:f>'graf 4'!$B$2:$I$2</c:f>
              <c:numCache>
                <c:formatCode>General</c:formatCode>
                <c:ptCount val="8"/>
                <c:pt idx="0">
                  <c:v>2008</c:v>
                </c:pt>
                <c:pt idx="1">
                  <c:v>2009</c:v>
                </c:pt>
                <c:pt idx="2">
                  <c:v>2010</c:v>
                </c:pt>
                <c:pt idx="3">
                  <c:v>2011</c:v>
                </c:pt>
                <c:pt idx="4">
                  <c:v>2012</c:v>
                </c:pt>
                <c:pt idx="5">
                  <c:v>2013</c:v>
                </c:pt>
                <c:pt idx="6">
                  <c:v>2014</c:v>
                </c:pt>
                <c:pt idx="7">
                  <c:v>2015</c:v>
                </c:pt>
              </c:numCache>
            </c:numRef>
          </c:cat>
          <c:val>
            <c:numRef>
              <c:f>'graf 4'!$B$3:$H$3</c:f>
              <c:numCache>
                <c:formatCode>#,##0</c:formatCode>
                <c:ptCount val="7"/>
                <c:pt idx="0">
                  <c:v>2411</c:v>
                </c:pt>
                <c:pt idx="1">
                  <c:v>2659</c:v>
                </c:pt>
                <c:pt idx="2">
                  <c:v>2657</c:v>
                </c:pt>
                <c:pt idx="3">
                  <c:v>2458</c:v>
                </c:pt>
                <c:pt idx="4">
                  <c:v>1858</c:v>
                </c:pt>
                <c:pt idx="5">
                  <c:v>2058</c:v>
                </c:pt>
                <c:pt idx="6">
                  <c:v>2256</c:v>
                </c:pt>
              </c:numCache>
            </c:numRef>
          </c:val>
        </c:ser>
        <c:ser>
          <c:idx val="1"/>
          <c:order val="3"/>
          <c:tx>
            <c:strRef>
              <c:f>'graf 4'!$A$5</c:f>
              <c:strCache>
                <c:ptCount val="1"/>
                <c:pt idx="0">
                  <c:v> Poplatky za hospitalizaci</c:v>
                </c:pt>
              </c:strCache>
            </c:strRef>
          </c:tx>
          <c:spPr>
            <a:solidFill>
              <a:srgbClr val="92D050"/>
            </a:solidFill>
            <a:ln>
              <a:solidFill>
                <a:sysClr val="window" lastClr="FFFFFF">
                  <a:lumMod val="50000"/>
                </a:sysClr>
              </a:solidFill>
            </a:ln>
          </c:spPr>
          <c:invertIfNegative val="0"/>
          <c:dLbls>
            <c:txPr>
              <a:bodyPr/>
              <a:lstStyle/>
              <a:p>
                <a:pPr>
                  <a:defRPr sz="800">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dLbls>
          <c:cat>
            <c:numRef>
              <c:f>'graf 4'!$B$2:$I$2</c:f>
              <c:numCache>
                <c:formatCode>General</c:formatCode>
                <c:ptCount val="8"/>
                <c:pt idx="0">
                  <c:v>2008</c:v>
                </c:pt>
                <c:pt idx="1">
                  <c:v>2009</c:v>
                </c:pt>
                <c:pt idx="2">
                  <c:v>2010</c:v>
                </c:pt>
                <c:pt idx="3">
                  <c:v>2011</c:v>
                </c:pt>
                <c:pt idx="4">
                  <c:v>2012</c:v>
                </c:pt>
                <c:pt idx="5">
                  <c:v>2013</c:v>
                </c:pt>
                <c:pt idx="6">
                  <c:v>2014</c:v>
                </c:pt>
                <c:pt idx="7">
                  <c:v>2015</c:v>
                </c:pt>
              </c:numCache>
            </c:numRef>
          </c:cat>
          <c:val>
            <c:numRef>
              <c:f>'graf 4'!$B$5:$G$5</c:f>
              <c:numCache>
                <c:formatCode>#,##0</c:formatCode>
                <c:ptCount val="6"/>
                <c:pt idx="0">
                  <c:v>1176</c:v>
                </c:pt>
                <c:pt idx="1">
                  <c:v>1263</c:v>
                </c:pt>
                <c:pt idx="2">
                  <c:v>1243</c:v>
                </c:pt>
                <c:pt idx="3">
                  <c:v>1242</c:v>
                </c:pt>
                <c:pt idx="4">
                  <c:v>1824</c:v>
                </c:pt>
                <c:pt idx="5">
                  <c:v>1744</c:v>
                </c:pt>
              </c:numCache>
            </c:numRef>
          </c:val>
        </c:ser>
        <c:dLbls>
          <c:showLegendKey val="0"/>
          <c:showVal val="0"/>
          <c:showCatName val="0"/>
          <c:showSerName val="0"/>
          <c:showPercent val="0"/>
          <c:showBubbleSize val="0"/>
        </c:dLbls>
        <c:gapWidth val="90"/>
        <c:overlap val="100"/>
        <c:axId val="136437248"/>
        <c:axId val="66996480"/>
      </c:barChart>
      <c:lineChart>
        <c:grouping val="standard"/>
        <c:varyColors val="0"/>
        <c:ser>
          <c:idx val="4"/>
          <c:order val="4"/>
          <c:tx>
            <c:v>celkem</c:v>
          </c:tx>
          <c:spPr>
            <a:ln>
              <a:noFill/>
            </a:ln>
          </c:spPr>
          <c:marker>
            <c:symbol val="none"/>
          </c:marker>
          <c:dLbls>
            <c:txPr>
              <a:bodyPr/>
              <a:lstStyle/>
              <a:p>
                <a:pPr>
                  <a:defRPr sz="800" b="1">
                    <a:solidFill>
                      <a:sysClr val="windowText" lastClr="000000"/>
                    </a:solidFill>
                    <a:latin typeface="Arial" panose="020B0604020202020204" pitchFamily="34" charset="0"/>
                    <a:cs typeface="Arial" panose="020B0604020202020204" pitchFamily="34" charset="0"/>
                  </a:defRPr>
                </a:pPr>
                <a:endParaRPr lang="cs-CZ"/>
              </a:p>
            </c:txPr>
            <c:dLblPos val="t"/>
            <c:showLegendKey val="0"/>
            <c:showVal val="1"/>
            <c:showCatName val="0"/>
            <c:showSerName val="0"/>
            <c:showPercent val="0"/>
            <c:showBubbleSize val="0"/>
            <c:showLeaderLines val="0"/>
          </c:dLbls>
          <c:val>
            <c:numRef>
              <c:f>'graf 4'!$B$7:$H$7</c:f>
              <c:numCache>
                <c:formatCode>#,##0</c:formatCode>
                <c:ptCount val="7"/>
                <c:pt idx="0">
                  <c:v>5571</c:v>
                </c:pt>
                <c:pt idx="1">
                  <c:v>5780</c:v>
                </c:pt>
                <c:pt idx="2">
                  <c:v>5621</c:v>
                </c:pt>
                <c:pt idx="3">
                  <c:v>5254</c:v>
                </c:pt>
                <c:pt idx="4">
                  <c:v>5335</c:v>
                </c:pt>
                <c:pt idx="5">
                  <c:v>5489</c:v>
                </c:pt>
                <c:pt idx="6">
                  <c:v>3945</c:v>
                </c:pt>
              </c:numCache>
            </c:numRef>
          </c:val>
          <c:smooth val="0"/>
        </c:ser>
        <c:dLbls>
          <c:showLegendKey val="0"/>
          <c:showVal val="0"/>
          <c:showCatName val="0"/>
          <c:showSerName val="0"/>
          <c:showPercent val="0"/>
          <c:showBubbleSize val="0"/>
        </c:dLbls>
        <c:marker val="1"/>
        <c:smooth val="0"/>
        <c:axId val="136437248"/>
        <c:axId val="66996480"/>
      </c:lineChart>
      <c:catAx>
        <c:axId val="136437248"/>
        <c:scaling>
          <c:orientation val="minMax"/>
        </c:scaling>
        <c:delete val="0"/>
        <c:axPos val="b"/>
        <c:numFmt formatCode="General" sourceLinked="1"/>
        <c:majorTickMark val="out"/>
        <c:minorTickMark val="none"/>
        <c:tickLblPos val="nextTo"/>
        <c:spPr>
          <a:ln w="3175">
            <a:solidFill>
              <a:sysClr val="window" lastClr="FFFFFF">
                <a:lumMod val="75000"/>
              </a:sysClr>
            </a:solidFill>
          </a:ln>
        </c:spPr>
        <c:txPr>
          <a:bodyPr/>
          <a:lstStyle/>
          <a:p>
            <a:pPr>
              <a:defRPr sz="800">
                <a:latin typeface="Arial" panose="020B0604020202020204" pitchFamily="34" charset="0"/>
                <a:cs typeface="Arial" panose="020B0604020202020204" pitchFamily="34" charset="0"/>
              </a:defRPr>
            </a:pPr>
            <a:endParaRPr lang="cs-CZ"/>
          </a:p>
        </c:txPr>
        <c:crossAx val="66996480"/>
        <c:crosses val="autoZero"/>
        <c:auto val="1"/>
        <c:lblAlgn val="ctr"/>
        <c:lblOffset val="100"/>
        <c:noMultiLvlLbl val="0"/>
      </c:catAx>
      <c:valAx>
        <c:axId val="66996480"/>
        <c:scaling>
          <c:orientation val="minMax"/>
          <c:max val="6000"/>
        </c:scaling>
        <c:delete val="0"/>
        <c:axPos val="l"/>
        <c:majorGridlines>
          <c:spPr>
            <a:ln>
              <a:solidFill>
                <a:sysClr val="window" lastClr="FFFFFF">
                  <a:lumMod val="65000"/>
                </a:sysClr>
              </a:solidFill>
              <a:prstDash val="sysDot"/>
            </a:ln>
          </c:spPr>
        </c:majorGridlines>
        <c:numFmt formatCode="General" sourceLinked="1"/>
        <c:majorTickMark val="out"/>
        <c:minorTickMark val="none"/>
        <c:tickLblPos val="nextTo"/>
        <c:spPr>
          <a:noFill/>
          <a:ln w="3175">
            <a:solidFill>
              <a:sysClr val="window" lastClr="FFFFFF">
                <a:lumMod val="85000"/>
              </a:sysClr>
            </a:solidFill>
          </a:ln>
        </c:spPr>
        <c:txPr>
          <a:bodyPr/>
          <a:lstStyle/>
          <a:p>
            <a:pPr>
              <a:defRPr sz="800">
                <a:latin typeface="Arial" panose="020B0604020202020204" pitchFamily="34" charset="0"/>
                <a:cs typeface="Arial" panose="020B0604020202020204" pitchFamily="34" charset="0"/>
              </a:defRPr>
            </a:pPr>
            <a:endParaRPr lang="cs-CZ"/>
          </a:p>
        </c:txPr>
        <c:crossAx val="136437248"/>
        <c:crosses val="autoZero"/>
        <c:crossBetween val="between"/>
      </c:valAx>
      <c:spPr>
        <a:ln>
          <a:noFill/>
        </a:ln>
      </c:spPr>
    </c:plotArea>
    <c:legend>
      <c:legendPos val="b"/>
      <c:legendEntry>
        <c:idx val="4"/>
        <c:delete val="1"/>
      </c:legendEntry>
      <c:layout>
        <c:manualLayout>
          <c:xMode val="edge"/>
          <c:yMode val="edge"/>
          <c:x val="2.3001120187079453E-2"/>
          <c:y val="0.90688738409679459"/>
          <c:w val="0.9567301984448211"/>
          <c:h val="6.631195059955057E-2"/>
        </c:manualLayout>
      </c:layout>
      <c:overlay val="0"/>
      <c:txPr>
        <a:bodyPr/>
        <a:lstStyle/>
        <a:p>
          <a:pPr>
            <a:defRPr sz="800">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460892388451452E-2"/>
          <c:y val="2.0682779235928837E-2"/>
          <c:w val="0.92455336159903057"/>
          <c:h val="0.9061960484106153"/>
        </c:manualLayout>
      </c:layout>
      <c:barChart>
        <c:barDir val="col"/>
        <c:grouping val="clustered"/>
        <c:varyColors val="0"/>
        <c:ser>
          <c:idx val="0"/>
          <c:order val="0"/>
          <c:tx>
            <c:strRef>
              <c:f>'G4+G5'!$A$34</c:f>
              <c:strCache>
                <c:ptCount val="1"/>
                <c:pt idx="0">
                  <c:v>Poplatky za pohotovost</c:v>
                </c:pt>
              </c:strCache>
            </c:strRef>
          </c:tx>
          <c:spPr>
            <a:solidFill>
              <a:srgbClr val="FFC000"/>
            </a:solidFill>
            <a:ln>
              <a:solidFill>
                <a:sysClr val="window" lastClr="FFFFFF">
                  <a:lumMod val="50000"/>
                </a:sysClr>
              </a:solidFill>
            </a:ln>
          </c:spPr>
          <c:invertIfNegative val="0"/>
          <c:dLbls>
            <c:txPr>
              <a:bodyPr/>
              <a:lstStyle/>
              <a:p>
                <a:pPr>
                  <a:defRPr sz="800" b="1">
                    <a:solidFill>
                      <a:sysClr val="windowText" lastClr="000000"/>
                    </a:solidFill>
                    <a:latin typeface="Arial" panose="020B0604020202020204" pitchFamily="34" charset="0"/>
                    <a:cs typeface="Arial" panose="020B0604020202020204" pitchFamily="34" charset="0"/>
                  </a:defRPr>
                </a:pPr>
                <a:endParaRPr lang="cs-CZ"/>
              </a:p>
            </c:txPr>
            <c:dLblPos val="ctr"/>
            <c:showLegendKey val="0"/>
            <c:showVal val="1"/>
            <c:showCatName val="0"/>
            <c:showSerName val="0"/>
            <c:showPercent val="0"/>
            <c:showBubbleSize val="0"/>
            <c:showLeaderLines val="0"/>
          </c:dLbls>
          <c:cat>
            <c:numRef>
              <c:f>'G4+G5'!$B$33:$I$33</c:f>
              <c:numCache>
                <c:formatCode>General</c:formatCode>
                <c:ptCount val="8"/>
                <c:pt idx="0">
                  <c:v>2008</c:v>
                </c:pt>
                <c:pt idx="1">
                  <c:v>2009</c:v>
                </c:pt>
                <c:pt idx="2">
                  <c:v>2010</c:v>
                </c:pt>
                <c:pt idx="3">
                  <c:v>2011</c:v>
                </c:pt>
                <c:pt idx="4">
                  <c:v>2012</c:v>
                </c:pt>
                <c:pt idx="5">
                  <c:v>2013</c:v>
                </c:pt>
                <c:pt idx="6">
                  <c:v>2014</c:v>
                </c:pt>
                <c:pt idx="7">
                  <c:v>2015</c:v>
                </c:pt>
              </c:numCache>
            </c:numRef>
          </c:cat>
          <c:val>
            <c:numRef>
              <c:f>'G4+G5'!$B$34:$I$34</c:f>
              <c:numCache>
                <c:formatCode>General</c:formatCode>
                <c:ptCount val="8"/>
                <c:pt idx="0">
                  <c:v>178</c:v>
                </c:pt>
                <c:pt idx="1">
                  <c:v>208</c:v>
                </c:pt>
                <c:pt idx="2">
                  <c:v>191</c:v>
                </c:pt>
                <c:pt idx="3">
                  <c:v>180</c:v>
                </c:pt>
                <c:pt idx="4">
                  <c:v>179</c:v>
                </c:pt>
                <c:pt idx="5">
                  <c:v>182</c:v>
                </c:pt>
                <c:pt idx="6">
                  <c:v>187</c:v>
                </c:pt>
                <c:pt idx="7">
                  <c:v>192</c:v>
                </c:pt>
              </c:numCache>
            </c:numRef>
          </c:val>
        </c:ser>
        <c:dLbls>
          <c:showLegendKey val="0"/>
          <c:showVal val="0"/>
          <c:showCatName val="0"/>
          <c:showSerName val="0"/>
          <c:showPercent val="0"/>
          <c:showBubbleSize val="0"/>
        </c:dLbls>
        <c:gapWidth val="90"/>
        <c:axId val="39776768"/>
        <c:axId val="66995328"/>
      </c:barChart>
      <c:catAx>
        <c:axId val="39776768"/>
        <c:scaling>
          <c:orientation val="minMax"/>
        </c:scaling>
        <c:delete val="0"/>
        <c:axPos val="b"/>
        <c:numFmt formatCode="General" sourceLinked="1"/>
        <c:majorTickMark val="out"/>
        <c:minorTickMark val="none"/>
        <c:tickLblPos val="nextTo"/>
        <c:spPr>
          <a:ln w="3175">
            <a:solidFill>
              <a:schemeClr val="bg1">
                <a:lumMod val="85000"/>
              </a:schemeClr>
            </a:solidFill>
          </a:ln>
        </c:spPr>
        <c:txPr>
          <a:bodyPr/>
          <a:lstStyle/>
          <a:p>
            <a:pPr>
              <a:defRPr sz="800">
                <a:latin typeface="Arial" panose="020B0604020202020204" pitchFamily="34" charset="0"/>
                <a:cs typeface="Arial" panose="020B0604020202020204" pitchFamily="34" charset="0"/>
              </a:defRPr>
            </a:pPr>
            <a:endParaRPr lang="cs-CZ"/>
          </a:p>
        </c:txPr>
        <c:crossAx val="66995328"/>
        <c:crosses val="autoZero"/>
        <c:auto val="1"/>
        <c:lblAlgn val="ctr"/>
        <c:lblOffset val="100"/>
        <c:noMultiLvlLbl val="0"/>
      </c:catAx>
      <c:valAx>
        <c:axId val="66995328"/>
        <c:scaling>
          <c:orientation val="minMax"/>
          <c:max val="210"/>
          <c:min val="0"/>
        </c:scaling>
        <c:delete val="0"/>
        <c:axPos val="l"/>
        <c:minorGridlines>
          <c:spPr>
            <a:ln w="3175">
              <a:prstDash val="sysDot"/>
            </a:ln>
          </c:spPr>
        </c:minorGridlines>
        <c:numFmt formatCode="General" sourceLinked="1"/>
        <c:majorTickMark val="out"/>
        <c:minorTickMark val="none"/>
        <c:tickLblPos val="nextTo"/>
        <c:spPr>
          <a:ln w="3175">
            <a:solidFill>
              <a:schemeClr val="bg1">
                <a:lumMod val="75000"/>
              </a:schemeClr>
            </a:solidFill>
          </a:ln>
        </c:spPr>
        <c:txPr>
          <a:bodyPr/>
          <a:lstStyle/>
          <a:p>
            <a:pPr>
              <a:defRPr sz="800">
                <a:latin typeface="Arial" panose="020B0604020202020204" pitchFamily="34" charset="0"/>
                <a:cs typeface="Arial" panose="020B0604020202020204" pitchFamily="34" charset="0"/>
              </a:defRPr>
            </a:pPr>
            <a:endParaRPr lang="cs-CZ"/>
          </a:p>
        </c:txPr>
        <c:crossAx val="39776768"/>
        <c:crosses val="autoZero"/>
        <c:crossBetween val="between"/>
        <c:majorUnit val="50"/>
      </c:valAx>
      <c:spPr>
        <a:ln>
          <a:noFill/>
        </a:ln>
      </c:spPr>
    </c:plotArea>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4371184076722414E-2"/>
          <c:y val="4.5977011494252866E-2"/>
          <c:w val="0.94869855663141756"/>
          <c:h val="0.7649604782061209"/>
        </c:manualLayout>
      </c:layout>
      <c:lineChart>
        <c:grouping val="standard"/>
        <c:varyColors val="0"/>
        <c:ser>
          <c:idx val="0"/>
          <c:order val="0"/>
          <c:tx>
            <c:strRef>
              <c:f>'graf 5'!$A$21</c:f>
              <c:strCache>
                <c:ptCount val="1"/>
                <c:pt idx="0">
                  <c:v> Poplatky za recept</c:v>
                </c:pt>
              </c:strCache>
            </c:strRef>
          </c:tx>
          <c:spPr>
            <a:ln>
              <a:solidFill>
                <a:srgbClr val="D96D7F"/>
              </a:solidFill>
            </a:ln>
          </c:spPr>
          <c:marker>
            <c:symbol val="diamond"/>
            <c:size val="7"/>
            <c:spPr>
              <a:solidFill>
                <a:srgbClr val="D96D7F"/>
              </a:solidFill>
              <a:ln>
                <a:solidFill>
                  <a:srgbClr val="C0504D">
                    <a:lumMod val="50000"/>
                  </a:srgbClr>
                </a:solidFill>
              </a:ln>
            </c:spPr>
          </c:marker>
          <c:dLbls>
            <c:dLbl>
              <c:idx val="6"/>
              <c:layout>
                <c:manualLayout>
                  <c:x val="-3.6016331291921852E-4"/>
                  <c:y val="-1.1420572428446445E-2"/>
                </c:manualLayout>
              </c:layout>
              <c:spPr/>
              <c:txPr>
                <a:bodyPr/>
                <a:lstStyle/>
                <a:p>
                  <a:pPr>
                    <a:defRPr b="1" baseline="0">
                      <a:solidFill>
                        <a:srgbClr val="FF0000"/>
                      </a:solidFill>
                    </a:defRPr>
                  </a:pPr>
                  <a:endParaRPr lang="cs-CZ"/>
                </a:p>
              </c:txPr>
              <c:dLblPos val="r"/>
              <c:showLegendKey val="0"/>
              <c:showVal val="1"/>
              <c:showCatName val="0"/>
              <c:showSerName val="0"/>
              <c:showPercent val="0"/>
              <c:showBubbleSize val="0"/>
            </c:dLbl>
            <c:txPr>
              <a:bodyPr/>
              <a:lstStyle/>
              <a:p>
                <a:pPr>
                  <a:defRPr baseline="0"/>
                </a:pPr>
                <a:endParaRPr lang="cs-CZ"/>
              </a:p>
            </c:txPr>
            <c:dLblPos val="t"/>
            <c:showLegendKey val="0"/>
            <c:showVal val="1"/>
            <c:showCatName val="0"/>
            <c:showSerName val="0"/>
            <c:showPercent val="0"/>
            <c:showBubbleSize val="0"/>
            <c:showLeaderLines val="0"/>
          </c:dLbls>
          <c:cat>
            <c:numRef>
              <c:f>'graf 5'!$B$20:$I$20</c:f>
              <c:numCache>
                <c:formatCode>0</c:formatCode>
                <c:ptCount val="8"/>
                <c:pt idx="0">
                  <c:v>2008</c:v>
                </c:pt>
                <c:pt idx="1">
                  <c:v>2009</c:v>
                </c:pt>
                <c:pt idx="2">
                  <c:v>2010</c:v>
                </c:pt>
                <c:pt idx="3">
                  <c:v>2011</c:v>
                </c:pt>
                <c:pt idx="4">
                  <c:v>2012</c:v>
                </c:pt>
                <c:pt idx="5">
                  <c:v>2013</c:v>
                </c:pt>
                <c:pt idx="6">
                  <c:v>2014</c:v>
                </c:pt>
                <c:pt idx="7">
                  <c:v>2015</c:v>
                </c:pt>
              </c:numCache>
            </c:numRef>
          </c:cat>
          <c:val>
            <c:numRef>
              <c:f>'graf 5'!$B$21:$H$21</c:f>
              <c:numCache>
                <c:formatCode>0</c:formatCode>
                <c:ptCount val="7"/>
                <c:pt idx="0">
                  <c:v>231.67608857733103</c:v>
                </c:pt>
                <c:pt idx="1">
                  <c:v>257.1801028681719</c:v>
                </c:pt>
                <c:pt idx="2">
                  <c:v>256.37096811544126</c:v>
                </c:pt>
                <c:pt idx="3">
                  <c:v>237.7249586060689</c:v>
                </c:pt>
                <c:pt idx="4">
                  <c:v>176.66781117234675</c:v>
                </c:pt>
                <c:pt idx="5">
                  <c:v>197.98440714059942</c:v>
                </c:pt>
                <c:pt idx="6">
                  <c:v>216.68663846410658</c:v>
                </c:pt>
              </c:numCache>
            </c:numRef>
          </c:val>
          <c:smooth val="0"/>
        </c:ser>
        <c:ser>
          <c:idx val="1"/>
          <c:order val="1"/>
          <c:tx>
            <c:strRef>
              <c:f>'graf 5'!$A$22</c:f>
              <c:strCache>
                <c:ptCount val="1"/>
                <c:pt idx="0">
                  <c:v> Poplatky za návštěvu lékaře</c:v>
                </c:pt>
              </c:strCache>
            </c:strRef>
          </c:tx>
          <c:spPr>
            <a:ln>
              <a:solidFill>
                <a:srgbClr val="0071BC"/>
              </a:solidFill>
            </a:ln>
          </c:spPr>
          <c:marker>
            <c:symbol val="square"/>
            <c:size val="5"/>
            <c:spPr>
              <a:solidFill>
                <a:srgbClr val="0071BC"/>
              </a:solidFill>
              <a:ln>
                <a:solidFill>
                  <a:srgbClr val="1F497D">
                    <a:lumMod val="50000"/>
                  </a:srgbClr>
                </a:solidFill>
              </a:ln>
            </c:spPr>
          </c:marker>
          <c:dLbls>
            <c:dLbl>
              <c:idx val="0"/>
              <c:layout>
                <c:manualLayout>
                  <c:x val="-5.8252427184466091E-2"/>
                  <c:y val="-1.671891327063741E-2"/>
                </c:manualLayout>
              </c:layout>
              <c:showLegendKey val="0"/>
              <c:showVal val="1"/>
              <c:showCatName val="0"/>
              <c:showSerName val="0"/>
              <c:showPercent val="0"/>
              <c:showBubbleSize val="0"/>
            </c:dLbl>
            <c:dLbl>
              <c:idx val="1"/>
              <c:layout>
                <c:manualLayout>
                  <c:x val="-3.6677454153182305E-2"/>
                  <c:y val="-2.9258098223615511E-2"/>
                </c:manualLayout>
              </c:layout>
              <c:showLegendKey val="0"/>
              <c:showVal val="1"/>
              <c:showCatName val="0"/>
              <c:showSerName val="0"/>
              <c:showPercent val="0"/>
              <c:showBubbleSize val="0"/>
            </c:dLbl>
            <c:dLbl>
              <c:idx val="2"/>
              <c:layout>
                <c:manualLayout>
                  <c:x val="-2.5889967637540496E-2"/>
                  <c:y val="-3.7617554858934171E-2"/>
                </c:manualLayout>
              </c:layout>
              <c:showLegendKey val="0"/>
              <c:showVal val="1"/>
              <c:showCatName val="0"/>
              <c:showSerName val="0"/>
              <c:showPercent val="0"/>
              <c:showBubbleSize val="0"/>
            </c:dLbl>
            <c:dLbl>
              <c:idx val="3"/>
              <c:layout>
                <c:manualLayout>
                  <c:x val="-3.236245954692557E-2"/>
                  <c:y val="-4.5977011494252866E-2"/>
                </c:manualLayout>
              </c:layout>
              <c:showLegendKey val="0"/>
              <c:showVal val="1"/>
              <c:showCatName val="0"/>
              <c:showSerName val="0"/>
              <c:showPercent val="0"/>
              <c:showBubbleSize val="0"/>
            </c:dLbl>
            <c:dLbl>
              <c:idx val="4"/>
              <c:layout>
                <c:manualLayout>
                  <c:x val="-2.9805417841288359E-2"/>
                  <c:y val="3.4602174728158991E-2"/>
                </c:manualLayout>
              </c:layout>
              <c:showLegendKey val="0"/>
              <c:showVal val="1"/>
              <c:showCatName val="0"/>
              <c:showSerName val="0"/>
              <c:showPercent val="0"/>
              <c:showBubbleSize val="0"/>
            </c:dLbl>
            <c:dLbl>
              <c:idx val="5"/>
              <c:layout>
                <c:manualLayout>
                  <c:x val="-3.236245954692557E-2"/>
                  <c:y val="3.7617554858934171E-2"/>
                </c:manualLayout>
              </c:layout>
              <c:showLegendKey val="0"/>
              <c:showVal val="1"/>
              <c:showCatName val="0"/>
              <c:showSerName val="0"/>
              <c:showPercent val="0"/>
              <c:showBubbleSize val="0"/>
            </c:dLbl>
            <c:dLbl>
              <c:idx val="6"/>
              <c:spPr/>
              <c:txPr>
                <a:bodyPr/>
                <a:lstStyle/>
                <a:p>
                  <a:pPr>
                    <a:defRPr b="1">
                      <a:solidFill>
                        <a:srgbClr val="FF0000"/>
                      </a:solidFill>
                    </a:defRPr>
                  </a:pPr>
                  <a:endParaRPr lang="cs-CZ"/>
                </a:p>
              </c:txPr>
              <c:showLegendKey val="0"/>
              <c:showVal val="1"/>
              <c:showCatName val="0"/>
              <c:showSerName val="0"/>
              <c:showPercent val="0"/>
              <c:showBubbleSize val="0"/>
            </c:dLbl>
            <c:showLegendKey val="0"/>
            <c:showVal val="1"/>
            <c:showCatName val="0"/>
            <c:showSerName val="0"/>
            <c:showPercent val="0"/>
            <c:showBubbleSize val="0"/>
            <c:showLeaderLines val="0"/>
          </c:dLbls>
          <c:cat>
            <c:numRef>
              <c:f>'graf 5'!$B$20:$I$20</c:f>
              <c:numCache>
                <c:formatCode>0</c:formatCode>
                <c:ptCount val="8"/>
                <c:pt idx="0">
                  <c:v>2008</c:v>
                </c:pt>
                <c:pt idx="1">
                  <c:v>2009</c:v>
                </c:pt>
                <c:pt idx="2">
                  <c:v>2010</c:v>
                </c:pt>
                <c:pt idx="3">
                  <c:v>2011</c:v>
                </c:pt>
                <c:pt idx="4">
                  <c:v>2012</c:v>
                </c:pt>
                <c:pt idx="5">
                  <c:v>2013</c:v>
                </c:pt>
                <c:pt idx="6">
                  <c:v>2014</c:v>
                </c:pt>
                <c:pt idx="7">
                  <c:v>2015</c:v>
                </c:pt>
              </c:numCache>
            </c:numRef>
          </c:cat>
          <c:val>
            <c:numRef>
              <c:f>'graf 5'!$B$22:$H$22</c:f>
              <c:numCache>
                <c:formatCode>0</c:formatCode>
                <c:ptCount val="7"/>
                <c:pt idx="0">
                  <c:v>173.54086104133538</c:v>
                </c:pt>
                <c:pt idx="1">
                  <c:v>159.58900704493581</c:v>
                </c:pt>
                <c:pt idx="2">
                  <c:v>147.62799443606491</c:v>
                </c:pt>
                <c:pt idx="3">
                  <c:v>132.88612413536981</c:v>
                </c:pt>
                <c:pt idx="4">
                  <c:v>140.15519573091456</c:v>
                </c:pt>
                <c:pt idx="5">
                  <c:v>144.78451542594806</c:v>
                </c:pt>
                <c:pt idx="6">
                  <c:v>144.2656608923262</c:v>
                </c:pt>
              </c:numCache>
            </c:numRef>
          </c:val>
          <c:smooth val="0"/>
        </c:ser>
        <c:ser>
          <c:idx val="2"/>
          <c:order val="2"/>
          <c:tx>
            <c:strRef>
              <c:f>'graf 5'!$A$23</c:f>
              <c:strCache>
                <c:ptCount val="1"/>
                <c:pt idx="0">
                  <c:v> Poplatky za hospitalizaci</c:v>
                </c:pt>
              </c:strCache>
            </c:strRef>
          </c:tx>
          <c:spPr>
            <a:ln>
              <a:solidFill>
                <a:srgbClr val="92D050"/>
              </a:solidFill>
            </a:ln>
          </c:spPr>
          <c:marker>
            <c:symbol val="triangle"/>
            <c:size val="6"/>
            <c:spPr>
              <a:solidFill>
                <a:srgbClr val="92D050"/>
              </a:solidFill>
              <a:ln>
                <a:solidFill>
                  <a:srgbClr val="9BBB59">
                    <a:lumMod val="50000"/>
                  </a:srgbClr>
                </a:solidFill>
              </a:ln>
            </c:spPr>
          </c:marker>
          <c:dLbls>
            <c:dLbl>
              <c:idx val="5"/>
              <c:layout>
                <c:manualLayout>
                  <c:x val="4.7838696088914863E-3"/>
                  <c:y val="3.0971128608923954E-4"/>
                </c:manualLayout>
              </c:layout>
              <c:spPr/>
              <c:txPr>
                <a:bodyPr/>
                <a:lstStyle/>
                <a:p>
                  <a:pPr>
                    <a:defRPr b="1">
                      <a:solidFill>
                        <a:srgbClr val="FF0000"/>
                      </a:solidFill>
                    </a:defRPr>
                  </a:pPr>
                  <a:endParaRPr lang="cs-CZ"/>
                </a:p>
              </c:txPr>
              <c:dLblPos val="r"/>
              <c:showLegendKey val="0"/>
              <c:showVal val="1"/>
              <c:showCatName val="0"/>
              <c:showSerName val="0"/>
              <c:showPercent val="0"/>
              <c:showBubbleSize val="0"/>
            </c:dLbl>
            <c:dLblPos val="b"/>
            <c:showLegendKey val="0"/>
            <c:showVal val="1"/>
            <c:showCatName val="0"/>
            <c:showSerName val="0"/>
            <c:showPercent val="0"/>
            <c:showBubbleSize val="0"/>
            <c:showLeaderLines val="0"/>
          </c:dLbls>
          <c:cat>
            <c:numRef>
              <c:f>'graf 5'!$B$20:$I$20</c:f>
              <c:numCache>
                <c:formatCode>0</c:formatCode>
                <c:ptCount val="8"/>
                <c:pt idx="0">
                  <c:v>2008</c:v>
                </c:pt>
                <c:pt idx="1">
                  <c:v>2009</c:v>
                </c:pt>
                <c:pt idx="2">
                  <c:v>2010</c:v>
                </c:pt>
                <c:pt idx="3">
                  <c:v>2011</c:v>
                </c:pt>
                <c:pt idx="4">
                  <c:v>2012</c:v>
                </c:pt>
                <c:pt idx="5">
                  <c:v>2013</c:v>
                </c:pt>
                <c:pt idx="6">
                  <c:v>2014</c:v>
                </c:pt>
                <c:pt idx="7">
                  <c:v>2015</c:v>
                </c:pt>
              </c:numCache>
            </c:numRef>
          </c:cat>
          <c:val>
            <c:numRef>
              <c:f>'graf 5'!$B$23:$G$23</c:f>
              <c:numCache>
                <c:formatCode>0</c:formatCode>
                <c:ptCount val="6"/>
                <c:pt idx="0">
                  <c:v>113.00335137575327</c:v>
                </c:pt>
                <c:pt idx="1">
                  <c:v>122.15813084712345</c:v>
                </c:pt>
                <c:pt idx="2">
                  <c:v>119.93568436864622</c:v>
                </c:pt>
                <c:pt idx="3">
                  <c:v>120.11977159834734</c:v>
                </c:pt>
                <c:pt idx="4">
                  <c:v>173.43492334680337</c:v>
                </c:pt>
                <c:pt idx="5">
                  <c:v>167.77687368960395</c:v>
                </c:pt>
              </c:numCache>
            </c:numRef>
          </c:val>
          <c:smooth val="0"/>
        </c:ser>
        <c:ser>
          <c:idx val="3"/>
          <c:order val="3"/>
          <c:tx>
            <c:strRef>
              <c:f>'graf 5'!$A$24</c:f>
              <c:strCache>
                <c:ptCount val="1"/>
                <c:pt idx="0">
                  <c:v> Poplatky za pohotovost</c:v>
                </c:pt>
              </c:strCache>
            </c:strRef>
          </c:tx>
          <c:spPr>
            <a:ln>
              <a:solidFill>
                <a:srgbClr val="FFC000"/>
              </a:solidFill>
            </a:ln>
          </c:spPr>
          <c:marker>
            <c:symbol val="circle"/>
            <c:size val="6"/>
            <c:spPr>
              <a:solidFill>
                <a:srgbClr val="FFC000"/>
              </a:solidFill>
              <a:ln>
                <a:solidFill>
                  <a:srgbClr val="F79646">
                    <a:lumMod val="75000"/>
                  </a:srgbClr>
                </a:solidFill>
              </a:ln>
            </c:spPr>
          </c:marker>
          <c:dLbls>
            <c:dLbl>
              <c:idx val="7"/>
              <c:spPr/>
              <c:txPr>
                <a:bodyPr/>
                <a:lstStyle/>
                <a:p>
                  <a:pPr>
                    <a:defRPr b="0">
                      <a:solidFill>
                        <a:sysClr val="windowText" lastClr="000000"/>
                      </a:solidFill>
                    </a:defRPr>
                  </a:pPr>
                  <a:endParaRPr lang="cs-CZ"/>
                </a:p>
              </c:txPr>
              <c:dLblPos val="t"/>
              <c:showLegendKey val="0"/>
              <c:showVal val="1"/>
              <c:showCatName val="0"/>
              <c:showSerName val="0"/>
              <c:showPercent val="0"/>
              <c:showBubbleSize val="0"/>
            </c:dLbl>
            <c:txPr>
              <a:bodyPr/>
              <a:lstStyle/>
              <a:p>
                <a:pPr>
                  <a:defRPr b="0"/>
                </a:pPr>
                <a:endParaRPr lang="cs-CZ"/>
              </a:p>
            </c:txPr>
            <c:dLblPos val="t"/>
            <c:showLegendKey val="0"/>
            <c:showVal val="1"/>
            <c:showCatName val="0"/>
            <c:showSerName val="0"/>
            <c:showPercent val="0"/>
            <c:showBubbleSize val="0"/>
            <c:showLeaderLines val="0"/>
          </c:dLbls>
          <c:cat>
            <c:numRef>
              <c:f>'graf 5'!$B$20:$I$20</c:f>
              <c:numCache>
                <c:formatCode>0</c:formatCode>
                <c:ptCount val="8"/>
                <c:pt idx="0">
                  <c:v>2008</c:v>
                </c:pt>
                <c:pt idx="1">
                  <c:v>2009</c:v>
                </c:pt>
                <c:pt idx="2">
                  <c:v>2010</c:v>
                </c:pt>
                <c:pt idx="3">
                  <c:v>2011</c:v>
                </c:pt>
                <c:pt idx="4">
                  <c:v>2012</c:v>
                </c:pt>
                <c:pt idx="5">
                  <c:v>2013</c:v>
                </c:pt>
                <c:pt idx="6">
                  <c:v>2014</c:v>
                </c:pt>
                <c:pt idx="7">
                  <c:v>2015</c:v>
                </c:pt>
              </c:numCache>
            </c:numRef>
          </c:cat>
          <c:val>
            <c:numRef>
              <c:f>'graf 5'!$B$24:$I$24</c:f>
              <c:numCache>
                <c:formatCode>0</c:formatCode>
                <c:ptCount val="8"/>
                <c:pt idx="0">
                  <c:v>17.104248762656578</c:v>
                </c:pt>
                <c:pt idx="1">
                  <c:v>20.117886948694977</c:v>
                </c:pt>
                <c:pt idx="2">
                  <c:v>18.429377083195014</c:v>
                </c:pt>
                <c:pt idx="3">
                  <c:v>17.40866255048509</c:v>
                </c:pt>
                <c:pt idx="4">
                  <c:v>17.020203552125956</c:v>
                </c:pt>
                <c:pt idx="5">
                  <c:v>17.5088251212775</c:v>
                </c:pt>
                <c:pt idx="6">
                  <c:v>17.961170830136489</c:v>
                </c:pt>
                <c:pt idx="7">
                  <c:v>18</c:v>
                </c:pt>
              </c:numCache>
            </c:numRef>
          </c:val>
          <c:smooth val="0"/>
        </c:ser>
        <c:dLbls>
          <c:showLegendKey val="0"/>
          <c:showVal val="0"/>
          <c:showCatName val="0"/>
          <c:showSerName val="0"/>
          <c:showPercent val="0"/>
          <c:showBubbleSize val="0"/>
        </c:dLbls>
        <c:marker val="1"/>
        <c:smooth val="0"/>
        <c:axId val="39777792"/>
        <c:axId val="66999936"/>
      </c:lineChart>
      <c:catAx>
        <c:axId val="39777792"/>
        <c:scaling>
          <c:orientation val="minMax"/>
        </c:scaling>
        <c:delete val="0"/>
        <c:axPos val="b"/>
        <c:numFmt formatCode="0" sourceLinked="1"/>
        <c:majorTickMark val="out"/>
        <c:minorTickMark val="none"/>
        <c:tickLblPos val="nextTo"/>
        <c:spPr>
          <a:ln w="3175">
            <a:solidFill>
              <a:sysClr val="window" lastClr="FFFFFF">
                <a:lumMod val="75000"/>
              </a:sysClr>
            </a:solidFill>
          </a:ln>
        </c:spPr>
        <c:crossAx val="66999936"/>
        <c:crosses val="autoZero"/>
        <c:auto val="1"/>
        <c:lblAlgn val="ctr"/>
        <c:lblOffset val="100"/>
        <c:noMultiLvlLbl val="0"/>
      </c:catAx>
      <c:valAx>
        <c:axId val="66999936"/>
        <c:scaling>
          <c:orientation val="minMax"/>
        </c:scaling>
        <c:delete val="0"/>
        <c:axPos val="l"/>
        <c:majorGridlines>
          <c:spPr>
            <a:ln>
              <a:solidFill>
                <a:sysClr val="window" lastClr="FFFFFF">
                  <a:lumMod val="65000"/>
                </a:sysClr>
              </a:solidFill>
              <a:prstDash val="sysDot"/>
            </a:ln>
          </c:spPr>
        </c:majorGridlines>
        <c:numFmt formatCode="0" sourceLinked="1"/>
        <c:majorTickMark val="out"/>
        <c:minorTickMark val="none"/>
        <c:tickLblPos val="nextTo"/>
        <c:spPr>
          <a:ln w="3175">
            <a:solidFill>
              <a:sysClr val="window" lastClr="FFFFFF">
                <a:lumMod val="85000"/>
              </a:sysClr>
            </a:solidFill>
          </a:ln>
        </c:spPr>
        <c:crossAx val="39777792"/>
        <c:crosses val="autoZero"/>
        <c:crossBetween val="between"/>
      </c:valAx>
    </c:plotArea>
    <c:legend>
      <c:legendPos val="b"/>
      <c:layout>
        <c:manualLayout>
          <c:xMode val="edge"/>
          <c:yMode val="edge"/>
          <c:x val="0"/>
          <c:y val="0.89177218454629559"/>
          <c:w val="1"/>
          <c:h val="8.3149302868933295E-2"/>
        </c:manualLayout>
      </c:layout>
      <c:overlay val="0"/>
    </c:legend>
    <c:plotVisOnly val="1"/>
    <c:dispBlanksAs val="gap"/>
    <c:showDLblsOverMax val="0"/>
  </c:chart>
  <c:spPr>
    <a:ln>
      <a:noFill/>
    </a:ln>
  </c:spPr>
  <c:txPr>
    <a:bodyPr/>
    <a:lstStyle/>
    <a:p>
      <a:pPr>
        <a:defRPr sz="800">
          <a:latin typeface="Arial" pitchFamily="34" charset="0"/>
          <a:cs typeface="Arial" pitchFamily="34" charset="0"/>
        </a:defRPr>
      </a:pPr>
      <a:endParaRPr lang="cs-CZ"/>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0.31392</cdr:x>
      <cdr:y>0.71586</cdr:y>
    </cdr:from>
    <cdr:to>
      <cdr:x>0.39932</cdr:x>
      <cdr:y>0.78103</cdr:y>
    </cdr:to>
    <cdr:sp macro="" textlink="">
      <cdr:nvSpPr>
        <cdr:cNvPr id="2" name="TextovéPole 1"/>
        <cdr:cNvSpPr txBox="1"/>
      </cdr:nvSpPr>
      <cdr:spPr>
        <a:xfrm xmlns:a="http://schemas.openxmlformats.org/drawingml/2006/main">
          <a:off x="1874975" y="2625163"/>
          <a:ext cx="510078" cy="23898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800">
              <a:latin typeface="Arial" panose="020B0604020202020204" pitchFamily="34" charset="0"/>
              <a:cs typeface="Arial" panose="020B0604020202020204" pitchFamily="34" charset="0"/>
            </a:rPr>
            <a:t>23 535 mil. Kč</a:t>
          </a:r>
        </a:p>
      </cdr:txBody>
    </cdr:sp>
  </cdr:relSizeAnchor>
  <cdr:relSizeAnchor xmlns:cdr="http://schemas.openxmlformats.org/drawingml/2006/chartDrawing">
    <cdr:from>
      <cdr:x>0.37578</cdr:x>
      <cdr:y>0.18427</cdr:y>
    </cdr:from>
    <cdr:to>
      <cdr:x>0.46118</cdr:x>
      <cdr:y>0.4</cdr:y>
    </cdr:to>
    <cdr:sp macro="" textlink="">
      <cdr:nvSpPr>
        <cdr:cNvPr id="3" name="TextovéPole 2"/>
        <cdr:cNvSpPr txBox="1"/>
      </cdr:nvSpPr>
      <cdr:spPr>
        <a:xfrm xmlns:a="http://schemas.openxmlformats.org/drawingml/2006/main">
          <a:off x="2305049" y="781050"/>
          <a:ext cx="523875"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0.51087</cdr:x>
      <cdr:y>0.24045</cdr:y>
    </cdr:from>
    <cdr:to>
      <cdr:x>0.65994</cdr:x>
      <cdr:y>0.45618</cdr:y>
    </cdr:to>
    <cdr:sp macro="" textlink="">
      <cdr:nvSpPr>
        <cdr:cNvPr id="4" name="TextovéPole 3"/>
        <cdr:cNvSpPr txBox="1"/>
      </cdr:nvSpPr>
      <cdr:spPr>
        <a:xfrm xmlns:a="http://schemas.openxmlformats.org/drawingml/2006/main">
          <a:off x="3133724" y="1019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0.47944</cdr:x>
      <cdr:y>0.20872</cdr:y>
    </cdr:from>
    <cdr:to>
      <cdr:x>0.54466</cdr:x>
      <cdr:y>0.27164</cdr:y>
    </cdr:to>
    <cdr:sp macro="" textlink="">
      <cdr:nvSpPr>
        <cdr:cNvPr id="5" name="TextovéPole 4"/>
        <cdr:cNvSpPr txBox="1"/>
      </cdr:nvSpPr>
      <cdr:spPr>
        <a:xfrm xmlns:a="http://schemas.openxmlformats.org/drawingml/2006/main">
          <a:off x="2863582" y="765413"/>
          <a:ext cx="389547" cy="23073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800">
              <a:solidFill>
                <a:sysClr val="windowText" lastClr="000000"/>
              </a:solidFill>
              <a:latin typeface="Arial" panose="020B0604020202020204" pitchFamily="34" charset="0"/>
              <a:cs typeface="Arial" panose="020B0604020202020204" pitchFamily="34" charset="0"/>
            </a:rPr>
            <a:t>3 570 mil.Kč</a:t>
          </a:r>
        </a:p>
      </cdr:txBody>
    </cdr:sp>
  </cdr:relSizeAnchor>
  <cdr:relSizeAnchor xmlns:cdr="http://schemas.openxmlformats.org/drawingml/2006/chartDrawing">
    <cdr:from>
      <cdr:x>0.56665</cdr:x>
      <cdr:y>0.35419</cdr:y>
    </cdr:from>
    <cdr:to>
      <cdr:x>0.63342</cdr:x>
      <cdr:y>0.41711</cdr:y>
    </cdr:to>
    <cdr:sp macro="" textlink="">
      <cdr:nvSpPr>
        <cdr:cNvPr id="6" name="TextovéPole 5"/>
        <cdr:cNvSpPr txBox="1"/>
      </cdr:nvSpPr>
      <cdr:spPr>
        <a:xfrm xmlns:a="http://schemas.openxmlformats.org/drawingml/2006/main">
          <a:off x="3384468" y="1298859"/>
          <a:ext cx="398804" cy="23073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800">
              <a:solidFill>
                <a:sysClr val="windowText" lastClr="000000"/>
              </a:solidFill>
              <a:latin typeface="Arial" panose="020B0604020202020204" pitchFamily="34" charset="0"/>
              <a:cs typeface="Arial" panose="020B0604020202020204" pitchFamily="34" charset="0"/>
            </a:rPr>
            <a:t>7124 mil. Kč</a:t>
          </a:r>
        </a:p>
      </cdr:txBody>
    </cdr:sp>
  </cdr:relSizeAnchor>
  <cdr:relSizeAnchor xmlns:cdr="http://schemas.openxmlformats.org/drawingml/2006/chartDrawing">
    <cdr:from>
      <cdr:x>0.60966</cdr:x>
      <cdr:y>0.56215</cdr:y>
    </cdr:from>
    <cdr:to>
      <cdr:x>0.70283</cdr:x>
      <cdr:y>0.63181</cdr:y>
    </cdr:to>
    <cdr:sp macro="" textlink="">
      <cdr:nvSpPr>
        <cdr:cNvPr id="7" name="TextovéPole 6"/>
        <cdr:cNvSpPr txBox="1"/>
      </cdr:nvSpPr>
      <cdr:spPr>
        <a:xfrm xmlns:a="http://schemas.openxmlformats.org/drawingml/2006/main">
          <a:off x="3641406" y="2061465"/>
          <a:ext cx="556487" cy="25545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800">
              <a:solidFill>
                <a:schemeClr val="bg1"/>
              </a:solidFill>
              <a:latin typeface="Arial" panose="020B0604020202020204" pitchFamily="34" charset="0"/>
              <a:cs typeface="Arial" panose="020B0604020202020204" pitchFamily="34" charset="0"/>
            </a:rPr>
            <a:t>9</a:t>
          </a:r>
          <a:r>
            <a:rPr lang="cs-CZ" sz="800" baseline="0">
              <a:solidFill>
                <a:schemeClr val="bg1"/>
              </a:solidFill>
              <a:latin typeface="Arial" panose="020B0604020202020204" pitchFamily="34" charset="0"/>
              <a:cs typeface="Arial" panose="020B0604020202020204" pitchFamily="34" charset="0"/>
            </a:rPr>
            <a:t> 236</a:t>
          </a:r>
          <a:r>
            <a:rPr lang="cs-CZ" sz="800">
              <a:solidFill>
                <a:schemeClr val="bg1"/>
              </a:solidFill>
              <a:latin typeface="Arial" panose="020B0604020202020204" pitchFamily="34" charset="0"/>
              <a:cs typeface="Arial" panose="020B0604020202020204" pitchFamily="34" charset="0"/>
            </a:rPr>
            <a:t> mil. Kč</a:t>
          </a:r>
        </a:p>
      </cdr:txBody>
    </cdr:sp>
  </cdr:relSizeAnchor>
  <cdr:relSizeAnchor xmlns:cdr="http://schemas.openxmlformats.org/drawingml/2006/chartDrawing">
    <cdr:from>
      <cdr:x>0.42236</cdr:x>
      <cdr:y>0.24198</cdr:y>
    </cdr:from>
    <cdr:to>
      <cdr:x>0.50311</cdr:x>
      <cdr:y>0.34694</cdr:y>
    </cdr:to>
    <cdr:sp macro="" textlink="">
      <cdr:nvSpPr>
        <cdr:cNvPr id="8" name="TextovéPole 7"/>
        <cdr:cNvSpPr txBox="1"/>
      </cdr:nvSpPr>
      <cdr:spPr>
        <a:xfrm xmlns:a="http://schemas.openxmlformats.org/drawingml/2006/main">
          <a:off x="2590799" y="790575"/>
          <a:ext cx="4953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0.35928</cdr:x>
      <cdr:y>0.2528</cdr:y>
    </cdr:from>
    <cdr:to>
      <cdr:x>0.46177</cdr:x>
      <cdr:y>0.34026</cdr:y>
    </cdr:to>
    <cdr:sp macro="" textlink="">
      <cdr:nvSpPr>
        <cdr:cNvPr id="9" name="TextovéPole 8"/>
        <cdr:cNvSpPr txBox="1"/>
      </cdr:nvSpPr>
      <cdr:spPr>
        <a:xfrm xmlns:a="http://schemas.openxmlformats.org/drawingml/2006/main">
          <a:off x="2145919" y="927033"/>
          <a:ext cx="612153" cy="3207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800">
              <a:solidFill>
                <a:sysClr val="windowText" lastClr="000000"/>
              </a:solidFill>
              <a:latin typeface="Arial" panose="020B0604020202020204" pitchFamily="34" charset="0"/>
              <a:cs typeface="Arial" panose="020B0604020202020204" pitchFamily="34" charset="0"/>
            </a:rPr>
            <a:t>5 893 mil. Kč</a:t>
          </a:r>
        </a:p>
      </cdr:txBody>
    </cdr:sp>
  </cdr:relSizeAnchor>
</c:userShape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2B88B-EF35-406E-93BA-851586DE3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bar_lide a spolecnost.dot</Template>
  <TotalTime>5</TotalTime>
  <Pages>7</Pages>
  <Words>2188</Words>
  <Characters>12910</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Vladimíra Kalnická</dc:creator>
  <cp:lastModifiedBy>Mgr. Vladimíra Kalnická</cp:lastModifiedBy>
  <cp:revision>3</cp:revision>
  <cp:lastPrinted>2017-10-18T08:59:00Z</cp:lastPrinted>
  <dcterms:created xsi:type="dcterms:W3CDTF">2017-10-18T12:03:00Z</dcterms:created>
  <dcterms:modified xsi:type="dcterms:W3CDTF">2017-11-03T07:27:00Z</dcterms:modified>
</cp:coreProperties>
</file>