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25515" w14:textId="77777777" w:rsidR="00F766BE" w:rsidRDefault="00F766BE" w:rsidP="00F766BE">
      <w:pPr>
        <w:pStyle w:val="Nadpis11"/>
        <w:spacing w:after="120"/>
      </w:pPr>
      <w:bookmarkStart w:id="0" w:name="_Toc74643858"/>
      <w:bookmarkStart w:id="1" w:name="_Toc66719933"/>
      <w:bookmarkStart w:id="2" w:name="_Toc50712132"/>
      <w:r w:rsidRPr="00B43216">
        <w:t>6. Trh práce</w:t>
      </w:r>
      <w:bookmarkEnd w:id="0"/>
    </w:p>
    <w:tbl>
      <w:tblPr>
        <w:tblW w:w="9664" w:type="dxa"/>
        <w:tblInd w:w="-25" w:type="dxa"/>
        <w:tblCellMar>
          <w:left w:w="0" w:type="dxa"/>
          <w:right w:w="0" w:type="dxa"/>
        </w:tblCellMar>
        <w:tblLook w:val="00A0" w:firstRow="1" w:lastRow="0" w:firstColumn="1" w:lastColumn="0" w:noHBand="0" w:noVBand="0"/>
      </w:tblPr>
      <w:tblGrid>
        <w:gridCol w:w="1792"/>
        <w:gridCol w:w="216"/>
        <w:gridCol w:w="7656"/>
      </w:tblGrid>
      <w:tr w:rsidR="00F766BE" w:rsidRPr="006237E6" w14:paraId="3999898F" w14:textId="77777777" w:rsidTr="006F6FF2">
        <w:trPr>
          <w:trHeight w:val="155"/>
        </w:trPr>
        <w:tc>
          <w:tcPr>
            <w:tcW w:w="1792" w:type="dxa"/>
            <w:shd w:val="clear" w:color="auto" w:fill="auto"/>
            <w:tcMar>
              <w:left w:w="0" w:type="dxa"/>
            </w:tcMar>
          </w:tcPr>
          <w:p w14:paraId="27A6B576" w14:textId="77777777" w:rsidR="00F766BE" w:rsidRDefault="00F766BE" w:rsidP="006F6FF2">
            <w:pPr>
              <w:pStyle w:val="Marginlie"/>
              <w:spacing w:after="120"/>
              <w:rPr>
                <w:spacing w:val="-4"/>
              </w:rPr>
            </w:pPr>
            <w:r>
              <w:rPr>
                <w:spacing w:val="-4"/>
              </w:rPr>
              <w:t>Meziroční pokles zaměstnanosti se již neprohluboval, mezičtvrtletně došlo k oživení.</w:t>
            </w:r>
          </w:p>
        </w:tc>
        <w:tc>
          <w:tcPr>
            <w:tcW w:w="216" w:type="dxa"/>
            <w:shd w:val="clear" w:color="auto" w:fill="auto"/>
            <w:tcMar>
              <w:left w:w="0" w:type="dxa"/>
            </w:tcMar>
          </w:tcPr>
          <w:p w14:paraId="418C3780" w14:textId="77777777" w:rsidR="00F766BE" w:rsidRPr="003B1401" w:rsidRDefault="00F766BE" w:rsidP="006F6FF2">
            <w:pPr>
              <w:pStyle w:val="Textpoznpodarou"/>
              <w:spacing w:after="120"/>
              <w:jc w:val="both"/>
              <w:rPr>
                <w:spacing w:val="-4"/>
              </w:rPr>
            </w:pPr>
          </w:p>
        </w:tc>
        <w:tc>
          <w:tcPr>
            <w:tcW w:w="7656" w:type="dxa"/>
            <w:shd w:val="clear" w:color="auto" w:fill="auto"/>
            <w:tcMar>
              <w:left w:w="0" w:type="dxa"/>
            </w:tcMar>
          </w:tcPr>
          <w:p w14:paraId="3B39F5DA" w14:textId="77777777" w:rsidR="00F766BE" w:rsidRPr="00B908AF" w:rsidRDefault="00F766BE" w:rsidP="006F6FF2">
            <w:pPr>
              <w:rPr>
                <w:rFonts w:cs="Arial"/>
                <w:bCs/>
                <w:color w:val="0D0D0D" w:themeColor="text1" w:themeTint="F2"/>
                <w:spacing w:val="-4"/>
                <w:szCs w:val="20"/>
              </w:rPr>
            </w:pPr>
            <w:r w:rsidRPr="00B908AF">
              <w:rPr>
                <w:rFonts w:cs="Arial"/>
                <w:bCs/>
                <w:color w:val="0D0D0D" w:themeColor="text1" w:themeTint="F2"/>
                <w:spacing w:val="-4"/>
                <w:szCs w:val="20"/>
              </w:rPr>
              <w:t>Zaměstnanost</w:t>
            </w:r>
            <w:r w:rsidRPr="00B908AF">
              <w:rPr>
                <w:color w:val="0D0D0D" w:themeColor="text1" w:themeTint="F2"/>
                <w:spacing w:val="-4"/>
                <w:vertAlign w:val="superscript"/>
              </w:rPr>
              <w:footnoteReference w:id="1"/>
            </w:r>
            <w:r w:rsidRPr="00B908AF">
              <w:rPr>
                <w:rFonts w:cs="Arial"/>
                <w:bCs/>
                <w:color w:val="0D0D0D" w:themeColor="text1" w:themeTint="F2"/>
                <w:spacing w:val="-4"/>
                <w:szCs w:val="20"/>
              </w:rPr>
              <w:t xml:space="preserve"> v tuzemské ekonomice se v 1.</w:t>
            </w:r>
            <w:r>
              <w:rPr>
                <w:rFonts w:cs="Arial"/>
                <w:bCs/>
                <w:color w:val="0D0D0D" w:themeColor="text1" w:themeTint="F2"/>
                <w:spacing w:val="-4"/>
                <w:szCs w:val="20"/>
              </w:rPr>
              <w:t> čtvrt</w:t>
            </w:r>
            <w:r w:rsidRPr="00B908AF">
              <w:rPr>
                <w:rFonts w:cs="Arial"/>
                <w:bCs/>
                <w:color w:val="0D0D0D" w:themeColor="text1" w:themeTint="F2"/>
                <w:spacing w:val="-4"/>
                <w:szCs w:val="20"/>
              </w:rPr>
              <w:t>letí 2021 meziročně snížila o 1,6 %</w:t>
            </w:r>
            <w:r>
              <w:rPr>
                <w:rFonts w:cs="Arial"/>
                <w:bCs/>
                <w:color w:val="0D0D0D" w:themeColor="text1" w:themeTint="F2"/>
                <w:spacing w:val="-4"/>
                <w:szCs w:val="20"/>
              </w:rPr>
              <w:t xml:space="preserve"> (</w:t>
            </w:r>
            <w:r w:rsidRPr="00B908AF">
              <w:rPr>
                <w:rFonts w:cs="Arial"/>
                <w:bCs/>
                <w:color w:val="0D0D0D" w:themeColor="text1" w:themeTint="F2"/>
                <w:spacing w:val="-4"/>
                <w:szCs w:val="20"/>
              </w:rPr>
              <w:t>88</w:t>
            </w:r>
            <w:r>
              <w:rPr>
                <w:rFonts w:cs="Arial"/>
                <w:bCs/>
                <w:color w:val="0D0D0D" w:themeColor="text1" w:themeTint="F2"/>
                <w:spacing w:val="-4"/>
                <w:szCs w:val="20"/>
              </w:rPr>
              <w:t> tis.</w:t>
            </w:r>
            <w:r w:rsidRPr="00B908AF">
              <w:rPr>
                <w:rFonts w:cs="Arial"/>
                <w:bCs/>
                <w:color w:val="0D0D0D" w:themeColor="text1" w:themeTint="F2"/>
                <w:spacing w:val="-4"/>
                <w:szCs w:val="20"/>
              </w:rPr>
              <w:t xml:space="preserve"> osob)</w:t>
            </w:r>
            <w:r w:rsidRPr="00B908AF">
              <w:rPr>
                <w:rStyle w:val="Znakapoznpodarou"/>
                <w:bCs/>
                <w:color w:val="0D0D0D" w:themeColor="text1" w:themeTint="F2"/>
                <w:spacing w:val="-4"/>
                <w:szCs w:val="20"/>
              </w:rPr>
              <w:footnoteReference w:id="2"/>
            </w:r>
            <w:r w:rsidRPr="00B908AF">
              <w:rPr>
                <w:rFonts w:cs="Arial"/>
                <w:bCs/>
                <w:color w:val="0D0D0D" w:themeColor="text1" w:themeTint="F2"/>
                <w:spacing w:val="-4"/>
                <w:szCs w:val="20"/>
              </w:rPr>
              <w:t>, tedy ob</w:t>
            </w:r>
            <w:r>
              <w:rPr>
                <w:rFonts w:cs="Arial"/>
                <w:bCs/>
                <w:color w:val="0D0D0D" w:themeColor="text1" w:themeTint="F2"/>
                <w:spacing w:val="-4"/>
                <w:szCs w:val="20"/>
              </w:rPr>
              <w:t>d</w:t>
            </w:r>
            <w:r w:rsidRPr="00B908AF">
              <w:rPr>
                <w:rFonts w:cs="Arial"/>
                <w:bCs/>
                <w:color w:val="0D0D0D" w:themeColor="text1" w:themeTint="F2"/>
                <w:spacing w:val="-4"/>
                <w:szCs w:val="20"/>
              </w:rPr>
              <w:t>obně jako za celý loňský rok. Navzdory tomu, že protipandemická opatření ochromovala prakticky nepřetržitě již půl roku významnou část služeb, počet pracovníků v ekonomice ve srovnání s posledním loňským čtvrtletím mírně vzrostl (+0,3</w:t>
            </w:r>
            <w:r>
              <w:rPr>
                <w:rFonts w:cs="Arial"/>
                <w:bCs/>
                <w:color w:val="0D0D0D" w:themeColor="text1" w:themeTint="F2"/>
                <w:spacing w:val="-4"/>
                <w:szCs w:val="20"/>
              </w:rPr>
              <w:t> %), zejména díky průmyslu a veřejným službám.</w:t>
            </w:r>
          </w:p>
        </w:tc>
      </w:tr>
      <w:tr w:rsidR="00F766BE" w:rsidRPr="006237E6" w14:paraId="5BE190B5" w14:textId="77777777" w:rsidTr="006F6FF2">
        <w:trPr>
          <w:trHeight w:val="155"/>
        </w:trPr>
        <w:tc>
          <w:tcPr>
            <w:tcW w:w="1792" w:type="dxa"/>
            <w:shd w:val="clear" w:color="auto" w:fill="auto"/>
            <w:tcMar>
              <w:left w:w="0" w:type="dxa"/>
            </w:tcMar>
          </w:tcPr>
          <w:p w14:paraId="523EF2DD" w14:textId="77777777" w:rsidR="00F766BE" w:rsidRDefault="00F766BE" w:rsidP="006F6FF2">
            <w:pPr>
              <w:pStyle w:val="Marginlie"/>
              <w:spacing w:after="120"/>
              <w:rPr>
                <w:spacing w:val="-4"/>
              </w:rPr>
            </w:pPr>
            <w:r>
              <w:rPr>
                <w:spacing w:val="-4"/>
              </w:rPr>
              <w:t>Meziroční úbytek zaměstnanosti v odvětví obchod, doprava, ubytování a pohostinství byl nejhlubší v historii samostatné ČR.</w:t>
            </w:r>
          </w:p>
          <w:p w14:paraId="53F7DFCD" w14:textId="77777777" w:rsidR="00F766BE" w:rsidRDefault="00F766BE" w:rsidP="006F6FF2">
            <w:pPr>
              <w:pStyle w:val="Marginlie"/>
              <w:spacing w:after="120"/>
              <w:rPr>
                <w:spacing w:val="-4"/>
              </w:rPr>
            </w:pPr>
          </w:p>
          <w:p w14:paraId="67519B4E" w14:textId="77777777" w:rsidR="00F766BE" w:rsidRDefault="00F766BE" w:rsidP="006F6FF2">
            <w:pPr>
              <w:pStyle w:val="Marginlie"/>
              <w:spacing w:after="120"/>
              <w:rPr>
                <w:spacing w:val="-4"/>
              </w:rPr>
            </w:pPr>
          </w:p>
          <w:p w14:paraId="40BFE563" w14:textId="77777777" w:rsidR="00F766BE" w:rsidRDefault="00F766BE" w:rsidP="006F6FF2">
            <w:pPr>
              <w:pStyle w:val="Marginlie"/>
              <w:spacing w:after="120"/>
              <w:rPr>
                <w:spacing w:val="-4"/>
              </w:rPr>
            </w:pPr>
          </w:p>
          <w:p w14:paraId="1CCFEFF1" w14:textId="77777777" w:rsidR="00F766BE" w:rsidRDefault="00F766BE" w:rsidP="006F6FF2">
            <w:pPr>
              <w:pStyle w:val="Marginlie"/>
              <w:spacing w:after="120"/>
              <w:rPr>
                <w:spacing w:val="-4"/>
              </w:rPr>
            </w:pPr>
          </w:p>
          <w:p w14:paraId="7034B662" w14:textId="77777777" w:rsidR="00F766BE" w:rsidRDefault="00F766BE" w:rsidP="006F6FF2">
            <w:pPr>
              <w:pStyle w:val="Marginlie"/>
              <w:spacing w:after="120"/>
              <w:rPr>
                <w:spacing w:val="-4"/>
              </w:rPr>
            </w:pPr>
          </w:p>
          <w:p w14:paraId="3145B288" w14:textId="77777777" w:rsidR="00F766BE" w:rsidRDefault="00F766BE" w:rsidP="006F6FF2">
            <w:pPr>
              <w:pStyle w:val="Marginlie"/>
              <w:spacing w:after="120"/>
              <w:rPr>
                <w:spacing w:val="-4"/>
              </w:rPr>
            </w:pPr>
            <w:r>
              <w:rPr>
                <w:spacing w:val="-4"/>
              </w:rPr>
              <w:t>Dlouhodobý růst zaměstnanosti ve veřejných službách i v oblasti ICT pokračoval.</w:t>
            </w:r>
          </w:p>
        </w:tc>
        <w:tc>
          <w:tcPr>
            <w:tcW w:w="216" w:type="dxa"/>
            <w:shd w:val="clear" w:color="auto" w:fill="auto"/>
            <w:tcMar>
              <w:left w:w="0" w:type="dxa"/>
            </w:tcMar>
          </w:tcPr>
          <w:p w14:paraId="59DED8A8" w14:textId="77777777" w:rsidR="00F766BE" w:rsidRPr="003B1401" w:rsidRDefault="00F766BE" w:rsidP="006F6FF2">
            <w:pPr>
              <w:pStyle w:val="Textpoznpodarou"/>
              <w:spacing w:after="120"/>
              <w:jc w:val="both"/>
              <w:rPr>
                <w:spacing w:val="-4"/>
              </w:rPr>
            </w:pPr>
          </w:p>
        </w:tc>
        <w:tc>
          <w:tcPr>
            <w:tcW w:w="7656" w:type="dxa"/>
            <w:shd w:val="clear" w:color="auto" w:fill="auto"/>
            <w:tcMar>
              <w:left w:w="0" w:type="dxa"/>
            </w:tcMar>
          </w:tcPr>
          <w:p w14:paraId="552A8949" w14:textId="77777777" w:rsidR="00F766BE" w:rsidRPr="00174E08" w:rsidRDefault="00F766BE" w:rsidP="006F6FF2">
            <w:pPr>
              <w:rPr>
                <w:rFonts w:cs="Arial"/>
                <w:bCs/>
                <w:color w:val="000000"/>
                <w:spacing w:val="-3"/>
                <w:szCs w:val="20"/>
              </w:rPr>
            </w:pPr>
            <w:r w:rsidRPr="00490051">
              <w:rPr>
                <w:rFonts w:cs="Arial"/>
                <w:bCs/>
                <w:color w:val="000000"/>
                <w:spacing w:val="-3"/>
                <w:szCs w:val="20"/>
              </w:rPr>
              <w:t xml:space="preserve">Vývoj zaměstnanosti </w:t>
            </w:r>
            <w:r w:rsidRPr="00490051">
              <w:rPr>
                <w:rFonts w:cs="Arial"/>
                <w:bCs/>
                <w:color w:val="0D0D0D" w:themeColor="text1" w:themeTint="F2"/>
                <w:spacing w:val="-3"/>
                <w:szCs w:val="20"/>
              </w:rPr>
              <w:t xml:space="preserve">na odvětvové úrovni </w:t>
            </w:r>
            <w:r w:rsidRPr="00490051">
              <w:rPr>
                <w:rFonts w:cs="Arial"/>
                <w:bCs/>
                <w:color w:val="000000"/>
                <w:spacing w:val="-3"/>
                <w:szCs w:val="20"/>
              </w:rPr>
              <w:t>byl nadále značně diferenco</w:t>
            </w:r>
            <w:r>
              <w:rPr>
                <w:rFonts w:cs="Arial"/>
                <w:bCs/>
                <w:color w:val="000000"/>
                <w:spacing w:val="-3"/>
                <w:szCs w:val="20"/>
              </w:rPr>
              <w:t>vaný v závislosti na délce i intenzitě</w:t>
            </w:r>
            <w:r w:rsidRPr="00490051">
              <w:rPr>
                <w:rFonts w:cs="Arial"/>
                <w:bCs/>
                <w:color w:val="000000"/>
                <w:spacing w:val="-3"/>
                <w:szCs w:val="20"/>
              </w:rPr>
              <w:t xml:space="preserve"> protipandemických restrikcí.</w:t>
            </w:r>
            <w:r>
              <w:rPr>
                <w:rFonts w:cs="Arial"/>
                <w:bCs/>
                <w:color w:val="000000"/>
                <w:spacing w:val="-3"/>
                <w:szCs w:val="20"/>
              </w:rPr>
              <w:t xml:space="preserve"> Zatímco </w:t>
            </w:r>
            <w:r w:rsidRPr="00490051">
              <w:rPr>
                <w:rFonts w:cs="Arial"/>
                <w:bCs/>
                <w:color w:val="000000"/>
                <w:spacing w:val="-3"/>
                <w:szCs w:val="20"/>
              </w:rPr>
              <w:t xml:space="preserve">k meziročně nižší zaměstnanosti v celé ekonomice </w:t>
            </w:r>
            <w:r>
              <w:rPr>
                <w:rFonts w:cs="Arial"/>
                <w:bCs/>
                <w:color w:val="000000"/>
                <w:spacing w:val="-3"/>
                <w:szCs w:val="20"/>
              </w:rPr>
              <w:t xml:space="preserve">přispíval po většinu loňského roku nejvíce zpracovatelský průmysl, na </w:t>
            </w:r>
            <w:r w:rsidRPr="00490051">
              <w:rPr>
                <w:rFonts w:cs="Arial"/>
                <w:bCs/>
                <w:color w:val="000000"/>
                <w:spacing w:val="-3"/>
                <w:szCs w:val="20"/>
              </w:rPr>
              <w:t>jeho konci a</w:t>
            </w:r>
            <w:r>
              <w:rPr>
                <w:rFonts w:cs="Arial"/>
                <w:bCs/>
                <w:color w:val="000000"/>
                <w:spacing w:val="-3"/>
                <w:szCs w:val="20"/>
              </w:rPr>
              <w:t> </w:t>
            </w:r>
            <w:r w:rsidRPr="00490051">
              <w:rPr>
                <w:rFonts w:cs="Arial"/>
                <w:bCs/>
                <w:color w:val="000000"/>
                <w:spacing w:val="-3"/>
                <w:szCs w:val="20"/>
              </w:rPr>
              <w:t>na počátku roku 2021 převzalo tuto roli uskupení obchod,</w:t>
            </w:r>
            <w:r>
              <w:rPr>
                <w:rFonts w:cs="Arial"/>
                <w:bCs/>
                <w:color w:val="000000"/>
                <w:spacing w:val="-3"/>
                <w:szCs w:val="20"/>
              </w:rPr>
              <w:t xml:space="preserve"> doprava, ubytování </w:t>
            </w:r>
            <w:r w:rsidRPr="00490051">
              <w:rPr>
                <w:rFonts w:cs="Arial"/>
                <w:bCs/>
                <w:color w:val="000000"/>
                <w:spacing w:val="-3"/>
                <w:szCs w:val="20"/>
              </w:rPr>
              <w:t>a</w:t>
            </w:r>
            <w:r>
              <w:rPr>
                <w:rFonts w:cs="Arial"/>
                <w:bCs/>
                <w:color w:val="000000"/>
                <w:spacing w:val="-3"/>
                <w:szCs w:val="20"/>
              </w:rPr>
              <w:t> </w:t>
            </w:r>
            <w:r w:rsidRPr="00490051">
              <w:rPr>
                <w:rFonts w:cs="Arial"/>
                <w:bCs/>
                <w:color w:val="000000"/>
                <w:spacing w:val="-3"/>
                <w:szCs w:val="20"/>
              </w:rPr>
              <w:t>pohostinství. Redukce počtu pracovníků zde přesáhla 5</w:t>
            </w:r>
            <w:r>
              <w:rPr>
                <w:rFonts w:cs="Arial"/>
                <w:bCs/>
                <w:color w:val="000000"/>
                <w:spacing w:val="-3"/>
                <w:szCs w:val="20"/>
              </w:rPr>
              <w:t> %</w:t>
            </w:r>
            <w:r w:rsidRPr="00490051">
              <w:rPr>
                <w:rFonts w:cs="Arial"/>
                <w:bCs/>
                <w:color w:val="000000"/>
                <w:spacing w:val="-3"/>
                <w:szCs w:val="20"/>
              </w:rPr>
              <w:t xml:space="preserve"> a</w:t>
            </w:r>
            <w:r>
              <w:rPr>
                <w:rFonts w:cs="Arial"/>
                <w:bCs/>
                <w:color w:val="000000"/>
                <w:spacing w:val="-3"/>
                <w:szCs w:val="20"/>
              </w:rPr>
              <w:t> </w:t>
            </w:r>
            <w:r w:rsidRPr="00490051">
              <w:rPr>
                <w:rFonts w:cs="Arial"/>
                <w:bCs/>
                <w:color w:val="000000"/>
                <w:spacing w:val="-3"/>
                <w:szCs w:val="20"/>
              </w:rPr>
              <w:t>byla současně nejhlubší v historii samostatné ČR. Významně ubylo také zaměstnaných v tzv.</w:t>
            </w:r>
            <w:r>
              <w:rPr>
                <w:rFonts w:cs="Arial"/>
                <w:bCs/>
                <w:color w:val="000000"/>
                <w:spacing w:val="-3"/>
                <w:szCs w:val="20"/>
              </w:rPr>
              <w:t> </w:t>
            </w:r>
            <w:r w:rsidRPr="00490051">
              <w:rPr>
                <w:rFonts w:cs="Arial"/>
                <w:bCs/>
                <w:color w:val="000000"/>
                <w:spacing w:val="-3"/>
                <w:szCs w:val="20"/>
              </w:rPr>
              <w:t>ostatních službách, zahrnujících zejména kulturní, zábavní a</w:t>
            </w:r>
            <w:r>
              <w:rPr>
                <w:rFonts w:cs="Arial"/>
                <w:bCs/>
                <w:color w:val="000000"/>
                <w:spacing w:val="-3"/>
                <w:szCs w:val="20"/>
              </w:rPr>
              <w:t> </w:t>
            </w:r>
            <w:r w:rsidRPr="00490051">
              <w:rPr>
                <w:rFonts w:cs="Arial"/>
                <w:bCs/>
                <w:color w:val="000000"/>
                <w:spacing w:val="-3"/>
                <w:szCs w:val="20"/>
              </w:rPr>
              <w:t>rekreační služby, ale také některé osobní služby převážně pro domácnosti (kadeřnictví, čistění, opravy). By</w:t>
            </w:r>
            <w:r>
              <w:rPr>
                <w:rFonts w:cs="Arial"/>
                <w:bCs/>
                <w:color w:val="000000"/>
                <w:spacing w:val="-3"/>
                <w:szCs w:val="20"/>
              </w:rPr>
              <w:t>ť jde o</w:t>
            </w:r>
            <w:r w:rsidRPr="00490051">
              <w:rPr>
                <w:rFonts w:cs="Arial"/>
                <w:bCs/>
                <w:color w:val="000000"/>
                <w:spacing w:val="-3"/>
                <w:szCs w:val="20"/>
              </w:rPr>
              <w:t> relativně malé odvětví, 2% úbytek míst zde představoval nejhorší výsledek od konce roku 2013. Si</w:t>
            </w:r>
            <w:r>
              <w:rPr>
                <w:rFonts w:cs="Arial"/>
                <w:bCs/>
                <w:color w:val="000000"/>
                <w:spacing w:val="-3"/>
                <w:szCs w:val="20"/>
              </w:rPr>
              <w:t>l</w:t>
            </w:r>
            <w:r w:rsidRPr="00490051">
              <w:rPr>
                <w:rFonts w:cs="Arial"/>
                <w:bCs/>
                <w:color w:val="000000"/>
                <w:spacing w:val="-3"/>
                <w:szCs w:val="20"/>
              </w:rPr>
              <w:t>ně zasaženo bylo nadále i</w:t>
            </w:r>
            <w:r>
              <w:rPr>
                <w:rFonts w:cs="Arial"/>
                <w:bCs/>
                <w:color w:val="000000"/>
                <w:spacing w:val="-3"/>
                <w:szCs w:val="20"/>
              </w:rPr>
              <w:t> </w:t>
            </w:r>
            <w:r w:rsidRPr="00490051">
              <w:rPr>
                <w:rFonts w:cs="Arial"/>
                <w:bCs/>
                <w:color w:val="000000"/>
                <w:spacing w:val="-3"/>
                <w:szCs w:val="20"/>
              </w:rPr>
              <w:t>odvětví profesní, vědecké, technické, administrativní a podpůrné činnosti, kde po loňském rekordním propadu ubyl</w:t>
            </w:r>
            <w:r>
              <w:rPr>
                <w:rFonts w:cs="Arial"/>
                <w:bCs/>
                <w:color w:val="000000"/>
                <w:spacing w:val="-3"/>
                <w:szCs w:val="20"/>
              </w:rPr>
              <w:t>a</w:t>
            </w:r>
            <w:r w:rsidRPr="00490051">
              <w:rPr>
                <w:rFonts w:cs="Arial"/>
                <w:bCs/>
                <w:color w:val="000000"/>
                <w:spacing w:val="-3"/>
                <w:szCs w:val="20"/>
              </w:rPr>
              <w:t xml:space="preserve"> v 1.</w:t>
            </w:r>
            <w:r>
              <w:rPr>
                <w:rFonts w:cs="Arial"/>
                <w:bCs/>
                <w:color w:val="000000"/>
                <w:spacing w:val="-3"/>
                <w:szCs w:val="20"/>
              </w:rPr>
              <w:t> čtvrt</w:t>
            </w:r>
            <w:r w:rsidRPr="00490051">
              <w:rPr>
                <w:rFonts w:cs="Arial"/>
                <w:bCs/>
                <w:color w:val="000000"/>
                <w:spacing w:val="-3"/>
                <w:szCs w:val="20"/>
              </w:rPr>
              <w:t>letí 2021 meziročně další 2,1</w:t>
            </w:r>
            <w:r>
              <w:rPr>
                <w:rFonts w:cs="Arial"/>
                <w:bCs/>
                <w:color w:val="000000"/>
                <w:spacing w:val="-3"/>
                <w:szCs w:val="20"/>
              </w:rPr>
              <w:t> %</w:t>
            </w:r>
            <w:r w:rsidRPr="00490051">
              <w:rPr>
                <w:rFonts w:cs="Arial"/>
                <w:bCs/>
                <w:color w:val="000000"/>
                <w:spacing w:val="-3"/>
                <w:szCs w:val="20"/>
              </w:rPr>
              <w:t xml:space="preserve"> pracovníků. </w:t>
            </w:r>
            <w:r>
              <w:rPr>
                <w:rFonts w:cs="Arial"/>
                <w:bCs/>
                <w:color w:val="000000"/>
                <w:spacing w:val="-3"/>
                <w:szCs w:val="20"/>
              </w:rPr>
              <w:t>Význam některých služeb v pandemickém období naopak vzrostl. V dlouhodobě rozvíjejícím se odvětví informačních a komunikačních činností přibylo 3,5 % zaměstnaných, obdobně jako v průměru za loňský rok.</w:t>
            </w:r>
            <w:r>
              <w:rPr>
                <w:rFonts w:cs="Arial"/>
                <w:bCs/>
                <w:color w:val="000000"/>
                <w:spacing w:val="-4"/>
                <w:szCs w:val="20"/>
              </w:rPr>
              <w:t xml:space="preserve"> K posílení role služeb na pracovním trhu ovšem přispěly nejvíce veřejné služby, v nichž nová místa vznikala zejména ve</w:t>
            </w:r>
            <w:r w:rsidRPr="00D8571F">
              <w:rPr>
                <w:rFonts w:cs="Arial"/>
                <w:bCs/>
                <w:color w:val="000000"/>
                <w:spacing w:val="-4"/>
                <w:szCs w:val="20"/>
              </w:rPr>
              <w:t xml:space="preserve"> vzdělávání, v menší míře i</w:t>
            </w:r>
            <w:r>
              <w:rPr>
                <w:rFonts w:cs="Arial"/>
                <w:bCs/>
                <w:color w:val="000000"/>
                <w:spacing w:val="-4"/>
                <w:szCs w:val="20"/>
              </w:rPr>
              <w:t xml:space="preserve"> ve </w:t>
            </w:r>
            <w:r w:rsidRPr="00D8571F">
              <w:rPr>
                <w:rFonts w:cs="Arial"/>
                <w:bCs/>
                <w:color w:val="000000"/>
                <w:spacing w:val="-4"/>
                <w:szCs w:val="20"/>
              </w:rPr>
              <w:t>zdravotní a</w:t>
            </w:r>
            <w:r>
              <w:rPr>
                <w:rFonts w:cs="Arial"/>
                <w:bCs/>
                <w:color w:val="000000"/>
                <w:spacing w:val="-4"/>
                <w:szCs w:val="20"/>
              </w:rPr>
              <w:t> sociální péči.</w:t>
            </w:r>
          </w:p>
        </w:tc>
      </w:tr>
      <w:tr w:rsidR="00F766BE" w:rsidRPr="006237E6" w14:paraId="14FA6153" w14:textId="77777777" w:rsidTr="006F6FF2">
        <w:trPr>
          <w:trHeight w:val="155"/>
        </w:trPr>
        <w:tc>
          <w:tcPr>
            <w:tcW w:w="1792" w:type="dxa"/>
            <w:shd w:val="clear" w:color="auto" w:fill="auto"/>
            <w:tcMar>
              <w:left w:w="0" w:type="dxa"/>
            </w:tcMar>
          </w:tcPr>
          <w:p w14:paraId="77794BC3" w14:textId="77777777" w:rsidR="00F766BE" w:rsidRDefault="00F766BE" w:rsidP="006F6FF2">
            <w:pPr>
              <w:pStyle w:val="Marginlie"/>
              <w:spacing w:after="120"/>
              <w:rPr>
                <w:spacing w:val="-4"/>
              </w:rPr>
            </w:pPr>
            <w:r>
              <w:rPr>
                <w:spacing w:val="-4"/>
              </w:rPr>
              <w:t>V průmyslu se meziroční pokles zaměstnanosti postupně tlumil. Větším úbytkům míst nadále čelil těžební průmysl, ale také strojírenství.</w:t>
            </w:r>
          </w:p>
        </w:tc>
        <w:tc>
          <w:tcPr>
            <w:tcW w:w="216" w:type="dxa"/>
            <w:shd w:val="clear" w:color="auto" w:fill="auto"/>
            <w:tcMar>
              <w:left w:w="0" w:type="dxa"/>
            </w:tcMar>
          </w:tcPr>
          <w:p w14:paraId="035C7A25" w14:textId="77777777" w:rsidR="00F766BE" w:rsidRPr="003B1401" w:rsidRDefault="00F766BE" w:rsidP="006F6FF2">
            <w:pPr>
              <w:pStyle w:val="Textpoznpodarou"/>
              <w:spacing w:after="120"/>
              <w:jc w:val="both"/>
              <w:rPr>
                <w:spacing w:val="-4"/>
              </w:rPr>
            </w:pPr>
          </w:p>
        </w:tc>
        <w:tc>
          <w:tcPr>
            <w:tcW w:w="7656" w:type="dxa"/>
            <w:shd w:val="clear" w:color="auto" w:fill="auto"/>
            <w:tcMar>
              <w:left w:w="0" w:type="dxa"/>
            </w:tcMar>
          </w:tcPr>
          <w:p w14:paraId="0DC68C20" w14:textId="77777777" w:rsidR="00F766BE" w:rsidRPr="008567AE" w:rsidRDefault="00F766BE" w:rsidP="006F6FF2">
            <w:pPr>
              <w:rPr>
                <w:rFonts w:cs="Arial"/>
                <w:bCs/>
                <w:color w:val="000000"/>
                <w:spacing w:val="-2"/>
                <w:szCs w:val="20"/>
              </w:rPr>
            </w:pPr>
            <w:r>
              <w:rPr>
                <w:rFonts w:cs="Arial"/>
                <w:bCs/>
                <w:color w:val="000000"/>
                <w:spacing w:val="-4"/>
                <w:szCs w:val="20"/>
              </w:rPr>
              <w:t xml:space="preserve">O rovná 2 % klesla zaměstnanost v průmyslu. Díky oživené zahraniční poptávce zde ovšem byla situace podstatně příznivější než po většinu loňského roku. Svědčí o tom i významný mezikvartální přírůstek pracovníků, jenž v 1. čtvrtletí 2021 dosáhl 0,6 %. V rámci průmyslu pokračoval vleklý hluboký úbytek zaměstnanosti ve strukturálně postiženém oboru těžby a dobývání. Útlum investiční aktivity během současné recese se negativně podepsal i na významném oboru strojírenství a ušetřeni nezůstali ani výrobci dopravních prostředků. </w:t>
            </w:r>
            <w:r w:rsidRPr="00217F48">
              <w:rPr>
                <w:rFonts w:cs="Arial"/>
                <w:bCs/>
                <w:color w:val="000000"/>
                <w:spacing w:val="-4"/>
                <w:szCs w:val="20"/>
              </w:rPr>
              <w:t>Lépe si vedly některé obory zaměřené na produkty krátkodobé spotře</w:t>
            </w:r>
            <w:r>
              <w:rPr>
                <w:rFonts w:cs="Arial"/>
                <w:bCs/>
                <w:color w:val="000000"/>
                <w:spacing w:val="-4"/>
                <w:szCs w:val="20"/>
              </w:rPr>
              <w:t>by (potravinářství, farmacie), u </w:t>
            </w:r>
            <w:r w:rsidRPr="00217F48">
              <w:rPr>
                <w:rFonts w:cs="Arial"/>
                <w:bCs/>
                <w:color w:val="000000"/>
                <w:spacing w:val="-4"/>
                <w:szCs w:val="20"/>
              </w:rPr>
              <w:t>nichž k</w:t>
            </w:r>
            <w:r>
              <w:rPr>
                <w:rFonts w:cs="Arial"/>
                <w:bCs/>
                <w:color w:val="000000"/>
                <w:spacing w:val="-4"/>
                <w:szCs w:val="20"/>
              </w:rPr>
              <w:t> významnějším</w:t>
            </w:r>
            <w:r w:rsidRPr="00217F48">
              <w:rPr>
                <w:rFonts w:cs="Arial"/>
                <w:bCs/>
                <w:color w:val="000000"/>
                <w:spacing w:val="-4"/>
                <w:szCs w:val="20"/>
              </w:rPr>
              <w:t xml:space="preserve"> meziročním změnám zaměstnanosti nedošlo.</w:t>
            </w:r>
            <w:r>
              <w:rPr>
                <w:rFonts w:cs="Arial"/>
                <w:bCs/>
                <w:color w:val="000000"/>
                <w:spacing w:val="-4"/>
                <w:szCs w:val="20"/>
              </w:rPr>
              <w:t xml:space="preserve"> V odvětví stavebnictví se předchozí tři roky trvající růst zaměstnanosti letos zastavil. Významnější pohyby nenastaly na počátku letošního roku ani v zemědělství, počet pracovníků zde byl dlouhodobě stabilizovaný.</w:t>
            </w:r>
          </w:p>
        </w:tc>
      </w:tr>
      <w:tr w:rsidR="00F766BE" w:rsidRPr="006237E6" w14:paraId="01C5F88E" w14:textId="77777777" w:rsidTr="006F6FF2">
        <w:trPr>
          <w:trHeight w:val="155"/>
        </w:trPr>
        <w:tc>
          <w:tcPr>
            <w:tcW w:w="1792" w:type="dxa"/>
            <w:shd w:val="clear" w:color="auto" w:fill="auto"/>
            <w:tcMar>
              <w:left w:w="0" w:type="dxa"/>
            </w:tcMar>
          </w:tcPr>
          <w:p w14:paraId="64745B62" w14:textId="77777777" w:rsidR="00F766BE" w:rsidRDefault="00F766BE" w:rsidP="006F6FF2">
            <w:pPr>
              <w:pStyle w:val="Marginlie"/>
              <w:spacing w:after="120"/>
              <w:rPr>
                <w:spacing w:val="-4"/>
              </w:rPr>
            </w:pPr>
            <w:r>
              <w:rPr>
                <w:spacing w:val="-4"/>
              </w:rPr>
              <w:t>Na poklesu celkové zaměstnanosti v 1. čtvrtletí se skoro z poloviny podíleli sebezaměstnaní. Jejich stavy významněji posílily jen v segmentu ICT.</w:t>
            </w:r>
          </w:p>
        </w:tc>
        <w:tc>
          <w:tcPr>
            <w:tcW w:w="216" w:type="dxa"/>
            <w:shd w:val="clear" w:color="auto" w:fill="auto"/>
            <w:tcMar>
              <w:left w:w="0" w:type="dxa"/>
            </w:tcMar>
          </w:tcPr>
          <w:p w14:paraId="5EE29B36" w14:textId="77777777" w:rsidR="00F766BE" w:rsidRPr="003B1401" w:rsidRDefault="00F766BE" w:rsidP="006F6FF2">
            <w:pPr>
              <w:pStyle w:val="Textpoznpodarou"/>
              <w:spacing w:after="120"/>
              <w:jc w:val="both"/>
              <w:rPr>
                <w:spacing w:val="-4"/>
              </w:rPr>
            </w:pPr>
          </w:p>
        </w:tc>
        <w:tc>
          <w:tcPr>
            <w:tcW w:w="7656" w:type="dxa"/>
            <w:shd w:val="clear" w:color="auto" w:fill="auto"/>
            <w:tcMar>
              <w:left w:w="0" w:type="dxa"/>
            </w:tcMar>
          </w:tcPr>
          <w:p w14:paraId="366953F0" w14:textId="4E164E1D" w:rsidR="00F766BE" w:rsidRPr="00B7530B" w:rsidRDefault="00F766BE" w:rsidP="00F766BE">
            <w:pPr>
              <w:spacing w:after="0"/>
              <w:rPr>
                <w:rFonts w:cs="Arial"/>
                <w:bCs/>
                <w:color w:val="000000"/>
                <w:spacing w:val="-4"/>
                <w:szCs w:val="20"/>
              </w:rPr>
            </w:pPr>
            <w:r w:rsidRPr="00B7530B">
              <w:rPr>
                <w:rFonts w:cs="Arial"/>
                <w:bCs/>
                <w:color w:val="000000"/>
                <w:spacing w:val="-4"/>
                <w:szCs w:val="20"/>
              </w:rPr>
              <w:t>Mnohaměsíční citelné omezení nákupních možností i</w:t>
            </w:r>
            <w:r>
              <w:rPr>
                <w:rFonts w:cs="Arial"/>
                <w:bCs/>
                <w:color w:val="000000"/>
                <w:spacing w:val="-4"/>
                <w:szCs w:val="20"/>
              </w:rPr>
              <w:t> </w:t>
            </w:r>
            <w:r w:rsidRPr="00B7530B">
              <w:rPr>
                <w:rFonts w:cs="Arial"/>
                <w:bCs/>
                <w:color w:val="000000"/>
                <w:spacing w:val="-4"/>
                <w:szCs w:val="20"/>
              </w:rPr>
              <w:t xml:space="preserve">volnočasových aktivit obyvatelstva </w:t>
            </w:r>
            <w:r>
              <w:rPr>
                <w:rFonts w:cs="Arial"/>
                <w:bCs/>
                <w:color w:val="000000"/>
                <w:spacing w:val="-4"/>
                <w:szCs w:val="20"/>
              </w:rPr>
              <w:t>prohlubovalo</w:t>
            </w:r>
            <w:r w:rsidRPr="00B7530B">
              <w:rPr>
                <w:rFonts w:cs="Arial"/>
                <w:bCs/>
                <w:color w:val="000000"/>
                <w:spacing w:val="-4"/>
                <w:szCs w:val="20"/>
              </w:rPr>
              <w:t> obtížn</w:t>
            </w:r>
            <w:r>
              <w:rPr>
                <w:rFonts w:cs="Arial"/>
                <w:bCs/>
                <w:color w:val="000000"/>
                <w:spacing w:val="-4"/>
                <w:szCs w:val="20"/>
              </w:rPr>
              <w:t>ou</w:t>
            </w:r>
            <w:r w:rsidRPr="00B7530B">
              <w:rPr>
                <w:rFonts w:cs="Arial"/>
                <w:bCs/>
                <w:color w:val="000000"/>
                <w:spacing w:val="-4"/>
                <w:szCs w:val="20"/>
              </w:rPr>
              <w:t xml:space="preserve"> situaci podnikatelů. </w:t>
            </w:r>
            <w:r>
              <w:rPr>
                <w:rFonts w:cs="Arial"/>
                <w:bCs/>
                <w:color w:val="000000"/>
                <w:spacing w:val="-4"/>
                <w:szCs w:val="20"/>
              </w:rPr>
              <w:t>Z</w:t>
            </w:r>
            <w:r w:rsidRPr="00B7530B">
              <w:rPr>
                <w:rFonts w:cs="Arial"/>
                <w:bCs/>
                <w:color w:val="000000"/>
                <w:spacing w:val="-4"/>
                <w:szCs w:val="20"/>
              </w:rPr>
              <w:t>a celý loňský rok se počet sebezaměstnaných snížil o</w:t>
            </w:r>
            <w:r>
              <w:rPr>
                <w:rFonts w:cs="Arial"/>
                <w:bCs/>
                <w:color w:val="000000"/>
                <w:spacing w:val="-4"/>
                <w:szCs w:val="20"/>
              </w:rPr>
              <w:t> </w:t>
            </w:r>
            <w:r w:rsidRPr="00B7530B">
              <w:rPr>
                <w:rFonts w:cs="Arial"/>
                <w:bCs/>
                <w:color w:val="000000"/>
                <w:spacing w:val="-4"/>
                <w:szCs w:val="20"/>
              </w:rPr>
              <w:t>1,2</w:t>
            </w:r>
            <w:r>
              <w:rPr>
                <w:rFonts w:cs="Arial"/>
                <w:bCs/>
                <w:color w:val="000000"/>
                <w:spacing w:val="-4"/>
                <w:szCs w:val="20"/>
              </w:rPr>
              <w:t> %</w:t>
            </w:r>
            <w:r w:rsidRPr="00B7530B">
              <w:rPr>
                <w:rFonts w:cs="Arial"/>
                <w:bCs/>
                <w:color w:val="000000"/>
                <w:spacing w:val="-4"/>
                <w:szCs w:val="20"/>
              </w:rPr>
              <w:t xml:space="preserve">, </w:t>
            </w:r>
            <w:r>
              <w:rPr>
                <w:rFonts w:cs="Arial"/>
                <w:bCs/>
                <w:color w:val="000000"/>
                <w:spacing w:val="-4"/>
                <w:szCs w:val="20"/>
              </w:rPr>
              <w:t xml:space="preserve">a </w:t>
            </w:r>
            <w:r w:rsidRPr="00B7530B">
              <w:rPr>
                <w:rFonts w:cs="Arial"/>
                <w:bCs/>
                <w:color w:val="000000"/>
                <w:spacing w:val="-4"/>
                <w:szCs w:val="20"/>
              </w:rPr>
              <w:t>v 1.</w:t>
            </w:r>
            <w:r>
              <w:rPr>
                <w:rFonts w:cs="Arial"/>
                <w:bCs/>
                <w:color w:val="000000"/>
                <w:spacing w:val="-4"/>
                <w:szCs w:val="20"/>
              </w:rPr>
              <w:t> čtvrt</w:t>
            </w:r>
            <w:r w:rsidRPr="00B7530B">
              <w:rPr>
                <w:rFonts w:cs="Arial"/>
                <w:bCs/>
                <w:color w:val="000000"/>
                <w:spacing w:val="-4"/>
                <w:szCs w:val="20"/>
              </w:rPr>
              <w:t>letí 2021 se meziroční pokles prohloubil na 5,2 % (resp. 39</w:t>
            </w:r>
            <w:r>
              <w:rPr>
                <w:rFonts w:cs="Arial"/>
                <w:bCs/>
                <w:color w:val="000000"/>
                <w:spacing w:val="-4"/>
                <w:szCs w:val="20"/>
              </w:rPr>
              <w:t> tis.</w:t>
            </w:r>
            <w:r w:rsidRPr="00B7530B">
              <w:rPr>
                <w:rFonts w:cs="Arial"/>
                <w:bCs/>
                <w:color w:val="000000"/>
                <w:spacing w:val="-4"/>
                <w:szCs w:val="20"/>
              </w:rPr>
              <w:t xml:space="preserve"> osob</w:t>
            </w:r>
            <w:r w:rsidRPr="00A41F17">
              <w:rPr>
                <w:rFonts w:cs="Arial"/>
                <w:bCs/>
                <w:color w:val="000000"/>
                <w:spacing w:val="-4"/>
                <w:szCs w:val="20"/>
              </w:rPr>
              <w:t>)</w:t>
            </w:r>
            <w:r w:rsidRPr="00A41F17">
              <w:rPr>
                <w:rStyle w:val="Znakapoznpodarou"/>
                <w:bCs/>
                <w:color w:val="000000"/>
                <w:spacing w:val="-4"/>
                <w:szCs w:val="20"/>
              </w:rPr>
              <w:footnoteReference w:id="3"/>
            </w:r>
            <w:r w:rsidRPr="00A41F17">
              <w:rPr>
                <w:rFonts w:cs="Arial"/>
                <w:bCs/>
                <w:color w:val="000000"/>
                <w:spacing w:val="-4"/>
                <w:szCs w:val="20"/>
              </w:rPr>
              <w:t>. Ten šel z poloviny na vrub uskupení</w:t>
            </w:r>
            <w:r w:rsidRPr="00B7530B">
              <w:rPr>
                <w:rFonts w:cs="Arial"/>
                <w:bCs/>
                <w:color w:val="000000"/>
                <w:spacing w:val="-4"/>
                <w:szCs w:val="20"/>
              </w:rPr>
              <w:t xml:space="preserve"> obchod, doprava, ubytování a</w:t>
            </w:r>
            <w:r>
              <w:rPr>
                <w:rFonts w:cs="Arial"/>
                <w:bCs/>
                <w:color w:val="000000"/>
                <w:spacing w:val="-4"/>
                <w:szCs w:val="20"/>
              </w:rPr>
              <w:t> </w:t>
            </w:r>
            <w:r w:rsidRPr="00B7530B">
              <w:rPr>
                <w:rFonts w:cs="Arial"/>
                <w:bCs/>
                <w:color w:val="000000"/>
                <w:spacing w:val="-4"/>
                <w:szCs w:val="20"/>
              </w:rPr>
              <w:t>pohostinství. Nepříznivě se ale vyvíjela i</w:t>
            </w:r>
            <w:r>
              <w:rPr>
                <w:rFonts w:cs="Arial"/>
                <w:bCs/>
                <w:color w:val="000000"/>
                <w:spacing w:val="-4"/>
                <w:szCs w:val="20"/>
              </w:rPr>
              <w:t> </w:t>
            </w:r>
            <w:r w:rsidRPr="00B7530B">
              <w:rPr>
                <w:rFonts w:cs="Arial"/>
                <w:bCs/>
                <w:color w:val="000000"/>
                <w:spacing w:val="-4"/>
                <w:szCs w:val="20"/>
              </w:rPr>
              <w:t xml:space="preserve">většina ostatních </w:t>
            </w:r>
            <w:r>
              <w:rPr>
                <w:rFonts w:cs="Arial"/>
                <w:bCs/>
                <w:color w:val="000000"/>
                <w:spacing w:val="-4"/>
                <w:szCs w:val="20"/>
              </w:rPr>
              <w:t>odvětví. K významnějšímu</w:t>
            </w:r>
            <w:r w:rsidRPr="00B7530B">
              <w:rPr>
                <w:rFonts w:cs="Arial"/>
                <w:bCs/>
                <w:color w:val="000000"/>
                <w:spacing w:val="-4"/>
                <w:szCs w:val="20"/>
              </w:rPr>
              <w:t xml:space="preserve"> růstu došlo jen v oblasti ICT. </w:t>
            </w:r>
            <w:r w:rsidRPr="00B7530B">
              <w:rPr>
                <w:spacing w:val="-4"/>
              </w:rPr>
              <w:t xml:space="preserve">Průměrný týdenní počet skutečně odpracovaných hodin se </w:t>
            </w:r>
            <w:r w:rsidRPr="00B7530B">
              <w:rPr>
                <w:rFonts w:cs="Arial"/>
                <w:bCs/>
                <w:color w:val="000000"/>
                <w:spacing w:val="-4"/>
                <w:szCs w:val="20"/>
              </w:rPr>
              <w:t>propadl</w:t>
            </w:r>
            <w:r w:rsidRPr="00B7530B">
              <w:rPr>
                <w:spacing w:val="-4"/>
              </w:rPr>
              <w:t xml:space="preserve"> u</w:t>
            </w:r>
            <w:r w:rsidRPr="00B7530B">
              <w:rPr>
                <w:rFonts w:cs="Arial"/>
                <w:bCs/>
                <w:color w:val="000000"/>
                <w:spacing w:val="-4"/>
                <w:szCs w:val="20"/>
              </w:rPr>
              <w:t> </w:t>
            </w:r>
            <w:r w:rsidRPr="00B7530B">
              <w:rPr>
                <w:spacing w:val="-4"/>
              </w:rPr>
              <w:t xml:space="preserve">podnikatelů </w:t>
            </w:r>
            <w:r w:rsidRPr="00B7530B">
              <w:rPr>
                <w:rFonts w:cs="Arial"/>
                <w:bCs/>
                <w:color w:val="000000"/>
                <w:spacing w:val="-4"/>
                <w:szCs w:val="20"/>
              </w:rPr>
              <w:t>(v hlavním zaměstnání) v letošním březnu oproti stejnému měsíci v období 2017 až 2019 o</w:t>
            </w:r>
            <w:r>
              <w:rPr>
                <w:rFonts w:cs="Arial"/>
                <w:bCs/>
                <w:color w:val="000000"/>
                <w:spacing w:val="-4"/>
                <w:szCs w:val="20"/>
              </w:rPr>
              <w:t> </w:t>
            </w:r>
            <w:r w:rsidRPr="00B7530B">
              <w:rPr>
                <w:rFonts w:cs="Arial"/>
                <w:bCs/>
                <w:color w:val="000000"/>
                <w:spacing w:val="-4"/>
                <w:szCs w:val="20"/>
              </w:rPr>
              <w:t>19,5</w:t>
            </w:r>
            <w:r>
              <w:rPr>
                <w:rFonts w:cs="Arial"/>
                <w:bCs/>
                <w:color w:val="000000"/>
                <w:spacing w:val="-4"/>
                <w:szCs w:val="20"/>
              </w:rPr>
              <w:t> %</w:t>
            </w:r>
            <w:r w:rsidRPr="00B7530B">
              <w:rPr>
                <w:rFonts w:cs="Arial"/>
                <w:bCs/>
                <w:color w:val="000000"/>
                <w:spacing w:val="-4"/>
                <w:szCs w:val="20"/>
              </w:rPr>
              <w:t>. V pásmu mezi 15 až 20</w:t>
            </w:r>
            <w:r>
              <w:rPr>
                <w:rFonts w:cs="Arial"/>
                <w:bCs/>
                <w:color w:val="000000"/>
                <w:spacing w:val="-4"/>
                <w:szCs w:val="20"/>
              </w:rPr>
              <w:t> %</w:t>
            </w:r>
            <w:r w:rsidRPr="00B7530B">
              <w:rPr>
                <w:rFonts w:cs="Arial"/>
                <w:bCs/>
                <w:color w:val="000000"/>
                <w:spacing w:val="-4"/>
                <w:szCs w:val="20"/>
              </w:rPr>
              <w:t xml:space="preserve"> se udržoval pátý měsíc v řadě a v tomto období byl tak jeho propad téměř třikrát vyšší než u zaměstnanců</w:t>
            </w:r>
            <w:r w:rsidRPr="00B7530B">
              <w:rPr>
                <w:rStyle w:val="Znakapoznpodarou"/>
                <w:bCs/>
                <w:color w:val="000000"/>
                <w:spacing w:val="-4"/>
                <w:szCs w:val="20"/>
              </w:rPr>
              <w:footnoteReference w:id="4"/>
            </w:r>
            <w:r w:rsidRPr="00B7530B">
              <w:rPr>
                <w:rFonts w:cs="Arial"/>
                <w:bCs/>
                <w:color w:val="000000"/>
                <w:spacing w:val="-4"/>
                <w:szCs w:val="20"/>
              </w:rPr>
              <w:t xml:space="preserve">. V dubnu 2021 se situace </w:t>
            </w:r>
            <w:r>
              <w:rPr>
                <w:rFonts w:cs="Arial"/>
                <w:bCs/>
                <w:color w:val="000000"/>
                <w:spacing w:val="-4"/>
                <w:szCs w:val="20"/>
              </w:rPr>
              <w:t xml:space="preserve">mírně </w:t>
            </w:r>
            <w:r w:rsidRPr="00B7530B">
              <w:rPr>
                <w:rFonts w:cs="Arial"/>
                <w:bCs/>
                <w:color w:val="000000"/>
                <w:spacing w:val="-4"/>
                <w:szCs w:val="20"/>
              </w:rPr>
              <w:t>zlepšila, i</w:t>
            </w:r>
            <w:r>
              <w:rPr>
                <w:rFonts w:cs="Arial"/>
                <w:bCs/>
                <w:color w:val="000000"/>
                <w:spacing w:val="-4"/>
                <w:szCs w:val="20"/>
              </w:rPr>
              <w:t> </w:t>
            </w:r>
            <w:r w:rsidRPr="00B7530B">
              <w:rPr>
                <w:rFonts w:cs="Arial"/>
                <w:bCs/>
                <w:color w:val="000000"/>
                <w:spacing w:val="-4"/>
                <w:szCs w:val="20"/>
              </w:rPr>
              <w:t>tak ale byla odpracovaná doba ve srovnání s</w:t>
            </w:r>
            <w:r>
              <w:rPr>
                <w:rFonts w:cs="Arial"/>
                <w:bCs/>
                <w:color w:val="000000"/>
                <w:spacing w:val="-4"/>
                <w:szCs w:val="20"/>
              </w:rPr>
              <w:t> </w:t>
            </w:r>
            <w:r w:rsidRPr="00B7530B">
              <w:rPr>
                <w:rFonts w:cs="Arial"/>
                <w:bCs/>
                <w:color w:val="000000"/>
                <w:spacing w:val="-4"/>
                <w:szCs w:val="20"/>
              </w:rPr>
              <w:t>„předcovidovým normálem“ stále nižší (u</w:t>
            </w:r>
            <w:r>
              <w:rPr>
                <w:rFonts w:cs="Arial"/>
                <w:bCs/>
                <w:color w:val="000000"/>
                <w:spacing w:val="-4"/>
                <w:szCs w:val="20"/>
              </w:rPr>
              <w:t> </w:t>
            </w:r>
            <w:r w:rsidRPr="00B7530B">
              <w:rPr>
                <w:rFonts w:cs="Arial"/>
                <w:bCs/>
                <w:color w:val="000000"/>
                <w:spacing w:val="-4"/>
                <w:szCs w:val="20"/>
              </w:rPr>
              <w:t>zaměstnanců o 2</w:t>
            </w:r>
            <w:r>
              <w:rPr>
                <w:rFonts w:cs="Arial"/>
                <w:bCs/>
                <w:color w:val="000000"/>
                <w:spacing w:val="-4"/>
                <w:szCs w:val="20"/>
              </w:rPr>
              <w:t> %</w:t>
            </w:r>
            <w:r w:rsidRPr="00B7530B">
              <w:rPr>
                <w:rFonts w:cs="Arial"/>
                <w:bCs/>
                <w:color w:val="000000"/>
                <w:spacing w:val="-4"/>
                <w:szCs w:val="20"/>
              </w:rPr>
              <w:t>, u</w:t>
            </w:r>
            <w:r>
              <w:rPr>
                <w:rFonts w:cs="Arial"/>
                <w:bCs/>
                <w:color w:val="000000"/>
                <w:spacing w:val="-4"/>
                <w:szCs w:val="20"/>
              </w:rPr>
              <w:t> </w:t>
            </w:r>
            <w:r w:rsidRPr="00B7530B">
              <w:rPr>
                <w:rFonts w:cs="Arial"/>
                <w:bCs/>
                <w:color w:val="000000"/>
                <w:spacing w:val="-4"/>
                <w:szCs w:val="20"/>
              </w:rPr>
              <w:t>podnikatelů o</w:t>
            </w:r>
            <w:r>
              <w:rPr>
                <w:rFonts w:cs="Arial"/>
                <w:bCs/>
                <w:color w:val="000000"/>
                <w:spacing w:val="-4"/>
                <w:szCs w:val="20"/>
              </w:rPr>
              <w:t> </w:t>
            </w:r>
            <w:r w:rsidRPr="00B7530B">
              <w:rPr>
                <w:rFonts w:cs="Arial"/>
                <w:bCs/>
                <w:color w:val="000000"/>
                <w:spacing w:val="-4"/>
                <w:szCs w:val="20"/>
              </w:rPr>
              <w:t>14</w:t>
            </w:r>
            <w:r>
              <w:rPr>
                <w:rFonts w:cs="Arial"/>
                <w:bCs/>
                <w:color w:val="000000"/>
                <w:spacing w:val="-4"/>
                <w:szCs w:val="20"/>
              </w:rPr>
              <w:t> %</w:t>
            </w:r>
            <w:r w:rsidRPr="00B7530B">
              <w:rPr>
                <w:rFonts w:cs="Arial"/>
                <w:bCs/>
                <w:color w:val="000000"/>
                <w:spacing w:val="-4"/>
                <w:szCs w:val="20"/>
              </w:rPr>
              <w:t>).</w:t>
            </w:r>
          </w:p>
        </w:tc>
      </w:tr>
      <w:tr w:rsidR="00F766BE" w:rsidRPr="006237E6" w14:paraId="17F6F94C" w14:textId="77777777" w:rsidTr="006F6FF2">
        <w:trPr>
          <w:trHeight w:val="155"/>
        </w:trPr>
        <w:tc>
          <w:tcPr>
            <w:tcW w:w="1792" w:type="dxa"/>
            <w:shd w:val="clear" w:color="auto" w:fill="auto"/>
            <w:tcMar>
              <w:left w:w="0" w:type="dxa"/>
            </w:tcMar>
          </w:tcPr>
          <w:p w14:paraId="22DD1550" w14:textId="77777777" w:rsidR="00F766BE" w:rsidRDefault="00F766BE" w:rsidP="006F6FF2">
            <w:pPr>
              <w:pStyle w:val="Marginlie"/>
              <w:spacing w:after="120"/>
              <w:rPr>
                <w:spacing w:val="-4"/>
              </w:rPr>
            </w:pPr>
            <w:r>
              <w:rPr>
                <w:spacing w:val="-4"/>
              </w:rPr>
              <w:lastRenderedPageBreak/>
              <w:t>Očekávání podniků v oblasti zaměstnanosti se v dubnu i květnu zlepšila. Nábor pracovníků signalizoval průmysl i obchod.</w:t>
            </w:r>
          </w:p>
        </w:tc>
        <w:tc>
          <w:tcPr>
            <w:tcW w:w="216" w:type="dxa"/>
            <w:shd w:val="clear" w:color="auto" w:fill="auto"/>
            <w:tcMar>
              <w:left w:w="0" w:type="dxa"/>
            </w:tcMar>
          </w:tcPr>
          <w:p w14:paraId="16875A9C" w14:textId="77777777" w:rsidR="00F766BE" w:rsidRPr="003B1401" w:rsidRDefault="00F766BE" w:rsidP="006F6FF2">
            <w:pPr>
              <w:pStyle w:val="Textpoznpodarou"/>
              <w:spacing w:after="120"/>
              <w:jc w:val="both"/>
              <w:rPr>
                <w:spacing w:val="-4"/>
              </w:rPr>
            </w:pPr>
          </w:p>
        </w:tc>
        <w:tc>
          <w:tcPr>
            <w:tcW w:w="7656" w:type="dxa"/>
            <w:shd w:val="clear" w:color="auto" w:fill="auto"/>
            <w:tcMar>
              <w:left w:w="0" w:type="dxa"/>
            </w:tcMar>
          </w:tcPr>
          <w:p w14:paraId="61ABD428" w14:textId="77777777" w:rsidR="00F766BE" w:rsidRPr="00327498" w:rsidRDefault="00F766BE" w:rsidP="006F6FF2">
            <w:pPr>
              <w:rPr>
                <w:rFonts w:cs="Arial"/>
                <w:bCs/>
                <w:color w:val="000000"/>
                <w:spacing w:val="-4"/>
                <w:szCs w:val="20"/>
              </w:rPr>
            </w:pPr>
            <w:r>
              <w:rPr>
                <w:rFonts w:cs="Arial"/>
                <w:bCs/>
                <w:color w:val="000000"/>
                <w:spacing w:val="-2"/>
                <w:szCs w:val="20"/>
              </w:rPr>
              <w:t xml:space="preserve">Krátkodobá </w:t>
            </w:r>
            <w:r w:rsidRPr="00D509DD">
              <w:rPr>
                <w:rFonts w:cs="Arial"/>
                <w:bCs/>
                <w:color w:val="0D0D0D" w:themeColor="text1" w:themeTint="F2"/>
                <w:spacing w:val="-2"/>
                <w:szCs w:val="20"/>
              </w:rPr>
              <w:t>očekávání podniků v oblasti zaměstnanosti</w:t>
            </w:r>
            <w:r>
              <w:rPr>
                <w:rFonts w:cs="Arial"/>
                <w:bCs/>
                <w:color w:val="0D0D0D" w:themeColor="text1" w:themeTint="F2"/>
                <w:spacing w:val="-2"/>
                <w:szCs w:val="20"/>
              </w:rPr>
              <w:t xml:space="preserve"> se s postupným uvolňováním vládních restrikcí během 2. čtvrtletí 2021 zlepšovala, a to zejména v obchodě. V průmyslu pokračovalo dlouhodobější oživení</w:t>
            </w:r>
            <w:r>
              <w:rPr>
                <w:rStyle w:val="Znakapoznpodarou"/>
                <w:bCs/>
                <w:color w:val="0D0D0D" w:themeColor="text1" w:themeTint="F2"/>
                <w:spacing w:val="-2"/>
                <w:szCs w:val="20"/>
              </w:rPr>
              <w:footnoteReference w:id="5"/>
            </w:r>
            <w:r>
              <w:rPr>
                <w:rFonts w:cs="Arial"/>
                <w:bCs/>
                <w:color w:val="0D0D0D" w:themeColor="text1" w:themeTint="F2"/>
                <w:spacing w:val="-2"/>
                <w:szCs w:val="20"/>
              </w:rPr>
              <w:t>. V květnu zde byla pozitivní růstová očekávání počtu zaměstnanců nejvyšší za posledního dva a půl roku. To ve službách</w:t>
            </w:r>
            <w:r>
              <w:rPr>
                <w:rStyle w:val="Znakapoznpodarou"/>
                <w:bCs/>
                <w:color w:val="000000"/>
                <w:spacing w:val="-2"/>
                <w:szCs w:val="20"/>
              </w:rPr>
              <w:footnoteReference w:id="6"/>
            </w:r>
            <w:r>
              <w:rPr>
                <w:rFonts w:cs="Arial"/>
                <w:bCs/>
                <w:color w:val="0D0D0D" w:themeColor="text1" w:themeTint="F2"/>
                <w:spacing w:val="-2"/>
                <w:szCs w:val="20"/>
              </w:rPr>
              <w:t xml:space="preserve"> k výraznějšímu posunu dosud nedošlo. Zvyšování zaměstnanosti plánoval jen každý dvacátý podnik, redukci stavů ale každý třetí. Situace v rámci služeb byla ale různorodá</w:t>
            </w:r>
            <w:r>
              <w:rPr>
                <w:rStyle w:val="Znakapoznpodarou"/>
                <w:bCs/>
                <w:color w:val="0D0D0D" w:themeColor="text1" w:themeTint="F2"/>
                <w:spacing w:val="-2"/>
                <w:szCs w:val="20"/>
              </w:rPr>
              <w:footnoteReference w:id="7"/>
            </w:r>
            <w:r>
              <w:rPr>
                <w:rFonts w:cs="Arial"/>
                <w:bCs/>
                <w:color w:val="0D0D0D" w:themeColor="text1" w:themeTint="F2"/>
                <w:spacing w:val="-2"/>
                <w:szCs w:val="20"/>
              </w:rPr>
              <w:t>.</w:t>
            </w:r>
          </w:p>
        </w:tc>
      </w:tr>
      <w:tr w:rsidR="00F766BE" w:rsidRPr="009F2A8A" w14:paraId="25700DA3" w14:textId="77777777" w:rsidTr="006F6FF2">
        <w:trPr>
          <w:trHeight w:val="155"/>
        </w:trPr>
        <w:tc>
          <w:tcPr>
            <w:tcW w:w="1792" w:type="dxa"/>
            <w:vMerge w:val="restart"/>
            <w:shd w:val="clear" w:color="auto" w:fill="auto"/>
            <w:tcMar>
              <w:left w:w="0" w:type="dxa"/>
            </w:tcMar>
          </w:tcPr>
          <w:p w14:paraId="78C68843" w14:textId="77777777" w:rsidR="00F766BE" w:rsidRPr="00B43216" w:rsidRDefault="00F766BE" w:rsidP="006F6FF2">
            <w:pPr>
              <w:pStyle w:val="Marginlie"/>
              <w:spacing w:after="120"/>
              <w:rPr>
                <w:spacing w:val="-4"/>
              </w:rPr>
            </w:pPr>
          </w:p>
        </w:tc>
        <w:tc>
          <w:tcPr>
            <w:tcW w:w="216" w:type="dxa"/>
            <w:vMerge w:val="restart"/>
            <w:shd w:val="clear" w:color="auto" w:fill="auto"/>
            <w:tcMar>
              <w:left w:w="0" w:type="dxa"/>
            </w:tcMar>
          </w:tcPr>
          <w:p w14:paraId="73666042" w14:textId="77777777" w:rsidR="00F766BE" w:rsidRPr="00B43216" w:rsidRDefault="00F766BE" w:rsidP="006F6FF2">
            <w:pPr>
              <w:pStyle w:val="Textpoznpodarou"/>
              <w:spacing w:after="120"/>
              <w:jc w:val="both"/>
              <w:rPr>
                <w:spacing w:val="-4"/>
              </w:rPr>
            </w:pPr>
          </w:p>
        </w:tc>
        <w:tc>
          <w:tcPr>
            <w:tcW w:w="7656" w:type="dxa"/>
            <w:shd w:val="clear" w:color="auto" w:fill="auto"/>
            <w:tcMar>
              <w:left w:w="0" w:type="dxa"/>
            </w:tcMar>
          </w:tcPr>
          <w:p w14:paraId="3987AFCD" w14:textId="5E391521" w:rsidR="00F766BE" w:rsidRPr="00CA5850" w:rsidRDefault="00197D0E" w:rsidP="006F6FF2">
            <w:pPr>
              <w:spacing w:after="0"/>
              <w:rPr>
                <w:spacing w:val="-2"/>
              </w:rPr>
            </w:pPr>
            <w:r>
              <w:rPr>
                <w:rFonts w:cs="Arial"/>
                <w:b/>
                <w:bCs/>
                <w:color w:val="000000"/>
                <w:szCs w:val="20"/>
              </w:rPr>
              <w:t>Graf č. 12</w:t>
            </w:r>
            <w:r w:rsidR="00F766BE" w:rsidRPr="0068569E">
              <w:rPr>
                <w:rFonts w:cs="Arial"/>
                <w:b/>
                <w:bCs/>
                <w:color w:val="000000"/>
                <w:sz w:val="18"/>
                <w:szCs w:val="18"/>
              </w:rPr>
              <w:t xml:space="preserve">  </w:t>
            </w:r>
            <w:r w:rsidR="00F766BE" w:rsidRPr="0068569E">
              <w:rPr>
                <w:b/>
                <w:bCs/>
                <w:lang w:eastAsia="en-US"/>
              </w:rPr>
              <w:t xml:space="preserve">Celková zaměstnanost </w:t>
            </w:r>
            <w:r w:rsidR="00F766BE" w:rsidRPr="0068569E">
              <w:rPr>
                <w:lang w:eastAsia="en-US"/>
              </w:rPr>
              <w:t>(</w:t>
            </w:r>
            <w:r w:rsidR="00F766BE" w:rsidRPr="0068569E">
              <w:rPr>
                <w:spacing w:val="-2"/>
              </w:rPr>
              <w:t>meziročně v</w:t>
            </w:r>
            <w:r w:rsidR="00F766BE">
              <w:rPr>
                <w:spacing w:val="-2"/>
              </w:rPr>
              <w:t> %</w:t>
            </w:r>
            <w:r w:rsidR="00F766BE" w:rsidRPr="0068569E">
              <w:rPr>
                <w:spacing w:val="-2"/>
              </w:rPr>
              <w:t>)</w:t>
            </w:r>
            <w:r w:rsidR="00F766BE" w:rsidRPr="0068569E">
              <w:rPr>
                <w:b/>
                <w:bCs/>
                <w:spacing w:val="-2"/>
              </w:rPr>
              <w:t xml:space="preserve">, </w:t>
            </w:r>
            <w:r w:rsidR="00F766BE">
              <w:rPr>
                <w:b/>
                <w:bCs/>
                <w:spacing w:val="-2"/>
              </w:rPr>
              <w:t xml:space="preserve">příspěvky </w:t>
            </w:r>
            <w:r w:rsidR="00F766BE" w:rsidRPr="0068569E">
              <w:rPr>
                <w:b/>
                <w:bCs/>
                <w:spacing w:val="-2"/>
              </w:rPr>
              <w:t xml:space="preserve">odvětví k meziroční změně zaměstnanosti </w:t>
            </w:r>
            <w:r w:rsidR="00F766BE" w:rsidRPr="0068569E">
              <w:rPr>
                <w:spacing w:val="-2"/>
              </w:rPr>
              <w:t>(v</w:t>
            </w:r>
            <w:r w:rsidR="00F766BE">
              <w:rPr>
                <w:spacing w:val="-2"/>
              </w:rPr>
              <w:t> p. b.</w:t>
            </w:r>
            <w:r w:rsidR="00F766BE" w:rsidRPr="0068569E">
              <w:rPr>
                <w:spacing w:val="-2"/>
              </w:rPr>
              <w:t>)</w:t>
            </w:r>
            <w:r w:rsidR="00F766BE" w:rsidRPr="0068569E">
              <w:rPr>
                <w:b/>
                <w:bCs/>
                <w:spacing w:val="-2"/>
              </w:rPr>
              <w:t xml:space="preserve"> a očekávání vývoje zaměst</w:t>
            </w:r>
            <w:r w:rsidR="00F766BE">
              <w:rPr>
                <w:b/>
                <w:bCs/>
                <w:spacing w:val="-2"/>
              </w:rPr>
              <w:t>nanosti</w:t>
            </w:r>
            <w:r w:rsidR="00F766BE" w:rsidRPr="0068569E">
              <w:rPr>
                <w:b/>
                <w:bCs/>
                <w:spacing w:val="-2"/>
              </w:rPr>
              <w:t xml:space="preserve"> </w:t>
            </w:r>
            <w:r w:rsidR="00F766BE" w:rsidRPr="0068569E">
              <w:rPr>
                <w:spacing w:val="-2"/>
              </w:rPr>
              <w:t>(saldo v</w:t>
            </w:r>
            <w:r w:rsidR="00F766BE">
              <w:rPr>
                <w:spacing w:val="-2"/>
              </w:rPr>
              <w:t> p. b.)</w:t>
            </w:r>
          </w:p>
        </w:tc>
      </w:tr>
      <w:tr w:rsidR="00F766BE" w:rsidRPr="00B43216" w14:paraId="735C1C68" w14:textId="77777777" w:rsidTr="006F6FF2">
        <w:tblPrEx>
          <w:tblCellMar>
            <w:left w:w="70" w:type="dxa"/>
            <w:right w:w="70" w:type="dxa"/>
          </w:tblCellMar>
        </w:tblPrEx>
        <w:trPr>
          <w:trHeight w:val="155"/>
        </w:trPr>
        <w:tc>
          <w:tcPr>
            <w:tcW w:w="1792" w:type="dxa"/>
            <w:vMerge/>
            <w:shd w:val="clear" w:color="auto" w:fill="auto"/>
          </w:tcPr>
          <w:p w14:paraId="56C7E89A" w14:textId="77777777" w:rsidR="00F766BE" w:rsidRPr="00B43216" w:rsidRDefault="00F766BE" w:rsidP="006F6FF2">
            <w:pPr>
              <w:pStyle w:val="Marginlie"/>
              <w:spacing w:after="120"/>
              <w:rPr>
                <w:spacing w:val="-4"/>
              </w:rPr>
            </w:pPr>
          </w:p>
        </w:tc>
        <w:tc>
          <w:tcPr>
            <w:tcW w:w="216" w:type="dxa"/>
            <w:vMerge/>
            <w:shd w:val="clear" w:color="auto" w:fill="auto"/>
          </w:tcPr>
          <w:p w14:paraId="4E33333C" w14:textId="77777777" w:rsidR="00F766BE" w:rsidRPr="00B43216" w:rsidRDefault="00F766BE" w:rsidP="006F6FF2">
            <w:pPr>
              <w:pStyle w:val="Textpoznpodarou"/>
              <w:spacing w:after="120"/>
              <w:jc w:val="both"/>
              <w:rPr>
                <w:spacing w:val="-4"/>
              </w:rPr>
            </w:pPr>
          </w:p>
        </w:tc>
        <w:tc>
          <w:tcPr>
            <w:tcW w:w="7656" w:type="dxa"/>
            <w:shd w:val="clear" w:color="auto" w:fill="auto"/>
          </w:tcPr>
          <w:p w14:paraId="1D417617" w14:textId="77777777" w:rsidR="00F766BE" w:rsidRPr="00B43216" w:rsidRDefault="00F766BE" w:rsidP="006F6FF2">
            <w:pPr>
              <w:spacing w:after="0"/>
              <w:rPr>
                <w:spacing w:val="-4"/>
              </w:rPr>
            </w:pPr>
            <w:r>
              <w:rPr>
                <w:noProof/>
              </w:rPr>
              <w:drawing>
                <wp:inline distT="0" distB="0" distL="0" distR="0" wp14:anchorId="707153E2" wp14:editId="46ABFB6A">
                  <wp:extent cx="4741545" cy="3870773"/>
                  <wp:effectExtent l="0" t="0" r="1905"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F766BE" w:rsidRPr="00485ED5" w14:paraId="2C6D5973" w14:textId="77777777" w:rsidTr="006F6FF2">
        <w:trPr>
          <w:trHeight w:val="671"/>
        </w:trPr>
        <w:tc>
          <w:tcPr>
            <w:tcW w:w="1792" w:type="dxa"/>
            <w:vMerge/>
            <w:shd w:val="clear" w:color="auto" w:fill="auto"/>
            <w:tcMar>
              <w:left w:w="0" w:type="dxa"/>
            </w:tcMar>
          </w:tcPr>
          <w:p w14:paraId="2FBAA9A2" w14:textId="77777777" w:rsidR="00F766BE" w:rsidRPr="00B43216" w:rsidRDefault="00F766BE" w:rsidP="006F6FF2">
            <w:pPr>
              <w:pStyle w:val="Marginlie"/>
              <w:spacing w:after="120"/>
              <w:rPr>
                <w:spacing w:val="-4"/>
              </w:rPr>
            </w:pPr>
          </w:p>
        </w:tc>
        <w:tc>
          <w:tcPr>
            <w:tcW w:w="216" w:type="dxa"/>
            <w:vMerge/>
            <w:shd w:val="clear" w:color="auto" w:fill="auto"/>
            <w:tcMar>
              <w:left w:w="0" w:type="dxa"/>
            </w:tcMar>
          </w:tcPr>
          <w:p w14:paraId="270A7C67" w14:textId="77777777" w:rsidR="00F766BE" w:rsidRPr="00B43216" w:rsidRDefault="00F766BE" w:rsidP="006F6FF2">
            <w:pPr>
              <w:pStyle w:val="Textpoznpodarou"/>
              <w:spacing w:after="120"/>
              <w:jc w:val="both"/>
              <w:rPr>
                <w:spacing w:val="-4"/>
              </w:rPr>
            </w:pPr>
          </w:p>
        </w:tc>
        <w:tc>
          <w:tcPr>
            <w:tcW w:w="7656" w:type="dxa"/>
            <w:shd w:val="clear" w:color="auto" w:fill="auto"/>
            <w:tcMar>
              <w:left w:w="0" w:type="dxa"/>
            </w:tcMar>
          </w:tcPr>
          <w:p w14:paraId="58533902" w14:textId="77777777" w:rsidR="00F766BE" w:rsidRDefault="00F766BE" w:rsidP="006F6FF2">
            <w:pPr>
              <w:spacing w:after="0" w:line="240" w:lineRule="auto"/>
              <w:rPr>
                <w:rFonts w:cs="Arial"/>
                <w:sz w:val="14"/>
                <w:szCs w:val="14"/>
              </w:rPr>
            </w:pPr>
            <w:r>
              <w:rPr>
                <w:rFonts w:cs="Arial"/>
                <w:color w:val="0D0D0D" w:themeColor="text1" w:themeTint="F2"/>
                <w:spacing w:val="-2"/>
                <w:sz w:val="14"/>
                <w:szCs w:val="14"/>
              </w:rPr>
              <w:t>*</w:t>
            </w:r>
            <w:r w:rsidRPr="00862F17">
              <w:rPr>
                <w:rFonts w:cs="Arial"/>
                <w:sz w:val="14"/>
                <w:szCs w:val="14"/>
              </w:rPr>
              <w:t xml:space="preserve"> Těžba a</w:t>
            </w:r>
            <w:r>
              <w:rPr>
                <w:rFonts w:cs="Arial"/>
                <w:sz w:val="14"/>
                <w:szCs w:val="14"/>
              </w:rPr>
              <w:t> </w:t>
            </w:r>
            <w:r w:rsidRPr="00862F17">
              <w:rPr>
                <w:rFonts w:cs="Arial"/>
                <w:sz w:val="14"/>
                <w:szCs w:val="14"/>
              </w:rPr>
              <w:t>energetika</w:t>
            </w:r>
            <w:r>
              <w:rPr>
                <w:rFonts w:cs="Arial"/>
                <w:sz w:val="14"/>
                <w:szCs w:val="14"/>
              </w:rPr>
              <w:t>;</w:t>
            </w:r>
            <w:r w:rsidRPr="00862F17">
              <w:rPr>
                <w:rFonts w:cs="Arial"/>
                <w:sz w:val="14"/>
                <w:szCs w:val="14"/>
              </w:rPr>
              <w:t xml:space="preserve"> Peněžnictví a</w:t>
            </w:r>
            <w:r>
              <w:rPr>
                <w:rFonts w:cs="Arial"/>
                <w:sz w:val="14"/>
                <w:szCs w:val="14"/>
              </w:rPr>
              <w:t> </w:t>
            </w:r>
            <w:r w:rsidRPr="00862F17">
              <w:rPr>
                <w:rFonts w:cs="Arial"/>
                <w:sz w:val="14"/>
                <w:szCs w:val="14"/>
              </w:rPr>
              <w:t>pojišťovnictví</w:t>
            </w:r>
            <w:r>
              <w:rPr>
                <w:rFonts w:cs="Arial"/>
                <w:sz w:val="14"/>
                <w:szCs w:val="14"/>
              </w:rPr>
              <w:t>;</w:t>
            </w:r>
            <w:r w:rsidRPr="00862F17">
              <w:rPr>
                <w:rFonts w:cs="Arial"/>
                <w:sz w:val="14"/>
                <w:szCs w:val="14"/>
              </w:rPr>
              <w:t xml:space="preserve"> Činnosti v</w:t>
            </w:r>
            <w:r>
              <w:rPr>
                <w:rFonts w:cs="Arial"/>
                <w:sz w:val="14"/>
                <w:szCs w:val="14"/>
              </w:rPr>
              <w:t> </w:t>
            </w:r>
            <w:r w:rsidRPr="00862F17">
              <w:rPr>
                <w:rFonts w:cs="Arial"/>
                <w:sz w:val="14"/>
                <w:szCs w:val="14"/>
              </w:rPr>
              <w:t>oblasti nemovitostí</w:t>
            </w:r>
            <w:r>
              <w:rPr>
                <w:rFonts w:cs="Arial"/>
                <w:sz w:val="14"/>
                <w:szCs w:val="14"/>
              </w:rPr>
              <w:t>;</w:t>
            </w:r>
            <w:r w:rsidRPr="00862F17">
              <w:rPr>
                <w:rFonts w:cs="Arial"/>
                <w:sz w:val="14"/>
                <w:szCs w:val="14"/>
              </w:rPr>
              <w:t xml:space="preserve"> Kulturní, zábavní a</w:t>
            </w:r>
            <w:r w:rsidRPr="00D47653">
              <w:rPr>
                <w:sz w:val="14"/>
                <w:szCs w:val="14"/>
              </w:rPr>
              <w:t> </w:t>
            </w:r>
            <w:r w:rsidRPr="00862F17">
              <w:rPr>
                <w:rFonts w:cs="Arial"/>
                <w:sz w:val="14"/>
                <w:szCs w:val="14"/>
              </w:rPr>
              <w:t>rekreační činnosti</w:t>
            </w:r>
            <w:r>
              <w:rPr>
                <w:rFonts w:cs="Arial"/>
                <w:sz w:val="14"/>
                <w:szCs w:val="14"/>
              </w:rPr>
              <w:t>.</w:t>
            </w:r>
          </w:p>
          <w:p w14:paraId="0BBEE768" w14:textId="77777777" w:rsidR="00F766BE" w:rsidRDefault="00F766BE" w:rsidP="006F6FF2">
            <w:pPr>
              <w:spacing w:after="0" w:line="240" w:lineRule="auto"/>
              <w:rPr>
                <w:rFonts w:cs="Arial"/>
                <w:sz w:val="14"/>
                <w:szCs w:val="14"/>
              </w:rPr>
            </w:pPr>
            <w:r>
              <w:rPr>
                <w:rFonts w:cs="Arial"/>
                <w:sz w:val="14"/>
                <w:szCs w:val="14"/>
              </w:rPr>
              <w:t xml:space="preserve">Poznámka: Saldo </w:t>
            </w:r>
            <w:r>
              <w:rPr>
                <w:rFonts w:cs="Arial"/>
                <w:color w:val="0D0D0D" w:themeColor="text1" w:themeTint="F2"/>
                <w:sz w:val="14"/>
                <w:szCs w:val="14"/>
              </w:rPr>
              <w:t>očekávání vyjadřuje rozdíl v p. b. mezi kategoriemi růst versus pokles zaměstnanosti v nejbližších třech měsících. Údaje jsou sezónně očištěny a vztahují se k druhému měsíci daného čtvrtletí.</w:t>
            </w:r>
          </w:p>
          <w:p w14:paraId="35C046EA" w14:textId="77777777" w:rsidR="00F766BE" w:rsidRPr="00485ED5" w:rsidRDefault="00F766BE" w:rsidP="006F6FF2">
            <w:pPr>
              <w:spacing w:after="220" w:line="240" w:lineRule="auto"/>
              <w:rPr>
                <w:rFonts w:cs="Arial"/>
                <w:color w:val="0D0D0D" w:themeColor="text1" w:themeTint="F2"/>
                <w:spacing w:val="-2"/>
                <w:sz w:val="14"/>
                <w:szCs w:val="14"/>
              </w:rPr>
            </w:pPr>
            <w:r w:rsidRPr="00862F17">
              <w:rPr>
                <w:rFonts w:cs="Arial"/>
                <w:sz w:val="14"/>
                <w:szCs w:val="14"/>
              </w:rPr>
              <w:t>Zdroj: ČSÚ (národní účty</w:t>
            </w:r>
            <w:r>
              <w:rPr>
                <w:rFonts w:cs="Arial"/>
                <w:sz w:val="14"/>
                <w:szCs w:val="14"/>
              </w:rPr>
              <w:t>, konjunkturální průzkumy)</w:t>
            </w:r>
          </w:p>
        </w:tc>
      </w:tr>
      <w:tr w:rsidR="00F766BE" w:rsidRPr="00D82DBD" w14:paraId="7902C1C1" w14:textId="77777777" w:rsidTr="006F6FF2">
        <w:trPr>
          <w:trHeight w:val="145"/>
        </w:trPr>
        <w:tc>
          <w:tcPr>
            <w:tcW w:w="1792" w:type="dxa"/>
            <w:shd w:val="clear" w:color="auto" w:fill="auto"/>
            <w:tcMar>
              <w:left w:w="0" w:type="dxa"/>
            </w:tcMar>
          </w:tcPr>
          <w:p w14:paraId="7A0D4D77" w14:textId="77777777" w:rsidR="00F766BE" w:rsidRPr="00EA508C" w:rsidRDefault="00F766BE" w:rsidP="006F6FF2">
            <w:pPr>
              <w:pStyle w:val="Marginlie"/>
              <w:spacing w:after="120"/>
              <w:rPr>
                <w:color w:val="0D0D0D" w:themeColor="text1" w:themeTint="F2"/>
                <w:spacing w:val="-5"/>
              </w:rPr>
            </w:pPr>
            <w:r>
              <w:rPr>
                <w:color w:val="0D0D0D" w:themeColor="text1" w:themeTint="F2"/>
                <w:spacing w:val="-5"/>
              </w:rPr>
              <w:t xml:space="preserve">Růst míry nezaměstnanosti byl výrazně utlumený. Selektivní dopady protipandemických opatření více oslabily </w:t>
            </w:r>
            <w:r>
              <w:rPr>
                <w:color w:val="0D0D0D" w:themeColor="text1" w:themeTint="F2"/>
                <w:spacing w:val="-5"/>
              </w:rPr>
              <w:lastRenderedPageBreak/>
              <w:t>pozici žen a mladých na trhu práce.</w:t>
            </w:r>
          </w:p>
        </w:tc>
        <w:tc>
          <w:tcPr>
            <w:tcW w:w="216" w:type="dxa"/>
            <w:shd w:val="clear" w:color="auto" w:fill="auto"/>
            <w:tcMar>
              <w:left w:w="0" w:type="dxa"/>
            </w:tcMar>
          </w:tcPr>
          <w:p w14:paraId="6B61D360" w14:textId="77777777" w:rsidR="00F766BE" w:rsidRPr="00EA508C" w:rsidRDefault="00F766BE" w:rsidP="006F6FF2">
            <w:pPr>
              <w:pStyle w:val="Textpoznpodarou"/>
              <w:spacing w:after="120"/>
              <w:jc w:val="both"/>
              <w:rPr>
                <w:color w:val="0D0D0D" w:themeColor="text1" w:themeTint="F2"/>
                <w:spacing w:val="-4"/>
              </w:rPr>
            </w:pPr>
          </w:p>
        </w:tc>
        <w:tc>
          <w:tcPr>
            <w:tcW w:w="7656" w:type="dxa"/>
            <w:shd w:val="clear" w:color="auto" w:fill="auto"/>
            <w:tcMar>
              <w:left w:w="0" w:type="dxa"/>
            </w:tcMar>
          </w:tcPr>
          <w:p w14:paraId="22F7018A" w14:textId="77777777" w:rsidR="00F766BE" w:rsidRPr="00D82DBD" w:rsidRDefault="00F766BE" w:rsidP="006F6FF2">
            <w:pPr>
              <w:rPr>
                <w:color w:val="0D0D0D" w:themeColor="text1" w:themeTint="F2"/>
                <w:spacing w:val="-4"/>
              </w:rPr>
            </w:pPr>
            <w:r w:rsidRPr="00D82DBD">
              <w:rPr>
                <w:color w:val="0D0D0D" w:themeColor="text1" w:themeTint="F2"/>
                <w:spacing w:val="-4"/>
              </w:rPr>
              <w:t>Ačkoli obecná míra nezaměstnanosti</w:t>
            </w:r>
            <w:r w:rsidRPr="00D82DBD">
              <w:rPr>
                <w:rStyle w:val="Znakapoznpodarou"/>
                <w:color w:val="0D0D0D" w:themeColor="text1" w:themeTint="F2"/>
                <w:spacing w:val="-4"/>
              </w:rPr>
              <w:footnoteReference w:id="8"/>
            </w:r>
            <w:r w:rsidRPr="00D82DBD">
              <w:rPr>
                <w:color w:val="0D0D0D" w:themeColor="text1" w:themeTint="F2"/>
                <w:spacing w:val="-4"/>
              </w:rPr>
              <w:t xml:space="preserve"> vzrostla od počátku letošního roku jen o</w:t>
            </w:r>
            <w:r>
              <w:rPr>
                <w:color w:val="0D0D0D" w:themeColor="text1" w:themeTint="F2"/>
                <w:spacing w:val="-4"/>
              </w:rPr>
              <w:t> </w:t>
            </w:r>
            <w:r w:rsidRPr="00D82DBD">
              <w:rPr>
                <w:color w:val="0D0D0D" w:themeColor="text1" w:themeTint="F2"/>
                <w:spacing w:val="-4"/>
              </w:rPr>
              <w:t>0,2</w:t>
            </w:r>
            <w:r>
              <w:rPr>
                <w:color w:val="0D0D0D" w:themeColor="text1" w:themeTint="F2"/>
                <w:spacing w:val="-4"/>
              </w:rPr>
              <w:t> p. b.</w:t>
            </w:r>
            <w:r w:rsidRPr="00D82DBD">
              <w:rPr>
                <w:color w:val="0D0D0D" w:themeColor="text1" w:themeTint="F2"/>
                <w:spacing w:val="-4"/>
              </w:rPr>
              <w:t>, dosáhla v dubnu 2021 na čtyřleté maximum (3,4</w:t>
            </w:r>
            <w:r>
              <w:rPr>
                <w:color w:val="0D0D0D" w:themeColor="text1" w:themeTint="F2"/>
                <w:spacing w:val="-4"/>
              </w:rPr>
              <w:t> %</w:t>
            </w:r>
            <w:r w:rsidRPr="00D82DBD">
              <w:rPr>
                <w:rStyle w:val="Znakapoznpodarou"/>
                <w:color w:val="0D0D0D" w:themeColor="text1" w:themeTint="F2"/>
                <w:spacing w:val="-4"/>
              </w:rPr>
              <w:footnoteReference w:id="9"/>
            </w:r>
            <w:r w:rsidRPr="00D82DBD">
              <w:rPr>
                <w:color w:val="0D0D0D" w:themeColor="text1" w:themeTint="F2"/>
                <w:spacing w:val="-4"/>
              </w:rPr>
              <w:t>). Ve srovnání s loňským únorem, kdy se nezaměstnanost nacházela na absolutním minimu v novodobé historii, se zvýšila o</w:t>
            </w:r>
            <w:r>
              <w:rPr>
                <w:color w:val="0D0D0D" w:themeColor="text1" w:themeTint="F2"/>
                <w:spacing w:val="-4"/>
              </w:rPr>
              <w:t> </w:t>
            </w:r>
            <w:r w:rsidRPr="00D82DBD">
              <w:rPr>
                <w:color w:val="0D0D0D" w:themeColor="text1" w:themeTint="F2"/>
                <w:spacing w:val="-4"/>
              </w:rPr>
              <w:t>1,6</w:t>
            </w:r>
            <w:r>
              <w:rPr>
                <w:color w:val="0D0D0D" w:themeColor="text1" w:themeTint="F2"/>
                <w:spacing w:val="-4"/>
              </w:rPr>
              <w:t> p. b.</w:t>
            </w:r>
            <w:r w:rsidRPr="00D82DBD">
              <w:rPr>
                <w:color w:val="0D0D0D" w:themeColor="text1" w:themeTint="F2"/>
                <w:spacing w:val="-4"/>
              </w:rPr>
              <w:t xml:space="preserve"> (u</w:t>
            </w:r>
            <w:r>
              <w:rPr>
                <w:color w:val="0D0D0D" w:themeColor="text1" w:themeTint="F2"/>
                <w:spacing w:val="-4"/>
              </w:rPr>
              <w:t> </w:t>
            </w:r>
            <w:r w:rsidRPr="00D82DBD">
              <w:rPr>
                <w:color w:val="0D0D0D" w:themeColor="text1" w:themeTint="F2"/>
                <w:spacing w:val="-4"/>
              </w:rPr>
              <w:t>žen posílila dvakrát více než u</w:t>
            </w:r>
            <w:r>
              <w:rPr>
                <w:color w:val="0D0D0D" w:themeColor="text1" w:themeTint="F2"/>
                <w:spacing w:val="-4"/>
              </w:rPr>
              <w:t> </w:t>
            </w:r>
            <w:r w:rsidRPr="00D82DBD">
              <w:rPr>
                <w:color w:val="0D0D0D" w:themeColor="text1" w:themeTint="F2"/>
                <w:spacing w:val="-4"/>
              </w:rPr>
              <w:t>mužů). Větší ztráty pracovních míst, zejména v oblastech souvisejících s cestovním ruchem a volnočasovými aktivitami</w:t>
            </w:r>
            <w:r>
              <w:rPr>
                <w:color w:val="0D0D0D" w:themeColor="text1" w:themeTint="F2"/>
                <w:spacing w:val="-4"/>
              </w:rPr>
              <w:t>,</w:t>
            </w:r>
            <w:r w:rsidRPr="00D82DBD">
              <w:rPr>
                <w:color w:val="0D0D0D" w:themeColor="text1" w:themeTint="F2"/>
                <w:spacing w:val="-4"/>
              </w:rPr>
              <w:t xml:space="preserve"> doprovázené </w:t>
            </w:r>
            <w:r w:rsidRPr="00D82DBD">
              <w:rPr>
                <w:color w:val="0D0D0D" w:themeColor="text1" w:themeTint="F2"/>
                <w:spacing w:val="-4"/>
              </w:rPr>
              <w:lastRenderedPageBreak/>
              <w:t>snížením nabídky flexibilních pracovních úvazků oslabily také pozici mladých na pracovním trhu</w:t>
            </w:r>
            <w:r w:rsidRPr="00D82DBD">
              <w:rPr>
                <w:rStyle w:val="Znakapoznpodarou"/>
                <w:color w:val="0D0D0D" w:themeColor="text1" w:themeTint="F2"/>
                <w:spacing w:val="-4"/>
              </w:rPr>
              <w:footnoteReference w:id="10"/>
            </w:r>
            <w:r w:rsidRPr="00D82DBD">
              <w:rPr>
                <w:color w:val="0D0D0D" w:themeColor="text1" w:themeTint="F2"/>
                <w:spacing w:val="-4"/>
              </w:rPr>
              <w:t>. Mezi lidmi mladšími 25</w:t>
            </w:r>
            <w:r>
              <w:rPr>
                <w:color w:val="0D0D0D" w:themeColor="text1" w:themeTint="F2"/>
                <w:spacing w:val="-4"/>
              </w:rPr>
              <w:t> </w:t>
            </w:r>
            <w:r w:rsidRPr="00D82DBD">
              <w:rPr>
                <w:color w:val="0D0D0D" w:themeColor="text1" w:themeTint="F2"/>
                <w:spacing w:val="-4"/>
              </w:rPr>
              <w:t>let činila v březnu nezaměstnanost mužů 8</w:t>
            </w:r>
            <w:r>
              <w:rPr>
                <w:color w:val="0D0D0D" w:themeColor="text1" w:themeTint="F2"/>
                <w:spacing w:val="-4"/>
              </w:rPr>
              <w:t> %</w:t>
            </w:r>
            <w:r w:rsidRPr="00D82DBD">
              <w:rPr>
                <w:color w:val="0D0D0D" w:themeColor="text1" w:themeTint="F2"/>
                <w:spacing w:val="-4"/>
              </w:rPr>
              <w:t>, žen 14</w:t>
            </w:r>
            <w:r>
              <w:rPr>
                <w:color w:val="0D0D0D" w:themeColor="text1" w:themeTint="F2"/>
                <w:spacing w:val="-4"/>
              </w:rPr>
              <w:t> %</w:t>
            </w:r>
            <w:r w:rsidRPr="00D82DBD">
              <w:rPr>
                <w:color w:val="0D0D0D" w:themeColor="text1" w:themeTint="F2"/>
                <w:spacing w:val="-4"/>
              </w:rPr>
              <w:t xml:space="preserve">. Pozitivní bylo, že </w:t>
            </w:r>
            <w:r w:rsidRPr="00D82DBD">
              <w:rPr>
                <w:spacing w:val="-4"/>
              </w:rPr>
              <w:t>počet dlouhodobě nezaměstnaných se meziročně významně nezvýšil. Déle než rok byla letos v 1.</w:t>
            </w:r>
            <w:r>
              <w:rPr>
                <w:spacing w:val="-4"/>
              </w:rPr>
              <w:t> čtvrt</w:t>
            </w:r>
            <w:r w:rsidRPr="00D82DBD">
              <w:rPr>
                <w:spacing w:val="-4"/>
              </w:rPr>
              <w:t>letí bez práce necelá pětina nezaměstnaných.</w:t>
            </w:r>
          </w:p>
        </w:tc>
      </w:tr>
      <w:tr w:rsidR="00F766BE" w:rsidRPr="00B43216" w14:paraId="5E28E56D" w14:textId="77777777" w:rsidTr="006F6FF2">
        <w:trPr>
          <w:trHeight w:val="145"/>
        </w:trPr>
        <w:tc>
          <w:tcPr>
            <w:tcW w:w="1792" w:type="dxa"/>
            <w:shd w:val="clear" w:color="auto" w:fill="auto"/>
            <w:tcMar>
              <w:left w:w="0" w:type="dxa"/>
            </w:tcMar>
          </w:tcPr>
          <w:p w14:paraId="79CFF2E9" w14:textId="77777777" w:rsidR="00F766BE" w:rsidRPr="00F335E5" w:rsidRDefault="00F766BE" w:rsidP="006F6FF2">
            <w:pPr>
              <w:pStyle w:val="Marginlie"/>
              <w:spacing w:after="120"/>
              <w:rPr>
                <w:spacing w:val="-5"/>
              </w:rPr>
            </w:pPr>
            <w:r>
              <w:lastRenderedPageBreak/>
              <w:t>Role vládních stabilizačních programů na podporu zaměstnanosti zůstávala v 1. čtvrtletí stále významná.</w:t>
            </w:r>
          </w:p>
        </w:tc>
        <w:tc>
          <w:tcPr>
            <w:tcW w:w="216" w:type="dxa"/>
            <w:shd w:val="clear" w:color="auto" w:fill="auto"/>
            <w:tcMar>
              <w:left w:w="0" w:type="dxa"/>
            </w:tcMar>
          </w:tcPr>
          <w:p w14:paraId="39A6C0C4" w14:textId="77777777" w:rsidR="00F766BE" w:rsidRPr="00B43216" w:rsidRDefault="00F766BE" w:rsidP="006F6FF2">
            <w:pPr>
              <w:pStyle w:val="Textpoznpodarou"/>
              <w:spacing w:after="120"/>
              <w:jc w:val="both"/>
              <w:rPr>
                <w:spacing w:val="-4"/>
              </w:rPr>
            </w:pPr>
          </w:p>
        </w:tc>
        <w:tc>
          <w:tcPr>
            <w:tcW w:w="7656" w:type="dxa"/>
            <w:shd w:val="clear" w:color="auto" w:fill="auto"/>
            <w:tcMar>
              <w:left w:w="0" w:type="dxa"/>
            </w:tcMar>
          </w:tcPr>
          <w:p w14:paraId="4D3DFD3D" w14:textId="77777777" w:rsidR="00F766BE" w:rsidRPr="00980B60" w:rsidRDefault="00F766BE" w:rsidP="006F6FF2">
            <w:pPr>
              <w:rPr>
                <w:color w:val="0D0D0D" w:themeColor="text1" w:themeTint="F2"/>
                <w:spacing w:val="-3"/>
              </w:rPr>
            </w:pPr>
            <w:r w:rsidRPr="00980B60">
              <w:rPr>
                <w:color w:val="0D0D0D" w:themeColor="text1" w:themeTint="F2"/>
                <w:spacing w:val="-3"/>
              </w:rPr>
              <w:t xml:space="preserve">Proti citelnějšímu růstu </w:t>
            </w:r>
            <w:r>
              <w:rPr>
                <w:color w:val="0D0D0D" w:themeColor="text1" w:themeTint="F2"/>
                <w:spacing w:val="-3"/>
              </w:rPr>
              <w:t>nezaměstnanosti působily</w:t>
            </w:r>
            <w:r w:rsidRPr="00980B60">
              <w:rPr>
                <w:color w:val="0D0D0D" w:themeColor="text1" w:themeTint="F2"/>
                <w:spacing w:val="-3"/>
              </w:rPr>
              <w:t xml:space="preserve"> vládní stabilizační programy (Antivirus</w:t>
            </w:r>
            <w:r w:rsidRPr="00980B60">
              <w:rPr>
                <w:rStyle w:val="Znakapoznpodarou"/>
                <w:color w:val="0D0D0D" w:themeColor="text1" w:themeTint="F2"/>
                <w:spacing w:val="-3"/>
              </w:rPr>
              <w:footnoteReference w:id="11"/>
            </w:r>
            <w:r w:rsidRPr="00980B60">
              <w:rPr>
                <w:color w:val="0D0D0D" w:themeColor="text1" w:themeTint="F2"/>
                <w:spacing w:val="-3"/>
              </w:rPr>
              <w:t>, ošetřovné</w:t>
            </w:r>
            <w:r w:rsidRPr="00980B60">
              <w:rPr>
                <w:rStyle w:val="Znakapoznpodarou"/>
                <w:color w:val="0D0D0D" w:themeColor="text1" w:themeTint="F2"/>
                <w:spacing w:val="-3"/>
              </w:rPr>
              <w:footnoteReference w:id="12"/>
            </w:r>
            <w:r w:rsidRPr="00980B60">
              <w:rPr>
                <w:color w:val="0D0D0D" w:themeColor="text1" w:themeTint="F2"/>
                <w:spacing w:val="-3"/>
              </w:rPr>
              <w:t>). Roli sehrálo i to, že část pracovního trhu nebyla dosud nepříznivým vývojem příliš dotčena. Někteří lidé, kteří přišli o práci, tak mohli dočasně nalézt uplatnění v jiném oboru, a to zejména v regionech s pestrou nabídkou pozic ve službách. Pozitivně se mohlo projevit i</w:t>
            </w:r>
            <w:r>
              <w:rPr>
                <w:color w:val="0D0D0D" w:themeColor="text1" w:themeTint="F2"/>
                <w:spacing w:val="-3"/>
              </w:rPr>
              <w:t> </w:t>
            </w:r>
            <w:r w:rsidRPr="00980B60">
              <w:rPr>
                <w:color w:val="0D0D0D" w:themeColor="text1" w:themeTint="F2"/>
                <w:spacing w:val="-3"/>
              </w:rPr>
              <w:t xml:space="preserve">pokračující oživení průmyslu. </w:t>
            </w:r>
            <w:r w:rsidRPr="00980B60">
              <w:rPr>
                <w:color w:val="0D0D0D" w:themeColor="text1" w:themeTint="F2"/>
                <w:spacing w:val="-6"/>
              </w:rPr>
              <w:t>O</w:t>
            </w:r>
            <w:r w:rsidRPr="00980B60">
              <w:rPr>
                <w:color w:val="0D0D0D" w:themeColor="text1" w:themeTint="F2"/>
                <w:spacing w:val="-3"/>
              </w:rPr>
              <w:t>bavy domácností z růstu nezaměstnanosti, které kulminovaly na sklonku roku 2020</w:t>
            </w:r>
            <w:r w:rsidRPr="00980B60">
              <w:rPr>
                <w:rStyle w:val="Znakapoznpodarou"/>
                <w:color w:val="0D0D0D" w:themeColor="text1" w:themeTint="F2"/>
                <w:spacing w:val="-3"/>
              </w:rPr>
              <w:footnoteReference w:id="13"/>
            </w:r>
            <w:r w:rsidRPr="00980B60">
              <w:rPr>
                <w:color w:val="0D0D0D" w:themeColor="text1" w:themeTint="F2"/>
                <w:spacing w:val="-3"/>
              </w:rPr>
              <w:t>, se v průběhu 2. čtvrtletí 2021 podstatně zmírnily. I</w:t>
            </w:r>
            <w:r>
              <w:rPr>
                <w:color w:val="0D0D0D" w:themeColor="text1" w:themeTint="F2"/>
                <w:spacing w:val="-3"/>
              </w:rPr>
              <w:t> </w:t>
            </w:r>
            <w:r w:rsidRPr="00980B60">
              <w:rPr>
                <w:color w:val="0D0D0D" w:themeColor="text1" w:themeTint="F2"/>
                <w:spacing w:val="-3"/>
              </w:rPr>
              <w:t xml:space="preserve">tak ale byly v květnu </w:t>
            </w:r>
            <w:r>
              <w:rPr>
                <w:color w:val="0D0D0D" w:themeColor="text1" w:themeTint="F2"/>
                <w:spacing w:val="-3"/>
              </w:rPr>
              <w:t xml:space="preserve">stále </w:t>
            </w:r>
            <w:r w:rsidRPr="00980B60">
              <w:rPr>
                <w:color w:val="0D0D0D" w:themeColor="text1" w:themeTint="F2"/>
                <w:spacing w:val="-3"/>
              </w:rPr>
              <w:t xml:space="preserve">vyšší než </w:t>
            </w:r>
            <w:r>
              <w:rPr>
                <w:color w:val="0D0D0D" w:themeColor="text1" w:themeTint="F2"/>
                <w:spacing w:val="-3"/>
              </w:rPr>
              <w:t xml:space="preserve">vloni </w:t>
            </w:r>
            <w:r w:rsidRPr="00980B60">
              <w:rPr>
                <w:color w:val="0D0D0D" w:themeColor="text1" w:themeTint="F2"/>
                <w:spacing w:val="-3"/>
              </w:rPr>
              <w:t>před propuknutím pandemie.</w:t>
            </w:r>
          </w:p>
        </w:tc>
      </w:tr>
      <w:tr w:rsidR="00F766BE" w:rsidRPr="00B43216" w14:paraId="49783AF3" w14:textId="77777777" w:rsidTr="006F6FF2">
        <w:trPr>
          <w:trHeight w:val="155"/>
        </w:trPr>
        <w:tc>
          <w:tcPr>
            <w:tcW w:w="1792" w:type="dxa"/>
            <w:vMerge w:val="restart"/>
            <w:shd w:val="clear" w:color="auto" w:fill="auto"/>
            <w:tcMar>
              <w:left w:w="0" w:type="dxa"/>
            </w:tcMar>
          </w:tcPr>
          <w:p w14:paraId="61F65F63" w14:textId="77777777" w:rsidR="00F766BE" w:rsidRPr="00B43216" w:rsidRDefault="00F766BE" w:rsidP="006F6FF2">
            <w:pPr>
              <w:pStyle w:val="Marginlie"/>
              <w:spacing w:after="120"/>
              <w:rPr>
                <w:spacing w:val="-4"/>
              </w:rPr>
            </w:pPr>
          </w:p>
        </w:tc>
        <w:tc>
          <w:tcPr>
            <w:tcW w:w="216" w:type="dxa"/>
            <w:vMerge w:val="restart"/>
            <w:shd w:val="clear" w:color="auto" w:fill="auto"/>
            <w:tcMar>
              <w:left w:w="0" w:type="dxa"/>
            </w:tcMar>
          </w:tcPr>
          <w:p w14:paraId="43B63C2C" w14:textId="77777777" w:rsidR="00F766BE" w:rsidRPr="00B43216" w:rsidRDefault="00F766BE" w:rsidP="006F6FF2">
            <w:pPr>
              <w:pStyle w:val="Textpoznpodarou"/>
              <w:spacing w:after="120"/>
              <w:jc w:val="both"/>
              <w:rPr>
                <w:spacing w:val="-4"/>
              </w:rPr>
            </w:pPr>
          </w:p>
        </w:tc>
        <w:tc>
          <w:tcPr>
            <w:tcW w:w="7656" w:type="dxa"/>
            <w:shd w:val="clear" w:color="auto" w:fill="auto"/>
            <w:tcMar>
              <w:left w:w="0" w:type="dxa"/>
            </w:tcMar>
          </w:tcPr>
          <w:p w14:paraId="412F2A58" w14:textId="368BE43E" w:rsidR="00F766BE" w:rsidRPr="00646F2C" w:rsidRDefault="00197D0E" w:rsidP="006F6FF2">
            <w:pPr>
              <w:spacing w:after="0"/>
              <w:rPr>
                <w:b/>
                <w:spacing w:val="-4"/>
              </w:rPr>
            </w:pPr>
            <w:r>
              <w:rPr>
                <w:b/>
                <w:spacing w:val="-4"/>
              </w:rPr>
              <w:t>Graf č. 13</w:t>
            </w:r>
            <w:r w:rsidR="00F766BE" w:rsidRPr="00646F2C">
              <w:rPr>
                <w:b/>
                <w:spacing w:val="-4"/>
              </w:rPr>
              <w:t xml:space="preserve">  </w:t>
            </w:r>
            <w:r w:rsidR="00F766BE" w:rsidRPr="00646F2C">
              <w:rPr>
                <w:rFonts w:cs="Arial"/>
                <w:b/>
                <w:spacing w:val="-4"/>
              </w:rPr>
              <w:t xml:space="preserve">Obecná míra nezaměstnanosti </w:t>
            </w:r>
            <w:r w:rsidR="00F766BE" w:rsidRPr="00646F2C">
              <w:rPr>
                <w:rFonts w:cs="Arial"/>
                <w:bCs/>
                <w:spacing w:val="-4"/>
              </w:rPr>
              <w:t>(v %)</w:t>
            </w:r>
            <w:r w:rsidR="00F766BE" w:rsidRPr="00646F2C">
              <w:rPr>
                <w:rFonts w:cs="Arial"/>
                <w:b/>
                <w:spacing w:val="-4"/>
              </w:rPr>
              <w:t>, podíl dlouhodobě nezaměstnaných a osob ve věku do</w:t>
            </w:r>
            <w:r w:rsidR="00F766BE">
              <w:rPr>
                <w:rFonts w:cs="Arial"/>
                <w:b/>
                <w:spacing w:val="-4"/>
              </w:rPr>
              <w:t> </w:t>
            </w:r>
            <w:r w:rsidR="00F766BE" w:rsidRPr="00646F2C">
              <w:rPr>
                <w:rFonts w:cs="Arial"/>
                <w:b/>
                <w:spacing w:val="-4"/>
              </w:rPr>
              <w:t>25 a</w:t>
            </w:r>
            <w:r w:rsidR="00F766BE">
              <w:rPr>
                <w:rFonts w:cs="Arial"/>
                <w:b/>
                <w:spacing w:val="-4"/>
              </w:rPr>
              <w:t> </w:t>
            </w:r>
            <w:r w:rsidR="00F766BE" w:rsidRPr="00646F2C">
              <w:rPr>
                <w:rFonts w:cs="Arial"/>
                <w:b/>
                <w:spacing w:val="-4"/>
              </w:rPr>
              <w:t>nad 50</w:t>
            </w:r>
            <w:r w:rsidR="00F766BE">
              <w:rPr>
                <w:rFonts w:cs="Arial"/>
                <w:b/>
                <w:spacing w:val="-4"/>
              </w:rPr>
              <w:t> </w:t>
            </w:r>
            <w:r w:rsidR="00F766BE" w:rsidRPr="00646F2C">
              <w:rPr>
                <w:rFonts w:cs="Arial"/>
                <w:b/>
                <w:spacing w:val="-4"/>
              </w:rPr>
              <w:t xml:space="preserve">let mezi nezaměstnanými </w:t>
            </w:r>
            <w:r w:rsidR="00F766BE" w:rsidRPr="00646F2C">
              <w:rPr>
                <w:rFonts w:cs="Arial"/>
                <w:bCs/>
                <w:spacing w:val="-4"/>
              </w:rPr>
              <w:t>(v %)</w:t>
            </w:r>
            <w:r w:rsidR="00F766BE" w:rsidRPr="00646F2C">
              <w:rPr>
                <w:rFonts w:cs="Arial"/>
                <w:b/>
                <w:spacing w:val="-4"/>
              </w:rPr>
              <w:t xml:space="preserve">, ekonomicky neaktivní chtějící pracovat </w:t>
            </w:r>
            <w:r w:rsidR="00F766BE" w:rsidRPr="00646F2C">
              <w:rPr>
                <w:rFonts w:cs="Arial"/>
                <w:bCs/>
                <w:spacing w:val="-4"/>
              </w:rPr>
              <w:t xml:space="preserve">(v tis.)* </w:t>
            </w:r>
            <w:r w:rsidR="00F766BE" w:rsidRPr="00646F2C">
              <w:rPr>
                <w:rFonts w:cs="Arial"/>
                <w:b/>
                <w:bCs/>
                <w:spacing w:val="-4"/>
              </w:rPr>
              <w:t>a očekávání nezaměstnanosti u domácností</w:t>
            </w:r>
            <w:r w:rsidR="00F766BE" w:rsidRPr="00646F2C">
              <w:rPr>
                <w:rFonts w:cs="Arial"/>
                <w:bCs/>
                <w:spacing w:val="-4"/>
              </w:rPr>
              <w:t xml:space="preserve"> (v %)**</w:t>
            </w:r>
          </w:p>
        </w:tc>
      </w:tr>
      <w:tr w:rsidR="00F766BE" w:rsidRPr="00B43216" w14:paraId="780D31AB" w14:textId="77777777" w:rsidTr="006F6FF2">
        <w:tblPrEx>
          <w:tblCellMar>
            <w:left w:w="70" w:type="dxa"/>
            <w:right w:w="70" w:type="dxa"/>
          </w:tblCellMar>
        </w:tblPrEx>
        <w:trPr>
          <w:trHeight w:val="155"/>
        </w:trPr>
        <w:tc>
          <w:tcPr>
            <w:tcW w:w="1792" w:type="dxa"/>
            <w:vMerge/>
            <w:shd w:val="clear" w:color="auto" w:fill="auto"/>
          </w:tcPr>
          <w:p w14:paraId="247A52F9" w14:textId="77777777" w:rsidR="00F766BE" w:rsidRPr="00B43216" w:rsidRDefault="00F766BE" w:rsidP="006F6FF2">
            <w:pPr>
              <w:pStyle w:val="Marginlie"/>
              <w:spacing w:after="120"/>
              <w:rPr>
                <w:spacing w:val="-4"/>
              </w:rPr>
            </w:pPr>
          </w:p>
        </w:tc>
        <w:tc>
          <w:tcPr>
            <w:tcW w:w="216" w:type="dxa"/>
            <w:vMerge/>
            <w:shd w:val="clear" w:color="auto" w:fill="auto"/>
          </w:tcPr>
          <w:p w14:paraId="03CDD402" w14:textId="77777777" w:rsidR="00F766BE" w:rsidRPr="00B43216" w:rsidRDefault="00F766BE" w:rsidP="006F6FF2">
            <w:pPr>
              <w:pStyle w:val="Textpoznpodarou"/>
              <w:spacing w:after="120"/>
              <w:jc w:val="both"/>
              <w:rPr>
                <w:spacing w:val="-4"/>
              </w:rPr>
            </w:pPr>
          </w:p>
        </w:tc>
        <w:tc>
          <w:tcPr>
            <w:tcW w:w="7656" w:type="dxa"/>
            <w:shd w:val="clear" w:color="auto" w:fill="auto"/>
          </w:tcPr>
          <w:p w14:paraId="0A4AF106" w14:textId="77777777" w:rsidR="00F766BE" w:rsidRPr="00B43216" w:rsidRDefault="00F766BE" w:rsidP="006F6FF2">
            <w:pPr>
              <w:spacing w:after="0"/>
              <w:rPr>
                <w:spacing w:val="-4"/>
              </w:rPr>
            </w:pPr>
            <w:r>
              <w:rPr>
                <w:noProof/>
              </w:rPr>
              <w:drawing>
                <wp:inline distT="0" distB="0" distL="0" distR="0" wp14:anchorId="4ED8E427" wp14:editId="71B5936B">
                  <wp:extent cx="4753610" cy="3467100"/>
                  <wp:effectExtent l="0" t="0" r="889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F766BE" w:rsidRPr="00B43216" w14:paraId="6058BFCA" w14:textId="77777777" w:rsidTr="006F6FF2">
        <w:trPr>
          <w:trHeight w:val="671"/>
        </w:trPr>
        <w:tc>
          <w:tcPr>
            <w:tcW w:w="1792" w:type="dxa"/>
            <w:vMerge/>
            <w:shd w:val="clear" w:color="auto" w:fill="auto"/>
            <w:tcMar>
              <w:left w:w="0" w:type="dxa"/>
            </w:tcMar>
          </w:tcPr>
          <w:p w14:paraId="2D3759B2" w14:textId="77777777" w:rsidR="00F766BE" w:rsidRPr="00B43216" w:rsidRDefault="00F766BE" w:rsidP="006F6FF2">
            <w:pPr>
              <w:pStyle w:val="Marginlie"/>
              <w:rPr>
                <w:spacing w:val="-4"/>
              </w:rPr>
            </w:pPr>
          </w:p>
        </w:tc>
        <w:tc>
          <w:tcPr>
            <w:tcW w:w="216" w:type="dxa"/>
            <w:vMerge/>
            <w:shd w:val="clear" w:color="auto" w:fill="auto"/>
            <w:tcMar>
              <w:left w:w="0" w:type="dxa"/>
            </w:tcMar>
          </w:tcPr>
          <w:p w14:paraId="3F78BCC8" w14:textId="77777777" w:rsidR="00F766BE" w:rsidRPr="00B43216" w:rsidRDefault="00F766BE" w:rsidP="006F6FF2">
            <w:pPr>
              <w:pStyle w:val="Textpoznpodarou"/>
              <w:jc w:val="both"/>
              <w:rPr>
                <w:spacing w:val="-4"/>
              </w:rPr>
            </w:pPr>
          </w:p>
        </w:tc>
        <w:tc>
          <w:tcPr>
            <w:tcW w:w="7656" w:type="dxa"/>
            <w:shd w:val="clear" w:color="auto" w:fill="auto"/>
            <w:tcMar>
              <w:left w:w="0" w:type="dxa"/>
            </w:tcMar>
          </w:tcPr>
          <w:p w14:paraId="15EF2A90" w14:textId="77777777" w:rsidR="00F766BE" w:rsidRPr="004E68B1" w:rsidRDefault="00F766BE" w:rsidP="006F6FF2">
            <w:pPr>
              <w:spacing w:after="0" w:line="240" w:lineRule="auto"/>
              <w:rPr>
                <w:rFonts w:cs="Arial"/>
                <w:color w:val="0D0D0D" w:themeColor="text1" w:themeTint="F2"/>
                <w:spacing w:val="-2"/>
                <w:sz w:val="14"/>
                <w:szCs w:val="14"/>
              </w:rPr>
            </w:pPr>
            <w:r w:rsidRPr="004E68B1">
              <w:rPr>
                <w:rFonts w:cs="Arial"/>
                <w:color w:val="0D0D0D" w:themeColor="text1" w:themeTint="F2"/>
                <w:spacing w:val="-2"/>
                <w:sz w:val="14"/>
                <w:szCs w:val="14"/>
              </w:rPr>
              <w:t>Pozn.: Údaje o míře nezaměstnanosti jsou po sezónním očištění, ostatní ukazatele nikoliv.</w:t>
            </w:r>
          </w:p>
          <w:p w14:paraId="13408AFD" w14:textId="77777777" w:rsidR="00F766BE" w:rsidRDefault="00F766BE" w:rsidP="006F6FF2">
            <w:pPr>
              <w:spacing w:after="0" w:line="240" w:lineRule="auto"/>
              <w:rPr>
                <w:rFonts w:cs="Arial"/>
                <w:color w:val="0D0D0D" w:themeColor="text1" w:themeTint="F2"/>
                <w:spacing w:val="-2"/>
                <w:sz w:val="14"/>
                <w:szCs w:val="14"/>
              </w:rPr>
            </w:pPr>
            <w:r>
              <w:rPr>
                <w:rFonts w:cs="Arial"/>
                <w:bCs/>
                <w:color w:val="0D0D0D" w:themeColor="text1" w:themeTint="F2"/>
                <w:spacing w:val="-2"/>
                <w:sz w:val="14"/>
                <w:szCs w:val="14"/>
              </w:rPr>
              <w:t>*</w:t>
            </w:r>
            <w:r w:rsidRPr="004E68B1">
              <w:rPr>
                <w:rFonts w:cs="Arial"/>
                <w:bCs/>
                <w:color w:val="0D0D0D" w:themeColor="text1" w:themeTint="F2"/>
                <w:spacing w:val="-2"/>
                <w:sz w:val="14"/>
                <w:szCs w:val="14"/>
              </w:rPr>
              <w:t>Jde o osoby, které nepracují, aktivně práci nehledají,</w:t>
            </w:r>
            <w:r w:rsidRPr="004E68B1">
              <w:rPr>
                <w:rFonts w:cs="Arial"/>
                <w:color w:val="0D0D0D" w:themeColor="text1" w:themeTint="F2"/>
                <w:spacing w:val="-2"/>
                <w:sz w:val="14"/>
                <w:szCs w:val="14"/>
              </w:rPr>
              <w:t xml:space="preserve"> ale přitom uvádějí, že by chtěly pracovat.</w:t>
            </w:r>
          </w:p>
          <w:p w14:paraId="2E20D9FD" w14:textId="77777777" w:rsidR="00F766BE" w:rsidRDefault="00F766BE" w:rsidP="006F6FF2">
            <w:pPr>
              <w:spacing w:after="0" w:line="240" w:lineRule="auto"/>
              <w:rPr>
                <w:rFonts w:cs="Arial"/>
                <w:color w:val="0D0D0D" w:themeColor="text1" w:themeTint="F2"/>
                <w:spacing w:val="-2"/>
                <w:sz w:val="14"/>
                <w:szCs w:val="14"/>
              </w:rPr>
            </w:pPr>
            <w:r>
              <w:rPr>
                <w:rFonts w:cs="Arial"/>
                <w:color w:val="0D0D0D" w:themeColor="text1" w:themeTint="F2"/>
                <w:spacing w:val="-2"/>
                <w:sz w:val="14"/>
                <w:szCs w:val="14"/>
              </w:rPr>
              <w:t>**Sezónně očištěné saldo očekávání nezaměstnanosti v nejbližších 12 měsících (rozdíl mezi procentuální četností odpovědí domácností „růst“ a „pokles“ vyjádřený v procentních bodech). Údaje se vztahují k prostřednímu měsíci daného čtvrtletí.</w:t>
            </w:r>
          </w:p>
          <w:p w14:paraId="3D577CBA" w14:textId="77777777" w:rsidR="00F766BE" w:rsidRPr="00485ED5" w:rsidRDefault="00F766BE" w:rsidP="006F6FF2">
            <w:pPr>
              <w:spacing w:line="240" w:lineRule="auto"/>
              <w:rPr>
                <w:rFonts w:cs="Arial"/>
                <w:color w:val="0D0D0D" w:themeColor="text1" w:themeTint="F2"/>
                <w:spacing w:val="-2"/>
                <w:sz w:val="14"/>
                <w:szCs w:val="14"/>
              </w:rPr>
            </w:pPr>
            <w:r>
              <w:rPr>
                <w:rFonts w:cs="Arial"/>
                <w:color w:val="0D0D0D" w:themeColor="text1" w:themeTint="F2"/>
                <w:spacing w:val="-2"/>
                <w:sz w:val="14"/>
                <w:szCs w:val="14"/>
              </w:rPr>
              <w:t>Zdroj: ČSÚ (VŠPS, konjunkturální průzkum)</w:t>
            </w:r>
          </w:p>
        </w:tc>
      </w:tr>
      <w:tr w:rsidR="00F766BE" w:rsidRPr="00191C35" w14:paraId="48BB9FBF" w14:textId="77777777" w:rsidTr="006F6FF2">
        <w:trPr>
          <w:trHeight w:val="145"/>
        </w:trPr>
        <w:tc>
          <w:tcPr>
            <w:tcW w:w="1792" w:type="dxa"/>
            <w:shd w:val="clear" w:color="auto" w:fill="auto"/>
            <w:tcMar>
              <w:left w:w="0" w:type="dxa"/>
            </w:tcMar>
          </w:tcPr>
          <w:p w14:paraId="47C28884" w14:textId="77777777" w:rsidR="00F766BE" w:rsidRDefault="00F766BE" w:rsidP="006F6FF2">
            <w:pPr>
              <w:pStyle w:val="Marginlie"/>
              <w:spacing w:after="120"/>
            </w:pPr>
            <w:r>
              <w:t xml:space="preserve">Počet volných pracovních míst se meziročně mírně snížil, zejména vlivem nižší nabídky pozic pro středoškoláky bez </w:t>
            </w:r>
            <w:r>
              <w:lastRenderedPageBreak/>
              <w:t>maturity. Významná část nejméně kvalifikovaných míst zůstává dlouhodobě neobsazena.</w:t>
            </w:r>
          </w:p>
        </w:tc>
        <w:tc>
          <w:tcPr>
            <w:tcW w:w="216" w:type="dxa"/>
            <w:shd w:val="clear" w:color="auto" w:fill="auto"/>
            <w:tcMar>
              <w:left w:w="0" w:type="dxa"/>
            </w:tcMar>
          </w:tcPr>
          <w:p w14:paraId="0CFC0B85" w14:textId="77777777" w:rsidR="00F766BE" w:rsidRPr="00B43216" w:rsidRDefault="00F766BE" w:rsidP="006F6FF2">
            <w:pPr>
              <w:pStyle w:val="Textpoznpodarou"/>
              <w:spacing w:after="120"/>
              <w:jc w:val="both"/>
              <w:rPr>
                <w:spacing w:val="-4"/>
              </w:rPr>
            </w:pPr>
          </w:p>
        </w:tc>
        <w:tc>
          <w:tcPr>
            <w:tcW w:w="7656" w:type="dxa"/>
            <w:shd w:val="clear" w:color="auto" w:fill="auto"/>
            <w:tcMar>
              <w:left w:w="0" w:type="dxa"/>
            </w:tcMar>
          </w:tcPr>
          <w:p w14:paraId="3C529F72" w14:textId="77777777" w:rsidR="00F766BE" w:rsidRPr="008A4534" w:rsidRDefault="00F766BE" w:rsidP="006F6FF2">
            <w:pPr>
              <w:rPr>
                <w:color w:val="0D0D0D" w:themeColor="text1" w:themeTint="F2"/>
                <w:spacing w:val="-4"/>
              </w:rPr>
            </w:pPr>
            <w:r w:rsidRPr="008A4534">
              <w:rPr>
                <w:color w:val="0D0D0D" w:themeColor="text1" w:themeTint="F2"/>
                <w:spacing w:val="-4"/>
              </w:rPr>
              <w:t>Počet volných pracovních míst v nabídce úřadů práce v ČR od loňského listopadu nepřetržitě rostl. Na konci 1.</w:t>
            </w:r>
            <w:r>
              <w:rPr>
                <w:color w:val="0D0D0D" w:themeColor="text1" w:themeTint="F2"/>
                <w:spacing w:val="-4"/>
              </w:rPr>
              <w:t> čtvrt</w:t>
            </w:r>
            <w:r w:rsidRPr="008A4534">
              <w:rPr>
                <w:color w:val="0D0D0D" w:themeColor="text1" w:themeTint="F2"/>
                <w:spacing w:val="-4"/>
              </w:rPr>
              <w:t>letí 2021 bylo k dispozici bezmála 340</w:t>
            </w:r>
            <w:r>
              <w:rPr>
                <w:color w:val="0D0D0D" w:themeColor="text1" w:themeTint="F2"/>
                <w:spacing w:val="-4"/>
              </w:rPr>
              <w:t> tis.</w:t>
            </w:r>
            <w:r w:rsidRPr="008A4534">
              <w:rPr>
                <w:color w:val="0D0D0D" w:themeColor="text1" w:themeTint="F2"/>
                <w:spacing w:val="-4"/>
              </w:rPr>
              <w:t xml:space="preserve"> míst</w:t>
            </w:r>
            <w:r w:rsidRPr="008A4534">
              <w:rPr>
                <w:rStyle w:val="Znakapoznpodarou"/>
                <w:color w:val="0D0D0D" w:themeColor="text1" w:themeTint="F2"/>
                <w:spacing w:val="-4"/>
              </w:rPr>
              <w:footnoteReference w:id="14"/>
            </w:r>
            <w:r w:rsidRPr="008A4534">
              <w:rPr>
                <w:color w:val="0D0D0D" w:themeColor="text1" w:themeTint="F2"/>
                <w:spacing w:val="-4"/>
              </w:rPr>
              <w:t>. Zároveň však 45</w:t>
            </w:r>
            <w:r>
              <w:rPr>
                <w:color w:val="0D0D0D" w:themeColor="text1" w:themeTint="F2"/>
                <w:spacing w:val="-4"/>
              </w:rPr>
              <w:t> %</w:t>
            </w:r>
            <w:r w:rsidRPr="008A4534">
              <w:rPr>
                <w:color w:val="0D0D0D" w:themeColor="text1" w:themeTint="F2"/>
                <w:spacing w:val="-4"/>
              </w:rPr>
              <w:t xml:space="preserve"> nabízených pozic zůstávalo neobsazeno více než šest měsíců. Jde primárně o místa s nižšími kvalifikačními nároky, často cílící na zahraniční pracovníky z tzv.</w:t>
            </w:r>
            <w:r>
              <w:rPr>
                <w:color w:val="0D0D0D" w:themeColor="text1" w:themeTint="F2"/>
                <w:spacing w:val="-4"/>
              </w:rPr>
              <w:t> </w:t>
            </w:r>
            <w:r w:rsidRPr="008A4534">
              <w:rPr>
                <w:color w:val="0D0D0D" w:themeColor="text1" w:themeTint="F2"/>
                <w:spacing w:val="-4"/>
              </w:rPr>
              <w:t xml:space="preserve">třetích </w:t>
            </w:r>
            <w:r w:rsidRPr="008A4534">
              <w:rPr>
                <w:color w:val="0D0D0D" w:themeColor="text1" w:themeTint="F2"/>
                <w:spacing w:val="-4"/>
              </w:rPr>
              <w:lastRenderedPageBreak/>
              <w:t>zemí. Proti loňskému březnu, kdy trh práce ještě nebyl nastupující ekonomickou recesí dotčen, se počet všech volných míst mírně snížil o</w:t>
            </w:r>
            <w:r>
              <w:rPr>
                <w:color w:val="0D0D0D" w:themeColor="text1" w:themeTint="F2"/>
                <w:spacing w:val="-4"/>
              </w:rPr>
              <w:t> </w:t>
            </w:r>
            <w:r w:rsidRPr="008A4534">
              <w:rPr>
                <w:color w:val="0D0D0D" w:themeColor="text1" w:themeTint="F2"/>
                <w:spacing w:val="-4"/>
              </w:rPr>
              <w:t>3,4</w:t>
            </w:r>
            <w:r>
              <w:rPr>
                <w:color w:val="0D0D0D" w:themeColor="text1" w:themeTint="F2"/>
                <w:spacing w:val="-4"/>
              </w:rPr>
              <w:t> %</w:t>
            </w:r>
            <w:r w:rsidRPr="008A4534">
              <w:rPr>
                <w:color w:val="0D0D0D" w:themeColor="text1" w:themeTint="F2"/>
                <w:spacing w:val="-4"/>
              </w:rPr>
              <w:t>, zatímco registrovaných uchazečů o</w:t>
            </w:r>
            <w:r>
              <w:rPr>
                <w:color w:val="0D0D0D" w:themeColor="text1" w:themeTint="F2"/>
                <w:spacing w:val="-4"/>
              </w:rPr>
              <w:t> </w:t>
            </w:r>
            <w:r w:rsidRPr="008A4534">
              <w:rPr>
                <w:color w:val="0D0D0D" w:themeColor="text1" w:themeTint="F2"/>
                <w:spacing w:val="-4"/>
              </w:rPr>
              <w:t>práci přibyla více než třetina. Míst pro středoškoláky bez maturity ubylo o</w:t>
            </w:r>
            <w:r>
              <w:rPr>
                <w:color w:val="0D0D0D" w:themeColor="text1" w:themeTint="F2"/>
                <w:spacing w:val="-4"/>
              </w:rPr>
              <w:t> </w:t>
            </w:r>
            <w:r w:rsidRPr="008A4534">
              <w:rPr>
                <w:color w:val="0D0D0D" w:themeColor="text1" w:themeTint="F2"/>
                <w:spacing w:val="-4"/>
              </w:rPr>
              <w:t>10</w:t>
            </w:r>
            <w:r>
              <w:rPr>
                <w:color w:val="0D0D0D" w:themeColor="text1" w:themeTint="F2"/>
                <w:spacing w:val="-4"/>
              </w:rPr>
              <w:t> tis.</w:t>
            </w:r>
            <w:r w:rsidRPr="008A4534">
              <w:rPr>
                <w:color w:val="0D0D0D" w:themeColor="text1" w:themeTint="F2"/>
                <w:spacing w:val="-4"/>
              </w:rPr>
              <w:t xml:space="preserve"> (</w:t>
            </w:r>
            <w:r>
              <w:rPr>
                <w:color w:val="0D0D0D" w:themeColor="text1" w:themeTint="F2"/>
                <w:spacing w:val="-4"/>
              </w:rPr>
              <w:t>resp. o </w:t>
            </w:r>
            <w:r w:rsidRPr="008A4534">
              <w:rPr>
                <w:color w:val="0D0D0D" w:themeColor="text1" w:themeTint="F2"/>
                <w:spacing w:val="-4"/>
              </w:rPr>
              <w:t>17</w:t>
            </w:r>
            <w:r>
              <w:rPr>
                <w:color w:val="0D0D0D" w:themeColor="text1" w:themeTint="F2"/>
                <w:spacing w:val="-4"/>
              </w:rPr>
              <w:t> %</w:t>
            </w:r>
            <w:r w:rsidRPr="008A4534">
              <w:rPr>
                <w:color w:val="0D0D0D" w:themeColor="text1" w:themeTint="F2"/>
                <w:spacing w:val="-4"/>
              </w:rPr>
              <w:t>). Počet pozic pro osoby s</w:t>
            </w:r>
            <w:r>
              <w:rPr>
                <w:color w:val="0D0D0D" w:themeColor="text1" w:themeTint="F2"/>
                <w:spacing w:val="-4"/>
              </w:rPr>
              <w:t> </w:t>
            </w:r>
            <w:r w:rsidRPr="008A4534">
              <w:rPr>
                <w:color w:val="0D0D0D" w:themeColor="text1" w:themeTint="F2"/>
                <w:spacing w:val="-4"/>
              </w:rPr>
              <w:t>maximálně základním vzděláním ale vzrostl</w:t>
            </w:r>
            <w:r>
              <w:rPr>
                <w:color w:val="0D0D0D" w:themeColor="text1" w:themeTint="F2"/>
                <w:spacing w:val="-4"/>
              </w:rPr>
              <w:t xml:space="preserve"> o 8 tis. (+3 </w:t>
            </w:r>
            <w:r w:rsidRPr="008A4534">
              <w:rPr>
                <w:color w:val="0D0D0D" w:themeColor="text1" w:themeTint="F2"/>
                <w:spacing w:val="-4"/>
              </w:rPr>
              <w:t>%) a</w:t>
            </w:r>
            <w:r>
              <w:rPr>
                <w:color w:val="0D0D0D" w:themeColor="text1" w:themeTint="F2"/>
                <w:spacing w:val="-4"/>
              </w:rPr>
              <w:t> ty tak tvořily</w:t>
            </w:r>
            <w:r w:rsidRPr="008A4534">
              <w:rPr>
                <w:color w:val="0D0D0D" w:themeColor="text1" w:themeTint="F2"/>
                <w:spacing w:val="-4"/>
              </w:rPr>
              <w:t xml:space="preserve"> již tři čtvrtiny veškeré nabídky volných míst. Z hlediska tříd zaměstnání výrazně klesla nabídka míst pro pracovníky ve službách a prodeji (o 13 %), více pozic bylo naopak k dispozici pro nekvalifikované a</w:t>
            </w:r>
            <w:r>
              <w:rPr>
                <w:color w:val="0D0D0D" w:themeColor="text1" w:themeTint="F2"/>
                <w:spacing w:val="-4"/>
              </w:rPr>
              <w:t> </w:t>
            </w:r>
            <w:r w:rsidRPr="008A4534">
              <w:rPr>
                <w:color w:val="0D0D0D" w:themeColor="text1" w:themeTint="F2"/>
                <w:spacing w:val="-4"/>
              </w:rPr>
              <w:t>pomocné pracovníky a</w:t>
            </w:r>
            <w:r>
              <w:rPr>
                <w:color w:val="0D0D0D" w:themeColor="text1" w:themeTint="F2"/>
                <w:spacing w:val="-4"/>
              </w:rPr>
              <w:t> </w:t>
            </w:r>
            <w:r w:rsidRPr="008A4534">
              <w:rPr>
                <w:color w:val="0D0D0D" w:themeColor="text1" w:themeTint="F2"/>
                <w:spacing w:val="-4"/>
              </w:rPr>
              <w:t xml:space="preserve">též pro </w:t>
            </w:r>
            <w:r w:rsidRPr="008A4534">
              <w:rPr>
                <w:spacing w:val="-4"/>
              </w:rPr>
              <w:t>kvalifikované pracovníky v zemědělství a</w:t>
            </w:r>
            <w:r w:rsidRPr="008A4534">
              <w:rPr>
                <w:color w:val="0D0D0D" w:themeColor="text1" w:themeTint="F2"/>
                <w:spacing w:val="-4"/>
              </w:rPr>
              <w:t> </w:t>
            </w:r>
            <w:r w:rsidRPr="008A4534">
              <w:rPr>
                <w:spacing w:val="-4"/>
              </w:rPr>
              <w:t>lesnictví. O</w:t>
            </w:r>
            <w:r>
              <w:rPr>
                <w:spacing w:val="-4"/>
              </w:rPr>
              <w:t> </w:t>
            </w:r>
            <w:r w:rsidRPr="008A4534">
              <w:rPr>
                <w:spacing w:val="-4"/>
              </w:rPr>
              <w:t xml:space="preserve">více než pětinu klesl meziročně </w:t>
            </w:r>
            <w:r w:rsidRPr="008A4534">
              <w:rPr>
                <w:color w:val="0D0D0D" w:themeColor="text1" w:themeTint="F2"/>
                <w:spacing w:val="-4"/>
              </w:rPr>
              <w:t>celkový počet míst v Karlovarském a</w:t>
            </w:r>
            <w:r>
              <w:rPr>
                <w:color w:val="0D0D0D" w:themeColor="text1" w:themeTint="F2"/>
                <w:spacing w:val="-4"/>
              </w:rPr>
              <w:t> </w:t>
            </w:r>
            <w:r w:rsidRPr="008A4534">
              <w:rPr>
                <w:color w:val="0D0D0D" w:themeColor="text1" w:themeTint="F2"/>
                <w:spacing w:val="-4"/>
              </w:rPr>
              <w:t>Pardubickém kraji, naopak v Praze a</w:t>
            </w:r>
            <w:r>
              <w:rPr>
                <w:color w:val="0D0D0D" w:themeColor="text1" w:themeTint="F2"/>
                <w:spacing w:val="-4"/>
              </w:rPr>
              <w:t> </w:t>
            </w:r>
            <w:r w:rsidRPr="008A4534">
              <w:rPr>
                <w:color w:val="0D0D0D" w:themeColor="text1" w:themeTint="F2"/>
                <w:spacing w:val="-4"/>
              </w:rPr>
              <w:t>Jihomoravském kraji se nabídka rozšířila o</w:t>
            </w:r>
            <w:r>
              <w:rPr>
                <w:color w:val="0D0D0D" w:themeColor="text1" w:themeTint="F2"/>
                <w:spacing w:val="-4"/>
              </w:rPr>
              <w:t> </w:t>
            </w:r>
            <w:r w:rsidRPr="008A4534">
              <w:rPr>
                <w:color w:val="0D0D0D" w:themeColor="text1" w:themeTint="F2"/>
                <w:spacing w:val="-4"/>
              </w:rPr>
              <w:t>šestinu.</w:t>
            </w:r>
          </w:p>
        </w:tc>
      </w:tr>
      <w:tr w:rsidR="00F766BE" w:rsidRPr="00191C35" w14:paraId="21B930A0" w14:textId="77777777" w:rsidTr="006F6FF2">
        <w:trPr>
          <w:trHeight w:val="145"/>
        </w:trPr>
        <w:tc>
          <w:tcPr>
            <w:tcW w:w="1792" w:type="dxa"/>
            <w:shd w:val="clear" w:color="auto" w:fill="auto"/>
            <w:tcMar>
              <w:left w:w="0" w:type="dxa"/>
            </w:tcMar>
          </w:tcPr>
          <w:p w14:paraId="60EC393A" w14:textId="77777777" w:rsidR="00F766BE" w:rsidRDefault="00F766BE" w:rsidP="006F6FF2">
            <w:pPr>
              <w:pStyle w:val="Marginlie"/>
              <w:spacing w:after="120"/>
            </w:pPr>
            <w:r>
              <w:lastRenderedPageBreak/>
              <w:t>Loňský silný růst počtu ekonomicky neaktivních se v 1. čtvrtletí výrazně přibrzdil.</w:t>
            </w:r>
          </w:p>
        </w:tc>
        <w:tc>
          <w:tcPr>
            <w:tcW w:w="216" w:type="dxa"/>
            <w:shd w:val="clear" w:color="auto" w:fill="auto"/>
            <w:tcMar>
              <w:left w:w="0" w:type="dxa"/>
            </w:tcMar>
          </w:tcPr>
          <w:p w14:paraId="615C53EA" w14:textId="77777777" w:rsidR="00F766BE" w:rsidRPr="00B43216" w:rsidRDefault="00F766BE" w:rsidP="006F6FF2">
            <w:pPr>
              <w:pStyle w:val="Textpoznpodarou"/>
              <w:spacing w:after="120"/>
              <w:jc w:val="both"/>
              <w:rPr>
                <w:spacing w:val="-4"/>
              </w:rPr>
            </w:pPr>
          </w:p>
        </w:tc>
        <w:tc>
          <w:tcPr>
            <w:tcW w:w="7656" w:type="dxa"/>
            <w:shd w:val="clear" w:color="auto" w:fill="auto"/>
            <w:tcMar>
              <w:left w:w="0" w:type="dxa"/>
            </w:tcMar>
          </w:tcPr>
          <w:p w14:paraId="2E0C1CCA" w14:textId="77777777" w:rsidR="00F766BE" w:rsidRPr="00630775" w:rsidRDefault="00F766BE" w:rsidP="006F6FF2">
            <w:pPr>
              <w:rPr>
                <w:color w:val="0D0D0D" w:themeColor="text1" w:themeTint="F2"/>
                <w:spacing w:val="-4"/>
              </w:rPr>
            </w:pPr>
            <w:r w:rsidRPr="00630775">
              <w:rPr>
                <w:color w:val="0D0D0D" w:themeColor="text1" w:themeTint="F2"/>
                <w:spacing w:val="-4"/>
              </w:rPr>
              <w:t>Počet ekonomicky neaktivních, který vloni narostl nejvíce od roku 2008 (+1,7</w:t>
            </w:r>
            <w:r>
              <w:rPr>
                <w:color w:val="0D0D0D" w:themeColor="text1" w:themeTint="F2"/>
                <w:spacing w:val="-4"/>
              </w:rPr>
              <w:t> %</w:t>
            </w:r>
            <w:r w:rsidRPr="00630775">
              <w:rPr>
                <w:color w:val="0D0D0D" w:themeColor="text1" w:themeTint="F2"/>
                <w:spacing w:val="-4"/>
              </w:rPr>
              <w:t xml:space="preserve">, resp. </w:t>
            </w:r>
            <w:r>
              <w:rPr>
                <w:color w:val="0D0D0D" w:themeColor="text1" w:themeTint="F2"/>
                <w:spacing w:val="-4"/>
              </w:rPr>
              <w:t>61</w:t>
            </w:r>
            <w:r>
              <w:rPr>
                <w:spacing w:val="-4"/>
              </w:rPr>
              <w:t> </w:t>
            </w:r>
            <w:r w:rsidRPr="00630775">
              <w:rPr>
                <w:color w:val="0D0D0D" w:themeColor="text1" w:themeTint="F2"/>
                <w:spacing w:val="-4"/>
              </w:rPr>
              <w:t>tis.), se zatím letos stabilizoval. V 1.</w:t>
            </w:r>
            <w:r>
              <w:rPr>
                <w:color w:val="0D0D0D" w:themeColor="text1" w:themeTint="F2"/>
                <w:spacing w:val="-4"/>
              </w:rPr>
              <w:t> čtvrt</w:t>
            </w:r>
            <w:r w:rsidRPr="00630775">
              <w:rPr>
                <w:color w:val="0D0D0D" w:themeColor="text1" w:themeTint="F2"/>
                <w:spacing w:val="-4"/>
              </w:rPr>
              <w:t>letí meziročně posílil o</w:t>
            </w:r>
            <w:r>
              <w:rPr>
                <w:color w:val="0D0D0D" w:themeColor="text1" w:themeTint="F2"/>
                <w:spacing w:val="-4"/>
              </w:rPr>
              <w:t> </w:t>
            </w:r>
            <w:r w:rsidRPr="00630775">
              <w:rPr>
                <w:color w:val="0D0D0D" w:themeColor="text1" w:themeTint="F2"/>
                <w:spacing w:val="-4"/>
              </w:rPr>
              <w:t>7</w:t>
            </w:r>
            <w:r>
              <w:rPr>
                <w:color w:val="0D0D0D" w:themeColor="text1" w:themeTint="F2"/>
                <w:spacing w:val="-4"/>
              </w:rPr>
              <w:t> </w:t>
            </w:r>
            <w:r w:rsidRPr="00630775">
              <w:rPr>
                <w:color w:val="0D0D0D" w:themeColor="text1" w:themeTint="F2"/>
                <w:spacing w:val="-4"/>
              </w:rPr>
              <w:t>tis</w:t>
            </w:r>
            <w:r>
              <w:rPr>
                <w:color w:val="0D0D0D" w:themeColor="text1" w:themeTint="F2"/>
                <w:spacing w:val="-4"/>
              </w:rPr>
              <w:t>.</w:t>
            </w:r>
            <w:r w:rsidRPr="00630775">
              <w:rPr>
                <w:color w:val="0D0D0D" w:themeColor="text1" w:themeTint="F2"/>
                <w:spacing w:val="-4"/>
              </w:rPr>
              <w:t xml:space="preserve"> osob, z drtivé většiny vlivem mladých ve věku 15</w:t>
            </w:r>
            <w:r w:rsidRPr="00630775">
              <w:rPr>
                <w:spacing w:val="-4"/>
              </w:rPr>
              <w:t>–</w:t>
            </w:r>
            <w:r w:rsidRPr="00630775">
              <w:rPr>
                <w:color w:val="0D0D0D" w:themeColor="text1" w:themeTint="F2"/>
                <w:spacing w:val="-4"/>
              </w:rPr>
              <w:t>19</w:t>
            </w:r>
            <w:r>
              <w:rPr>
                <w:color w:val="0D0D0D" w:themeColor="text1" w:themeTint="F2"/>
                <w:spacing w:val="-4"/>
              </w:rPr>
              <w:t> </w:t>
            </w:r>
            <w:r w:rsidRPr="00630775">
              <w:rPr>
                <w:color w:val="0D0D0D" w:themeColor="text1" w:themeTint="F2"/>
                <w:spacing w:val="-4"/>
              </w:rPr>
              <w:t>let (+14</w:t>
            </w:r>
            <w:r>
              <w:rPr>
                <w:color w:val="0D0D0D" w:themeColor="text1" w:themeTint="F2"/>
                <w:spacing w:val="-4"/>
              </w:rPr>
              <w:t> tis.</w:t>
            </w:r>
            <w:r w:rsidRPr="00630775">
              <w:rPr>
                <w:color w:val="0D0D0D" w:themeColor="text1" w:themeTint="F2"/>
                <w:spacing w:val="-4"/>
              </w:rPr>
              <w:t>) a</w:t>
            </w:r>
            <w:r>
              <w:rPr>
                <w:color w:val="0D0D0D" w:themeColor="text1" w:themeTint="F2"/>
                <w:spacing w:val="-4"/>
              </w:rPr>
              <w:t> </w:t>
            </w:r>
            <w:r w:rsidRPr="00630775">
              <w:rPr>
                <w:color w:val="0D0D0D" w:themeColor="text1" w:themeTint="F2"/>
                <w:spacing w:val="-4"/>
              </w:rPr>
              <w:t>seniorů nad 65</w:t>
            </w:r>
            <w:r>
              <w:rPr>
                <w:color w:val="0D0D0D" w:themeColor="text1" w:themeTint="F2"/>
                <w:spacing w:val="-4"/>
              </w:rPr>
              <w:t> </w:t>
            </w:r>
            <w:r w:rsidRPr="00630775">
              <w:rPr>
                <w:color w:val="0D0D0D" w:themeColor="text1" w:themeTint="F2"/>
                <w:spacing w:val="-4"/>
              </w:rPr>
              <w:t>let (+34</w:t>
            </w:r>
            <w:r>
              <w:rPr>
                <w:color w:val="0D0D0D" w:themeColor="text1" w:themeTint="F2"/>
                <w:spacing w:val="-4"/>
              </w:rPr>
              <w:t> tis.</w:t>
            </w:r>
            <w:r w:rsidRPr="00630775">
              <w:rPr>
                <w:color w:val="0D0D0D" w:themeColor="text1" w:themeTint="F2"/>
                <w:spacing w:val="-4"/>
              </w:rPr>
              <w:t xml:space="preserve">). To patrně souviselo </w:t>
            </w:r>
            <w:r>
              <w:rPr>
                <w:color w:val="0D0D0D" w:themeColor="text1" w:themeTint="F2"/>
                <w:spacing w:val="-4"/>
              </w:rPr>
              <w:t>s </w:t>
            </w:r>
            <w:r w:rsidRPr="00630775">
              <w:rPr>
                <w:spacing w:val="-4"/>
              </w:rPr>
              <w:t>omezenější nabídkou termínovaných a zkrácených pracovních úvazků. Počet všech neaktivních nehledajících práci, ale chtějících pracovat se meziročně mírně zvýšil (+14</w:t>
            </w:r>
            <w:r>
              <w:rPr>
                <w:spacing w:val="-4"/>
              </w:rPr>
              <w:t> tis.</w:t>
            </w:r>
            <w:r w:rsidRPr="00630775">
              <w:rPr>
                <w:spacing w:val="-4"/>
              </w:rPr>
              <w:t xml:space="preserve"> osob) a</w:t>
            </w:r>
            <w:r>
              <w:rPr>
                <w:spacing w:val="-4"/>
              </w:rPr>
              <w:t> </w:t>
            </w:r>
            <w:r w:rsidRPr="00630775">
              <w:rPr>
                <w:spacing w:val="-4"/>
              </w:rPr>
              <w:t>vrátil se tak na úroveň roku 2018 (108</w:t>
            </w:r>
            <w:r>
              <w:rPr>
                <w:spacing w:val="-4"/>
              </w:rPr>
              <w:t> tis.</w:t>
            </w:r>
            <w:r w:rsidRPr="00630775">
              <w:rPr>
                <w:spacing w:val="-4"/>
              </w:rPr>
              <w:t>). Ze sta osob ve věku 15</w:t>
            </w:r>
            <w:r>
              <w:rPr>
                <w:spacing w:val="-4"/>
              </w:rPr>
              <w:t> </w:t>
            </w:r>
            <w:r w:rsidRPr="00630775">
              <w:rPr>
                <w:spacing w:val="-4"/>
              </w:rPr>
              <w:t>až 64</w:t>
            </w:r>
            <w:r>
              <w:rPr>
                <w:spacing w:val="-4"/>
              </w:rPr>
              <w:t> </w:t>
            </w:r>
            <w:r w:rsidRPr="00630775">
              <w:rPr>
                <w:spacing w:val="-4"/>
              </w:rPr>
              <w:t xml:space="preserve">let bylo letos </w:t>
            </w:r>
            <w:r>
              <w:rPr>
                <w:spacing w:val="-4"/>
              </w:rPr>
              <w:t>v </w:t>
            </w:r>
            <w:r w:rsidRPr="00630775">
              <w:rPr>
                <w:spacing w:val="-4"/>
              </w:rPr>
              <w:t>dubnu ekonomicky aktivních 76,7</w:t>
            </w:r>
            <w:r>
              <w:rPr>
                <w:spacing w:val="-4"/>
              </w:rPr>
              <w:t> %</w:t>
            </w:r>
            <w:r w:rsidRPr="00630775">
              <w:rPr>
                <w:spacing w:val="-4"/>
              </w:rPr>
              <w:t xml:space="preserve">. Míra aktivity lidí v produktivním věku se tak vrátila </w:t>
            </w:r>
            <w:r>
              <w:rPr>
                <w:spacing w:val="-4"/>
              </w:rPr>
              <w:t xml:space="preserve">na úroveň </w:t>
            </w:r>
            <w:r w:rsidRPr="00630775">
              <w:rPr>
                <w:spacing w:val="-4"/>
              </w:rPr>
              <w:t xml:space="preserve">z roku 2019. Tato míra je v ČR ve srovnání </w:t>
            </w:r>
            <w:r>
              <w:rPr>
                <w:spacing w:val="-4"/>
              </w:rPr>
              <w:t>s</w:t>
            </w:r>
            <w:r w:rsidRPr="00630775">
              <w:rPr>
                <w:spacing w:val="-4"/>
              </w:rPr>
              <w:t> EU dlouhodobě nadprůměrná, což platí pro ženy (70,0</w:t>
            </w:r>
            <w:r>
              <w:rPr>
                <w:spacing w:val="-4"/>
              </w:rPr>
              <w:t> %</w:t>
            </w:r>
            <w:r w:rsidRPr="00630775">
              <w:rPr>
                <w:spacing w:val="-4"/>
              </w:rPr>
              <w:t>) a</w:t>
            </w:r>
            <w:r>
              <w:rPr>
                <w:spacing w:val="-4"/>
              </w:rPr>
              <w:t> </w:t>
            </w:r>
            <w:r w:rsidRPr="00630775">
              <w:rPr>
                <w:spacing w:val="-4"/>
              </w:rPr>
              <w:t>zejména pro muže (83,1</w:t>
            </w:r>
            <w:r>
              <w:rPr>
                <w:spacing w:val="-4"/>
              </w:rPr>
              <w:t> %</w:t>
            </w:r>
            <w:r w:rsidRPr="00630775">
              <w:rPr>
                <w:spacing w:val="-4"/>
              </w:rPr>
              <w:t>).</w:t>
            </w:r>
          </w:p>
        </w:tc>
      </w:tr>
      <w:tr w:rsidR="00F766BE" w:rsidRPr="00191C35" w14:paraId="6073FF50" w14:textId="77777777" w:rsidTr="006F6FF2">
        <w:trPr>
          <w:trHeight w:val="145"/>
        </w:trPr>
        <w:tc>
          <w:tcPr>
            <w:tcW w:w="1792" w:type="dxa"/>
            <w:shd w:val="clear" w:color="auto" w:fill="auto"/>
            <w:tcMar>
              <w:left w:w="0" w:type="dxa"/>
            </w:tcMar>
          </w:tcPr>
          <w:p w14:paraId="588B294A" w14:textId="77777777" w:rsidR="00F766BE" w:rsidRDefault="00F766BE" w:rsidP="006F6FF2">
            <w:pPr>
              <w:pStyle w:val="Marginlie"/>
              <w:spacing w:after="120"/>
            </w:pPr>
            <w:r>
              <w:t>Mezičtvrtletní růst průměrné mzdy byl nejslabší od počátku roku 2015.</w:t>
            </w:r>
          </w:p>
        </w:tc>
        <w:tc>
          <w:tcPr>
            <w:tcW w:w="216" w:type="dxa"/>
            <w:shd w:val="clear" w:color="auto" w:fill="auto"/>
            <w:tcMar>
              <w:left w:w="0" w:type="dxa"/>
            </w:tcMar>
          </w:tcPr>
          <w:p w14:paraId="6DBBDA71" w14:textId="77777777" w:rsidR="00F766BE" w:rsidRPr="00B43216" w:rsidRDefault="00F766BE" w:rsidP="006F6FF2">
            <w:pPr>
              <w:pStyle w:val="Textpoznpodarou"/>
              <w:spacing w:after="120"/>
              <w:jc w:val="both"/>
              <w:rPr>
                <w:spacing w:val="-4"/>
              </w:rPr>
            </w:pPr>
          </w:p>
        </w:tc>
        <w:tc>
          <w:tcPr>
            <w:tcW w:w="7656" w:type="dxa"/>
            <w:shd w:val="clear" w:color="auto" w:fill="auto"/>
            <w:tcMar>
              <w:left w:w="0" w:type="dxa"/>
            </w:tcMar>
          </w:tcPr>
          <w:p w14:paraId="5AB803BB" w14:textId="77777777" w:rsidR="00F766BE" w:rsidRPr="00630775" w:rsidRDefault="00F766BE" w:rsidP="006F6FF2">
            <w:pPr>
              <w:rPr>
                <w:spacing w:val="-4"/>
              </w:rPr>
            </w:pPr>
            <w:r w:rsidRPr="00630775">
              <w:rPr>
                <w:spacing w:val="-4"/>
              </w:rPr>
              <w:t>Mzdový</w:t>
            </w:r>
            <w:r>
              <w:rPr>
                <w:spacing w:val="-4"/>
              </w:rPr>
              <w:t xml:space="preserve"> růst v ekonomice byl vinou dopadů pandemie </w:t>
            </w:r>
            <w:r w:rsidRPr="00630775">
              <w:rPr>
                <w:spacing w:val="-4"/>
              </w:rPr>
              <w:t>dále rozkolísaný. Průměrná mzda očištěná o</w:t>
            </w:r>
            <w:r>
              <w:rPr>
                <w:spacing w:val="-4"/>
              </w:rPr>
              <w:t> </w:t>
            </w:r>
            <w:r w:rsidRPr="00630775">
              <w:rPr>
                <w:spacing w:val="-4"/>
              </w:rPr>
              <w:t xml:space="preserve">sezónní vlivy se </w:t>
            </w:r>
            <w:r>
              <w:rPr>
                <w:spacing w:val="-4"/>
              </w:rPr>
              <w:t>mezičtvrtletně zvýšila o </w:t>
            </w:r>
            <w:r w:rsidRPr="00630775">
              <w:rPr>
                <w:spacing w:val="-4"/>
              </w:rPr>
              <w:t>0,6</w:t>
            </w:r>
            <w:r>
              <w:rPr>
                <w:spacing w:val="-4"/>
              </w:rPr>
              <w:t> %</w:t>
            </w:r>
            <w:r w:rsidRPr="00630775">
              <w:rPr>
                <w:spacing w:val="-4"/>
              </w:rPr>
              <w:t>. Odhlédneme-li od 2.</w:t>
            </w:r>
            <w:r>
              <w:rPr>
                <w:spacing w:val="-4"/>
              </w:rPr>
              <w:t> čtvrt</w:t>
            </w:r>
            <w:r w:rsidRPr="00630775">
              <w:rPr>
                <w:spacing w:val="-4"/>
              </w:rPr>
              <w:t xml:space="preserve">letí 2020, kdy byla dynamika mezd negativně ovlivněna prudkým poklesem odpracovaných hodin, je letošní tempo nejslabší od počátku roku 2015. Projevilo se citelné zvolnění růstu ve veřejných službách, neboť odměny pracovníkům ve zdravotnictví již nebyly </w:t>
            </w:r>
            <w:r>
              <w:rPr>
                <w:spacing w:val="-4"/>
              </w:rPr>
              <w:t>zdaleka vyplaceny v takové</w:t>
            </w:r>
            <w:r w:rsidRPr="00630775">
              <w:rPr>
                <w:spacing w:val="-4"/>
              </w:rPr>
              <w:t xml:space="preserve"> výši jako n</w:t>
            </w:r>
            <w:r>
              <w:rPr>
                <w:spacing w:val="-4"/>
              </w:rPr>
              <w:t>a konci loňského roku. Vliv měl i výrazně skromnější růst tabulkových platů</w:t>
            </w:r>
            <w:r w:rsidRPr="00630775">
              <w:rPr>
                <w:spacing w:val="-4"/>
              </w:rPr>
              <w:t xml:space="preserve"> pro letošní rok ve většině oblastí rozpočtové sféry (vyjma vzdělávání).</w:t>
            </w:r>
          </w:p>
        </w:tc>
      </w:tr>
      <w:tr w:rsidR="00F766BE" w:rsidRPr="00191C35" w14:paraId="64C748EC" w14:textId="77777777" w:rsidTr="006F6FF2">
        <w:trPr>
          <w:trHeight w:val="145"/>
        </w:trPr>
        <w:tc>
          <w:tcPr>
            <w:tcW w:w="1792" w:type="dxa"/>
            <w:shd w:val="clear" w:color="auto" w:fill="auto"/>
            <w:tcMar>
              <w:left w:w="0" w:type="dxa"/>
            </w:tcMar>
          </w:tcPr>
          <w:p w14:paraId="5D168CDB" w14:textId="77777777" w:rsidR="00F766BE" w:rsidRDefault="00F766BE" w:rsidP="006F6FF2">
            <w:pPr>
              <w:pStyle w:val="Marginlie"/>
              <w:spacing w:after="120"/>
            </w:pPr>
            <w:r>
              <w:t>Průměrná mzda vzrostla meziročně o 3,2 %. Její růst byl tlumen nižším počtem odpracovaných hodin.</w:t>
            </w:r>
          </w:p>
          <w:p w14:paraId="4526A3DF" w14:textId="77777777" w:rsidR="00F766BE" w:rsidRDefault="00F766BE" w:rsidP="006F6FF2">
            <w:pPr>
              <w:pStyle w:val="Marginlie"/>
              <w:spacing w:after="120" w:line="240" w:lineRule="auto"/>
            </w:pPr>
          </w:p>
          <w:p w14:paraId="76697494" w14:textId="77777777" w:rsidR="00F766BE" w:rsidRDefault="00F766BE" w:rsidP="006F6FF2">
            <w:pPr>
              <w:pStyle w:val="Marginlie"/>
              <w:spacing w:after="120" w:line="240" w:lineRule="auto"/>
            </w:pPr>
          </w:p>
          <w:p w14:paraId="46AA5869" w14:textId="77777777" w:rsidR="00F766BE" w:rsidRDefault="00F766BE" w:rsidP="006F6FF2">
            <w:pPr>
              <w:pStyle w:val="Marginlie"/>
              <w:spacing w:after="120" w:line="240" w:lineRule="auto"/>
            </w:pPr>
          </w:p>
          <w:p w14:paraId="100E9DB9" w14:textId="77777777" w:rsidR="00F766BE" w:rsidRDefault="00F766BE" w:rsidP="006F6FF2">
            <w:pPr>
              <w:pStyle w:val="Marginlie"/>
              <w:spacing w:after="120"/>
            </w:pPr>
          </w:p>
          <w:p w14:paraId="1BC57310" w14:textId="77777777" w:rsidR="00F766BE" w:rsidRDefault="00F766BE" w:rsidP="006F6FF2">
            <w:pPr>
              <w:pStyle w:val="Marginlie"/>
              <w:spacing w:after="120"/>
            </w:pPr>
            <w:r>
              <w:t>Svižný mzdový růst ve zdravotní a sociální péči souvisel s vyšším počtem odpracovaných hodin.</w:t>
            </w:r>
          </w:p>
        </w:tc>
        <w:tc>
          <w:tcPr>
            <w:tcW w:w="216" w:type="dxa"/>
            <w:shd w:val="clear" w:color="auto" w:fill="auto"/>
            <w:tcMar>
              <w:left w:w="0" w:type="dxa"/>
            </w:tcMar>
          </w:tcPr>
          <w:p w14:paraId="00DBF0C7" w14:textId="77777777" w:rsidR="00F766BE" w:rsidRPr="00B43216" w:rsidRDefault="00F766BE" w:rsidP="006F6FF2">
            <w:pPr>
              <w:pStyle w:val="Textpoznpodarou"/>
              <w:spacing w:after="120"/>
              <w:jc w:val="both"/>
              <w:rPr>
                <w:spacing w:val="-4"/>
              </w:rPr>
            </w:pPr>
          </w:p>
        </w:tc>
        <w:tc>
          <w:tcPr>
            <w:tcW w:w="7656" w:type="dxa"/>
            <w:shd w:val="clear" w:color="auto" w:fill="auto"/>
            <w:tcMar>
              <w:left w:w="0" w:type="dxa"/>
            </w:tcMar>
          </w:tcPr>
          <w:p w14:paraId="10B0AC1B" w14:textId="77777777" w:rsidR="00F766BE" w:rsidRPr="00A31E8C" w:rsidRDefault="00F766BE" w:rsidP="006F6FF2">
            <w:pPr>
              <w:rPr>
                <w:spacing w:val="-4"/>
              </w:rPr>
            </w:pPr>
            <w:r w:rsidRPr="00A31E8C">
              <w:rPr>
                <w:spacing w:val="-4"/>
              </w:rPr>
              <w:t xml:space="preserve">Průměrná hrubá měsíční mzda dosáhla </w:t>
            </w:r>
            <w:r>
              <w:rPr>
                <w:spacing w:val="-4"/>
              </w:rPr>
              <w:t>v 1. čtvrtletí 35 285 korun</w:t>
            </w:r>
            <w:r w:rsidRPr="00A31E8C">
              <w:rPr>
                <w:spacing w:val="-4"/>
              </w:rPr>
              <w:t xml:space="preserve"> a</w:t>
            </w:r>
            <w:r>
              <w:rPr>
                <w:spacing w:val="-4"/>
              </w:rPr>
              <w:t> </w:t>
            </w:r>
            <w:r w:rsidRPr="00A31E8C">
              <w:rPr>
                <w:spacing w:val="-4"/>
              </w:rPr>
              <w:t>meziročně vzrostla</w:t>
            </w:r>
            <w:r>
              <w:rPr>
                <w:spacing w:val="-4"/>
              </w:rPr>
              <w:t xml:space="preserve"> o 1 089 korun</w:t>
            </w:r>
            <w:r w:rsidRPr="00A31E8C">
              <w:rPr>
                <w:spacing w:val="-4"/>
              </w:rPr>
              <w:t xml:space="preserve"> (3,2 %). Mzdové tempo ve srovnání s koncem loňského roku zvolnilo. Meziroční růst byl tlumen výpadkem mzdy zaměstnanců pobírajících ošetřovné či náhradu mzdy během karantény</w:t>
            </w:r>
            <w:r w:rsidRPr="00A31E8C">
              <w:rPr>
                <w:rStyle w:val="Znakapoznpodarou"/>
                <w:spacing w:val="-4"/>
              </w:rPr>
              <w:footnoteReference w:id="15"/>
            </w:r>
            <w:r w:rsidRPr="00A31E8C">
              <w:rPr>
                <w:spacing w:val="-4"/>
              </w:rPr>
              <w:t>. Určitý výpadek mezd pocítili i</w:t>
            </w:r>
            <w:r>
              <w:rPr>
                <w:spacing w:val="-4"/>
              </w:rPr>
              <w:t> </w:t>
            </w:r>
            <w:r w:rsidRPr="00A31E8C">
              <w:rPr>
                <w:spacing w:val="-4"/>
              </w:rPr>
              <w:t>ti, kteří nepracovali z</w:t>
            </w:r>
            <w:r>
              <w:rPr>
                <w:spacing w:val="-4"/>
              </w:rPr>
              <w:t> </w:t>
            </w:r>
            <w:r w:rsidRPr="00A31E8C">
              <w:rPr>
                <w:spacing w:val="-4"/>
              </w:rPr>
              <w:t>titulu překáž</w:t>
            </w:r>
            <w:r>
              <w:rPr>
                <w:spacing w:val="-4"/>
              </w:rPr>
              <w:t>ek v </w:t>
            </w:r>
            <w:r w:rsidRPr="00A31E8C">
              <w:rPr>
                <w:spacing w:val="-4"/>
              </w:rPr>
              <w:t>práci v</w:t>
            </w:r>
            <w:r>
              <w:rPr>
                <w:spacing w:val="-4"/>
              </w:rPr>
              <w:t> </w:t>
            </w:r>
            <w:r w:rsidRPr="00A31E8C">
              <w:rPr>
                <w:spacing w:val="-4"/>
              </w:rPr>
              <w:t>souvislosti s</w:t>
            </w:r>
            <w:r>
              <w:rPr>
                <w:spacing w:val="-4"/>
              </w:rPr>
              <w:t> </w:t>
            </w:r>
            <w:r w:rsidRPr="00A31E8C">
              <w:rPr>
                <w:spacing w:val="-4"/>
              </w:rPr>
              <w:t>pandemií, neboť někteří z</w:t>
            </w:r>
            <w:r>
              <w:rPr>
                <w:spacing w:val="-4"/>
              </w:rPr>
              <w:t> </w:t>
            </w:r>
            <w:r w:rsidRPr="00A31E8C">
              <w:rPr>
                <w:spacing w:val="-4"/>
              </w:rPr>
              <w:t>nich čerpali jen částečné náhrady mzdy. Skromnější mzdový růst mohl souviset i</w:t>
            </w:r>
            <w:r>
              <w:rPr>
                <w:spacing w:val="-4"/>
              </w:rPr>
              <w:t> </w:t>
            </w:r>
            <w:r w:rsidRPr="00A31E8C">
              <w:rPr>
                <w:spacing w:val="-4"/>
              </w:rPr>
              <w:t>se zrušením superhrubé</w:t>
            </w:r>
            <w:r>
              <w:rPr>
                <w:spacing w:val="-4"/>
              </w:rPr>
              <w:t xml:space="preserve"> </w:t>
            </w:r>
            <w:r w:rsidRPr="00A31E8C">
              <w:rPr>
                <w:spacing w:val="-4"/>
              </w:rPr>
              <w:t>mzdy (od počátku letošního roku</w:t>
            </w:r>
            <w:r w:rsidRPr="00A31E8C">
              <w:rPr>
                <w:rStyle w:val="Znakapoznpodarou"/>
                <w:spacing w:val="-4"/>
              </w:rPr>
              <w:footnoteReference w:id="16"/>
            </w:r>
            <w:r w:rsidRPr="00A31E8C">
              <w:rPr>
                <w:spacing w:val="-4"/>
              </w:rPr>
              <w:t>), neboť část zaměstnavatelů zejména v</w:t>
            </w:r>
            <w:r>
              <w:rPr>
                <w:spacing w:val="-4"/>
              </w:rPr>
              <w:t> </w:t>
            </w:r>
            <w:r w:rsidRPr="00A31E8C">
              <w:rPr>
                <w:spacing w:val="-4"/>
              </w:rPr>
              <w:t>tržních odvětvích zohlednila fakt, že lidem stoupnou čisté výdělky i</w:t>
            </w:r>
            <w:r>
              <w:rPr>
                <w:spacing w:val="-4"/>
              </w:rPr>
              <w:t> </w:t>
            </w:r>
            <w:r w:rsidRPr="00A31E8C">
              <w:rPr>
                <w:spacing w:val="-4"/>
              </w:rPr>
              <w:t>bez zvyšování hrubých</w:t>
            </w:r>
            <w:r>
              <w:rPr>
                <w:spacing w:val="-4"/>
              </w:rPr>
              <w:t xml:space="preserve"> </w:t>
            </w:r>
            <w:r w:rsidRPr="00A31E8C">
              <w:rPr>
                <w:spacing w:val="-4"/>
              </w:rPr>
              <w:t>mezd. V některých především menších odvětvích se patrně uplatnil vliv propouštění méně kvalifikovaných pracovníků, což růst průměrných výdělků naopak podpořilo. V činnostech v oblasti nemovitostí</w:t>
            </w:r>
            <w:r>
              <w:rPr>
                <w:spacing w:val="-4"/>
              </w:rPr>
              <w:t xml:space="preserve"> tak v 1. </w:t>
            </w:r>
            <w:r w:rsidRPr="00A31E8C">
              <w:rPr>
                <w:spacing w:val="-4"/>
              </w:rPr>
              <w:t>čtvrtletí meziročně vzrostly průměrné mzdy o</w:t>
            </w:r>
            <w:r>
              <w:rPr>
                <w:spacing w:val="-4"/>
              </w:rPr>
              <w:t> </w:t>
            </w:r>
            <w:r w:rsidRPr="00A31E8C">
              <w:rPr>
                <w:spacing w:val="-4"/>
              </w:rPr>
              <w:t>12,2</w:t>
            </w:r>
            <w:r>
              <w:rPr>
                <w:spacing w:val="-4"/>
              </w:rPr>
              <w:t> %</w:t>
            </w:r>
            <w:r w:rsidRPr="00A31E8C">
              <w:rPr>
                <w:spacing w:val="-4"/>
              </w:rPr>
              <w:t>. Ve zdravotní a</w:t>
            </w:r>
            <w:r>
              <w:rPr>
                <w:spacing w:val="-4"/>
              </w:rPr>
              <w:t> </w:t>
            </w:r>
            <w:r w:rsidRPr="00A31E8C">
              <w:rPr>
                <w:spacing w:val="-4"/>
              </w:rPr>
              <w:t>sociální péči se mzdy zvýšily o</w:t>
            </w:r>
            <w:r>
              <w:rPr>
                <w:spacing w:val="-4"/>
              </w:rPr>
              <w:t> </w:t>
            </w:r>
            <w:r w:rsidRPr="00A31E8C">
              <w:rPr>
                <w:spacing w:val="-4"/>
              </w:rPr>
              <w:t>11,3</w:t>
            </w:r>
            <w:r>
              <w:rPr>
                <w:spacing w:val="-4"/>
              </w:rPr>
              <w:t> %</w:t>
            </w:r>
            <w:r w:rsidRPr="00A31E8C">
              <w:rPr>
                <w:spacing w:val="-4"/>
              </w:rPr>
              <w:t xml:space="preserve">, zčásti vlivem </w:t>
            </w:r>
            <w:r>
              <w:rPr>
                <w:spacing w:val="-4"/>
              </w:rPr>
              <w:t>vyššího průměrného počtu</w:t>
            </w:r>
            <w:r w:rsidRPr="00A31E8C">
              <w:rPr>
                <w:spacing w:val="-4"/>
              </w:rPr>
              <w:t xml:space="preserve"> odpracovaných hodin. K nadprůměrnému růstu mezd při souběžném mírném n</w:t>
            </w:r>
            <w:r>
              <w:rPr>
                <w:spacing w:val="-4"/>
              </w:rPr>
              <w:t>avyšování zaměstnanosti došlo i </w:t>
            </w:r>
            <w:r w:rsidRPr="00A31E8C">
              <w:rPr>
                <w:spacing w:val="-4"/>
              </w:rPr>
              <w:t>ve vzdělávání (4,1</w:t>
            </w:r>
            <w:r>
              <w:rPr>
                <w:spacing w:val="-4"/>
              </w:rPr>
              <w:t> %</w:t>
            </w:r>
            <w:r w:rsidRPr="00A31E8C">
              <w:rPr>
                <w:spacing w:val="-4"/>
              </w:rPr>
              <w:t>) a</w:t>
            </w:r>
            <w:r>
              <w:rPr>
                <w:spacing w:val="-4"/>
              </w:rPr>
              <w:t> </w:t>
            </w:r>
            <w:r w:rsidRPr="00A31E8C">
              <w:rPr>
                <w:spacing w:val="-4"/>
              </w:rPr>
              <w:t>také v informačních a</w:t>
            </w:r>
            <w:r>
              <w:rPr>
                <w:spacing w:val="-4"/>
              </w:rPr>
              <w:t> </w:t>
            </w:r>
            <w:r w:rsidRPr="00A31E8C">
              <w:rPr>
                <w:spacing w:val="-4"/>
              </w:rPr>
              <w:t>komunikačních činnostech (4,0</w:t>
            </w:r>
            <w:r>
              <w:rPr>
                <w:spacing w:val="-4"/>
              </w:rPr>
              <w:t> %</w:t>
            </w:r>
            <w:r w:rsidRPr="00A31E8C">
              <w:rPr>
                <w:spacing w:val="-4"/>
              </w:rPr>
              <w:t>), které patřily k nejvíce vytíženým odvětvím během pandemie.</w:t>
            </w:r>
          </w:p>
        </w:tc>
      </w:tr>
      <w:tr w:rsidR="00F766BE" w:rsidRPr="00191C35" w14:paraId="2EEE13A2" w14:textId="77777777" w:rsidTr="006F6FF2">
        <w:trPr>
          <w:trHeight w:val="145"/>
        </w:trPr>
        <w:tc>
          <w:tcPr>
            <w:tcW w:w="1792" w:type="dxa"/>
            <w:shd w:val="clear" w:color="auto" w:fill="auto"/>
            <w:tcMar>
              <w:left w:w="0" w:type="dxa"/>
            </w:tcMar>
          </w:tcPr>
          <w:p w14:paraId="4C456528" w14:textId="77777777" w:rsidR="00F766BE" w:rsidRDefault="00F766BE" w:rsidP="006F6FF2">
            <w:pPr>
              <w:pStyle w:val="Marginlie"/>
              <w:spacing w:after="120"/>
            </w:pPr>
            <w:r>
              <w:t>Mzdový růst v průmyslu, stavebnictví i klíčových tržních odvětvích služeb byl umírněný.</w:t>
            </w:r>
          </w:p>
        </w:tc>
        <w:tc>
          <w:tcPr>
            <w:tcW w:w="216" w:type="dxa"/>
            <w:shd w:val="clear" w:color="auto" w:fill="auto"/>
            <w:tcMar>
              <w:left w:w="0" w:type="dxa"/>
            </w:tcMar>
          </w:tcPr>
          <w:p w14:paraId="1D468268" w14:textId="77777777" w:rsidR="00F766BE" w:rsidRPr="00B43216" w:rsidRDefault="00F766BE" w:rsidP="006F6FF2">
            <w:pPr>
              <w:pStyle w:val="Textpoznpodarou"/>
              <w:spacing w:after="120"/>
              <w:jc w:val="both"/>
              <w:rPr>
                <w:spacing w:val="-4"/>
              </w:rPr>
            </w:pPr>
          </w:p>
        </w:tc>
        <w:tc>
          <w:tcPr>
            <w:tcW w:w="7656" w:type="dxa"/>
            <w:shd w:val="clear" w:color="auto" w:fill="auto"/>
            <w:tcMar>
              <w:left w:w="0" w:type="dxa"/>
            </w:tcMar>
          </w:tcPr>
          <w:p w14:paraId="35057F36" w14:textId="77777777" w:rsidR="00F766BE" w:rsidRPr="00A31E8C" w:rsidRDefault="00F766BE" w:rsidP="006F6FF2">
            <w:pPr>
              <w:rPr>
                <w:spacing w:val="-4"/>
              </w:rPr>
            </w:pPr>
            <w:r w:rsidRPr="00A31E8C">
              <w:rPr>
                <w:spacing w:val="-4"/>
              </w:rPr>
              <w:t xml:space="preserve">Ve většině ostatních tržních odvětví rostly průměrné mzdy jen střídmě. Podniky se na počátku roku </w:t>
            </w:r>
            <w:r>
              <w:rPr>
                <w:spacing w:val="-4"/>
              </w:rPr>
              <w:t>potýkaly s nejistotami ohledně</w:t>
            </w:r>
            <w:r w:rsidRPr="00A31E8C">
              <w:rPr>
                <w:spacing w:val="-4"/>
              </w:rPr>
              <w:t xml:space="preserve"> délky trvání protipandemických restrikcí i</w:t>
            </w:r>
            <w:r>
              <w:rPr>
                <w:spacing w:val="-4"/>
              </w:rPr>
              <w:t> </w:t>
            </w:r>
            <w:r w:rsidRPr="00A31E8C">
              <w:rPr>
                <w:spacing w:val="-4"/>
              </w:rPr>
              <w:t>menší stabilitou oživení poptávky. To bylo doprovázeno i</w:t>
            </w:r>
            <w:r>
              <w:rPr>
                <w:spacing w:val="-4"/>
              </w:rPr>
              <w:t> </w:t>
            </w:r>
            <w:r w:rsidRPr="00A31E8C">
              <w:rPr>
                <w:spacing w:val="-4"/>
              </w:rPr>
              <w:t>utlumenou soukromou spotřebou a</w:t>
            </w:r>
            <w:r>
              <w:rPr>
                <w:spacing w:val="-4"/>
              </w:rPr>
              <w:t> </w:t>
            </w:r>
            <w:r w:rsidRPr="00A31E8C">
              <w:rPr>
                <w:spacing w:val="-4"/>
              </w:rPr>
              <w:t>zčásti i</w:t>
            </w:r>
            <w:r>
              <w:rPr>
                <w:spacing w:val="-4"/>
              </w:rPr>
              <w:t> </w:t>
            </w:r>
            <w:r w:rsidRPr="00A31E8C">
              <w:rPr>
                <w:spacing w:val="-4"/>
              </w:rPr>
              <w:t xml:space="preserve">investiční aktivitou. Ve zpracovatelském průmyslu průměrná mzda vzrostla meziročně jen </w:t>
            </w:r>
            <w:r w:rsidRPr="00A31E8C">
              <w:rPr>
                <w:spacing w:val="-4"/>
              </w:rPr>
              <w:lastRenderedPageBreak/>
              <w:t>o</w:t>
            </w:r>
            <w:r>
              <w:rPr>
                <w:spacing w:val="-4"/>
              </w:rPr>
              <w:t> </w:t>
            </w:r>
            <w:r w:rsidRPr="00A31E8C">
              <w:rPr>
                <w:spacing w:val="-4"/>
              </w:rPr>
              <w:t>2,0</w:t>
            </w:r>
            <w:r>
              <w:rPr>
                <w:spacing w:val="-4"/>
              </w:rPr>
              <w:t> %</w:t>
            </w:r>
            <w:r w:rsidRPr="00A31E8C">
              <w:rPr>
                <w:spacing w:val="-4"/>
              </w:rPr>
              <w:t>. Objem vyplacených mezd se zde dokonce snížil, neboť zaměstnanců o</w:t>
            </w:r>
            <w:r>
              <w:rPr>
                <w:spacing w:val="-4"/>
              </w:rPr>
              <w:t> </w:t>
            </w:r>
            <w:r w:rsidRPr="00A31E8C">
              <w:rPr>
                <w:spacing w:val="-4"/>
              </w:rPr>
              <w:t>2,5</w:t>
            </w:r>
            <w:r>
              <w:rPr>
                <w:spacing w:val="-4"/>
              </w:rPr>
              <w:t> %</w:t>
            </w:r>
            <w:r w:rsidRPr="00A31E8C">
              <w:rPr>
                <w:spacing w:val="-4"/>
              </w:rPr>
              <w:t xml:space="preserve"> ubylo. Z větších oborů se nejméně dařilo strojírenství a</w:t>
            </w:r>
            <w:r>
              <w:rPr>
                <w:spacing w:val="-4"/>
              </w:rPr>
              <w:t> </w:t>
            </w:r>
            <w:r w:rsidRPr="00A31E8C">
              <w:rPr>
                <w:spacing w:val="-4"/>
              </w:rPr>
              <w:t>elektrotechnice. Střídmě rostly průměrné výdělky i</w:t>
            </w:r>
            <w:r>
              <w:rPr>
                <w:spacing w:val="-4"/>
              </w:rPr>
              <w:t xml:space="preserve"> ve </w:t>
            </w:r>
            <w:r w:rsidRPr="00A31E8C">
              <w:rPr>
                <w:spacing w:val="-4"/>
              </w:rPr>
              <w:t>výrobě motorových vozidel (2,5</w:t>
            </w:r>
            <w:r>
              <w:rPr>
                <w:spacing w:val="-4"/>
              </w:rPr>
              <w:t> %</w:t>
            </w:r>
            <w:r w:rsidRPr="00A31E8C">
              <w:rPr>
                <w:spacing w:val="-4"/>
              </w:rPr>
              <w:t xml:space="preserve">). </w:t>
            </w:r>
            <w:r>
              <w:rPr>
                <w:spacing w:val="-4"/>
              </w:rPr>
              <w:t>Jejich měsíční výše činila 38,3</w:t>
            </w:r>
            <w:r w:rsidRPr="00A31E8C">
              <w:rPr>
                <w:spacing w:val="-4"/>
              </w:rPr>
              <w:t> </w:t>
            </w:r>
            <w:r>
              <w:rPr>
                <w:spacing w:val="-4"/>
              </w:rPr>
              <w:t>tis. korun</w:t>
            </w:r>
            <w:r w:rsidRPr="00A31E8C">
              <w:rPr>
                <w:spacing w:val="-4"/>
              </w:rPr>
              <w:t xml:space="preserve"> a</w:t>
            </w:r>
            <w:r>
              <w:rPr>
                <w:spacing w:val="-4"/>
              </w:rPr>
              <w:t> </w:t>
            </w:r>
            <w:r w:rsidRPr="00A31E8C">
              <w:rPr>
                <w:spacing w:val="-4"/>
              </w:rPr>
              <w:t>jako v jednom z mála průmyslových oborů převyšovala průměr celé ekonomiky. Za ním naopak o</w:t>
            </w:r>
            <w:r>
              <w:rPr>
                <w:spacing w:val="-4"/>
              </w:rPr>
              <w:t> </w:t>
            </w:r>
            <w:r w:rsidRPr="00A31E8C">
              <w:rPr>
                <w:spacing w:val="-4"/>
              </w:rPr>
              <w:t>šestinu zaostávaly průměrné mzdy ve stavebnictví, které meziročně vzrostly o</w:t>
            </w:r>
            <w:r>
              <w:rPr>
                <w:spacing w:val="-4"/>
              </w:rPr>
              <w:t> </w:t>
            </w:r>
            <w:r w:rsidRPr="00A31E8C">
              <w:rPr>
                <w:spacing w:val="-4"/>
              </w:rPr>
              <w:t>1,0</w:t>
            </w:r>
            <w:r>
              <w:rPr>
                <w:spacing w:val="-4"/>
              </w:rPr>
              <w:t> %</w:t>
            </w:r>
            <w:r w:rsidRPr="00A31E8C">
              <w:rPr>
                <w:spacing w:val="-4"/>
              </w:rPr>
              <w:t>. K vyššímu růstu nepomohlo ani to, že se stavební firmy stále významně potýkají s nedostatkem pracovníků. Utlumený mzdový růst zaznamenal i</w:t>
            </w:r>
            <w:r>
              <w:rPr>
                <w:spacing w:val="-4"/>
              </w:rPr>
              <w:t> </w:t>
            </w:r>
            <w:r w:rsidRPr="00A31E8C">
              <w:rPr>
                <w:spacing w:val="-4"/>
              </w:rPr>
              <w:t>obchod (2,2</w:t>
            </w:r>
            <w:r>
              <w:rPr>
                <w:spacing w:val="-4"/>
              </w:rPr>
              <w:t> %</w:t>
            </w:r>
            <w:r w:rsidRPr="00A31E8C">
              <w:rPr>
                <w:spacing w:val="-4"/>
              </w:rPr>
              <w:t>) a</w:t>
            </w:r>
            <w:r>
              <w:rPr>
                <w:spacing w:val="-4"/>
              </w:rPr>
              <w:t> </w:t>
            </w:r>
            <w:r w:rsidRPr="00A31E8C">
              <w:rPr>
                <w:spacing w:val="-4"/>
              </w:rPr>
              <w:t>odvětví dopravy a</w:t>
            </w:r>
            <w:r>
              <w:rPr>
                <w:spacing w:val="-4"/>
              </w:rPr>
              <w:t> </w:t>
            </w:r>
            <w:r w:rsidRPr="00A31E8C">
              <w:rPr>
                <w:spacing w:val="-4"/>
              </w:rPr>
              <w:t>skladování (0,9</w:t>
            </w:r>
            <w:r>
              <w:rPr>
                <w:spacing w:val="-4"/>
              </w:rPr>
              <w:t> %</w:t>
            </w:r>
            <w:r w:rsidRPr="00A31E8C">
              <w:rPr>
                <w:spacing w:val="-4"/>
              </w:rPr>
              <w:t>), v</w:t>
            </w:r>
            <w:r>
              <w:rPr>
                <w:spacing w:val="-4"/>
              </w:rPr>
              <w:t> </w:t>
            </w:r>
            <w:r w:rsidRPr="00A31E8C">
              <w:rPr>
                <w:spacing w:val="-4"/>
              </w:rPr>
              <w:t>němž navíc přetrvával i</w:t>
            </w:r>
            <w:r>
              <w:rPr>
                <w:spacing w:val="-4"/>
              </w:rPr>
              <w:t> </w:t>
            </w:r>
            <w:r w:rsidRPr="00A31E8C">
              <w:rPr>
                <w:spacing w:val="-4"/>
              </w:rPr>
              <w:t>citelný pokles zaměstnanosti. Na obě odvětví významně dopadala vládní opatření omezující nákupní možnosti i</w:t>
            </w:r>
            <w:r>
              <w:rPr>
                <w:spacing w:val="-4"/>
              </w:rPr>
              <w:t> </w:t>
            </w:r>
            <w:r w:rsidRPr="00A31E8C">
              <w:rPr>
                <w:spacing w:val="-4"/>
              </w:rPr>
              <w:t>celkovou mobilitu obyvatel, která byla letos v</w:t>
            </w:r>
            <w:r>
              <w:rPr>
                <w:spacing w:val="-4"/>
              </w:rPr>
              <w:t> </w:t>
            </w:r>
            <w:r w:rsidRPr="00A31E8C">
              <w:rPr>
                <w:spacing w:val="-4"/>
              </w:rPr>
              <w:t>březnu ještě zpřísněna.</w:t>
            </w:r>
          </w:p>
        </w:tc>
      </w:tr>
      <w:tr w:rsidR="00F766BE" w:rsidRPr="00191C35" w14:paraId="332A93E7" w14:textId="77777777" w:rsidTr="006F6FF2">
        <w:trPr>
          <w:trHeight w:val="145"/>
        </w:trPr>
        <w:tc>
          <w:tcPr>
            <w:tcW w:w="1792" w:type="dxa"/>
            <w:shd w:val="clear" w:color="auto" w:fill="auto"/>
            <w:tcMar>
              <w:left w:w="0" w:type="dxa"/>
            </w:tcMar>
          </w:tcPr>
          <w:p w14:paraId="7E73FF98" w14:textId="77777777" w:rsidR="00F766BE" w:rsidRDefault="00F766BE" w:rsidP="006F6FF2">
            <w:pPr>
              <w:pStyle w:val="Marginlie"/>
              <w:spacing w:after="120"/>
            </w:pPr>
            <w:r>
              <w:lastRenderedPageBreak/>
              <w:t>Pokles průměrných mezd v ubytování, stravování a pohostinství byl umocněn hlubokou redukcí zaměstnanosti.</w:t>
            </w:r>
          </w:p>
        </w:tc>
        <w:tc>
          <w:tcPr>
            <w:tcW w:w="216" w:type="dxa"/>
            <w:shd w:val="clear" w:color="auto" w:fill="auto"/>
            <w:tcMar>
              <w:left w:w="0" w:type="dxa"/>
            </w:tcMar>
          </w:tcPr>
          <w:p w14:paraId="432170F1" w14:textId="77777777" w:rsidR="00F766BE" w:rsidRPr="00B43216" w:rsidRDefault="00F766BE" w:rsidP="006F6FF2">
            <w:pPr>
              <w:pStyle w:val="Textpoznpodarou"/>
              <w:spacing w:after="120"/>
              <w:jc w:val="both"/>
              <w:rPr>
                <w:spacing w:val="-4"/>
              </w:rPr>
            </w:pPr>
          </w:p>
        </w:tc>
        <w:tc>
          <w:tcPr>
            <w:tcW w:w="7656" w:type="dxa"/>
            <w:shd w:val="clear" w:color="auto" w:fill="auto"/>
            <w:tcMar>
              <w:left w:w="0" w:type="dxa"/>
            </w:tcMar>
          </w:tcPr>
          <w:p w14:paraId="74F697CD" w14:textId="77777777" w:rsidR="00F766BE" w:rsidRPr="00F70104" w:rsidRDefault="00F766BE" w:rsidP="006F6FF2">
            <w:pPr>
              <w:rPr>
                <w:spacing w:val="-3"/>
              </w:rPr>
            </w:pPr>
            <w:r w:rsidRPr="00F70104">
              <w:rPr>
                <w:spacing w:val="-3"/>
              </w:rPr>
              <w:t>Protipandemická opatření postihla vlivem plošné uzávěry provozoven zvlášť citelně odvětví ubytování, stravování a</w:t>
            </w:r>
            <w:r>
              <w:rPr>
                <w:spacing w:val="-3"/>
              </w:rPr>
              <w:t> </w:t>
            </w:r>
            <w:r w:rsidRPr="00F70104">
              <w:rPr>
                <w:spacing w:val="-3"/>
              </w:rPr>
              <w:t>pohostinství a</w:t>
            </w:r>
            <w:r>
              <w:rPr>
                <w:spacing w:val="-3"/>
              </w:rPr>
              <w:t> </w:t>
            </w:r>
            <w:r w:rsidRPr="00F70104">
              <w:rPr>
                <w:spacing w:val="-3"/>
              </w:rPr>
              <w:t>též kulturní, zábavní a</w:t>
            </w:r>
            <w:r>
              <w:rPr>
                <w:spacing w:val="-3"/>
              </w:rPr>
              <w:t> </w:t>
            </w:r>
            <w:r w:rsidRPr="00F70104">
              <w:rPr>
                <w:spacing w:val="-3"/>
              </w:rPr>
              <w:t>rekreační činnosti. Šlo o</w:t>
            </w:r>
            <w:r>
              <w:rPr>
                <w:spacing w:val="-3"/>
              </w:rPr>
              <w:t> </w:t>
            </w:r>
            <w:r w:rsidRPr="00F70104">
              <w:rPr>
                <w:spacing w:val="-3"/>
              </w:rPr>
              <w:t>jediná z hlavních odvětví, kde průměrná mzda v 1.</w:t>
            </w:r>
            <w:r>
              <w:rPr>
                <w:spacing w:val="-3"/>
              </w:rPr>
              <w:t> čtvrt</w:t>
            </w:r>
            <w:r w:rsidRPr="00F70104">
              <w:rPr>
                <w:spacing w:val="-3"/>
              </w:rPr>
              <w:t>letí 2021 meziročně klesla. Tíživou situaci v ubytování, stravování a</w:t>
            </w:r>
            <w:r>
              <w:rPr>
                <w:spacing w:val="-3"/>
              </w:rPr>
              <w:t> </w:t>
            </w:r>
            <w:r w:rsidRPr="00F70104">
              <w:rPr>
                <w:spacing w:val="-3"/>
              </w:rPr>
              <w:t>pohostinství podtrhuje i</w:t>
            </w:r>
            <w:r>
              <w:rPr>
                <w:spacing w:val="-3"/>
              </w:rPr>
              <w:t> </w:t>
            </w:r>
            <w:r w:rsidRPr="00F70104">
              <w:rPr>
                <w:spacing w:val="-3"/>
              </w:rPr>
              <w:t>hluboký pokles počtu zaměstnanců (</w:t>
            </w:r>
            <w:r>
              <w:rPr>
                <w:spacing w:val="-3"/>
              </w:rPr>
              <w:t>–</w:t>
            </w:r>
            <w:r w:rsidRPr="00F70104">
              <w:rPr>
                <w:spacing w:val="-3"/>
              </w:rPr>
              <w:t>12,6</w:t>
            </w:r>
            <w:r>
              <w:rPr>
                <w:spacing w:val="-3"/>
              </w:rPr>
              <w:t> %</w:t>
            </w:r>
            <w:r w:rsidRPr="00F70104">
              <w:rPr>
                <w:spacing w:val="-3"/>
              </w:rPr>
              <w:t>), což vedlo k redukci objemu vyplacených mezd o</w:t>
            </w:r>
            <w:r>
              <w:rPr>
                <w:spacing w:val="-3"/>
              </w:rPr>
              <w:t> </w:t>
            </w:r>
            <w:r w:rsidRPr="00F70104">
              <w:rPr>
                <w:spacing w:val="-3"/>
              </w:rPr>
              <w:t>celých 15</w:t>
            </w:r>
            <w:r>
              <w:rPr>
                <w:spacing w:val="-3"/>
              </w:rPr>
              <w:t> %</w:t>
            </w:r>
            <w:r w:rsidRPr="00F70104">
              <w:rPr>
                <w:spacing w:val="-3"/>
              </w:rPr>
              <w:t>. To se odrazilo i</w:t>
            </w:r>
            <w:r>
              <w:rPr>
                <w:spacing w:val="-3"/>
              </w:rPr>
              <w:t> </w:t>
            </w:r>
            <w:r w:rsidRPr="00F70104">
              <w:rPr>
                <w:spacing w:val="-3"/>
              </w:rPr>
              <w:t>v nepříznivém vývoji zaměstnanosti a</w:t>
            </w:r>
            <w:r>
              <w:rPr>
                <w:spacing w:val="-3"/>
              </w:rPr>
              <w:t> </w:t>
            </w:r>
            <w:r w:rsidRPr="00F70104">
              <w:rPr>
                <w:spacing w:val="-3"/>
              </w:rPr>
              <w:t>nízké dynamice průměrných mezd v některých regionech specializovaných na cestovní ruch.</w:t>
            </w:r>
          </w:p>
        </w:tc>
      </w:tr>
      <w:tr w:rsidR="00F766BE" w:rsidRPr="00191C35" w14:paraId="261CA073" w14:textId="77777777" w:rsidTr="006F6FF2">
        <w:trPr>
          <w:trHeight w:val="145"/>
        </w:trPr>
        <w:tc>
          <w:tcPr>
            <w:tcW w:w="1792" w:type="dxa"/>
            <w:shd w:val="clear" w:color="auto" w:fill="auto"/>
            <w:tcMar>
              <w:left w:w="0" w:type="dxa"/>
            </w:tcMar>
          </w:tcPr>
          <w:p w14:paraId="0378C549" w14:textId="77777777" w:rsidR="00F766BE" w:rsidRDefault="00F766BE" w:rsidP="006F6FF2">
            <w:pPr>
              <w:pStyle w:val="Marginlie"/>
              <w:spacing w:after="120"/>
            </w:pPr>
            <w:r>
              <w:t>Mzdy žen se nadále zvyšovaly rychleji než u mužů.</w:t>
            </w:r>
          </w:p>
        </w:tc>
        <w:tc>
          <w:tcPr>
            <w:tcW w:w="216" w:type="dxa"/>
            <w:shd w:val="clear" w:color="auto" w:fill="auto"/>
            <w:tcMar>
              <w:left w:w="0" w:type="dxa"/>
            </w:tcMar>
          </w:tcPr>
          <w:p w14:paraId="4B35361E" w14:textId="77777777" w:rsidR="00F766BE" w:rsidRPr="00B43216" w:rsidRDefault="00F766BE" w:rsidP="006F6FF2">
            <w:pPr>
              <w:pStyle w:val="Textpoznpodarou"/>
              <w:spacing w:after="120"/>
              <w:jc w:val="both"/>
              <w:rPr>
                <w:spacing w:val="-4"/>
              </w:rPr>
            </w:pPr>
          </w:p>
        </w:tc>
        <w:tc>
          <w:tcPr>
            <w:tcW w:w="7656" w:type="dxa"/>
            <w:shd w:val="clear" w:color="auto" w:fill="auto"/>
            <w:tcMar>
              <w:left w:w="0" w:type="dxa"/>
            </w:tcMar>
          </w:tcPr>
          <w:p w14:paraId="536A0A5E" w14:textId="77777777" w:rsidR="00F766BE" w:rsidRPr="00716203" w:rsidRDefault="00F766BE" w:rsidP="006F6FF2">
            <w:pPr>
              <w:rPr>
                <w:spacing w:val="-5"/>
              </w:rPr>
            </w:pPr>
            <w:r w:rsidRPr="00716203">
              <w:rPr>
                <w:spacing w:val="-5"/>
              </w:rPr>
              <w:t>Medián mezd v</w:t>
            </w:r>
            <w:r>
              <w:rPr>
                <w:spacing w:val="-5"/>
              </w:rPr>
              <w:t> </w:t>
            </w:r>
            <w:r w:rsidRPr="00716203">
              <w:rPr>
                <w:spacing w:val="-5"/>
              </w:rPr>
              <w:t>1.</w:t>
            </w:r>
            <w:r>
              <w:rPr>
                <w:spacing w:val="-5"/>
              </w:rPr>
              <w:t> čtvrtletí dosáhl u mužů 32,2 tis. korun, u žen 27,2 tis. korun</w:t>
            </w:r>
            <w:r w:rsidRPr="00716203">
              <w:rPr>
                <w:spacing w:val="-5"/>
              </w:rPr>
              <w:t>. Meziročně nadále posilovaly více výdělky žen (2,6</w:t>
            </w:r>
            <w:r>
              <w:rPr>
                <w:spacing w:val="-5"/>
              </w:rPr>
              <w:t> %</w:t>
            </w:r>
            <w:r w:rsidRPr="00716203">
              <w:rPr>
                <w:spacing w:val="-5"/>
              </w:rPr>
              <w:t>) než mužů (2,3</w:t>
            </w:r>
            <w:r>
              <w:rPr>
                <w:spacing w:val="-5"/>
              </w:rPr>
              <w:t> %</w:t>
            </w:r>
            <w:r w:rsidRPr="00716203">
              <w:rPr>
                <w:spacing w:val="-5"/>
              </w:rPr>
              <w:t>). Rozdíl však nebyl tak výrazný jako po celý loňský rok. Hrubou mzd</w:t>
            </w:r>
            <w:r>
              <w:rPr>
                <w:spacing w:val="-5"/>
              </w:rPr>
              <w:t>u mezi 15,4 tis. a 56,4 tis. korun</w:t>
            </w:r>
            <w:r w:rsidRPr="00716203">
              <w:rPr>
                <w:spacing w:val="-5"/>
              </w:rPr>
              <w:t xml:space="preserve"> pobíraly čtyři pětiny zaměstnanců. Výdělky vysokopříjmových zaměstnanců rostly, stejně jako na konci loňského roku, relativně svižněji než nízkopříjmových. Mzdová diferenciace se tak mírně prohlubovala.</w:t>
            </w:r>
          </w:p>
        </w:tc>
      </w:tr>
      <w:tr w:rsidR="00F766BE" w:rsidRPr="00191C35" w14:paraId="2D13592C" w14:textId="77777777" w:rsidTr="006F6FF2">
        <w:trPr>
          <w:trHeight w:val="145"/>
        </w:trPr>
        <w:tc>
          <w:tcPr>
            <w:tcW w:w="1792" w:type="dxa"/>
            <w:shd w:val="clear" w:color="auto" w:fill="auto"/>
            <w:tcMar>
              <w:left w:w="0" w:type="dxa"/>
            </w:tcMar>
          </w:tcPr>
          <w:p w14:paraId="33442FA0" w14:textId="77777777" w:rsidR="00F766BE" w:rsidRDefault="00F766BE" w:rsidP="006F6FF2">
            <w:pPr>
              <w:pStyle w:val="Marginlie"/>
              <w:spacing w:after="120"/>
            </w:pPr>
            <w:r>
              <w:t>Růst reálných mezd zvolnil na 1 %.</w:t>
            </w:r>
          </w:p>
        </w:tc>
        <w:tc>
          <w:tcPr>
            <w:tcW w:w="216" w:type="dxa"/>
            <w:shd w:val="clear" w:color="auto" w:fill="auto"/>
            <w:tcMar>
              <w:left w:w="0" w:type="dxa"/>
            </w:tcMar>
          </w:tcPr>
          <w:p w14:paraId="59E3CA6A" w14:textId="77777777" w:rsidR="00F766BE" w:rsidRPr="00B43216" w:rsidRDefault="00F766BE" w:rsidP="006F6FF2">
            <w:pPr>
              <w:pStyle w:val="Textpoznpodarou"/>
              <w:spacing w:after="120"/>
              <w:jc w:val="both"/>
              <w:rPr>
                <w:spacing w:val="-4"/>
              </w:rPr>
            </w:pPr>
          </w:p>
        </w:tc>
        <w:tc>
          <w:tcPr>
            <w:tcW w:w="7656" w:type="dxa"/>
            <w:shd w:val="clear" w:color="auto" w:fill="auto"/>
            <w:tcMar>
              <w:left w:w="0" w:type="dxa"/>
            </w:tcMar>
          </w:tcPr>
          <w:p w14:paraId="12D934AE" w14:textId="77777777" w:rsidR="00F766BE" w:rsidRDefault="00F766BE" w:rsidP="006F6FF2">
            <w:pPr>
              <w:spacing w:after="0"/>
              <w:rPr>
                <w:spacing w:val="-4"/>
              </w:rPr>
            </w:pPr>
            <w:r w:rsidRPr="00716203">
              <w:rPr>
                <w:spacing w:val="-4"/>
              </w:rPr>
              <w:t>Přestože meziroční růst spotřebitelských cen v 1.</w:t>
            </w:r>
            <w:r>
              <w:rPr>
                <w:spacing w:val="-4"/>
              </w:rPr>
              <w:t> čtvrt</w:t>
            </w:r>
            <w:r w:rsidRPr="00716203">
              <w:rPr>
                <w:spacing w:val="-4"/>
              </w:rPr>
              <w:t>letí zmírnil, nestačil kompenzovat zvolnění dynamiky průměrných hrubých mezd. Jejich reálný růst se tak ztenčil na 1,0</w:t>
            </w:r>
            <w:r>
              <w:rPr>
                <w:spacing w:val="-4"/>
              </w:rPr>
              <w:t> %</w:t>
            </w:r>
            <w:r w:rsidRPr="00716203">
              <w:rPr>
                <w:spacing w:val="-4"/>
              </w:rPr>
              <w:t>. Skutečná koupěschopnost výdělků průměrného zaměstnance však posílila více, a</w:t>
            </w:r>
            <w:r>
              <w:rPr>
                <w:spacing w:val="-4"/>
              </w:rPr>
              <w:t> </w:t>
            </w:r>
            <w:r w:rsidRPr="00716203">
              <w:rPr>
                <w:spacing w:val="-4"/>
              </w:rPr>
              <w:t>to v důsledku snížení daňového zatížení díky zrušení superhrubé mzdy.</w:t>
            </w:r>
          </w:p>
          <w:p w14:paraId="31C6A777" w14:textId="77777777" w:rsidR="00F766BE" w:rsidRPr="00A31E8C" w:rsidRDefault="00F766BE" w:rsidP="006F6FF2">
            <w:pPr>
              <w:spacing w:after="0"/>
              <w:rPr>
                <w:spacing w:val="-4"/>
              </w:rPr>
            </w:pPr>
          </w:p>
        </w:tc>
      </w:tr>
      <w:tr w:rsidR="00F766BE" w:rsidRPr="00191C35" w14:paraId="6213FCF7" w14:textId="77777777" w:rsidTr="006F6FF2">
        <w:trPr>
          <w:trHeight w:val="145"/>
        </w:trPr>
        <w:tc>
          <w:tcPr>
            <w:tcW w:w="1792" w:type="dxa"/>
            <w:shd w:val="clear" w:color="auto" w:fill="auto"/>
            <w:tcMar>
              <w:left w:w="0" w:type="dxa"/>
            </w:tcMar>
          </w:tcPr>
          <w:p w14:paraId="5A50B7C3" w14:textId="77777777" w:rsidR="00F766BE" w:rsidRDefault="00F766BE" w:rsidP="006F6FF2">
            <w:pPr>
              <w:pStyle w:val="Marginlie"/>
              <w:spacing w:after="120"/>
            </w:pPr>
          </w:p>
        </w:tc>
        <w:tc>
          <w:tcPr>
            <w:tcW w:w="216" w:type="dxa"/>
            <w:shd w:val="clear" w:color="auto" w:fill="auto"/>
            <w:tcMar>
              <w:left w:w="0" w:type="dxa"/>
            </w:tcMar>
          </w:tcPr>
          <w:p w14:paraId="65A69851" w14:textId="77777777" w:rsidR="00F766BE" w:rsidRPr="00B43216" w:rsidRDefault="00F766BE" w:rsidP="006F6FF2">
            <w:pPr>
              <w:pStyle w:val="Textpoznpodarou"/>
              <w:spacing w:after="120"/>
              <w:jc w:val="both"/>
              <w:rPr>
                <w:spacing w:val="-4"/>
              </w:rPr>
            </w:pPr>
          </w:p>
        </w:tc>
        <w:tc>
          <w:tcPr>
            <w:tcW w:w="7656" w:type="dxa"/>
            <w:shd w:val="clear" w:color="auto" w:fill="auto"/>
            <w:tcMar>
              <w:left w:w="0" w:type="dxa"/>
            </w:tcMar>
          </w:tcPr>
          <w:p w14:paraId="432E4B85" w14:textId="5759FCC4" w:rsidR="00F766BE" w:rsidRDefault="00197D0E" w:rsidP="006F6FF2">
            <w:pPr>
              <w:spacing w:after="0"/>
              <w:rPr>
                <w:spacing w:val="-4"/>
              </w:rPr>
            </w:pPr>
            <w:r>
              <w:rPr>
                <w:b/>
                <w:spacing w:val="-4"/>
              </w:rPr>
              <w:t>Graf č. 14</w:t>
            </w:r>
            <w:r w:rsidR="00F766BE" w:rsidRPr="003E01D3">
              <w:rPr>
                <w:b/>
                <w:spacing w:val="-4"/>
              </w:rPr>
              <w:t xml:space="preserve">  Průměrná nominální</w:t>
            </w:r>
            <w:r w:rsidR="00F766BE">
              <w:rPr>
                <w:b/>
                <w:spacing w:val="-4"/>
              </w:rPr>
              <w:t xml:space="preserve"> a </w:t>
            </w:r>
            <w:r w:rsidR="00F766BE" w:rsidRPr="003E01D3">
              <w:rPr>
                <w:b/>
                <w:spacing w:val="-4"/>
              </w:rPr>
              <w:t>reálná mzda a</w:t>
            </w:r>
            <w:r w:rsidR="00F766BE">
              <w:rPr>
                <w:b/>
                <w:spacing w:val="-4"/>
              </w:rPr>
              <w:t> </w:t>
            </w:r>
            <w:r w:rsidR="00F766BE" w:rsidRPr="003E01D3">
              <w:rPr>
                <w:b/>
                <w:spacing w:val="-4"/>
              </w:rPr>
              <w:t>mzdový medián</w:t>
            </w:r>
            <w:r w:rsidR="00F766BE">
              <w:rPr>
                <w:spacing w:val="-4"/>
              </w:rPr>
              <w:t xml:space="preserve"> </w:t>
            </w:r>
            <w:r w:rsidR="00F766BE" w:rsidRPr="003E01D3">
              <w:rPr>
                <w:spacing w:val="-4"/>
              </w:rPr>
              <w:t>(meziročně, v %)</w:t>
            </w:r>
          </w:p>
        </w:tc>
      </w:tr>
      <w:tr w:rsidR="00F766BE" w:rsidRPr="00191C35" w14:paraId="751CD42B" w14:textId="77777777" w:rsidTr="006F6FF2">
        <w:tblPrEx>
          <w:tblCellMar>
            <w:left w:w="70" w:type="dxa"/>
            <w:right w:w="70" w:type="dxa"/>
          </w:tblCellMar>
        </w:tblPrEx>
        <w:trPr>
          <w:trHeight w:val="145"/>
        </w:trPr>
        <w:tc>
          <w:tcPr>
            <w:tcW w:w="1792" w:type="dxa"/>
            <w:shd w:val="clear" w:color="auto" w:fill="auto"/>
          </w:tcPr>
          <w:p w14:paraId="33DC6CCB" w14:textId="77777777" w:rsidR="00F766BE" w:rsidRDefault="00F766BE" w:rsidP="006F6FF2">
            <w:pPr>
              <w:pStyle w:val="Marginlie"/>
              <w:spacing w:after="120"/>
            </w:pPr>
          </w:p>
        </w:tc>
        <w:tc>
          <w:tcPr>
            <w:tcW w:w="216" w:type="dxa"/>
            <w:shd w:val="clear" w:color="auto" w:fill="auto"/>
          </w:tcPr>
          <w:p w14:paraId="2A467227" w14:textId="77777777" w:rsidR="00F766BE" w:rsidRPr="00B43216" w:rsidRDefault="00F766BE" w:rsidP="006F6FF2">
            <w:pPr>
              <w:pStyle w:val="Textpoznpodarou"/>
              <w:spacing w:after="120"/>
              <w:jc w:val="both"/>
              <w:rPr>
                <w:spacing w:val="-4"/>
              </w:rPr>
            </w:pPr>
          </w:p>
        </w:tc>
        <w:tc>
          <w:tcPr>
            <w:tcW w:w="7656" w:type="dxa"/>
            <w:shd w:val="clear" w:color="auto" w:fill="auto"/>
          </w:tcPr>
          <w:p w14:paraId="6B9603CE" w14:textId="77777777" w:rsidR="00F766BE" w:rsidRDefault="00F766BE" w:rsidP="006F6FF2">
            <w:pPr>
              <w:spacing w:after="0"/>
              <w:rPr>
                <w:spacing w:val="-4"/>
              </w:rPr>
            </w:pPr>
            <w:r>
              <w:rPr>
                <w:noProof/>
              </w:rPr>
              <w:drawing>
                <wp:inline distT="0" distB="0" distL="0" distR="0" wp14:anchorId="5DE5553F" wp14:editId="420448F3">
                  <wp:extent cx="4726305" cy="35814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F766BE" w:rsidRPr="00191C35" w14:paraId="57D08A0A" w14:textId="77777777" w:rsidTr="006F6FF2">
        <w:trPr>
          <w:trHeight w:val="145"/>
        </w:trPr>
        <w:tc>
          <w:tcPr>
            <w:tcW w:w="1792" w:type="dxa"/>
            <w:shd w:val="clear" w:color="auto" w:fill="auto"/>
            <w:tcMar>
              <w:left w:w="0" w:type="dxa"/>
            </w:tcMar>
          </w:tcPr>
          <w:p w14:paraId="6E0469D5" w14:textId="77777777" w:rsidR="00F766BE" w:rsidRDefault="00F766BE" w:rsidP="006F6FF2">
            <w:pPr>
              <w:pStyle w:val="Marginlie"/>
              <w:spacing w:after="120"/>
            </w:pPr>
          </w:p>
        </w:tc>
        <w:tc>
          <w:tcPr>
            <w:tcW w:w="216" w:type="dxa"/>
            <w:shd w:val="clear" w:color="auto" w:fill="auto"/>
            <w:tcMar>
              <w:left w:w="0" w:type="dxa"/>
            </w:tcMar>
          </w:tcPr>
          <w:p w14:paraId="3A5D0618" w14:textId="77777777" w:rsidR="00F766BE" w:rsidRPr="00B43216" w:rsidRDefault="00F766BE" w:rsidP="006F6FF2">
            <w:pPr>
              <w:pStyle w:val="Textpoznpodarou"/>
              <w:spacing w:after="120"/>
              <w:jc w:val="both"/>
              <w:rPr>
                <w:spacing w:val="-4"/>
              </w:rPr>
            </w:pPr>
          </w:p>
        </w:tc>
        <w:tc>
          <w:tcPr>
            <w:tcW w:w="7656" w:type="dxa"/>
            <w:shd w:val="clear" w:color="auto" w:fill="auto"/>
            <w:tcMar>
              <w:left w:w="0" w:type="dxa"/>
            </w:tcMar>
          </w:tcPr>
          <w:p w14:paraId="1DBF87FC" w14:textId="77777777" w:rsidR="00F766BE" w:rsidRPr="00F6214D" w:rsidRDefault="00F766BE" w:rsidP="006F6FF2">
            <w:pPr>
              <w:spacing w:after="0" w:line="240" w:lineRule="auto"/>
              <w:rPr>
                <w:bCs/>
                <w:sz w:val="16"/>
                <w:szCs w:val="16"/>
              </w:rPr>
            </w:pPr>
            <w:r w:rsidRPr="005F736C">
              <w:rPr>
                <w:bCs/>
                <w:sz w:val="16"/>
                <w:szCs w:val="16"/>
              </w:rPr>
              <w:t>* Zahrnuje odvětví s</w:t>
            </w:r>
            <w:r>
              <w:rPr>
                <w:bCs/>
                <w:sz w:val="16"/>
                <w:szCs w:val="16"/>
              </w:rPr>
              <w:t> </w:t>
            </w:r>
            <w:r w:rsidRPr="005F736C">
              <w:rPr>
                <w:bCs/>
                <w:sz w:val="16"/>
                <w:szCs w:val="16"/>
              </w:rPr>
              <w:t>významnou rolí státu: Veřejná správa a</w:t>
            </w:r>
            <w:r>
              <w:rPr>
                <w:bCs/>
                <w:sz w:val="16"/>
                <w:szCs w:val="16"/>
              </w:rPr>
              <w:t> </w:t>
            </w:r>
            <w:r w:rsidRPr="005F736C">
              <w:rPr>
                <w:bCs/>
                <w:sz w:val="16"/>
                <w:szCs w:val="16"/>
              </w:rPr>
              <w:t>obrana</w:t>
            </w:r>
            <w:r>
              <w:rPr>
                <w:bCs/>
                <w:sz w:val="16"/>
                <w:szCs w:val="16"/>
              </w:rPr>
              <w:t>; P</w:t>
            </w:r>
            <w:r w:rsidRPr="005F736C">
              <w:rPr>
                <w:bCs/>
                <w:sz w:val="16"/>
                <w:szCs w:val="16"/>
              </w:rPr>
              <w:t>ovinné sociální zabezpečení; Vzdělávání; Zdravotní a</w:t>
            </w:r>
            <w:r>
              <w:rPr>
                <w:bCs/>
                <w:sz w:val="16"/>
                <w:szCs w:val="16"/>
              </w:rPr>
              <w:t> </w:t>
            </w:r>
            <w:r w:rsidRPr="005F736C">
              <w:rPr>
                <w:bCs/>
                <w:sz w:val="16"/>
                <w:szCs w:val="16"/>
              </w:rPr>
              <w:t>sociální péče; Kulturní, zábavní a</w:t>
            </w:r>
            <w:r>
              <w:rPr>
                <w:bCs/>
                <w:sz w:val="16"/>
                <w:szCs w:val="16"/>
              </w:rPr>
              <w:t> </w:t>
            </w:r>
            <w:r w:rsidRPr="005F736C">
              <w:rPr>
                <w:bCs/>
                <w:sz w:val="16"/>
                <w:szCs w:val="16"/>
              </w:rPr>
              <w:t>rekreační činnosti.</w:t>
            </w:r>
            <w:r>
              <w:rPr>
                <w:bCs/>
                <w:sz w:val="16"/>
                <w:szCs w:val="16"/>
              </w:rPr>
              <w:t xml:space="preserve">                                    </w:t>
            </w:r>
            <w:r>
              <w:rPr>
                <w:rFonts w:cs="Arial"/>
                <w:color w:val="0D0D0D" w:themeColor="text1" w:themeTint="F2"/>
                <w:spacing w:val="-2"/>
                <w:sz w:val="14"/>
                <w:szCs w:val="14"/>
              </w:rPr>
              <w:t>Zdroj: ČSÚ</w:t>
            </w:r>
          </w:p>
        </w:tc>
      </w:tr>
    </w:tbl>
    <w:p w14:paraId="3E974863" w14:textId="23A1735E" w:rsidR="000663F0" w:rsidRPr="00E42054" w:rsidRDefault="000663F0" w:rsidP="00AB3BA7">
      <w:pPr>
        <w:pStyle w:val="Nadpis11"/>
        <w:rPr>
          <w:b w:val="0"/>
          <w:sz w:val="2"/>
          <w:szCs w:val="2"/>
        </w:rPr>
      </w:pPr>
      <w:bookmarkStart w:id="3" w:name="_GoBack"/>
      <w:bookmarkEnd w:id="1"/>
      <w:bookmarkEnd w:id="2"/>
      <w:bookmarkEnd w:id="3"/>
    </w:p>
    <w:sectPr w:rsidR="000663F0" w:rsidRPr="00E42054" w:rsidSect="00C0498E">
      <w:headerReference w:type="even" r:id="rId12"/>
      <w:headerReference w:type="default" r:id="rId13"/>
      <w:footerReference w:type="even" r:id="rId14"/>
      <w:footerReference w:type="default" r:id="rId15"/>
      <w:pgSz w:w="11906" w:h="16838" w:code="9"/>
      <w:pgMar w:top="1134" w:right="1134" w:bottom="1418" w:left="1134" w:header="680" w:footer="737" w:gutter="0"/>
      <w:pgNumType w:start="23"/>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18F09B" w16cid:durableId="246F10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40181" w14:textId="77777777" w:rsidR="00671D85" w:rsidRDefault="00671D85" w:rsidP="00E71A58">
      <w:r>
        <w:separator/>
      </w:r>
    </w:p>
  </w:endnote>
  <w:endnote w:type="continuationSeparator" w:id="0">
    <w:p w14:paraId="64BAABBF" w14:textId="77777777" w:rsidR="00671D85" w:rsidRDefault="00671D85"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51A0D" w14:textId="43109AD2" w:rsidR="006F6FF2" w:rsidRPr="00932443" w:rsidRDefault="006F6FF2" w:rsidP="00A418BC">
    <w:pPr>
      <w:pStyle w:val="Zpat"/>
      <w:rPr>
        <w:szCs w:val="16"/>
      </w:rPr>
    </w:pPr>
    <w:r>
      <w:rPr>
        <w:szCs w:val="16"/>
        <w:lang w:eastAsia="cs-CZ"/>
      </w:rPr>
      <w:drawing>
        <wp:anchor distT="0" distB="0" distL="114300" distR="114300" simplePos="0" relativeHeight="251667968" behindDoc="0" locked="0" layoutInCell="1" allowOverlap="1" wp14:anchorId="71F0B6E3" wp14:editId="3AA519D4">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C0498E">
      <w:rPr>
        <w:szCs w:val="16"/>
      </w:rPr>
      <w:t>26</w:t>
    </w:r>
    <w:r w:rsidRPr="00932443">
      <w:rPr>
        <w:szCs w:val="16"/>
      </w:rPr>
      <w:fldChar w:fldCharType="end"/>
    </w:r>
    <w:r w:rsidRPr="00932443">
      <w:rPr>
        <w:szCs w:val="16"/>
      </w:rPr>
      <w:tab/>
    </w:r>
    <w:r>
      <w:rPr>
        <w:szCs w:val="16"/>
      </w:rPr>
      <w:t>1. čtvrtletí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17E4B" w14:textId="5D1E22A7" w:rsidR="006F6FF2" w:rsidRPr="00932443" w:rsidRDefault="006F6FF2" w:rsidP="00FA6CB6">
    <w:pPr>
      <w:pStyle w:val="Zpat"/>
      <w:rPr>
        <w:szCs w:val="16"/>
      </w:rPr>
    </w:pPr>
    <w:r w:rsidRPr="00FA6CB6">
      <w:rPr>
        <w:szCs w:val="16"/>
      </w:rPr>
      <w:tab/>
    </w:r>
    <w:r>
      <w:rPr>
        <w:szCs w:val="16"/>
      </w:rPr>
      <w:t>1. čtvrtletí 2021</w:t>
    </w:r>
    <w:r>
      <w:rPr>
        <w:szCs w:val="16"/>
        <w:lang w:eastAsia="cs-CZ"/>
      </w:rPr>
      <w:drawing>
        <wp:anchor distT="0" distB="0" distL="114300" distR="114300" simplePos="0" relativeHeight="251658752" behindDoc="0" locked="0" layoutInCell="1" allowOverlap="1" wp14:anchorId="6ADC9B20" wp14:editId="2C3814E9">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C0498E">
      <w:rPr>
        <w:rStyle w:val="ZpatChar"/>
        <w:szCs w:val="16"/>
      </w:rPr>
      <w:t>27</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0BB5C" w14:textId="77777777" w:rsidR="00671D85" w:rsidRDefault="00671D85" w:rsidP="00A21B4D">
      <w:pPr>
        <w:spacing w:after="0"/>
      </w:pPr>
      <w:r>
        <w:separator/>
      </w:r>
    </w:p>
  </w:footnote>
  <w:footnote w:type="continuationSeparator" w:id="0">
    <w:p w14:paraId="572718C3" w14:textId="77777777" w:rsidR="00671D85" w:rsidRDefault="00671D85" w:rsidP="00E71A58">
      <w:r>
        <w:continuationSeparator/>
      </w:r>
    </w:p>
  </w:footnote>
  <w:footnote w:id="1">
    <w:p w14:paraId="396F5DCE" w14:textId="77777777" w:rsidR="006F6FF2" w:rsidRPr="00CD5EBC" w:rsidRDefault="006F6FF2" w:rsidP="00F766BE">
      <w:pPr>
        <w:pStyle w:val="Textpoznpodarou"/>
        <w:jc w:val="both"/>
        <w:rPr>
          <w:spacing w:val="-2"/>
          <w:sz w:val="16"/>
          <w:szCs w:val="16"/>
        </w:rPr>
      </w:pPr>
      <w:r w:rsidRPr="00CD5EBC">
        <w:rPr>
          <w:rStyle w:val="Znakapoznpodarou"/>
          <w:spacing w:val="-2"/>
          <w:sz w:val="16"/>
          <w:szCs w:val="16"/>
        </w:rPr>
        <w:footnoteRef/>
      </w:r>
      <w:r w:rsidRPr="00CD5EBC">
        <w:rPr>
          <w:spacing w:val="-2"/>
          <w:sz w:val="16"/>
          <w:szCs w:val="16"/>
        </w:rPr>
        <w:t xml:space="preserve"> Není-li uvedeno jinak, jsou údaje o zaměstnanosti v této kapitole vyjádřeny v pojetí národních účtů po očištění o sezónní vlivy.</w:t>
      </w:r>
    </w:p>
  </w:footnote>
  <w:footnote w:id="2">
    <w:p w14:paraId="006E8547" w14:textId="77777777" w:rsidR="006F6FF2" w:rsidRPr="00CD5EBC" w:rsidRDefault="006F6FF2" w:rsidP="00F766BE">
      <w:pPr>
        <w:pStyle w:val="Textpoznpodarou"/>
        <w:jc w:val="both"/>
        <w:rPr>
          <w:sz w:val="16"/>
          <w:szCs w:val="16"/>
        </w:rPr>
      </w:pPr>
      <w:r w:rsidRPr="00CD5EBC">
        <w:rPr>
          <w:rStyle w:val="Znakapoznpodarou"/>
          <w:sz w:val="16"/>
          <w:szCs w:val="16"/>
        </w:rPr>
        <w:footnoteRef/>
      </w:r>
      <w:r w:rsidRPr="00CD5EBC">
        <w:rPr>
          <w:sz w:val="16"/>
          <w:szCs w:val="16"/>
        </w:rPr>
        <w:t xml:space="preserve"> Podobně se snížila i</w:t>
      </w:r>
      <w:r>
        <w:rPr>
          <w:sz w:val="16"/>
          <w:szCs w:val="16"/>
        </w:rPr>
        <w:t> </w:t>
      </w:r>
      <w:r w:rsidRPr="00CD5EBC">
        <w:rPr>
          <w:sz w:val="16"/>
          <w:szCs w:val="16"/>
        </w:rPr>
        <w:t>zaměstnanost v EU (o</w:t>
      </w:r>
      <w:r>
        <w:rPr>
          <w:sz w:val="16"/>
          <w:szCs w:val="16"/>
        </w:rPr>
        <w:t> </w:t>
      </w:r>
      <w:r w:rsidRPr="00CD5EBC">
        <w:rPr>
          <w:sz w:val="16"/>
          <w:szCs w:val="16"/>
        </w:rPr>
        <w:t>1,8</w:t>
      </w:r>
      <w:r>
        <w:rPr>
          <w:sz w:val="16"/>
          <w:szCs w:val="16"/>
        </w:rPr>
        <w:t> %</w:t>
      </w:r>
      <w:r w:rsidRPr="00CD5EBC">
        <w:rPr>
          <w:sz w:val="16"/>
          <w:szCs w:val="16"/>
        </w:rPr>
        <w:t>). Největší propad postihl Lotyšsko (</w:t>
      </w:r>
      <w:r w:rsidRPr="00CD5EBC">
        <w:rPr>
          <w:rFonts w:cs="Arial"/>
          <w:bCs/>
          <w:color w:val="000000"/>
          <w:spacing w:val="-2"/>
          <w:sz w:val="16"/>
          <w:szCs w:val="16"/>
        </w:rPr>
        <w:t>–</w:t>
      </w:r>
      <w:r w:rsidRPr="00CD5EBC">
        <w:rPr>
          <w:sz w:val="16"/>
          <w:szCs w:val="16"/>
        </w:rPr>
        <w:t>7,0</w:t>
      </w:r>
      <w:r>
        <w:rPr>
          <w:sz w:val="16"/>
          <w:szCs w:val="16"/>
        </w:rPr>
        <w:t> %</w:t>
      </w:r>
      <w:r w:rsidRPr="00CD5EBC">
        <w:rPr>
          <w:sz w:val="16"/>
          <w:szCs w:val="16"/>
        </w:rPr>
        <w:t>) a</w:t>
      </w:r>
      <w:r>
        <w:rPr>
          <w:sz w:val="16"/>
          <w:szCs w:val="16"/>
        </w:rPr>
        <w:t> </w:t>
      </w:r>
      <w:r w:rsidRPr="00CD5EBC">
        <w:rPr>
          <w:sz w:val="16"/>
          <w:szCs w:val="16"/>
        </w:rPr>
        <w:t>Estonsko (</w:t>
      </w:r>
      <w:r w:rsidRPr="00CD5EBC">
        <w:rPr>
          <w:rFonts w:cs="Arial"/>
          <w:bCs/>
          <w:color w:val="000000"/>
          <w:spacing w:val="-2"/>
          <w:sz w:val="16"/>
          <w:szCs w:val="16"/>
        </w:rPr>
        <w:t>–</w:t>
      </w:r>
      <w:r w:rsidRPr="00CD5EBC">
        <w:rPr>
          <w:sz w:val="16"/>
          <w:szCs w:val="16"/>
        </w:rPr>
        <w:t>4,4</w:t>
      </w:r>
      <w:r>
        <w:rPr>
          <w:sz w:val="16"/>
          <w:szCs w:val="16"/>
        </w:rPr>
        <w:t> %</w:t>
      </w:r>
      <w:r w:rsidRPr="00CD5EBC">
        <w:rPr>
          <w:sz w:val="16"/>
          <w:szCs w:val="16"/>
        </w:rPr>
        <w:t>). Více než 2% pokles zaznamenaly i</w:t>
      </w:r>
      <w:r>
        <w:rPr>
          <w:sz w:val="16"/>
          <w:szCs w:val="16"/>
        </w:rPr>
        <w:t> </w:t>
      </w:r>
      <w:r w:rsidRPr="00CD5EBC">
        <w:rPr>
          <w:sz w:val="16"/>
          <w:szCs w:val="16"/>
        </w:rPr>
        <w:t>Španělsko, Itálie, Chorvatsko a</w:t>
      </w:r>
      <w:r>
        <w:rPr>
          <w:sz w:val="16"/>
          <w:szCs w:val="16"/>
        </w:rPr>
        <w:t> </w:t>
      </w:r>
      <w:r w:rsidRPr="00CD5EBC">
        <w:rPr>
          <w:sz w:val="16"/>
          <w:szCs w:val="16"/>
        </w:rPr>
        <w:t>Slovensko. Srovnatelně jako v ČR klesala zaměstnano</w:t>
      </w:r>
      <w:r>
        <w:rPr>
          <w:sz w:val="16"/>
          <w:szCs w:val="16"/>
        </w:rPr>
        <w:t>st v Německu, naopak v Polsku a</w:t>
      </w:r>
      <w:r w:rsidRPr="00CD5EBC">
        <w:rPr>
          <w:spacing w:val="-2"/>
          <w:sz w:val="16"/>
          <w:szCs w:val="16"/>
        </w:rPr>
        <w:t> </w:t>
      </w:r>
      <w:r w:rsidRPr="00CD5EBC">
        <w:rPr>
          <w:sz w:val="16"/>
          <w:szCs w:val="16"/>
        </w:rPr>
        <w:t>Maďarsku byly úbytky jen mírné (do 0,5</w:t>
      </w:r>
      <w:r>
        <w:rPr>
          <w:sz w:val="16"/>
          <w:szCs w:val="16"/>
        </w:rPr>
        <w:t> %</w:t>
      </w:r>
      <w:r w:rsidRPr="00CD5EBC">
        <w:rPr>
          <w:sz w:val="16"/>
          <w:szCs w:val="16"/>
        </w:rPr>
        <w:t>). Pracovníků přibylo jen v</w:t>
      </w:r>
      <w:r>
        <w:rPr>
          <w:sz w:val="16"/>
          <w:szCs w:val="16"/>
        </w:rPr>
        <w:t> </w:t>
      </w:r>
      <w:r w:rsidRPr="00CD5EBC">
        <w:rPr>
          <w:sz w:val="16"/>
          <w:szCs w:val="16"/>
        </w:rPr>
        <w:t>Belgii (+0,2 %)</w:t>
      </w:r>
      <w:r>
        <w:rPr>
          <w:sz w:val="16"/>
          <w:szCs w:val="16"/>
        </w:rPr>
        <w:t xml:space="preserve"> a </w:t>
      </w:r>
      <w:r w:rsidRPr="00CD5EBC">
        <w:rPr>
          <w:sz w:val="16"/>
          <w:szCs w:val="16"/>
        </w:rPr>
        <w:t>v Lucembursku (+1,9 %).</w:t>
      </w:r>
    </w:p>
  </w:footnote>
  <w:footnote w:id="3">
    <w:p w14:paraId="2AFB9550" w14:textId="77777777" w:rsidR="006F6FF2" w:rsidRPr="00CD5EBC" w:rsidRDefault="006F6FF2" w:rsidP="00F766BE">
      <w:pPr>
        <w:pStyle w:val="Textpoznpodarou"/>
        <w:jc w:val="both"/>
        <w:rPr>
          <w:sz w:val="16"/>
          <w:szCs w:val="16"/>
        </w:rPr>
      </w:pPr>
      <w:r w:rsidRPr="00CD5EBC">
        <w:rPr>
          <w:rStyle w:val="Znakapoznpodarou"/>
          <w:sz w:val="16"/>
          <w:szCs w:val="16"/>
        </w:rPr>
        <w:footnoteRef/>
      </w:r>
      <w:r w:rsidRPr="00CD5EBC">
        <w:rPr>
          <w:sz w:val="16"/>
          <w:szCs w:val="16"/>
        </w:rPr>
        <w:t xml:space="preserve"> </w:t>
      </w:r>
      <w:r w:rsidRPr="00CD5EBC">
        <w:rPr>
          <w:rFonts w:cs="Arial"/>
          <w:bCs/>
          <w:color w:val="000000"/>
          <w:spacing w:val="-4"/>
          <w:sz w:val="16"/>
          <w:szCs w:val="16"/>
        </w:rPr>
        <w:t>Z detailnějších údajů ze šetření u domácností plyne, že k poklesu došlo letos zejména u osob pracujících na vlastní účet (</w:t>
      </w:r>
      <w:r w:rsidRPr="00CD5EBC">
        <w:rPr>
          <w:rFonts w:cs="Arial"/>
          <w:bCs/>
          <w:color w:val="000000"/>
          <w:spacing w:val="-2"/>
          <w:sz w:val="16"/>
          <w:szCs w:val="16"/>
        </w:rPr>
        <w:t>–</w:t>
      </w:r>
      <w:r w:rsidRPr="00CD5EBC">
        <w:rPr>
          <w:rFonts w:cs="Arial"/>
          <w:bCs/>
          <w:color w:val="000000"/>
          <w:spacing w:val="-4"/>
          <w:sz w:val="16"/>
          <w:szCs w:val="16"/>
        </w:rPr>
        <w:t>37,5</w:t>
      </w:r>
      <w:r>
        <w:rPr>
          <w:rFonts w:cs="Arial"/>
          <w:bCs/>
          <w:color w:val="000000"/>
          <w:spacing w:val="-4"/>
          <w:sz w:val="16"/>
          <w:szCs w:val="16"/>
        </w:rPr>
        <w:t> tis.</w:t>
      </w:r>
      <w:r w:rsidRPr="00CD5EBC">
        <w:rPr>
          <w:rFonts w:cs="Arial"/>
          <w:bCs/>
          <w:color w:val="000000"/>
          <w:spacing w:val="-4"/>
          <w:sz w:val="16"/>
          <w:szCs w:val="16"/>
        </w:rPr>
        <w:t xml:space="preserve"> osob), naopak podnikatelů se zaměstnanci ubylo </w:t>
      </w:r>
      <w:r>
        <w:rPr>
          <w:rFonts w:cs="Arial"/>
          <w:bCs/>
          <w:color w:val="000000"/>
          <w:spacing w:val="-4"/>
          <w:sz w:val="16"/>
          <w:szCs w:val="16"/>
        </w:rPr>
        <w:t>v </w:t>
      </w:r>
      <w:r w:rsidRPr="00CD5EBC">
        <w:rPr>
          <w:rFonts w:cs="Arial"/>
          <w:bCs/>
          <w:color w:val="000000"/>
          <w:spacing w:val="-4"/>
          <w:sz w:val="16"/>
          <w:szCs w:val="16"/>
        </w:rPr>
        <w:t>1.</w:t>
      </w:r>
      <w:r>
        <w:rPr>
          <w:rFonts w:cs="Arial"/>
          <w:bCs/>
          <w:color w:val="000000"/>
          <w:spacing w:val="-4"/>
          <w:sz w:val="16"/>
          <w:szCs w:val="16"/>
        </w:rPr>
        <w:t> čtvrtletí 2021</w:t>
      </w:r>
      <w:r w:rsidRPr="00CD5EBC">
        <w:rPr>
          <w:rFonts w:cs="Arial"/>
          <w:bCs/>
          <w:color w:val="000000"/>
          <w:spacing w:val="-4"/>
          <w:sz w:val="16"/>
          <w:szCs w:val="16"/>
        </w:rPr>
        <w:t xml:space="preserve"> jen 2,3</w:t>
      </w:r>
      <w:r>
        <w:rPr>
          <w:rFonts w:cs="Arial"/>
          <w:bCs/>
          <w:color w:val="000000"/>
          <w:spacing w:val="-4"/>
          <w:sz w:val="16"/>
          <w:szCs w:val="16"/>
        </w:rPr>
        <w:t> tis.</w:t>
      </w:r>
    </w:p>
  </w:footnote>
  <w:footnote w:id="4">
    <w:p w14:paraId="109BF176" w14:textId="77777777" w:rsidR="006F6FF2" w:rsidRDefault="006F6FF2" w:rsidP="00F766BE">
      <w:pPr>
        <w:pStyle w:val="Textpoznpodarou"/>
        <w:jc w:val="both"/>
      </w:pPr>
      <w:r w:rsidRPr="00CD5EBC">
        <w:rPr>
          <w:rStyle w:val="Znakapoznpodarou"/>
          <w:sz w:val="16"/>
          <w:szCs w:val="16"/>
        </w:rPr>
        <w:footnoteRef/>
      </w:r>
      <w:r w:rsidRPr="00CD5EBC">
        <w:rPr>
          <w:sz w:val="16"/>
          <w:szCs w:val="16"/>
        </w:rPr>
        <w:t xml:space="preserve"> </w:t>
      </w:r>
      <w:r w:rsidRPr="00CD5EBC">
        <w:rPr>
          <w:spacing w:val="-2"/>
          <w:sz w:val="16"/>
          <w:szCs w:val="16"/>
        </w:rPr>
        <w:t>Zahrnuti jsou i členové produkčních družstev. Údaje vycházejí z Výběrového šetření pracovních sil (VŠPS).</w:t>
      </w:r>
    </w:p>
  </w:footnote>
  <w:footnote w:id="5">
    <w:p w14:paraId="498B0137" w14:textId="77777777" w:rsidR="006F6FF2" w:rsidRPr="004221CF" w:rsidRDefault="006F6FF2" w:rsidP="00F766BE">
      <w:pPr>
        <w:pStyle w:val="Textpoznpodarou"/>
        <w:jc w:val="both"/>
        <w:rPr>
          <w:sz w:val="16"/>
          <w:szCs w:val="16"/>
        </w:rPr>
      </w:pPr>
      <w:r w:rsidRPr="004221CF">
        <w:rPr>
          <w:rStyle w:val="Znakapoznpodarou"/>
          <w:sz w:val="16"/>
          <w:szCs w:val="16"/>
        </w:rPr>
        <w:footnoteRef/>
      </w:r>
      <w:r w:rsidRPr="004221CF">
        <w:rPr>
          <w:sz w:val="16"/>
          <w:szCs w:val="16"/>
        </w:rPr>
        <w:t xml:space="preserve"> To mělo pozitivní dopad na ekonomickou aktiv</w:t>
      </w:r>
      <w:r>
        <w:rPr>
          <w:sz w:val="16"/>
          <w:szCs w:val="16"/>
        </w:rPr>
        <w:t>itu cizinců v Česku. Dle údajů M</w:t>
      </w:r>
      <w:r w:rsidRPr="004221CF">
        <w:rPr>
          <w:sz w:val="16"/>
          <w:szCs w:val="16"/>
        </w:rPr>
        <w:t>P</w:t>
      </w:r>
      <w:r>
        <w:rPr>
          <w:sz w:val="16"/>
          <w:szCs w:val="16"/>
        </w:rPr>
        <w:t>S</w:t>
      </w:r>
      <w:r w:rsidRPr="004221CF">
        <w:rPr>
          <w:sz w:val="16"/>
          <w:szCs w:val="16"/>
        </w:rPr>
        <w:t xml:space="preserve">V pracovala v posledních letech skoro třetina </w:t>
      </w:r>
      <w:r>
        <w:rPr>
          <w:sz w:val="16"/>
          <w:szCs w:val="16"/>
        </w:rPr>
        <w:t xml:space="preserve">všech </w:t>
      </w:r>
      <w:r w:rsidRPr="004221CF">
        <w:rPr>
          <w:sz w:val="16"/>
          <w:szCs w:val="16"/>
        </w:rPr>
        <w:t>cizinců v zaměstnaneckých pozicích v odvětví průmyslu. Další šestina pak v administrativních a</w:t>
      </w:r>
      <w:r>
        <w:rPr>
          <w:sz w:val="16"/>
          <w:szCs w:val="16"/>
        </w:rPr>
        <w:t> </w:t>
      </w:r>
      <w:r w:rsidRPr="004221CF">
        <w:rPr>
          <w:sz w:val="16"/>
          <w:szCs w:val="16"/>
        </w:rPr>
        <w:t>podpůrných č</w:t>
      </w:r>
      <w:r>
        <w:rPr>
          <w:sz w:val="16"/>
          <w:szCs w:val="16"/>
        </w:rPr>
        <w:t xml:space="preserve">innostech, </w:t>
      </w:r>
      <w:r w:rsidRPr="004221CF">
        <w:rPr>
          <w:sz w:val="16"/>
          <w:szCs w:val="16"/>
        </w:rPr>
        <w:t>z</w:t>
      </w:r>
      <w:r>
        <w:rPr>
          <w:sz w:val="16"/>
          <w:szCs w:val="16"/>
        </w:rPr>
        <w:t> </w:t>
      </w:r>
      <w:r w:rsidRPr="004221CF">
        <w:rPr>
          <w:sz w:val="16"/>
          <w:szCs w:val="16"/>
        </w:rPr>
        <w:t>nichž významná část působila jako agenturní pracovníci rovněž v </w:t>
      </w:r>
      <w:r>
        <w:rPr>
          <w:sz w:val="16"/>
          <w:szCs w:val="16"/>
        </w:rPr>
        <w:t>průmyslu</w:t>
      </w:r>
      <w:r w:rsidRPr="004221CF">
        <w:rPr>
          <w:sz w:val="16"/>
          <w:szCs w:val="16"/>
        </w:rPr>
        <w:t>.</w:t>
      </w:r>
      <w:r>
        <w:rPr>
          <w:sz w:val="16"/>
          <w:szCs w:val="16"/>
        </w:rPr>
        <w:t xml:space="preserve"> </w:t>
      </w:r>
      <w:r w:rsidRPr="00CB5B70">
        <w:rPr>
          <w:sz w:val="16"/>
          <w:szCs w:val="16"/>
        </w:rPr>
        <w:t xml:space="preserve">Počet cizinců evidovaných úřady práce v ČR </w:t>
      </w:r>
      <w:r>
        <w:rPr>
          <w:sz w:val="16"/>
          <w:szCs w:val="16"/>
        </w:rPr>
        <w:t>dosáhl v květnu 2021 rekordních 677 tis. To bylo o 33 tis. více než na sklonku loňského roku a o 75 tis. více než na konci 1. pololetí 2020. K nárůstu zásadně přispěli cizinci, u nichž je vyžadováno pracovní povolení (z drtivé většiny se jednalo o občany Ukrajiny).</w:t>
      </w:r>
    </w:p>
  </w:footnote>
  <w:footnote w:id="6">
    <w:p w14:paraId="74BA65CB" w14:textId="77777777" w:rsidR="006F6FF2" w:rsidRPr="00FF5861" w:rsidRDefault="006F6FF2" w:rsidP="00F766BE">
      <w:pPr>
        <w:pStyle w:val="Textpoznpodarou"/>
        <w:jc w:val="both"/>
        <w:rPr>
          <w:sz w:val="16"/>
          <w:szCs w:val="16"/>
        </w:rPr>
      </w:pPr>
      <w:r w:rsidRPr="00FF5861">
        <w:rPr>
          <w:rStyle w:val="Znakapoznpodarou"/>
          <w:sz w:val="16"/>
          <w:szCs w:val="16"/>
        </w:rPr>
        <w:footnoteRef/>
      </w:r>
      <w:r w:rsidRPr="00FF5861">
        <w:rPr>
          <w:sz w:val="16"/>
          <w:szCs w:val="16"/>
        </w:rPr>
        <w:t xml:space="preserve"> </w:t>
      </w:r>
      <w:r w:rsidRPr="00B34C77">
        <w:rPr>
          <w:sz w:val="16"/>
          <w:szCs w:val="16"/>
        </w:rPr>
        <w:t xml:space="preserve">Zahrnují všechna odvětví služeb bez veřejných služeb </w:t>
      </w:r>
      <w:r>
        <w:rPr>
          <w:sz w:val="16"/>
          <w:szCs w:val="16"/>
        </w:rPr>
        <w:t>a také obchodu, jenž je sledován</w:t>
      </w:r>
      <w:r w:rsidRPr="00B34C77">
        <w:rPr>
          <w:sz w:val="16"/>
          <w:szCs w:val="16"/>
        </w:rPr>
        <w:t xml:space="preserve"> jako samostatná k</w:t>
      </w:r>
      <w:r>
        <w:rPr>
          <w:sz w:val="16"/>
          <w:szCs w:val="16"/>
        </w:rPr>
        <w:t>ategorie</w:t>
      </w:r>
      <w:r w:rsidRPr="00B34C77">
        <w:rPr>
          <w:sz w:val="16"/>
          <w:szCs w:val="16"/>
        </w:rPr>
        <w:t>.</w:t>
      </w:r>
    </w:p>
  </w:footnote>
  <w:footnote w:id="7">
    <w:p w14:paraId="2DE017EE" w14:textId="77777777" w:rsidR="006F6FF2" w:rsidRPr="00475372" w:rsidRDefault="006F6FF2" w:rsidP="00F766BE">
      <w:pPr>
        <w:pStyle w:val="Textpoznpodarou"/>
        <w:jc w:val="both"/>
        <w:rPr>
          <w:sz w:val="16"/>
          <w:szCs w:val="16"/>
        </w:rPr>
      </w:pPr>
      <w:r w:rsidRPr="00475372">
        <w:rPr>
          <w:rStyle w:val="Znakapoznpodarou"/>
          <w:sz w:val="16"/>
          <w:szCs w:val="16"/>
        </w:rPr>
        <w:footnoteRef/>
      </w:r>
      <w:r w:rsidRPr="00475372">
        <w:rPr>
          <w:sz w:val="16"/>
          <w:szCs w:val="16"/>
        </w:rPr>
        <w:t xml:space="preserve"> Saldo očekávání zaměstnanosti (na škále </w:t>
      </w:r>
      <w:r>
        <w:rPr>
          <w:sz w:val="16"/>
          <w:szCs w:val="16"/>
        </w:rPr>
        <w:t>–</w:t>
      </w:r>
      <w:r w:rsidRPr="00475372">
        <w:rPr>
          <w:sz w:val="16"/>
          <w:szCs w:val="16"/>
        </w:rPr>
        <w:t>100</w:t>
      </w:r>
      <w:r>
        <w:rPr>
          <w:sz w:val="16"/>
          <w:szCs w:val="16"/>
        </w:rPr>
        <w:t> </w:t>
      </w:r>
      <w:r w:rsidRPr="00475372">
        <w:rPr>
          <w:sz w:val="16"/>
          <w:szCs w:val="16"/>
        </w:rPr>
        <w:t xml:space="preserve">až +100) bylo v květnu </w:t>
      </w:r>
      <w:r>
        <w:rPr>
          <w:sz w:val="16"/>
          <w:szCs w:val="16"/>
        </w:rPr>
        <w:t>nejhorší v poštovních a kurýrních činnostech (</w:t>
      </w:r>
      <w:r w:rsidRPr="00CD5EBC">
        <w:rPr>
          <w:rFonts w:cs="Arial"/>
          <w:bCs/>
          <w:color w:val="000000"/>
          <w:spacing w:val="-2"/>
          <w:sz w:val="16"/>
          <w:szCs w:val="16"/>
        </w:rPr>
        <w:t>–</w:t>
      </w:r>
      <w:r>
        <w:rPr>
          <w:sz w:val="16"/>
          <w:szCs w:val="16"/>
        </w:rPr>
        <w:t>95), letecké dopravě (</w:t>
      </w:r>
      <w:r w:rsidRPr="00CD5EBC">
        <w:rPr>
          <w:rFonts w:cs="Arial"/>
          <w:bCs/>
          <w:color w:val="000000"/>
          <w:spacing w:val="-2"/>
          <w:sz w:val="16"/>
          <w:szCs w:val="16"/>
        </w:rPr>
        <w:t>–</w:t>
      </w:r>
      <w:r>
        <w:rPr>
          <w:rFonts w:cs="Arial"/>
          <w:bCs/>
          <w:color w:val="000000"/>
          <w:spacing w:val="-2"/>
          <w:sz w:val="16"/>
          <w:szCs w:val="16"/>
        </w:rPr>
        <w:t>88), bankovnictví (</w:t>
      </w:r>
      <w:r w:rsidRPr="00CD5EBC">
        <w:rPr>
          <w:rFonts w:cs="Arial"/>
          <w:bCs/>
          <w:color w:val="000000"/>
          <w:spacing w:val="-2"/>
          <w:sz w:val="16"/>
          <w:szCs w:val="16"/>
        </w:rPr>
        <w:t>–</w:t>
      </w:r>
      <w:r>
        <w:rPr>
          <w:rFonts w:cs="Arial"/>
          <w:bCs/>
          <w:color w:val="000000"/>
          <w:spacing w:val="-2"/>
          <w:sz w:val="16"/>
          <w:szCs w:val="16"/>
        </w:rPr>
        <w:t>57), telekomunikacích (</w:t>
      </w:r>
      <w:r w:rsidRPr="00CD5EBC">
        <w:rPr>
          <w:rFonts w:cs="Arial"/>
          <w:bCs/>
          <w:color w:val="000000"/>
          <w:spacing w:val="-2"/>
          <w:sz w:val="16"/>
          <w:szCs w:val="16"/>
        </w:rPr>
        <w:t>–</w:t>
      </w:r>
      <w:r>
        <w:rPr>
          <w:rFonts w:cs="Arial"/>
          <w:bCs/>
          <w:color w:val="000000"/>
          <w:spacing w:val="-2"/>
          <w:sz w:val="16"/>
          <w:szCs w:val="16"/>
        </w:rPr>
        <w:t>50) a vydavatelských činnostech (</w:t>
      </w:r>
      <w:r w:rsidRPr="00CD5EBC">
        <w:rPr>
          <w:rFonts w:cs="Arial"/>
          <w:bCs/>
          <w:color w:val="000000"/>
          <w:spacing w:val="-2"/>
          <w:sz w:val="16"/>
          <w:szCs w:val="16"/>
        </w:rPr>
        <w:t>–</w:t>
      </w:r>
      <w:r>
        <w:rPr>
          <w:rFonts w:cs="Arial"/>
          <w:bCs/>
          <w:color w:val="000000"/>
          <w:spacing w:val="-2"/>
          <w:sz w:val="16"/>
          <w:szCs w:val="16"/>
        </w:rPr>
        <w:t>42). Růst počtu zaměstnanců v nejbližších třech měsících byl očekáván zejména v profesních, vědeckých a technických činnostech, v některých administrativních a podpůrných činnostech (cestovní kanceláře, č</w:t>
      </w:r>
      <w:r w:rsidRPr="00EA508C">
        <w:rPr>
          <w:rFonts w:cs="Arial"/>
          <w:bCs/>
          <w:color w:val="000000"/>
          <w:spacing w:val="-2"/>
          <w:sz w:val="16"/>
          <w:szCs w:val="16"/>
        </w:rPr>
        <w:t>innosti související se</w:t>
      </w:r>
      <w:r>
        <w:rPr>
          <w:rFonts w:cs="Arial"/>
          <w:bCs/>
          <w:color w:val="000000"/>
          <w:spacing w:val="-2"/>
          <w:sz w:val="16"/>
          <w:szCs w:val="16"/>
        </w:rPr>
        <w:t xml:space="preserve"> </w:t>
      </w:r>
      <w:r w:rsidRPr="00EA508C">
        <w:rPr>
          <w:rFonts w:cs="Arial"/>
          <w:bCs/>
          <w:color w:val="000000"/>
          <w:spacing w:val="-2"/>
          <w:sz w:val="16"/>
          <w:szCs w:val="16"/>
        </w:rPr>
        <w:t>stavbami a</w:t>
      </w:r>
      <w:r>
        <w:rPr>
          <w:rFonts w:cs="Arial"/>
          <w:bCs/>
          <w:color w:val="000000"/>
          <w:spacing w:val="-2"/>
          <w:sz w:val="16"/>
          <w:szCs w:val="16"/>
        </w:rPr>
        <w:t> </w:t>
      </w:r>
      <w:r w:rsidRPr="00EA508C">
        <w:rPr>
          <w:rFonts w:cs="Arial"/>
          <w:bCs/>
          <w:color w:val="000000"/>
          <w:spacing w:val="-2"/>
          <w:sz w:val="16"/>
          <w:szCs w:val="16"/>
        </w:rPr>
        <w:t>úpravou krajiny</w:t>
      </w:r>
      <w:r>
        <w:rPr>
          <w:rFonts w:cs="Arial"/>
          <w:bCs/>
          <w:color w:val="000000"/>
          <w:spacing w:val="-2"/>
          <w:sz w:val="16"/>
          <w:szCs w:val="16"/>
        </w:rPr>
        <w:t>), v pojišťovnictví a v činnostech v oblasti IT a v nemovitostech.</w:t>
      </w:r>
    </w:p>
  </w:footnote>
  <w:footnote w:id="8">
    <w:p w14:paraId="0902D09E" w14:textId="77777777" w:rsidR="006F6FF2" w:rsidRPr="004E68B1" w:rsidRDefault="006F6FF2" w:rsidP="00F766BE">
      <w:pPr>
        <w:pStyle w:val="Textpoznpodarou"/>
        <w:jc w:val="both"/>
        <w:rPr>
          <w:spacing w:val="-3"/>
          <w:sz w:val="16"/>
          <w:szCs w:val="16"/>
        </w:rPr>
      </w:pPr>
      <w:r w:rsidRPr="004E68B1">
        <w:rPr>
          <w:rStyle w:val="Znakapoznpodarou"/>
          <w:spacing w:val="-3"/>
          <w:sz w:val="16"/>
          <w:szCs w:val="16"/>
        </w:rPr>
        <w:footnoteRef/>
      </w:r>
      <w:r w:rsidRPr="004E68B1">
        <w:rPr>
          <w:spacing w:val="-3"/>
          <w:sz w:val="16"/>
          <w:szCs w:val="16"/>
        </w:rPr>
        <w:t xml:space="preserve"> U osob ve věku 15–64 let, hodnota po sezónním očištění. </w:t>
      </w:r>
      <w:r>
        <w:rPr>
          <w:spacing w:val="-3"/>
          <w:sz w:val="16"/>
          <w:szCs w:val="16"/>
        </w:rPr>
        <w:t>Není-li uvedeno jinak, vycházejí v</w:t>
      </w:r>
      <w:r w:rsidRPr="004E68B1">
        <w:rPr>
          <w:spacing w:val="-3"/>
          <w:sz w:val="16"/>
          <w:szCs w:val="16"/>
        </w:rPr>
        <w:t>šechny údaje o nezaměstnanosti z</w:t>
      </w:r>
      <w:r>
        <w:rPr>
          <w:spacing w:val="-3"/>
          <w:sz w:val="16"/>
          <w:szCs w:val="16"/>
        </w:rPr>
        <w:t> VŠPS.</w:t>
      </w:r>
    </w:p>
  </w:footnote>
  <w:footnote w:id="9">
    <w:p w14:paraId="4C09F7FE" w14:textId="77777777" w:rsidR="006F6FF2" w:rsidRPr="003F02A3" w:rsidRDefault="006F6FF2" w:rsidP="00F766BE">
      <w:pPr>
        <w:pStyle w:val="Textpoznpodarou"/>
        <w:jc w:val="both"/>
        <w:rPr>
          <w:sz w:val="16"/>
          <w:szCs w:val="16"/>
        </w:rPr>
      </w:pPr>
      <w:r w:rsidRPr="003F02A3">
        <w:rPr>
          <w:rStyle w:val="Znakapoznpodarou"/>
          <w:sz w:val="16"/>
          <w:szCs w:val="16"/>
        </w:rPr>
        <w:footnoteRef/>
      </w:r>
      <w:r>
        <w:rPr>
          <w:sz w:val="16"/>
          <w:szCs w:val="16"/>
        </w:rPr>
        <w:t xml:space="preserve"> V EU čítala v dubnu</w:t>
      </w:r>
      <w:r w:rsidRPr="003F02A3">
        <w:rPr>
          <w:sz w:val="16"/>
          <w:szCs w:val="16"/>
        </w:rPr>
        <w:t xml:space="preserve"> míra nezaměstnanosti ve skupině 15</w:t>
      </w:r>
      <w:r>
        <w:rPr>
          <w:sz w:val="16"/>
          <w:szCs w:val="16"/>
        </w:rPr>
        <w:t>–</w:t>
      </w:r>
      <w:r w:rsidRPr="003F02A3">
        <w:rPr>
          <w:sz w:val="16"/>
          <w:szCs w:val="16"/>
        </w:rPr>
        <w:t xml:space="preserve">74letých </w:t>
      </w:r>
      <w:r>
        <w:rPr>
          <w:sz w:val="16"/>
          <w:szCs w:val="16"/>
        </w:rPr>
        <w:t>7,3 % a v posledních šesti měsících stagnovala. V Unii, podobně jako v Česku, byly negativní dopady pandemické krize na pracovní trh tlumeny vládními intervenčními programy. Ve srovnání s koncem roku 2019 tak míra nezaměstnanosti v Unii vzrostla „jen“ o 0,7 p. b., tedy méně než během let 2009 a 2012. O více než 2 p. b. se navýšila nezaměstnanost jen v Litvě, Estonsku, Švédsku a na Kypru. Růst u mužů i žen byl na rozdíl od Česka v Unii téměř totožný. Rozdíl mezi aktuální výší nezaměstnanosti mužů (2,8 %) a žen (4,1 %) v Česku patřil v rámci Unie k nejvyšším. Zatímco nezaměstnanost mužů v ČR dosahovala v rámci států EU minima (již více než sedm let), nezaměstnanost českých žen byla v Unii „až“ čtvrtá nejnižší (po Polsku, Nizozemsku a Maltě). Nezaměstnanost mužů nejvíce sužovala Španělsko (13,7 %), u žen dosahovala maxima v Řecku (téměř 20 %).</w:t>
      </w:r>
    </w:p>
  </w:footnote>
  <w:footnote w:id="10">
    <w:p w14:paraId="357BA6C3" w14:textId="77777777" w:rsidR="006F6FF2" w:rsidRPr="000F1698" w:rsidRDefault="006F6FF2" w:rsidP="00F766BE">
      <w:pPr>
        <w:pStyle w:val="Textpoznpodarou"/>
        <w:jc w:val="both"/>
        <w:rPr>
          <w:sz w:val="16"/>
          <w:szCs w:val="16"/>
        </w:rPr>
      </w:pPr>
      <w:r w:rsidRPr="000F1698">
        <w:rPr>
          <w:rStyle w:val="Znakapoznpodarou"/>
          <w:sz w:val="16"/>
          <w:szCs w:val="16"/>
        </w:rPr>
        <w:footnoteRef/>
      </w:r>
      <w:r w:rsidRPr="000F1698">
        <w:rPr>
          <w:sz w:val="16"/>
          <w:szCs w:val="16"/>
        </w:rPr>
        <w:t xml:space="preserve"> Dle aktuálních údajů ze 4.</w:t>
      </w:r>
      <w:r>
        <w:rPr>
          <w:sz w:val="16"/>
          <w:szCs w:val="16"/>
        </w:rPr>
        <w:t> čtvrt</w:t>
      </w:r>
      <w:r w:rsidRPr="000F1698">
        <w:rPr>
          <w:sz w:val="16"/>
          <w:szCs w:val="16"/>
        </w:rPr>
        <w:t>letí 2020 pracovalo na zkrácené úvazky 5,5</w:t>
      </w:r>
      <w:r>
        <w:rPr>
          <w:sz w:val="16"/>
          <w:szCs w:val="16"/>
        </w:rPr>
        <w:t> %</w:t>
      </w:r>
      <w:r w:rsidRPr="000F1698">
        <w:rPr>
          <w:sz w:val="16"/>
          <w:szCs w:val="16"/>
        </w:rPr>
        <w:t xml:space="preserve"> osob ve věku 15</w:t>
      </w:r>
      <w:r>
        <w:rPr>
          <w:sz w:val="16"/>
          <w:szCs w:val="16"/>
        </w:rPr>
        <w:t> </w:t>
      </w:r>
      <w:r w:rsidRPr="000F1698">
        <w:rPr>
          <w:sz w:val="16"/>
          <w:szCs w:val="16"/>
        </w:rPr>
        <w:t>až 64</w:t>
      </w:r>
      <w:r>
        <w:rPr>
          <w:sz w:val="16"/>
          <w:szCs w:val="16"/>
        </w:rPr>
        <w:t> </w:t>
      </w:r>
      <w:r w:rsidRPr="000F1698">
        <w:rPr>
          <w:sz w:val="16"/>
          <w:szCs w:val="16"/>
        </w:rPr>
        <w:t>let (meziročně o</w:t>
      </w:r>
      <w:r>
        <w:rPr>
          <w:sz w:val="16"/>
          <w:szCs w:val="16"/>
        </w:rPr>
        <w:t> </w:t>
      </w:r>
      <w:r w:rsidRPr="000F1698">
        <w:rPr>
          <w:sz w:val="16"/>
          <w:szCs w:val="16"/>
        </w:rPr>
        <w:t>0,6</w:t>
      </w:r>
      <w:r>
        <w:rPr>
          <w:sz w:val="16"/>
          <w:szCs w:val="16"/>
        </w:rPr>
        <w:t> p. b.</w:t>
      </w:r>
      <w:r w:rsidRPr="000F1698">
        <w:rPr>
          <w:sz w:val="16"/>
          <w:szCs w:val="16"/>
        </w:rPr>
        <w:t xml:space="preserve"> méně). </w:t>
      </w:r>
      <w:r>
        <w:rPr>
          <w:sz w:val="16"/>
          <w:szCs w:val="16"/>
        </w:rPr>
        <w:t>Mírně se snížil i podíl zaměstnanců pracujících na dobu určitou (na 7,2 %), což mohlo souviset mimo jiné i s nižší nabídkou krátkodobých brigádnických pozic.</w:t>
      </w:r>
    </w:p>
  </w:footnote>
  <w:footnote w:id="11">
    <w:p w14:paraId="63B9585C" w14:textId="77777777" w:rsidR="006F6FF2" w:rsidRPr="004E0F30" w:rsidRDefault="006F6FF2" w:rsidP="00F766BE">
      <w:pPr>
        <w:pStyle w:val="Default"/>
        <w:jc w:val="both"/>
        <w:rPr>
          <w:rFonts w:ascii="Arial" w:hAnsi="Arial" w:cs="Arial"/>
          <w:spacing w:val="-4"/>
          <w:sz w:val="16"/>
          <w:szCs w:val="16"/>
        </w:rPr>
      </w:pPr>
      <w:r w:rsidRPr="004E0F30">
        <w:rPr>
          <w:rStyle w:val="Znakapoznpodarou"/>
          <w:rFonts w:ascii="Arial" w:hAnsi="Arial" w:cs="Arial"/>
          <w:spacing w:val="-4"/>
          <w:sz w:val="16"/>
          <w:szCs w:val="16"/>
        </w:rPr>
        <w:footnoteRef/>
      </w:r>
      <w:r w:rsidRPr="004E0F30">
        <w:rPr>
          <w:rFonts w:ascii="Arial" w:hAnsi="Arial" w:cs="Arial"/>
          <w:spacing w:val="-4"/>
          <w:sz w:val="16"/>
          <w:szCs w:val="16"/>
        </w:rPr>
        <w:t xml:space="preserve"> V rámci programu Antivirus</w:t>
      </w:r>
      <w:r>
        <w:rPr>
          <w:rFonts w:ascii="Arial" w:hAnsi="Arial" w:cs="Arial"/>
          <w:spacing w:val="-4"/>
          <w:sz w:val="16"/>
          <w:szCs w:val="16"/>
        </w:rPr>
        <w:t> </w:t>
      </w:r>
      <w:r w:rsidRPr="004E0F30">
        <w:rPr>
          <w:rFonts w:ascii="Arial" w:hAnsi="Arial" w:cs="Arial"/>
          <w:spacing w:val="-4"/>
          <w:sz w:val="16"/>
          <w:szCs w:val="16"/>
        </w:rPr>
        <w:t>A</w:t>
      </w:r>
      <w:r>
        <w:rPr>
          <w:rFonts w:ascii="Arial" w:hAnsi="Arial" w:cs="Arial"/>
          <w:spacing w:val="-4"/>
          <w:sz w:val="16"/>
          <w:szCs w:val="16"/>
        </w:rPr>
        <w:t> </w:t>
      </w:r>
      <w:r w:rsidRPr="004E0F30">
        <w:rPr>
          <w:rFonts w:ascii="Arial" w:hAnsi="Arial" w:cs="Arial"/>
          <w:spacing w:val="-4"/>
          <w:sz w:val="16"/>
          <w:szCs w:val="16"/>
        </w:rPr>
        <w:t>+</w:t>
      </w:r>
      <w:r>
        <w:rPr>
          <w:rFonts w:ascii="Arial" w:hAnsi="Arial" w:cs="Arial"/>
          <w:spacing w:val="-4"/>
          <w:sz w:val="16"/>
          <w:szCs w:val="16"/>
        </w:rPr>
        <w:t> </w:t>
      </w:r>
      <w:r w:rsidRPr="004E0F30">
        <w:rPr>
          <w:rFonts w:ascii="Arial" w:hAnsi="Arial" w:cs="Arial"/>
          <w:spacing w:val="-4"/>
          <w:sz w:val="16"/>
          <w:szCs w:val="16"/>
        </w:rPr>
        <w:t>B</w:t>
      </w:r>
      <w:r>
        <w:rPr>
          <w:rFonts w:ascii="Arial" w:hAnsi="Arial" w:cs="Arial"/>
          <w:spacing w:val="-4"/>
          <w:sz w:val="16"/>
          <w:szCs w:val="16"/>
        </w:rPr>
        <w:t xml:space="preserve"> (náhrady části mezd a povinných odvodů) bylo dosud za 14 měsíců (od března</w:t>
      </w:r>
      <w:r w:rsidRPr="004E0F30">
        <w:rPr>
          <w:rFonts w:ascii="Arial" w:hAnsi="Arial" w:cs="Arial"/>
          <w:spacing w:val="-4"/>
          <w:sz w:val="16"/>
          <w:szCs w:val="16"/>
        </w:rPr>
        <w:t xml:space="preserve"> 2020</w:t>
      </w:r>
      <w:r>
        <w:rPr>
          <w:rFonts w:ascii="Arial" w:hAnsi="Arial" w:cs="Arial"/>
          <w:spacing w:val="-4"/>
          <w:sz w:val="16"/>
          <w:szCs w:val="16"/>
        </w:rPr>
        <w:t xml:space="preserve"> do dubna</w:t>
      </w:r>
      <w:r w:rsidRPr="004E0F30">
        <w:rPr>
          <w:rFonts w:ascii="Arial" w:hAnsi="Arial" w:cs="Arial"/>
          <w:spacing w:val="-4"/>
          <w:sz w:val="16"/>
          <w:szCs w:val="16"/>
        </w:rPr>
        <w:t xml:space="preserve"> </w:t>
      </w:r>
      <w:r>
        <w:rPr>
          <w:rFonts w:ascii="Arial" w:hAnsi="Arial" w:cs="Arial"/>
          <w:spacing w:val="-4"/>
          <w:sz w:val="16"/>
          <w:szCs w:val="16"/>
        </w:rPr>
        <w:t>2021) vydáno z rozpočtu MPSV 46,1 mld. korun</w:t>
      </w:r>
      <w:r w:rsidRPr="004E0F30">
        <w:rPr>
          <w:rFonts w:ascii="Arial" w:hAnsi="Arial" w:cs="Arial"/>
          <w:spacing w:val="-4"/>
          <w:sz w:val="16"/>
          <w:szCs w:val="16"/>
        </w:rPr>
        <w:t>. V úhrnu b</w:t>
      </w:r>
      <w:r>
        <w:rPr>
          <w:rFonts w:ascii="Arial" w:hAnsi="Arial" w:cs="Arial"/>
          <w:spacing w:val="-4"/>
          <w:sz w:val="16"/>
          <w:szCs w:val="16"/>
        </w:rPr>
        <w:t>ylo takto zčásti podpořeno 1 059 tis.</w:t>
      </w:r>
      <w:r w:rsidRPr="004E0F30">
        <w:rPr>
          <w:rFonts w:ascii="Arial" w:hAnsi="Arial" w:cs="Arial"/>
          <w:spacing w:val="-4"/>
          <w:sz w:val="16"/>
          <w:szCs w:val="16"/>
        </w:rPr>
        <w:t xml:space="preserve"> pracovních míst. Většina firem žádala o</w:t>
      </w:r>
      <w:r>
        <w:rPr>
          <w:rFonts w:ascii="Arial" w:hAnsi="Arial" w:cs="Arial"/>
          <w:spacing w:val="-4"/>
          <w:sz w:val="16"/>
          <w:szCs w:val="16"/>
        </w:rPr>
        <w:t> </w:t>
      </w:r>
      <w:r w:rsidRPr="004E0F30">
        <w:rPr>
          <w:rFonts w:ascii="Arial" w:hAnsi="Arial" w:cs="Arial"/>
          <w:spacing w:val="-4"/>
          <w:sz w:val="16"/>
          <w:szCs w:val="16"/>
        </w:rPr>
        <w:t>příspěv</w:t>
      </w:r>
      <w:r>
        <w:rPr>
          <w:rFonts w:ascii="Arial" w:hAnsi="Arial" w:cs="Arial"/>
          <w:spacing w:val="-4"/>
          <w:sz w:val="16"/>
          <w:szCs w:val="16"/>
        </w:rPr>
        <w:t>ek na úhradu mzdových náhrad</w:t>
      </w:r>
      <w:r w:rsidRPr="004E0F30">
        <w:rPr>
          <w:rFonts w:ascii="Arial" w:hAnsi="Arial" w:cs="Arial"/>
          <w:spacing w:val="-4"/>
          <w:sz w:val="16"/>
          <w:szCs w:val="16"/>
        </w:rPr>
        <w:t xml:space="preserve"> zaměstnanců v jednotli</w:t>
      </w:r>
      <w:r>
        <w:rPr>
          <w:rFonts w:ascii="Arial" w:hAnsi="Arial" w:cs="Arial"/>
          <w:spacing w:val="-4"/>
          <w:sz w:val="16"/>
          <w:szCs w:val="16"/>
        </w:rPr>
        <w:t>vých měsících opakovaně. Od ledna do dubna 2021 bylo poskytnuto 16,9 mld. korun, v samotném dubnu vlivem zlepšení epidemické i hospodářské situace čerpání kleslo (ve srovnání s letošním březnem o více než 40 %).</w:t>
      </w:r>
    </w:p>
  </w:footnote>
  <w:footnote w:id="12">
    <w:p w14:paraId="587FB33D" w14:textId="77777777" w:rsidR="006F6FF2" w:rsidRPr="000A68F7" w:rsidRDefault="006F6FF2" w:rsidP="00F766BE">
      <w:pPr>
        <w:pStyle w:val="Textpoznpodarou"/>
        <w:jc w:val="both"/>
        <w:rPr>
          <w:spacing w:val="-2"/>
          <w:sz w:val="16"/>
          <w:szCs w:val="16"/>
        </w:rPr>
      </w:pPr>
      <w:r w:rsidRPr="000A68F7">
        <w:rPr>
          <w:rStyle w:val="Znakapoznpodarou"/>
          <w:spacing w:val="-2"/>
          <w:sz w:val="16"/>
          <w:szCs w:val="16"/>
        </w:rPr>
        <w:footnoteRef/>
      </w:r>
      <w:r>
        <w:rPr>
          <w:spacing w:val="-2"/>
          <w:sz w:val="16"/>
          <w:szCs w:val="16"/>
        </w:rPr>
        <w:t xml:space="preserve"> Č</w:t>
      </w:r>
      <w:r w:rsidRPr="000A68F7">
        <w:rPr>
          <w:spacing w:val="-2"/>
          <w:sz w:val="16"/>
          <w:szCs w:val="16"/>
        </w:rPr>
        <w:t>erpání dávek ošetřovného</w:t>
      </w:r>
      <w:r>
        <w:rPr>
          <w:spacing w:val="-2"/>
          <w:sz w:val="16"/>
          <w:szCs w:val="16"/>
        </w:rPr>
        <w:t xml:space="preserve"> za 1. čtvrtletí (zejména z důvodu uzavření škol) činilo 1,2 mld. </w:t>
      </w:r>
      <w:r>
        <w:rPr>
          <w:rFonts w:cs="Arial"/>
          <w:spacing w:val="-4"/>
          <w:sz w:val="16"/>
          <w:szCs w:val="16"/>
        </w:rPr>
        <w:t>korun</w:t>
      </w:r>
      <w:r>
        <w:rPr>
          <w:spacing w:val="-2"/>
          <w:sz w:val="16"/>
          <w:szCs w:val="16"/>
        </w:rPr>
        <w:t>. To byl dvojnásobek výše z 1. čtvrtletí 2020, kdy tato dávka ještě fakticky nebyla ovlivněna počínající pandemií. V úhrnu za rok 2020 dosáhlo čerpání téměř 12</w:t>
      </w:r>
      <w:r w:rsidRPr="000A68F7">
        <w:rPr>
          <w:spacing w:val="-2"/>
          <w:sz w:val="16"/>
          <w:szCs w:val="16"/>
        </w:rPr>
        <w:t> mld.</w:t>
      </w:r>
      <w:r>
        <w:rPr>
          <w:spacing w:val="-2"/>
          <w:sz w:val="16"/>
          <w:szCs w:val="16"/>
        </w:rPr>
        <w:t xml:space="preserve"> </w:t>
      </w:r>
      <w:r>
        <w:rPr>
          <w:rFonts w:cs="Arial"/>
          <w:spacing w:val="-4"/>
          <w:sz w:val="16"/>
          <w:szCs w:val="16"/>
        </w:rPr>
        <w:t>korun.</w:t>
      </w:r>
    </w:p>
  </w:footnote>
  <w:footnote w:id="13">
    <w:p w14:paraId="360C01A1" w14:textId="77777777" w:rsidR="006F6FF2" w:rsidRPr="000A68F7" w:rsidRDefault="006F6FF2" w:rsidP="00F766BE">
      <w:pPr>
        <w:pStyle w:val="Textpoznpodarou"/>
        <w:jc w:val="both"/>
        <w:rPr>
          <w:spacing w:val="-2"/>
          <w:sz w:val="16"/>
          <w:szCs w:val="16"/>
        </w:rPr>
      </w:pPr>
      <w:r w:rsidRPr="000A68F7">
        <w:rPr>
          <w:rStyle w:val="Znakapoznpodarou"/>
          <w:spacing w:val="-2"/>
          <w:sz w:val="16"/>
          <w:szCs w:val="16"/>
        </w:rPr>
        <w:footnoteRef/>
      </w:r>
      <w:r w:rsidRPr="000A68F7">
        <w:rPr>
          <w:spacing w:val="-2"/>
          <w:sz w:val="16"/>
          <w:szCs w:val="16"/>
        </w:rPr>
        <w:t xml:space="preserve"> Podíl domácností očekávajících v příštích 12</w:t>
      </w:r>
      <w:r>
        <w:rPr>
          <w:spacing w:val="-2"/>
          <w:sz w:val="16"/>
          <w:szCs w:val="16"/>
        </w:rPr>
        <w:t> </w:t>
      </w:r>
      <w:r w:rsidRPr="000A68F7">
        <w:rPr>
          <w:spacing w:val="-2"/>
          <w:sz w:val="16"/>
          <w:szCs w:val="16"/>
        </w:rPr>
        <w:t>měsících</w:t>
      </w:r>
      <w:r>
        <w:rPr>
          <w:spacing w:val="-2"/>
          <w:sz w:val="16"/>
          <w:szCs w:val="16"/>
        </w:rPr>
        <w:t xml:space="preserve"> růst</w:t>
      </w:r>
      <w:r w:rsidRPr="000A68F7">
        <w:rPr>
          <w:spacing w:val="-2"/>
          <w:sz w:val="16"/>
          <w:szCs w:val="16"/>
        </w:rPr>
        <w:t xml:space="preserve"> nezaměstnanosti byl o</w:t>
      </w:r>
      <w:r>
        <w:rPr>
          <w:spacing w:val="-2"/>
          <w:sz w:val="16"/>
          <w:szCs w:val="16"/>
        </w:rPr>
        <w:t> </w:t>
      </w:r>
      <w:r w:rsidRPr="000A68F7">
        <w:rPr>
          <w:spacing w:val="-2"/>
          <w:sz w:val="16"/>
          <w:szCs w:val="16"/>
        </w:rPr>
        <w:t>60</w:t>
      </w:r>
      <w:r>
        <w:rPr>
          <w:spacing w:val="-2"/>
          <w:sz w:val="16"/>
          <w:szCs w:val="16"/>
        </w:rPr>
        <w:t> p. b.</w:t>
      </w:r>
      <w:r w:rsidRPr="000A68F7">
        <w:rPr>
          <w:spacing w:val="-2"/>
          <w:sz w:val="16"/>
          <w:szCs w:val="16"/>
        </w:rPr>
        <w:t xml:space="preserve"> vyšší než podíl těch, které vyhlížely snížení.</w:t>
      </w:r>
      <w:r>
        <w:rPr>
          <w:spacing w:val="-2"/>
          <w:sz w:val="16"/>
          <w:szCs w:val="16"/>
        </w:rPr>
        <w:t xml:space="preserve"> Šlo o nejhorší výhled od počátku roku 2009.</w:t>
      </w:r>
    </w:p>
  </w:footnote>
  <w:footnote w:id="14">
    <w:p w14:paraId="05A7487F" w14:textId="77777777" w:rsidR="006F6FF2" w:rsidRPr="0071276E" w:rsidRDefault="006F6FF2" w:rsidP="00F766BE">
      <w:pPr>
        <w:pStyle w:val="Textpoznpodarou"/>
        <w:jc w:val="both"/>
        <w:rPr>
          <w:sz w:val="16"/>
          <w:szCs w:val="16"/>
        </w:rPr>
      </w:pPr>
      <w:r w:rsidRPr="0071276E">
        <w:rPr>
          <w:rStyle w:val="Znakapoznpodarou"/>
          <w:sz w:val="16"/>
          <w:szCs w:val="16"/>
        </w:rPr>
        <w:footnoteRef/>
      </w:r>
      <w:r w:rsidRPr="0071276E">
        <w:rPr>
          <w:sz w:val="16"/>
          <w:szCs w:val="16"/>
        </w:rPr>
        <w:t xml:space="preserve"> Mírný meziměsíční růst nabídky míst</w:t>
      </w:r>
      <w:r>
        <w:rPr>
          <w:sz w:val="16"/>
          <w:szCs w:val="16"/>
        </w:rPr>
        <w:t>,</w:t>
      </w:r>
      <w:r w:rsidRPr="0071276E">
        <w:rPr>
          <w:sz w:val="16"/>
          <w:szCs w:val="16"/>
        </w:rPr>
        <w:t xml:space="preserve"> tažený patrně zejména sezónními vlivy</w:t>
      </w:r>
      <w:r>
        <w:rPr>
          <w:sz w:val="16"/>
          <w:szCs w:val="16"/>
        </w:rPr>
        <w:t>,</w:t>
      </w:r>
      <w:r w:rsidRPr="0071276E">
        <w:rPr>
          <w:sz w:val="16"/>
          <w:szCs w:val="16"/>
        </w:rPr>
        <w:t xml:space="preserve"> přetrvával letos i</w:t>
      </w:r>
      <w:r>
        <w:rPr>
          <w:sz w:val="16"/>
          <w:szCs w:val="16"/>
        </w:rPr>
        <w:t> </w:t>
      </w:r>
      <w:r w:rsidRPr="0071276E">
        <w:rPr>
          <w:sz w:val="16"/>
          <w:szCs w:val="16"/>
        </w:rPr>
        <w:t>v</w:t>
      </w:r>
      <w:r>
        <w:rPr>
          <w:sz w:val="16"/>
          <w:szCs w:val="16"/>
        </w:rPr>
        <w:t> </w:t>
      </w:r>
      <w:r w:rsidRPr="0071276E">
        <w:rPr>
          <w:sz w:val="16"/>
          <w:szCs w:val="16"/>
        </w:rPr>
        <w:t>dubnu a</w:t>
      </w:r>
      <w:r>
        <w:rPr>
          <w:sz w:val="16"/>
          <w:szCs w:val="16"/>
        </w:rPr>
        <w:t> </w:t>
      </w:r>
      <w:r w:rsidRPr="0071276E">
        <w:rPr>
          <w:sz w:val="16"/>
          <w:szCs w:val="16"/>
        </w:rPr>
        <w:t>květnu.</w:t>
      </w:r>
    </w:p>
  </w:footnote>
  <w:footnote w:id="15">
    <w:p w14:paraId="7D94DCCA" w14:textId="77777777" w:rsidR="006F6FF2" w:rsidRPr="00C51BE4" w:rsidRDefault="006F6FF2" w:rsidP="00F766BE">
      <w:pPr>
        <w:pStyle w:val="Textpoznpodarou"/>
        <w:rPr>
          <w:sz w:val="16"/>
          <w:szCs w:val="16"/>
        </w:rPr>
      </w:pPr>
      <w:r w:rsidRPr="00C51BE4">
        <w:rPr>
          <w:rStyle w:val="Znakapoznpodarou"/>
          <w:sz w:val="16"/>
          <w:szCs w:val="16"/>
        </w:rPr>
        <w:footnoteRef/>
      </w:r>
      <w:r w:rsidRPr="00C51BE4">
        <w:rPr>
          <w:sz w:val="16"/>
          <w:szCs w:val="16"/>
        </w:rPr>
        <w:t xml:space="preserve"> </w:t>
      </w:r>
      <w:r w:rsidRPr="00C51BE4">
        <w:rPr>
          <w:spacing w:val="-2"/>
          <w:sz w:val="16"/>
          <w:szCs w:val="16"/>
        </w:rPr>
        <w:t>Tyto osoby pobíraly transfery od státu, které metodicky nejsou součástí mezd (jejich čerpání tak působilo proti růstu průměrných mezd).</w:t>
      </w:r>
    </w:p>
  </w:footnote>
  <w:footnote w:id="16">
    <w:p w14:paraId="52E73B7A" w14:textId="77777777" w:rsidR="006F6FF2" w:rsidRPr="001A77CA" w:rsidRDefault="006F6FF2" w:rsidP="00F766BE">
      <w:pPr>
        <w:pStyle w:val="Textpoznpodarou"/>
        <w:rPr>
          <w:sz w:val="16"/>
          <w:szCs w:val="16"/>
        </w:rPr>
      </w:pPr>
      <w:r w:rsidRPr="001A77CA">
        <w:rPr>
          <w:rStyle w:val="Znakapoznpodarou"/>
          <w:sz w:val="16"/>
          <w:szCs w:val="16"/>
        </w:rPr>
        <w:footnoteRef/>
      </w:r>
      <w:r w:rsidRPr="001A77CA">
        <w:rPr>
          <w:sz w:val="16"/>
          <w:szCs w:val="16"/>
        </w:rPr>
        <w:t xml:space="preserve"> Ve směru posílení průměrné mzdy mohly naopak působit odložené výplaty loňských ročních odměn, které část firem </w:t>
      </w:r>
      <w:r>
        <w:rPr>
          <w:sz w:val="16"/>
          <w:szCs w:val="16"/>
        </w:rPr>
        <w:t xml:space="preserve">(zejména v odvětvích s výrazně nadprůměrnými mzdami) </w:t>
      </w:r>
      <w:r w:rsidRPr="001A77CA">
        <w:rPr>
          <w:sz w:val="16"/>
          <w:szCs w:val="16"/>
        </w:rPr>
        <w:t>kvůli zrušení superhrubé mzdy</w:t>
      </w:r>
      <w:r>
        <w:rPr>
          <w:sz w:val="16"/>
          <w:szCs w:val="16"/>
        </w:rPr>
        <w:t xml:space="preserve"> </w:t>
      </w:r>
      <w:r w:rsidRPr="001A77CA">
        <w:rPr>
          <w:sz w:val="16"/>
          <w:szCs w:val="16"/>
        </w:rPr>
        <w:t>pozdržela do letošního roku.</w:t>
      </w:r>
      <w:r>
        <w:rPr>
          <w:sz w:val="16"/>
          <w:szCs w:val="16"/>
        </w:rPr>
        <w:t xml:space="preserve"> Tento „statistický efekt“ však letos nebyl zdaleka tak významný jako na přelomu let 2012 a 2013, kdy došlo vlivem zavedení tzv. solidární daně k přesunutí výplaty celoročních odměn plánovaných na počátek roku 2013 již do výplat na konci roku 2012.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985C8" w14:textId="77777777" w:rsidR="006F6FF2" w:rsidRDefault="006F6FF2" w:rsidP="00937AE2">
    <w:pPr>
      <w:pStyle w:val="Zhlav"/>
    </w:pPr>
    <w:r>
      <w:t>Vývoj ekonomiky České republiky</w:t>
    </w:r>
  </w:p>
  <w:p w14:paraId="675E4C41" w14:textId="77777777" w:rsidR="006F6FF2" w:rsidRPr="006F5416" w:rsidRDefault="006F6FF2"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812FB" w14:textId="77777777" w:rsidR="006F6FF2" w:rsidRDefault="006F6FF2" w:rsidP="00937AE2">
    <w:pPr>
      <w:pStyle w:val="Zhlav"/>
    </w:pPr>
    <w:r>
      <w:t>Vývoj ekonomiky České republiky</w:t>
    </w:r>
  </w:p>
  <w:p w14:paraId="0CDCFD48" w14:textId="77777777" w:rsidR="006F6FF2" w:rsidRPr="006F5416" w:rsidRDefault="006F6FF2"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3"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1"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5"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25"/>
  </w:num>
  <w:num w:numId="14">
    <w:abstractNumId w:val="12"/>
  </w:num>
  <w:num w:numId="15">
    <w:abstractNumId w:val="18"/>
  </w:num>
  <w:num w:numId="16">
    <w:abstractNumId w:val="14"/>
  </w:num>
  <w:num w:numId="17">
    <w:abstractNumId w:val="26"/>
  </w:num>
  <w:num w:numId="18">
    <w:abstractNumId w:val="19"/>
  </w:num>
  <w:num w:numId="19">
    <w:abstractNumId w:val="27"/>
  </w:num>
  <w:num w:numId="20">
    <w:abstractNumId w:val="28"/>
  </w:num>
  <w:num w:numId="21">
    <w:abstractNumId w:val="24"/>
  </w:num>
  <w:num w:numId="22">
    <w:abstractNumId w:val="17"/>
  </w:num>
  <w:num w:numId="23">
    <w:abstractNumId w:val="15"/>
  </w:num>
  <w:num w:numId="24">
    <w:abstractNumId w:val="16"/>
  </w:num>
  <w:num w:numId="25">
    <w:abstractNumId w:val="11"/>
  </w:num>
  <w:num w:numId="26">
    <w:abstractNumId w:val="21"/>
  </w:num>
  <w:num w:numId="27">
    <w:abstractNumId w:val="20"/>
  </w:num>
  <w:num w:numId="28">
    <w:abstractNumId w:val="10"/>
  </w:num>
  <w:num w:numId="29">
    <w:abstractNumId w:val="2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B55"/>
    <w:rsid w:val="0000209D"/>
    <w:rsid w:val="00002566"/>
    <w:rsid w:val="0000370A"/>
    <w:rsid w:val="00003849"/>
    <w:rsid w:val="00003F5C"/>
    <w:rsid w:val="00004D5A"/>
    <w:rsid w:val="000056D5"/>
    <w:rsid w:val="00005D9E"/>
    <w:rsid w:val="000063D5"/>
    <w:rsid w:val="00006625"/>
    <w:rsid w:val="00006ABD"/>
    <w:rsid w:val="00006B67"/>
    <w:rsid w:val="00006C0B"/>
    <w:rsid w:val="000073A0"/>
    <w:rsid w:val="0000767A"/>
    <w:rsid w:val="00007ABE"/>
    <w:rsid w:val="00010256"/>
    <w:rsid w:val="00010702"/>
    <w:rsid w:val="0001128E"/>
    <w:rsid w:val="00011912"/>
    <w:rsid w:val="000129B7"/>
    <w:rsid w:val="0001387D"/>
    <w:rsid w:val="00014ED0"/>
    <w:rsid w:val="00016420"/>
    <w:rsid w:val="00016BDB"/>
    <w:rsid w:val="00017B01"/>
    <w:rsid w:val="000205D1"/>
    <w:rsid w:val="00020F22"/>
    <w:rsid w:val="0002195D"/>
    <w:rsid w:val="000228AE"/>
    <w:rsid w:val="000233D1"/>
    <w:rsid w:val="000234D6"/>
    <w:rsid w:val="00023D29"/>
    <w:rsid w:val="00024348"/>
    <w:rsid w:val="00026389"/>
    <w:rsid w:val="0002669F"/>
    <w:rsid w:val="000279E5"/>
    <w:rsid w:val="00031AE0"/>
    <w:rsid w:val="00031BB2"/>
    <w:rsid w:val="000322EF"/>
    <w:rsid w:val="00033FCD"/>
    <w:rsid w:val="000348AF"/>
    <w:rsid w:val="00034DF7"/>
    <w:rsid w:val="00034E68"/>
    <w:rsid w:val="000350C8"/>
    <w:rsid w:val="00036195"/>
    <w:rsid w:val="000374B2"/>
    <w:rsid w:val="000376C0"/>
    <w:rsid w:val="000403A7"/>
    <w:rsid w:val="00040632"/>
    <w:rsid w:val="00041AFC"/>
    <w:rsid w:val="00041CEC"/>
    <w:rsid w:val="00042596"/>
    <w:rsid w:val="00044183"/>
    <w:rsid w:val="0004431D"/>
    <w:rsid w:val="0004694F"/>
    <w:rsid w:val="00046F2F"/>
    <w:rsid w:val="00047AD4"/>
    <w:rsid w:val="00047D54"/>
    <w:rsid w:val="0005054A"/>
    <w:rsid w:val="00051506"/>
    <w:rsid w:val="000522E4"/>
    <w:rsid w:val="00053713"/>
    <w:rsid w:val="0005434E"/>
    <w:rsid w:val="00055CB6"/>
    <w:rsid w:val="000572DD"/>
    <w:rsid w:val="00057B1E"/>
    <w:rsid w:val="000610E1"/>
    <w:rsid w:val="000616AD"/>
    <w:rsid w:val="000622A6"/>
    <w:rsid w:val="00062EC5"/>
    <w:rsid w:val="00062F22"/>
    <w:rsid w:val="00063975"/>
    <w:rsid w:val="00063CEA"/>
    <w:rsid w:val="0006444D"/>
    <w:rsid w:val="000645FC"/>
    <w:rsid w:val="0006533F"/>
    <w:rsid w:val="00065348"/>
    <w:rsid w:val="0006551C"/>
    <w:rsid w:val="00065A75"/>
    <w:rsid w:val="000663F0"/>
    <w:rsid w:val="00066558"/>
    <w:rsid w:val="00070A87"/>
    <w:rsid w:val="000712B3"/>
    <w:rsid w:val="00071A7C"/>
    <w:rsid w:val="00072FF5"/>
    <w:rsid w:val="00073A5A"/>
    <w:rsid w:val="0007474E"/>
    <w:rsid w:val="00074988"/>
    <w:rsid w:val="0007512B"/>
    <w:rsid w:val="00075551"/>
    <w:rsid w:val="000767F5"/>
    <w:rsid w:val="00076D90"/>
    <w:rsid w:val="00077FF0"/>
    <w:rsid w:val="00081A55"/>
    <w:rsid w:val="0008263E"/>
    <w:rsid w:val="00082C19"/>
    <w:rsid w:val="00082F89"/>
    <w:rsid w:val="000837CD"/>
    <w:rsid w:val="00084BFF"/>
    <w:rsid w:val="00085395"/>
    <w:rsid w:val="00086896"/>
    <w:rsid w:val="00086AC1"/>
    <w:rsid w:val="00086D19"/>
    <w:rsid w:val="00087634"/>
    <w:rsid w:val="00087F2B"/>
    <w:rsid w:val="00090694"/>
    <w:rsid w:val="00090EE2"/>
    <w:rsid w:val="00090FC6"/>
    <w:rsid w:val="000913B1"/>
    <w:rsid w:val="0009290F"/>
    <w:rsid w:val="00093241"/>
    <w:rsid w:val="00093868"/>
    <w:rsid w:val="00094A84"/>
    <w:rsid w:val="00095025"/>
    <w:rsid w:val="00095135"/>
    <w:rsid w:val="0009626E"/>
    <w:rsid w:val="00097191"/>
    <w:rsid w:val="000974D1"/>
    <w:rsid w:val="00097784"/>
    <w:rsid w:val="0009799E"/>
    <w:rsid w:val="000A07CB"/>
    <w:rsid w:val="000A0BC0"/>
    <w:rsid w:val="000A1183"/>
    <w:rsid w:val="000A12ED"/>
    <w:rsid w:val="000A1D49"/>
    <w:rsid w:val="000A212B"/>
    <w:rsid w:val="000A242D"/>
    <w:rsid w:val="000A256D"/>
    <w:rsid w:val="000A2E5F"/>
    <w:rsid w:val="000A3A2C"/>
    <w:rsid w:val="000A3D9E"/>
    <w:rsid w:val="000A4A54"/>
    <w:rsid w:val="000A4ED9"/>
    <w:rsid w:val="000A5DB7"/>
    <w:rsid w:val="000A6D94"/>
    <w:rsid w:val="000A7377"/>
    <w:rsid w:val="000A775A"/>
    <w:rsid w:val="000A7FF4"/>
    <w:rsid w:val="000B03CC"/>
    <w:rsid w:val="000B4212"/>
    <w:rsid w:val="000B67B7"/>
    <w:rsid w:val="000C0EA8"/>
    <w:rsid w:val="000C13A2"/>
    <w:rsid w:val="000C21E7"/>
    <w:rsid w:val="000C23EC"/>
    <w:rsid w:val="000C30C3"/>
    <w:rsid w:val="000C3408"/>
    <w:rsid w:val="000C35AB"/>
    <w:rsid w:val="000C3F7B"/>
    <w:rsid w:val="000C4769"/>
    <w:rsid w:val="000C4D56"/>
    <w:rsid w:val="000C5DFA"/>
    <w:rsid w:val="000C6AFD"/>
    <w:rsid w:val="000C6C90"/>
    <w:rsid w:val="000C72B7"/>
    <w:rsid w:val="000D0A26"/>
    <w:rsid w:val="000D3058"/>
    <w:rsid w:val="000D310A"/>
    <w:rsid w:val="000D3EF4"/>
    <w:rsid w:val="000D4DC0"/>
    <w:rsid w:val="000D5637"/>
    <w:rsid w:val="000D5A03"/>
    <w:rsid w:val="000D6F4E"/>
    <w:rsid w:val="000D73BB"/>
    <w:rsid w:val="000E0E96"/>
    <w:rsid w:val="000E298B"/>
    <w:rsid w:val="000E2C7D"/>
    <w:rsid w:val="000E3E56"/>
    <w:rsid w:val="000E440D"/>
    <w:rsid w:val="000E4AC5"/>
    <w:rsid w:val="000E6253"/>
    <w:rsid w:val="000E6E4D"/>
    <w:rsid w:val="000E6FBD"/>
    <w:rsid w:val="000E6FCB"/>
    <w:rsid w:val="000F090B"/>
    <w:rsid w:val="000F3F3B"/>
    <w:rsid w:val="000F47E8"/>
    <w:rsid w:val="000F70E4"/>
    <w:rsid w:val="000F76EA"/>
    <w:rsid w:val="00100A8B"/>
    <w:rsid w:val="00100F5C"/>
    <w:rsid w:val="00101CDA"/>
    <w:rsid w:val="00102037"/>
    <w:rsid w:val="00103DCB"/>
    <w:rsid w:val="00104C4C"/>
    <w:rsid w:val="00105015"/>
    <w:rsid w:val="001055D2"/>
    <w:rsid w:val="001057C2"/>
    <w:rsid w:val="0011038E"/>
    <w:rsid w:val="001125EF"/>
    <w:rsid w:val="00112CAB"/>
    <w:rsid w:val="00114C33"/>
    <w:rsid w:val="00116D3F"/>
    <w:rsid w:val="00117474"/>
    <w:rsid w:val="00117623"/>
    <w:rsid w:val="00117FEA"/>
    <w:rsid w:val="001200CF"/>
    <w:rsid w:val="001208E3"/>
    <w:rsid w:val="00121609"/>
    <w:rsid w:val="0012192F"/>
    <w:rsid w:val="00122994"/>
    <w:rsid w:val="00123204"/>
    <w:rsid w:val="00124B46"/>
    <w:rsid w:val="001257E0"/>
    <w:rsid w:val="00125D69"/>
    <w:rsid w:val="0012799C"/>
    <w:rsid w:val="00127BC2"/>
    <w:rsid w:val="00127E15"/>
    <w:rsid w:val="00130ADC"/>
    <w:rsid w:val="00130D9F"/>
    <w:rsid w:val="00132C4D"/>
    <w:rsid w:val="00133FC1"/>
    <w:rsid w:val="00134659"/>
    <w:rsid w:val="001405FA"/>
    <w:rsid w:val="00140D1A"/>
    <w:rsid w:val="00141184"/>
    <w:rsid w:val="00141315"/>
    <w:rsid w:val="00141AA0"/>
    <w:rsid w:val="001425C3"/>
    <w:rsid w:val="0014262D"/>
    <w:rsid w:val="00142B29"/>
    <w:rsid w:val="00144588"/>
    <w:rsid w:val="001447DD"/>
    <w:rsid w:val="001459BC"/>
    <w:rsid w:val="00152F4F"/>
    <w:rsid w:val="001544A1"/>
    <w:rsid w:val="001553B8"/>
    <w:rsid w:val="001554C2"/>
    <w:rsid w:val="001571C0"/>
    <w:rsid w:val="0015753D"/>
    <w:rsid w:val="00157CC9"/>
    <w:rsid w:val="00160C21"/>
    <w:rsid w:val="001612F4"/>
    <w:rsid w:val="00161553"/>
    <w:rsid w:val="0016256B"/>
    <w:rsid w:val="00162F81"/>
    <w:rsid w:val="00163793"/>
    <w:rsid w:val="00165313"/>
    <w:rsid w:val="00167485"/>
    <w:rsid w:val="001679F5"/>
    <w:rsid w:val="00167B92"/>
    <w:rsid w:val="00167CB9"/>
    <w:rsid w:val="00167DD8"/>
    <w:rsid w:val="001705AD"/>
    <w:rsid w:val="001706D6"/>
    <w:rsid w:val="001714F2"/>
    <w:rsid w:val="00171FEA"/>
    <w:rsid w:val="00173622"/>
    <w:rsid w:val="00175B9F"/>
    <w:rsid w:val="001762F4"/>
    <w:rsid w:val="00181BBC"/>
    <w:rsid w:val="0018385F"/>
    <w:rsid w:val="00183BCF"/>
    <w:rsid w:val="00184017"/>
    <w:rsid w:val="001847BB"/>
    <w:rsid w:val="00184B08"/>
    <w:rsid w:val="00185010"/>
    <w:rsid w:val="00185C22"/>
    <w:rsid w:val="00186BA9"/>
    <w:rsid w:val="00187D50"/>
    <w:rsid w:val="0019196C"/>
    <w:rsid w:val="001926A9"/>
    <w:rsid w:val="00192F05"/>
    <w:rsid w:val="00194729"/>
    <w:rsid w:val="00194850"/>
    <w:rsid w:val="00195234"/>
    <w:rsid w:val="00196016"/>
    <w:rsid w:val="00196117"/>
    <w:rsid w:val="00197A70"/>
    <w:rsid w:val="00197C0F"/>
    <w:rsid w:val="00197D0E"/>
    <w:rsid w:val="001A0487"/>
    <w:rsid w:val="001A0675"/>
    <w:rsid w:val="001A1F68"/>
    <w:rsid w:val="001A21FA"/>
    <w:rsid w:val="001A4D7C"/>
    <w:rsid w:val="001A4EF0"/>
    <w:rsid w:val="001A552F"/>
    <w:rsid w:val="001A70B1"/>
    <w:rsid w:val="001B0738"/>
    <w:rsid w:val="001B2CA9"/>
    <w:rsid w:val="001B3110"/>
    <w:rsid w:val="001B3E38"/>
    <w:rsid w:val="001B40F5"/>
    <w:rsid w:val="001B4729"/>
    <w:rsid w:val="001B4F0E"/>
    <w:rsid w:val="001B5F40"/>
    <w:rsid w:val="001B6310"/>
    <w:rsid w:val="001B6C09"/>
    <w:rsid w:val="001B6E12"/>
    <w:rsid w:val="001C05CD"/>
    <w:rsid w:val="001C082B"/>
    <w:rsid w:val="001C0F17"/>
    <w:rsid w:val="001C1B24"/>
    <w:rsid w:val="001C1B66"/>
    <w:rsid w:val="001C31A2"/>
    <w:rsid w:val="001C351D"/>
    <w:rsid w:val="001C4B8F"/>
    <w:rsid w:val="001C4BB8"/>
    <w:rsid w:val="001C4FD0"/>
    <w:rsid w:val="001C5E46"/>
    <w:rsid w:val="001C6B3B"/>
    <w:rsid w:val="001C7A26"/>
    <w:rsid w:val="001C7E3F"/>
    <w:rsid w:val="001D0EF1"/>
    <w:rsid w:val="001D22C2"/>
    <w:rsid w:val="001D2C99"/>
    <w:rsid w:val="001D452E"/>
    <w:rsid w:val="001D54C1"/>
    <w:rsid w:val="001D556E"/>
    <w:rsid w:val="001D5DF2"/>
    <w:rsid w:val="001D68B2"/>
    <w:rsid w:val="001D7EFD"/>
    <w:rsid w:val="001D7F60"/>
    <w:rsid w:val="001E3306"/>
    <w:rsid w:val="001E504C"/>
    <w:rsid w:val="001E5A17"/>
    <w:rsid w:val="001E74C5"/>
    <w:rsid w:val="001F1236"/>
    <w:rsid w:val="001F2F90"/>
    <w:rsid w:val="001F4597"/>
    <w:rsid w:val="001F4826"/>
    <w:rsid w:val="001F6CD3"/>
    <w:rsid w:val="001F75DA"/>
    <w:rsid w:val="001F7CE0"/>
    <w:rsid w:val="00200085"/>
    <w:rsid w:val="00203332"/>
    <w:rsid w:val="00203CD5"/>
    <w:rsid w:val="00203D8F"/>
    <w:rsid w:val="00203DA4"/>
    <w:rsid w:val="00204EA6"/>
    <w:rsid w:val="00205186"/>
    <w:rsid w:val="00206516"/>
    <w:rsid w:val="002071D5"/>
    <w:rsid w:val="002111E5"/>
    <w:rsid w:val="002118B9"/>
    <w:rsid w:val="00213691"/>
    <w:rsid w:val="002142C0"/>
    <w:rsid w:val="00217C5B"/>
    <w:rsid w:val="00220A43"/>
    <w:rsid w:val="0022139E"/>
    <w:rsid w:val="00222729"/>
    <w:rsid w:val="00223185"/>
    <w:rsid w:val="002233D6"/>
    <w:rsid w:val="0022441D"/>
    <w:rsid w:val="00224574"/>
    <w:rsid w:val="00224E3F"/>
    <w:rsid w:val="002252E0"/>
    <w:rsid w:val="002255F6"/>
    <w:rsid w:val="00226032"/>
    <w:rsid w:val="0022738D"/>
    <w:rsid w:val="00227605"/>
    <w:rsid w:val="00227850"/>
    <w:rsid w:val="00227A53"/>
    <w:rsid w:val="00227E2E"/>
    <w:rsid w:val="00227F53"/>
    <w:rsid w:val="00230C6E"/>
    <w:rsid w:val="00230E21"/>
    <w:rsid w:val="00231066"/>
    <w:rsid w:val="002316A8"/>
    <w:rsid w:val="00231859"/>
    <w:rsid w:val="002320C9"/>
    <w:rsid w:val="0023288F"/>
    <w:rsid w:val="0023359B"/>
    <w:rsid w:val="00233603"/>
    <w:rsid w:val="002340EF"/>
    <w:rsid w:val="00234B82"/>
    <w:rsid w:val="00236443"/>
    <w:rsid w:val="00236700"/>
    <w:rsid w:val="00237C8B"/>
    <w:rsid w:val="00240391"/>
    <w:rsid w:val="00240AF3"/>
    <w:rsid w:val="002418D5"/>
    <w:rsid w:val="00241B06"/>
    <w:rsid w:val="0024343A"/>
    <w:rsid w:val="002436BA"/>
    <w:rsid w:val="00244652"/>
    <w:rsid w:val="00244A15"/>
    <w:rsid w:val="002452D9"/>
    <w:rsid w:val="00247319"/>
    <w:rsid w:val="0024799E"/>
    <w:rsid w:val="00247E60"/>
    <w:rsid w:val="00251496"/>
    <w:rsid w:val="00251B08"/>
    <w:rsid w:val="00251C53"/>
    <w:rsid w:val="00252AB9"/>
    <w:rsid w:val="002532B1"/>
    <w:rsid w:val="00253C0F"/>
    <w:rsid w:val="002558C1"/>
    <w:rsid w:val="00256207"/>
    <w:rsid w:val="002575F3"/>
    <w:rsid w:val="002603E1"/>
    <w:rsid w:val="0026120E"/>
    <w:rsid w:val="00262582"/>
    <w:rsid w:val="0026291D"/>
    <w:rsid w:val="00262CF3"/>
    <w:rsid w:val="00264309"/>
    <w:rsid w:val="00264992"/>
    <w:rsid w:val="0026564B"/>
    <w:rsid w:val="00265C83"/>
    <w:rsid w:val="00265E85"/>
    <w:rsid w:val="00267B49"/>
    <w:rsid w:val="00267C51"/>
    <w:rsid w:val="002700D9"/>
    <w:rsid w:val="0027025F"/>
    <w:rsid w:val="002709CC"/>
    <w:rsid w:val="00270D25"/>
    <w:rsid w:val="00271022"/>
    <w:rsid w:val="00271465"/>
    <w:rsid w:val="00271E47"/>
    <w:rsid w:val="002721F5"/>
    <w:rsid w:val="00272DF4"/>
    <w:rsid w:val="00275062"/>
    <w:rsid w:val="00275758"/>
    <w:rsid w:val="0027583D"/>
    <w:rsid w:val="00275DEF"/>
    <w:rsid w:val="002763A2"/>
    <w:rsid w:val="00276B33"/>
    <w:rsid w:val="002803A5"/>
    <w:rsid w:val="002812E3"/>
    <w:rsid w:val="00282AD4"/>
    <w:rsid w:val="0028341F"/>
    <w:rsid w:val="002837AE"/>
    <w:rsid w:val="00283C13"/>
    <w:rsid w:val="00283F7B"/>
    <w:rsid w:val="0028431A"/>
    <w:rsid w:val="002853FA"/>
    <w:rsid w:val="00285412"/>
    <w:rsid w:val="00286220"/>
    <w:rsid w:val="00291640"/>
    <w:rsid w:val="0029237E"/>
    <w:rsid w:val="00292997"/>
    <w:rsid w:val="00293D24"/>
    <w:rsid w:val="0029509B"/>
    <w:rsid w:val="0029588F"/>
    <w:rsid w:val="00295E96"/>
    <w:rsid w:val="00297256"/>
    <w:rsid w:val="00297A5C"/>
    <w:rsid w:val="00297D51"/>
    <w:rsid w:val="002A0122"/>
    <w:rsid w:val="002A016B"/>
    <w:rsid w:val="002A16D4"/>
    <w:rsid w:val="002A1E4F"/>
    <w:rsid w:val="002A230C"/>
    <w:rsid w:val="002A2AF7"/>
    <w:rsid w:val="002A3209"/>
    <w:rsid w:val="002A3EA2"/>
    <w:rsid w:val="002A51AC"/>
    <w:rsid w:val="002A532A"/>
    <w:rsid w:val="002A5846"/>
    <w:rsid w:val="002A5D97"/>
    <w:rsid w:val="002A603E"/>
    <w:rsid w:val="002A63B9"/>
    <w:rsid w:val="002A7089"/>
    <w:rsid w:val="002B1619"/>
    <w:rsid w:val="002B3EF4"/>
    <w:rsid w:val="002B4845"/>
    <w:rsid w:val="002B5567"/>
    <w:rsid w:val="002B5812"/>
    <w:rsid w:val="002B72AA"/>
    <w:rsid w:val="002C1110"/>
    <w:rsid w:val="002C1BC2"/>
    <w:rsid w:val="002C1F09"/>
    <w:rsid w:val="002C22A4"/>
    <w:rsid w:val="002C260B"/>
    <w:rsid w:val="002C27A6"/>
    <w:rsid w:val="002C31E4"/>
    <w:rsid w:val="002C398D"/>
    <w:rsid w:val="002C40D2"/>
    <w:rsid w:val="002C43BD"/>
    <w:rsid w:val="002C5245"/>
    <w:rsid w:val="002C564A"/>
    <w:rsid w:val="002C59D8"/>
    <w:rsid w:val="002C5FEB"/>
    <w:rsid w:val="002C6494"/>
    <w:rsid w:val="002D05CB"/>
    <w:rsid w:val="002D0E59"/>
    <w:rsid w:val="002D2C4F"/>
    <w:rsid w:val="002D3EBB"/>
    <w:rsid w:val="002D455C"/>
    <w:rsid w:val="002D6066"/>
    <w:rsid w:val="002E02A1"/>
    <w:rsid w:val="002E196A"/>
    <w:rsid w:val="002E20C7"/>
    <w:rsid w:val="002E20CD"/>
    <w:rsid w:val="002E222E"/>
    <w:rsid w:val="002E28D8"/>
    <w:rsid w:val="002E3638"/>
    <w:rsid w:val="002E37D1"/>
    <w:rsid w:val="002E3BEE"/>
    <w:rsid w:val="002E4E4C"/>
    <w:rsid w:val="002E4EA7"/>
    <w:rsid w:val="002E5846"/>
    <w:rsid w:val="002E792B"/>
    <w:rsid w:val="002E7AEB"/>
    <w:rsid w:val="002F1B09"/>
    <w:rsid w:val="002F1D56"/>
    <w:rsid w:val="002F1DCB"/>
    <w:rsid w:val="002F1DE4"/>
    <w:rsid w:val="002F333D"/>
    <w:rsid w:val="002F351A"/>
    <w:rsid w:val="002F46D6"/>
    <w:rsid w:val="002F498A"/>
    <w:rsid w:val="002F4AD8"/>
    <w:rsid w:val="002F5285"/>
    <w:rsid w:val="002F5820"/>
    <w:rsid w:val="002F64BB"/>
    <w:rsid w:val="00300C31"/>
    <w:rsid w:val="003017EC"/>
    <w:rsid w:val="00302165"/>
    <w:rsid w:val="00303BB4"/>
    <w:rsid w:val="00304771"/>
    <w:rsid w:val="003052D4"/>
    <w:rsid w:val="003060E9"/>
    <w:rsid w:val="00306C5B"/>
    <w:rsid w:val="00307529"/>
    <w:rsid w:val="00307DB3"/>
    <w:rsid w:val="00307ED2"/>
    <w:rsid w:val="0031076D"/>
    <w:rsid w:val="0031169A"/>
    <w:rsid w:val="00311AA6"/>
    <w:rsid w:val="00311C4D"/>
    <w:rsid w:val="003121AB"/>
    <w:rsid w:val="00315169"/>
    <w:rsid w:val="003153C8"/>
    <w:rsid w:val="00315524"/>
    <w:rsid w:val="00315561"/>
    <w:rsid w:val="0032058C"/>
    <w:rsid w:val="003208D0"/>
    <w:rsid w:val="003209D6"/>
    <w:rsid w:val="003217B9"/>
    <w:rsid w:val="00321924"/>
    <w:rsid w:val="00321EB6"/>
    <w:rsid w:val="003220A5"/>
    <w:rsid w:val="003238E0"/>
    <w:rsid w:val="00323A1C"/>
    <w:rsid w:val="00324B59"/>
    <w:rsid w:val="0032656E"/>
    <w:rsid w:val="0032788F"/>
    <w:rsid w:val="00332190"/>
    <w:rsid w:val="00332A98"/>
    <w:rsid w:val="003334BD"/>
    <w:rsid w:val="00333973"/>
    <w:rsid w:val="00333CD0"/>
    <w:rsid w:val="0033448D"/>
    <w:rsid w:val="00334AD2"/>
    <w:rsid w:val="00334CB6"/>
    <w:rsid w:val="0033709C"/>
    <w:rsid w:val="003370C5"/>
    <w:rsid w:val="003373C6"/>
    <w:rsid w:val="0033753A"/>
    <w:rsid w:val="00340BF3"/>
    <w:rsid w:val="00341D26"/>
    <w:rsid w:val="00341F05"/>
    <w:rsid w:val="0034335E"/>
    <w:rsid w:val="00344668"/>
    <w:rsid w:val="00344940"/>
    <w:rsid w:val="00346234"/>
    <w:rsid w:val="003462D9"/>
    <w:rsid w:val="0034723F"/>
    <w:rsid w:val="00347247"/>
    <w:rsid w:val="003474B6"/>
    <w:rsid w:val="00347DD4"/>
    <w:rsid w:val="00352B43"/>
    <w:rsid w:val="00352C28"/>
    <w:rsid w:val="0035506D"/>
    <w:rsid w:val="0036077F"/>
    <w:rsid w:val="00360C86"/>
    <w:rsid w:val="00360F7A"/>
    <w:rsid w:val="00360FBC"/>
    <w:rsid w:val="00361537"/>
    <w:rsid w:val="00361FB7"/>
    <w:rsid w:val="0036242A"/>
    <w:rsid w:val="00362C23"/>
    <w:rsid w:val="00362DCA"/>
    <w:rsid w:val="00362E90"/>
    <w:rsid w:val="00364FA0"/>
    <w:rsid w:val="003657F3"/>
    <w:rsid w:val="00365844"/>
    <w:rsid w:val="00367F84"/>
    <w:rsid w:val="003712BC"/>
    <w:rsid w:val="00372164"/>
    <w:rsid w:val="003738BD"/>
    <w:rsid w:val="00374263"/>
    <w:rsid w:val="003746F0"/>
    <w:rsid w:val="00374A20"/>
    <w:rsid w:val="00374E21"/>
    <w:rsid w:val="0037537A"/>
    <w:rsid w:val="00377B2E"/>
    <w:rsid w:val="003810F0"/>
    <w:rsid w:val="003815D4"/>
    <w:rsid w:val="003818DC"/>
    <w:rsid w:val="00382513"/>
    <w:rsid w:val="00383388"/>
    <w:rsid w:val="003834F8"/>
    <w:rsid w:val="003838D0"/>
    <w:rsid w:val="003840C2"/>
    <w:rsid w:val="00384327"/>
    <w:rsid w:val="00384A89"/>
    <w:rsid w:val="00385086"/>
    <w:rsid w:val="00385D98"/>
    <w:rsid w:val="00390306"/>
    <w:rsid w:val="003908A6"/>
    <w:rsid w:val="0039109D"/>
    <w:rsid w:val="00391989"/>
    <w:rsid w:val="00391A6C"/>
    <w:rsid w:val="003927F6"/>
    <w:rsid w:val="00396739"/>
    <w:rsid w:val="003978B1"/>
    <w:rsid w:val="003A04F6"/>
    <w:rsid w:val="003A0837"/>
    <w:rsid w:val="003A2B4D"/>
    <w:rsid w:val="003A2D12"/>
    <w:rsid w:val="003A2EBA"/>
    <w:rsid w:val="003A45E3"/>
    <w:rsid w:val="003A478C"/>
    <w:rsid w:val="003A4A38"/>
    <w:rsid w:val="003A5525"/>
    <w:rsid w:val="003A5889"/>
    <w:rsid w:val="003A6B38"/>
    <w:rsid w:val="003A6B83"/>
    <w:rsid w:val="003A6C97"/>
    <w:rsid w:val="003A722F"/>
    <w:rsid w:val="003A7373"/>
    <w:rsid w:val="003A7D09"/>
    <w:rsid w:val="003B039F"/>
    <w:rsid w:val="003B0DF4"/>
    <w:rsid w:val="003B1F9D"/>
    <w:rsid w:val="003B2A8D"/>
    <w:rsid w:val="003B2AD1"/>
    <w:rsid w:val="003B2D2E"/>
    <w:rsid w:val="003B461F"/>
    <w:rsid w:val="003B483F"/>
    <w:rsid w:val="003B4998"/>
    <w:rsid w:val="003B5A32"/>
    <w:rsid w:val="003B5B59"/>
    <w:rsid w:val="003B7B50"/>
    <w:rsid w:val="003C0B07"/>
    <w:rsid w:val="003C2CE7"/>
    <w:rsid w:val="003C3490"/>
    <w:rsid w:val="003C3608"/>
    <w:rsid w:val="003C3AE8"/>
    <w:rsid w:val="003C3D2C"/>
    <w:rsid w:val="003C4E13"/>
    <w:rsid w:val="003C6221"/>
    <w:rsid w:val="003C63D7"/>
    <w:rsid w:val="003C68CC"/>
    <w:rsid w:val="003C7E62"/>
    <w:rsid w:val="003D12B9"/>
    <w:rsid w:val="003D1E7A"/>
    <w:rsid w:val="003D242B"/>
    <w:rsid w:val="003D2492"/>
    <w:rsid w:val="003D29AA"/>
    <w:rsid w:val="003D2A99"/>
    <w:rsid w:val="003D6920"/>
    <w:rsid w:val="003E0249"/>
    <w:rsid w:val="003E08A4"/>
    <w:rsid w:val="003E1EF8"/>
    <w:rsid w:val="003E2DFB"/>
    <w:rsid w:val="003E4466"/>
    <w:rsid w:val="003E4C91"/>
    <w:rsid w:val="003E52D8"/>
    <w:rsid w:val="003E62F1"/>
    <w:rsid w:val="003F313C"/>
    <w:rsid w:val="003F33B9"/>
    <w:rsid w:val="003F37FC"/>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1D"/>
    <w:rsid w:val="00403F57"/>
    <w:rsid w:val="00405318"/>
    <w:rsid w:val="004059D2"/>
    <w:rsid w:val="004060C9"/>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DAC"/>
    <w:rsid w:val="00420880"/>
    <w:rsid w:val="00421179"/>
    <w:rsid w:val="00423623"/>
    <w:rsid w:val="00430C96"/>
    <w:rsid w:val="0043174F"/>
    <w:rsid w:val="00431BFF"/>
    <w:rsid w:val="00432199"/>
    <w:rsid w:val="00432A58"/>
    <w:rsid w:val="004331C3"/>
    <w:rsid w:val="00433C17"/>
    <w:rsid w:val="00434617"/>
    <w:rsid w:val="00435051"/>
    <w:rsid w:val="00435C69"/>
    <w:rsid w:val="004360FB"/>
    <w:rsid w:val="00437CED"/>
    <w:rsid w:val="004407BF"/>
    <w:rsid w:val="00440900"/>
    <w:rsid w:val="0044121D"/>
    <w:rsid w:val="00441BF6"/>
    <w:rsid w:val="00441D2B"/>
    <w:rsid w:val="00441F8B"/>
    <w:rsid w:val="00442085"/>
    <w:rsid w:val="0044279E"/>
    <w:rsid w:val="004441A0"/>
    <w:rsid w:val="00445861"/>
    <w:rsid w:val="00445A8E"/>
    <w:rsid w:val="00446D44"/>
    <w:rsid w:val="0045078A"/>
    <w:rsid w:val="0045086D"/>
    <w:rsid w:val="00450DAB"/>
    <w:rsid w:val="0045125B"/>
    <w:rsid w:val="00451EF1"/>
    <w:rsid w:val="00452E60"/>
    <w:rsid w:val="0045321B"/>
    <w:rsid w:val="00456FE5"/>
    <w:rsid w:val="00457490"/>
    <w:rsid w:val="00457953"/>
    <w:rsid w:val="004604D8"/>
    <w:rsid w:val="00460656"/>
    <w:rsid w:val="00460FB3"/>
    <w:rsid w:val="00463D3C"/>
    <w:rsid w:val="00464851"/>
    <w:rsid w:val="00466595"/>
    <w:rsid w:val="0046746A"/>
    <w:rsid w:val="00467B14"/>
    <w:rsid w:val="004707FE"/>
    <w:rsid w:val="00470EDC"/>
    <w:rsid w:val="00472418"/>
    <w:rsid w:val="0047276D"/>
    <w:rsid w:val="00472AF6"/>
    <w:rsid w:val="00473482"/>
    <w:rsid w:val="00474646"/>
    <w:rsid w:val="00474A04"/>
    <w:rsid w:val="00476240"/>
    <w:rsid w:val="00476439"/>
    <w:rsid w:val="00476450"/>
    <w:rsid w:val="004769E1"/>
    <w:rsid w:val="0047735C"/>
    <w:rsid w:val="004776BC"/>
    <w:rsid w:val="00477820"/>
    <w:rsid w:val="00477B96"/>
    <w:rsid w:val="00480BAE"/>
    <w:rsid w:val="0048139F"/>
    <w:rsid w:val="00481E40"/>
    <w:rsid w:val="00482405"/>
    <w:rsid w:val="004826A7"/>
    <w:rsid w:val="0048368C"/>
    <w:rsid w:val="0048372F"/>
    <w:rsid w:val="00484ECE"/>
    <w:rsid w:val="00485E82"/>
    <w:rsid w:val="00486132"/>
    <w:rsid w:val="0048686D"/>
    <w:rsid w:val="00486A4D"/>
    <w:rsid w:val="004915CB"/>
    <w:rsid w:val="004924DC"/>
    <w:rsid w:val="00492879"/>
    <w:rsid w:val="00493E85"/>
    <w:rsid w:val="00495145"/>
    <w:rsid w:val="004979A5"/>
    <w:rsid w:val="004A0144"/>
    <w:rsid w:val="004A036E"/>
    <w:rsid w:val="004A0498"/>
    <w:rsid w:val="004A06B0"/>
    <w:rsid w:val="004A0D0E"/>
    <w:rsid w:val="004A14E4"/>
    <w:rsid w:val="004A204E"/>
    <w:rsid w:val="004A26A5"/>
    <w:rsid w:val="004A27F0"/>
    <w:rsid w:val="004A3212"/>
    <w:rsid w:val="004A37CD"/>
    <w:rsid w:val="004A40D9"/>
    <w:rsid w:val="004A49A5"/>
    <w:rsid w:val="004A4F8A"/>
    <w:rsid w:val="004A5494"/>
    <w:rsid w:val="004A5D4E"/>
    <w:rsid w:val="004A61C5"/>
    <w:rsid w:val="004A62A0"/>
    <w:rsid w:val="004A77DF"/>
    <w:rsid w:val="004B1417"/>
    <w:rsid w:val="004B305C"/>
    <w:rsid w:val="004B31B8"/>
    <w:rsid w:val="004B339A"/>
    <w:rsid w:val="004B4C83"/>
    <w:rsid w:val="004B55B7"/>
    <w:rsid w:val="004B5BFA"/>
    <w:rsid w:val="004B6468"/>
    <w:rsid w:val="004B6EF8"/>
    <w:rsid w:val="004B7125"/>
    <w:rsid w:val="004B756A"/>
    <w:rsid w:val="004B7FB1"/>
    <w:rsid w:val="004C0B3F"/>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2E03"/>
    <w:rsid w:val="004D3296"/>
    <w:rsid w:val="004D4056"/>
    <w:rsid w:val="004D4CB0"/>
    <w:rsid w:val="004D5B0F"/>
    <w:rsid w:val="004D7626"/>
    <w:rsid w:val="004E186A"/>
    <w:rsid w:val="004E1A40"/>
    <w:rsid w:val="004E200A"/>
    <w:rsid w:val="004E23FC"/>
    <w:rsid w:val="004E2409"/>
    <w:rsid w:val="004E261D"/>
    <w:rsid w:val="004E57BF"/>
    <w:rsid w:val="004E5F41"/>
    <w:rsid w:val="004E6011"/>
    <w:rsid w:val="004E6DE6"/>
    <w:rsid w:val="004E765E"/>
    <w:rsid w:val="004E7815"/>
    <w:rsid w:val="004F06F5"/>
    <w:rsid w:val="004F12A4"/>
    <w:rsid w:val="004F253F"/>
    <w:rsid w:val="004F33A0"/>
    <w:rsid w:val="004F3873"/>
    <w:rsid w:val="004F3BD2"/>
    <w:rsid w:val="004F46ED"/>
    <w:rsid w:val="004F49A3"/>
    <w:rsid w:val="004F4C99"/>
    <w:rsid w:val="004F5358"/>
    <w:rsid w:val="004F6484"/>
    <w:rsid w:val="004F6539"/>
    <w:rsid w:val="00503D54"/>
    <w:rsid w:val="005048E2"/>
    <w:rsid w:val="00505FC8"/>
    <w:rsid w:val="00506603"/>
    <w:rsid w:val="0050689D"/>
    <w:rsid w:val="005077F5"/>
    <w:rsid w:val="005108C0"/>
    <w:rsid w:val="0051094F"/>
    <w:rsid w:val="00511217"/>
    <w:rsid w:val="00511873"/>
    <w:rsid w:val="00512461"/>
    <w:rsid w:val="00512585"/>
    <w:rsid w:val="00512A2F"/>
    <w:rsid w:val="00513B7E"/>
    <w:rsid w:val="00513E9D"/>
    <w:rsid w:val="0051475D"/>
    <w:rsid w:val="00514B11"/>
    <w:rsid w:val="00515485"/>
    <w:rsid w:val="00515BE9"/>
    <w:rsid w:val="00515C74"/>
    <w:rsid w:val="0051630F"/>
    <w:rsid w:val="00517113"/>
    <w:rsid w:val="0052007E"/>
    <w:rsid w:val="00521CAD"/>
    <w:rsid w:val="0052200D"/>
    <w:rsid w:val="00522425"/>
    <w:rsid w:val="00522E01"/>
    <w:rsid w:val="0052337A"/>
    <w:rsid w:val="00524385"/>
    <w:rsid w:val="005246BE"/>
    <w:rsid w:val="00525137"/>
    <w:rsid w:val="005251DD"/>
    <w:rsid w:val="0053012B"/>
    <w:rsid w:val="005301A6"/>
    <w:rsid w:val="00530A68"/>
    <w:rsid w:val="00530AD4"/>
    <w:rsid w:val="00531C5A"/>
    <w:rsid w:val="00532CE7"/>
    <w:rsid w:val="00532D8B"/>
    <w:rsid w:val="0053324C"/>
    <w:rsid w:val="00533A8D"/>
    <w:rsid w:val="00534A28"/>
    <w:rsid w:val="00535018"/>
    <w:rsid w:val="0053595E"/>
    <w:rsid w:val="00537571"/>
    <w:rsid w:val="00540056"/>
    <w:rsid w:val="005410E2"/>
    <w:rsid w:val="00541508"/>
    <w:rsid w:val="00541AE3"/>
    <w:rsid w:val="00543498"/>
    <w:rsid w:val="00544011"/>
    <w:rsid w:val="00544BE5"/>
    <w:rsid w:val="005455F6"/>
    <w:rsid w:val="0054582F"/>
    <w:rsid w:val="00546FC7"/>
    <w:rsid w:val="005500F9"/>
    <w:rsid w:val="00550160"/>
    <w:rsid w:val="005523A8"/>
    <w:rsid w:val="00552F2C"/>
    <w:rsid w:val="00553A25"/>
    <w:rsid w:val="005547EB"/>
    <w:rsid w:val="005555E0"/>
    <w:rsid w:val="0055599F"/>
    <w:rsid w:val="00556D68"/>
    <w:rsid w:val="005570D6"/>
    <w:rsid w:val="00557E0E"/>
    <w:rsid w:val="00557E45"/>
    <w:rsid w:val="00560C41"/>
    <w:rsid w:val="00560CAC"/>
    <w:rsid w:val="00561F44"/>
    <w:rsid w:val="00562B4D"/>
    <w:rsid w:val="00563EB8"/>
    <w:rsid w:val="005647BF"/>
    <w:rsid w:val="00564AF1"/>
    <w:rsid w:val="005655DB"/>
    <w:rsid w:val="00565E88"/>
    <w:rsid w:val="00567339"/>
    <w:rsid w:val="005678EE"/>
    <w:rsid w:val="00567910"/>
    <w:rsid w:val="00570270"/>
    <w:rsid w:val="00570464"/>
    <w:rsid w:val="00570BC3"/>
    <w:rsid w:val="0057182A"/>
    <w:rsid w:val="00571E59"/>
    <w:rsid w:val="00572079"/>
    <w:rsid w:val="00572900"/>
    <w:rsid w:val="00573602"/>
    <w:rsid w:val="0057364B"/>
    <w:rsid w:val="00574773"/>
    <w:rsid w:val="005761EC"/>
    <w:rsid w:val="00577C07"/>
    <w:rsid w:val="00577DB1"/>
    <w:rsid w:val="00580AD3"/>
    <w:rsid w:val="00580DE7"/>
    <w:rsid w:val="005810E1"/>
    <w:rsid w:val="005820CD"/>
    <w:rsid w:val="00583BDD"/>
    <w:rsid w:val="00583E52"/>
    <w:rsid w:val="00583FFD"/>
    <w:rsid w:val="00584252"/>
    <w:rsid w:val="005848DD"/>
    <w:rsid w:val="0058519A"/>
    <w:rsid w:val="005856BD"/>
    <w:rsid w:val="00586BCA"/>
    <w:rsid w:val="00587038"/>
    <w:rsid w:val="00590B28"/>
    <w:rsid w:val="005911BE"/>
    <w:rsid w:val="00591273"/>
    <w:rsid w:val="00591E9E"/>
    <w:rsid w:val="005927A4"/>
    <w:rsid w:val="00593152"/>
    <w:rsid w:val="00593389"/>
    <w:rsid w:val="00593FE6"/>
    <w:rsid w:val="005956A3"/>
    <w:rsid w:val="00595958"/>
    <w:rsid w:val="00595CAB"/>
    <w:rsid w:val="0059622E"/>
    <w:rsid w:val="00597671"/>
    <w:rsid w:val="00597BBF"/>
    <w:rsid w:val="005A0463"/>
    <w:rsid w:val="005A0948"/>
    <w:rsid w:val="005A0A03"/>
    <w:rsid w:val="005A10F2"/>
    <w:rsid w:val="005A21E0"/>
    <w:rsid w:val="005A28FF"/>
    <w:rsid w:val="005A2C09"/>
    <w:rsid w:val="005A3778"/>
    <w:rsid w:val="005A3DF8"/>
    <w:rsid w:val="005A5549"/>
    <w:rsid w:val="005A566A"/>
    <w:rsid w:val="005A7CF8"/>
    <w:rsid w:val="005B0EDA"/>
    <w:rsid w:val="005B121D"/>
    <w:rsid w:val="005B26B0"/>
    <w:rsid w:val="005B41C9"/>
    <w:rsid w:val="005B44E6"/>
    <w:rsid w:val="005B4853"/>
    <w:rsid w:val="005B6CA1"/>
    <w:rsid w:val="005B770C"/>
    <w:rsid w:val="005C06ED"/>
    <w:rsid w:val="005C11B8"/>
    <w:rsid w:val="005C216C"/>
    <w:rsid w:val="005C2609"/>
    <w:rsid w:val="005C2B30"/>
    <w:rsid w:val="005C412B"/>
    <w:rsid w:val="005C43EC"/>
    <w:rsid w:val="005C45DD"/>
    <w:rsid w:val="005C4CB1"/>
    <w:rsid w:val="005D3F06"/>
    <w:rsid w:val="005D4B73"/>
    <w:rsid w:val="005D5645"/>
    <w:rsid w:val="005D5802"/>
    <w:rsid w:val="005D5AA9"/>
    <w:rsid w:val="005D66E6"/>
    <w:rsid w:val="005D7119"/>
    <w:rsid w:val="005D76C8"/>
    <w:rsid w:val="005D7890"/>
    <w:rsid w:val="005E19C1"/>
    <w:rsid w:val="005E2194"/>
    <w:rsid w:val="005E24F0"/>
    <w:rsid w:val="005E36FE"/>
    <w:rsid w:val="005E3F66"/>
    <w:rsid w:val="005E490F"/>
    <w:rsid w:val="005E4BC9"/>
    <w:rsid w:val="005E5314"/>
    <w:rsid w:val="005E7C78"/>
    <w:rsid w:val="005F04A7"/>
    <w:rsid w:val="005F114F"/>
    <w:rsid w:val="005F18C5"/>
    <w:rsid w:val="005F2A08"/>
    <w:rsid w:val="005F36CC"/>
    <w:rsid w:val="005F3EB1"/>
    <w:rsid w:val="005F413E"/>
    <w:rsid w:val="005F466B"/>
    <w:rsid w:val="005F46D8"/>
    <w:rsid w:val="005F480F"/>
    <w:rsid w:val="005F5469"/>
    <w:rsid w:val="005F63F3"/>
    <w:rsid w:val="005F66F0"/>
    <w:rsid w:val="005F6D7F"/>
    <w:rsid w:val="005F7174"/>
    <w:rsid w:val="0060120D"/>
    <w:rsid w:val="00601ADE"/>
    <w:rsid w:val="00601EEF"/>
    <w:rsid w:val="0060255A"/>
    <w:rsid w:val="00602EB3"/>
    <w:rsid w:val="00604307"/>
    <w:rsid w:val="0060487F"/>
    <w:rsid w:val="00604EAD"/>
    <w:rsid w:val="0060513F"/>
    <w:rsid w:val="006065E2"/>
    <w:rsid w:val="0060694B"/>
    <w:rsid w:val="006104FB"/>
    <w:rsid w:val="0061176D"/>
    <w:rsid w:val="0061200F"/>
    <w:rsid w:val="00612756"/>
    <w:rsid w:val="00612A2F"/>
    <w:rsid w:val="00612AAE"/>
    <w:rsid w:val="00612B07"/>
    <w:rsid w:val="00612FD9"/>
    <w:rsid w:val="006139E0"/>
    <w:rsid w:val="00614D35"/>
    <w:rsid w:val="006156B4"/>
    <w:rsid w:val="00615DAF"/>
    <w:rsid w:val="0061672A"/>
    <w:rsid w:val="00616E05"/>
    <w:rsid w:val="00617985"/>
    <w:rsid w:val="00620B77"/>
    <w:rsid w:val="0062131B"/>
    <w:rsid w:val="00621E26"/>
    <w:rsid w:val="006224EA"/>
    <w:rsid w:val="0062263A"/>
    <w:rsid w:val="006227DF"/>
    <w:rsid w:val="006236C8"/>
    <w:rsid w:val="00624093"/>
    <w:rsid w:val="00625A84"/>
    <w:rsid w:val="00626079"/>
    <w:rsid w:val="00631698"/>
    <w:rsid w:val="00631E44"/>
    <w:rsid w:val="00634C57"/>
    <w:rsid w:val="00634CE7"/>
    <w:rsid w:val="006350D5"/>
    <w:rsid w:val="0063642C"/>
    <w:rsid w:val="00637858"/>
    <w:rsid w:val="006404A7"/>
    <w:rsid w:val="00640A38"/>
    <w:rsid w:val="00640E6B"/>
    <w:rsid w:val="00641787"/>
    <w:rsid w:val="0064179B"/>
    <w:rsid w:val="00642489"/>
    <w:rsid w:val="00644055"/>
    <w:rsid w:val="00644137"/>
    <w:rsid w:val="0064478C"/>
    <w:rsid w:val="00645160"/>
    <w:rsid w:val="006451E4"/>
    <w:rsid w:val="0064574B"/>
    <w:rsid w:val="00645B33"/>
    <w:rsid w:val="006516CB"/>
    <w:rsid w:val="00652E30"/>
    <w:rsid w:val="00653BD0"/>
    <w:rsid w:val="00654110"/>
    <w:rsid w:val="00656C5D"/>
    <w:rsid w:val="00656CFB"/>
    <w:rsid w:val="00657E87"/>
    <w:rsid w:val="00660D2D"/>
    <w:rsid w:val="00661C41"/>
    <w:rsid w:val="00661EC9"/>
    <w:rsid w:val="00662469"/>
    <w:rsid w:val="0066411C"/>
    <w:rsid w:val="00664205"/>
    <w:rsid w:val="00664647"/>
    <w:rsid w:val="00664803"/>
    <w:rsid w:val="006653CC"/>
    <w:rsid w:val="00665982"/>
    <w:rsid w:val="00665BA4"/>
    <w:rsid w:val="00666BF3"/>
    <w:rsid w:val="00667856"/>
    <w:rsid w:val="00667AF2"/>
    <w:rsid w:val="00670489"/>
    <w:rsid w:val="006710C9"/>
    <w:rsid w:val="00671D85"/>
    <w:rsid w:val="00672586"/>
    <w:rsid w:val="006741CD"/>
    <w:rsid w:val="00674D89"/>
    <w:rsid w:val="0067514E"/>
    <w:rsid w:val="00675E37"/>
    <w:rsid w:val="00676736"/>
    <w:rsid w:val="006769A4"/>
    <w:rsid w:val="006769C6"/>
    <w:rsid w:val="00676D76"/>
    <w:rsid w:val="00676F9F"/>
    <w:rsid w:val="00677519"/>
    <w:rsid w:val="00677591"/>
    <w:rsid w:val="00677594"/>
    <w:rsid w:val="00677FA3"/>
    <w:rsid w:val="0068032F"/>
    <w:rsid w:val="00680D37"/>
    <w:rsid w:val="0068174E"/>
    <w:rsid w:val="00681DCE"/>
    <w:rsid w:val="00682110"/>
    <w:rsid w:val="0068260E"/>
    <w:rsid w:val="006846B3"/>
    <w:rsid w:val="00684D59"/>
    <w:rsid w:val="00684E25"/>
    <w:rsid w:val="006858A4"/>
    <w:rsid w:val="00686718"/>
    <w:rsid w:val="00686BFA"/>
    <w:rsid w:val="00686DED"/>
    <w:rsid w:val="006875A0"/>
    <w:rsid w:val="006878C6"/>
    <w:rsid w:val="00687D27"/>
    <w:rsid w:val="00691943"/>
    <w:rsid w:val="00693550"/>
    <w:rsid w:val="00695065"/>
    <w:rsid w:val="00695BEF"/>
    <w:rsid w:val="00696251"/>
    <w:rsid w:val="006966C7"/>
    <w:rsid w:val="006968C1"/>
    <w:rsid w:val="006977F6"/>
    <w:rsid w:val="00697A13"/>
    <w:rsid w:val="006A0DD4"/>
    <w:rsid w:val="006A109C"/>
    <w:rsid w:val="006A5F4B"/>
    <w:rsid w:val="006A6565"/>
    <w:rsid w:val="006A7691"/>
    <w:rsid w:val="006A7EE2"/>
    <w:rsid w:val="006B0514"/>
    <w:rsid w:val="006B0F92"/>
    <w:rsid w:val="006B2785"/>
    <w:rsid w:val="006B27C7"/>
    <w:rsid w:val="006B344A"/>
    <w:rsid w:val="006B58C9"/>
    <w:rsid w:val="006B60ED"/>
    <w:rsid w:val="006B6CC5"/>
    <w:rsid w:val="006B74AC"/>
    <w:rsid w:val="006B78D8"/>
    <w:rsid w:val="006B79EA"/>
    <w:rsid w:val="006C0C5D"/>
    <w:rsid w:val="006C113F"/>
    <w:rsid w:val="006C123E"/>
    <w:rsid w:val="006C15A1"/>
    <w:rsid w:val="006C1752"/>
    <w:rsid w:val="006C1DDC"/>
    <w:rsid w:val="006C28CA"/>
    <w:rsid w:val="006C2BBF"/>
    <w:rsid w:val="006C2FBD"/>
    <w:rsid w:val="006C3495"/>
    <w:rsid w:val="006C4355"/>
    <w:rsid w:val="006C4587"/>
    <w:rsid w:val="006C469D"/>
    <w:rsid w:val="006C46B5"/>
    <w:rsid w:val="006C484F"/>
    <w:rsid w:val="006C52EC"/>
    <w:rsid w:val="006C5506"/>
    <w:rsid w:val="006C56D4"/>
    <w:rsid w:val="006C6681"/>
    <w:rsid w:val="006C683C"/>
    <w:rsid w:val="006C6924"/>
    <w:rsid w:val="006C6C1E"/>
    <w:rsid w:val="006C7076"/>
    <w:rsid w:val="006C7AEC"/>
    <w:rsid w:val="006C7CA6"/>
    <w:rsid w:val="006D18B3"/>
    <w:rsid w:val="006D1E89"/>
    <w:rsid w:val="006D317E"/>
    <w:rsid w:val="006D3E8A"/>
    <w:rsid w:val="006D61F6"/>
    <w:rsid w:val="006E1332"/>
    <w:rsid w:val="006E19CB"/>
    <w:rsid w:val="006E279A"/>
    <w:rsid w:val="006E313B"/>
    <w:rsid w:val="006E34B2"/>
    <w:rsid w:val="006E3A45"/>
    <w:rsid w:val="006E4078"/>
    <w:rsid w:val="006E53AD"/>
    <w:rsid w:val="006E58CB"/>
    <w:rsid w:val="006E7227"/>
    <w:rsid w:val="006E761A"/>
    <w:rsid w:val="006F0741"/>
    <w:rsid w:val="006F1C27"/>
    <w:rsid w:val="006F2A65"/>
    <w:rsid w:val="006F3DD6"/>
    <w:rsid w:val="006F40DF"/>
    <w:rsid w:val="006F42BB"/>
    <w:rsid w:val="006F438E"/>
    <w:rsid w:val="006F440B"/>
    <w:rsid w:val="006F48A3"/>
    <w:rsid w:val="006F4DA4"/>
    <w:rsid w:val="006F5416"/>
    <w:rsid w:val="006F624B"/>
    <w:rsid w:val="006F6D87"/>
    <w:rsid w:val="006F6FF2"/>
    <w:rsid w:val="0070398A"/>
    <w:rsid w:val="00705242"/>
    <w:rsid w:val="007055E0"/>
    <w:rsid w:val="007056ED"/>
    <w:rsid w:val="00705F4E"/>
    <w:rsid w:val="007065C5"/>
    <w:rsid w:val="007068E1"/>
    <w:rsid w:val="00706AA0"/>
    <w:rsid w:val="00706AD4"/>
    <w:rsid w:val="00707150"/>
    <w:rsid w:val="007124D7"/>
    <w:rsid w:val="00712C20"/>
    <w:rsid w:val="00713549"/>
    <w:rsid w:val="007140BE"/>
    <w:rsid w:val="007147AB"/>
    <w:rsid w:val="00715502"/>
    <w:rsid w:val="00715D01"/>
    <w:rsid w:val="00715E4D"/>
    <w:rsid w:val="0071677A"/>
    <w:rsid w:val="00716F48"/>
    <w:rsid w:val="00717114"/>
    <w:rsid w:val="0071779F"/>
    <w:rsid w:val="00720310"/>
    <w:rsid w:val="007211F5"/>
    <w:rsid w:val="00721601"/>
    <w:rsid w:val="00722777"/>
    <w:rsid w:val="00723435"/>
    <w:rsid w:val="00723436"/>
    <w:rsid w:val="007240E2"/>
    <w:rsid w:val="0072454C"/>
    <w:rsid w:val="0072583E"/>
    <w:rsid w:val="00725BB5"/>
    <w:rsid w:val="00727C02"/>
    <w:rsid w:val="0073008E"/>
    <w:rsid w:val="00730AE8"/>
    <w:rsid w:val="00730F1B"/>
    <w:rsid w:val="0073186D"/>
    <w:rsid w:val="0073333D"/>
    <w:rsid w:val="007343D9"/>
    <w:rsid w:val="00734F71"/>
    <w:rsid w:val="00735448"/>
    <w:rsid w:val="00736F07"/>
    <w:rsid w:val="007377BD"/>
    <w:rsid w:val="00737DEC"/>
    <w:rsid w:val="0074004D"/>
    <w:rsid w:val="00741493"/>
    <w:rsid w:val="007434E5"/>
    <w:rsid w:val="0074499B"/>
    <w:rsid w:val="007450BF"/>
    <w:rsid w:val="007471A1"/>
    <w:rsid w:val="007477BD"/>
    <w:rsid w:val="00747EE9"/>
    <w:rsid w:val="007520B6"/>
    <w:rsid w:val="00752180"/>
    <w:rsid w:val="00752323"/>
    <w:rsid w:val="007532B7"/>
    <w:rsid w:val="00753CAB"/>
    <w:rsid w:val="00754A70"/>
    <w:rsid w:val="00754BC9"/>
    <w:rsid w:val="00755202"/>
    <w:rsid w:val="00755D3A"/>
    <w:rsid w:val="00757241"/>
    <w:rsid w:val="0075751D"/>
    <w:rsid w:val="0075763E"/>
    <w:rsid w:val="007578D3"/>
    <w:rsid w:val="007602CF"/>
    <w:rsid w:val="00760391"/>
    <w:rsid w:val="007609C6"/>
    <w:rsid w:val="007615F3"/>
    <w:rsid w:val="0076175D"/>
    <w:rsid w:val="00761CB5"/>
    <w:rsid w:val="007629D5"/>
    <w:rsid w:val="007635F8"/>
    <w:rsid w:val="00763B85"/>
    <w:rsid w:val="00764974"/>
    <w:rsid w:val="00764D18"/>
    <w:rsid w:val="0076521E"/>
    <w:rsid w:val="00765BCC"/>
    <w:rsid w:val="0076600D"/>
    <w:rsid w:val="007661E9"/>
    <w:rsid w:val="00766460"/>
    <w:rsid w:val="00767062"/>
    <w:rsid w:val="00767601"/>
    <w:rsid w:val="00767777"/>
    <w:rsid w:val="00770CFC"/>
    <w:rsid w:val="0077130E"/>
    <w:rsid w:val="007715EE"/>
    <w:rsid w:val="00771972"/>
    <w:rsid w:val="00772279"/>
    <w:rsid w:val="00772DAB"/>
    <w:rsid w:val="00772FF9"/>
    <w:rsid w:val="007743DB"/>
    <w:rsid w:val="00774D2C"/>
    <w:rsid w:val="0077605B"/>
    <w:rsid w:val="00776169"/>
    <w:rsid w:val="00776527"/>
    <w:rsid w:val="00777040"/>
    <w:rsid w:val="00777CE6"/>
    <w:rsid w:val="00777D57"/>
    <w:rsid w:val="00780EF1"/>
    <w:rsid w:val="00781A91"/>
    <w:rsid w:val="00781F36"/>
    <w:rsid w:val="00785778"/>
    <w:rsid w:val="00786C87"/>
    <w:rsid w:val="0078755E"/>
    <w:rsid w:val="007877C9"/>
    <w:rsid w:val="00790764"/>
    <w:rsid w:val="0079085F"/>
    <w:rsid w:val="00790E96"/>
    <w:rsid w:val="00791005"/>
    <w:rsid w:val="00793D78"/>
    <w:rsid w:val="0079420B"/>
    <w:rsid w:val="0079453C"/>
    <w:rsid w:val="00794677"/>
    <w:rsid w:val="00795759"/>
    <w:rsid w:val="007A170B"/>
    <w:rsid w:val="007A20EB"/>
    <w:rsid w:val="007A282C"/>
    <w:rsid w:val="007A293C"/>
    <w:rsid w:val="007A2A3A"/>
    <w:rsid w:val="007A33E2"/>
    <w:rsid w:val="007A3CAF"/>
    <w:rsid w:val="007A4664"/>
    <w:rsid w:val="007A4782"/>
    <w:rsid w:val="007A516D"/>
    <w:rsid w:val="007A5E65"/>
    <w:rsid w:val="007A65E1"/>
    <w:rsid w:val="007A6AAA"/>
    <w:rsid w:val="007A7033"/>
    <w:rsid w:val="007A775D"/>
    <w:rsid w:val="007B0834"/>
    <w:rsid w:val="007B0E83"/>
    <w:rsid w:val="007B11FA"/>
    <w:rsid w:val="007B1396"/>
    <w:rsid w:val="007B16D6"/>
    <w:rsid w:val="007B2011"/>
    <w:rsid w:val="007B2CFE"/>
    <w:rsid w:val="007B309B"/>
    <w:rsid w:val="007B3D5E"/>
    <w:rsid w:val="007B3DCB"/>
    <w:rsid w:val="007B5725"/>
    <w:rsid w:val="007B5C1F"/>
    <w:rsid w:val="007B6689"/>
    <w:rsid w:val="007B6747"/>
    <w:rsid w:val="007B6F72"/>
    <w:rsid w:val="007B74AA"/>
    <w:rsid w:val="007C10BD"/>
    <w:rsid w:val="007C1F0C"/>
    <w:rsid w:val="007C1FFB"/>
    <w:rsid w:val="007C2D94"/>
    <w:rsid w:val="007C4A6B"/>
    <w:rsid w:val="007C5F92"/>
    <w:rsid w:val="007C6227"/>
    <w:rsid w:val="007C6BBD"/>
    <w:rsid w:val="007C6D89"/>
    <w:rsid w:val="007C6F5E"/>
    <w:rsid w:val="007D0382"/>
    <w:rsid w:val="007D14FE"/>
    <w:rsid w:val="007D1A1F"/>
    <w:rsid w:val="007D213B"/>
    <w:rsid w:val="007D2E18"/>
    <w:rsid w:val="007D40DF"/>
    <w:rsid w:val="007D42E5"/>
    <w:rsid w:val="007D4458"/>
    <w:rsid w:val="007D6AF9"/>
    <w:rsid w:val="007E0535"/>
    <w:rsid w:val="007E0D4A"/>
    <w:rsid w:val="007E1788"/>
    <w:rsid w:val="007E1EE3"/>
    <w:rsid w:val="007E29B4"/>
    <w:rsid w:val="007E2F12"/>
    <w:rsid w:val="007E435A"/>
    <w:rsid w:val="007E445C"/>
    <w:rsid w:val="007E49F7"/>
    <w:rsid w:val="007E4C70"/>
    <w:rsid w:val="007E5B5F"/>
    <w:rsid w:val="007E78B6"/>
    <w:rsid w:val="007E7E61"/>
    <w:rsid w:val="007F0845"/>
    <w:rsid w:val="007F0873"/>
    <w:rsid w:val="007F20F3"/>
    <w:rsid w:val="007F2353"/>
    <w:rsid w:val="007F2390"/>
    <w:rsid w:val="007F2CAC"/>
    <w:rsid w:val="007F4740"/>
    <w:rsid w:val="007F595A"/>
    <w:rsid w:val="007F5C38"/>
    <w:rsid w:val="007F708D"/>
    <w:rsid w:val="007F7E3F"/>
    <w:rsid w:val="008006B3"/>
    <w:rsid w:val="00800B63"/>
    <w:rsid w:val="0080158A"/>
    <w:rsid w:val="00801E13"/>
    <w:rsid w:val="00803008"/>
    <w:rsid w:val="00803069"/>
    <w:rsid w:val="0080346B"/>
    <w:rsid w:val="00804155"/>
    <w:rsid w:val="00804C9F"/>
    <w:rsid w:val="0080559E"/>
    <w:rsid w:val="00805AF3"/>
    <w:rsid w:val="00806C9C"/>
    <w:rsid w:val="0080734C"/>
    <w:rsid w:val="00807C82"/>
    <w:rsid w:val="008117CC"/>
    <w:rsid w:val="00811FF8"/>
    <w:rsid w:val="00813D58"/>
    <w:rsid w:val="00813DCA"/>
    <w:rsid w:val="008161A6"/>
    <w:rsid w:val="008165B8"/>
    <w:rsid w:val="00816905"/>
    <w:rsid w:val="00816D98"/>
    <w:rsid w:val="00816E42"/>
    <w:rsid w:val="00817040"/>
    <w:rsid w:val="00817A17"/>
    <w:rsid w:val="00817EC1"/>
    <w:rsid w:val="0082112D"/>
    <w:rsid w:val="00821FF6"/>
    <w:rsid w:val="00822574"/>
    <w:rsid w:val="00822980"/>
    <w:rsid w:val="00822F08"/>
    <w:rsid w:val="00825C4D"/>
    <w:rsid w:val="00826A08"/>
    <w:rsid w:val="00826AC0"/>
    <w:rsid w:val="00827186"/>
    <w:rsid w:val="00827C8E"/>
    <w:rsid w:val="00830569"/>
    <w:rsid w:val="00830AEA"/>
    <w:rsid w:val="00830E86"/>
    <w:rsid w:val="0083143E"/>
    <w:rsid w:val="008315B8"/>
    <w:rsid w:val="008315D5"/>
    <w:rsid w:val="00831CDE"/>
    <w:rsid w:val="00831F2B"/>
    <w:rsid w:val="008320CF"/>
    <w:rsid w:val="00832F77"/>
    <w:rsid w:val="00834304"/>
    <w:rsid w:val="00834FAA"/>
    <w:rsid w:val="008354FB"/>
    <w:rsid w:val="00835FF1"/>
    <w:rsid w:val="00836086"/>
    <w:rsid w:val="0083630F"/>
    <w:rsid w:val="00836A06"/>
    <w:rsid w:val="008374BC"/>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114D"/>
    <w:rsid w:val="008520A8"/>
    <w:rsid w:val="00852217"/>
    <w:rsid w:val="00853282"/>
    <w:rsid w:val="0085334C"/>
    <w:rsid w:val="00855408"/>
    <w:rsid w:val="00855D03"/>
    <w:rsid w:val="00856D65"/>
    <w:rsid w:val="00860D79"/>
    <w:rsid w:val="00861B41"/>
    <w:rsid w:val="00861B9F"/>
    <w:rsid w:val="00861BE3"/>
    <w:rsid w:val="008625D3"/>
    <w:rsid w:val="00862C0A"/>
    <w:rsid w:val="00863434"/>
    <w:rsid w:val="0086344F"/>
    <w:rsid w:val="008641AC"/>
    <w:rsid w:val="00865E4C"/>
    <w:rsid w:val="00867546"/>
    <w:rsid w:val="0086796D"/>
    <w:rsid w:val="00867DAB"/>
    <w:rsid w:val="0087000B"/>
    <w:rsid w:val="008701E4"/>
    <w:rsid w:val="008704E9"/>
    <w:rsid w:val="00870ECD"/>
    <w:rsid w:val="0087347C"/>
    <w:rsid w:val="008734E7"/>
    <w:rsid w:val="0087368D"/>
    <w:rsid w:val="008740CC"/>
    <w:rsid w:val="00874FE8"/>
    <w:rsid w:val="00875A32"/>
    <w:rsid w:val="00876086"/>
    <w:rsid w:val="00876651"/>
    <w:rsid w:val="00876E83"/>
    <w:rsid w:val="008772BC"/>
    <w:rsid w:val="00880A0E"/>
    <w:rsid w:val="008817FE"/>
    <w:rsid w:val="00881CD7"/>
    <w:rsid w:val="00882911"/>
    <w:rsid w:val="00882F6E"/>
    <w:rsid w:val="00883202"/>
    <w:rsid w:val="00884E02"/>
    <w:rsid w:val="00885D40"/>
    <w:rsid w:val="008873D4"/>
    <w:rsid w:val="00890CB1"/>
    <w:rsid w:val="00891EDF"/>
    <w:rsid w:val="00892872"/>
    <w:rsid w:val="0089296D"/>
    <w:rsid w:val="00893E85"/>
    <w:rsid w:val="00893EBE"/>
    <w:rsid w:val="00894031"/>
    <w:rsid w:val="00894C5D"/>
    <w:rsid w:val="00895508"/>
    <w:rsid w:val="008967E9"/>
    <w:rsid w:val="00896A5C"/>
    <w:rsid w:val="008972D2"/>
    <w:rsid w:val="0089754C"/>
    <w:rsid w:val="008A0659"/>
    <w:rsid w:val="008A0ADD"/>
    <w:rsid w:val="008A0D27"/>
    <w:rsid w:val="008A1C59"/>
    <w:rsid w:val="008A37E2"/>
    <w:rsid w:val="008A388E"/>
    <w:rsid w:val="008A394E"/>
    <w:rsid w:val="008A3CBA"/>
    <w:rsid w:val="008A4B59"/>
    <w:rsid w:val="008A63E1"/>
    <w:rsid w:val="008A66B7"/>
    <w:rsid w:val="008A68BB"/>
    <w:rsid w:val="008A6AA5"/>
    <w:rsid w:val="008A7127"/>
    <w:rsid w:val="008B0CBA"/>
    <w:rsid w:val="008B2639"/>
    <w:rsid w:val="008B3537"/>
    <w:rsid w:val="008B3690"/>
    <w:rsid w:val="008B3A80"/>
    <w:rsid w:val="008B3AEC"/>
    <w:rsid w:val="008B3C07"/>
    <w:rsid w:val="008B3F7B"/>
    <w:rsid w:val="008B5324"/>
    <w:rsid w:val="008B5C99"/>
    <w:rsid w:val="008B6106"/>
    <w:rsid w:val="008B7C02"/>
    <w:rsid w:val="008B7D2B"/>
    <w:rsid w:val="008B7EF9"/>
    <w:rsid w:val="008C0049"/>
    <w:rsid w:val="008C0314"/>
    <w:rsid w:val="008C0E88"/>
    <w:rsid w:val="008C1717"/>
    <w:rsid w:val="008C3B05"/>
    <w:rsid w:val="008C4B50"/>
    <w:rsid w:val="008C5A37"/>
    <w:rsid w:val="008C7569"/>
    <w:rsid w:val="008C79C3"/>
    <w:rsid w:val="008D006F"/>
    <w:rsid w:val="008D033D"/>
    <w:rsid w:val="008D0DBD"/>
    <w:rsid w:val="008D117E"/>
    <w:rsid w:val="008D127E"/>
    <w:rsid w:val="008D1CA8"/>
    <w:rsid w:val="008D1E0A"/>
    <w:rsid w:val="008D1E6A"/>
    <w:rsid w:val="008D2A16"/>
    <w:rsid w:val="008D33F5"/>
    <w:rsid w:val="008D35E4"/>
    <w:rsid w:val="008D3ACD"/>
    <w:rsid w:val="008D6C3A"/>
    <w:rsid w:val="008D70E2"/>
    <w:rsid w:val="008E0001"/>
    <w:rsid w:val="008E292B"/>
    <w:rsid w:val="008E2C57"/>
    <w:rsid w:val="008E31FF"/>
    <w:rsid w:val="008E3287"/>
    <w:rsid w:val="008E6DCB"/>
    <w:rsid w:val="008E6F06"/>
    <w:rsid w:val="008E7B8E"/>
    <w:rsid w:val="008E7FC9"/>
    <w:rsid w:val="008F0107"/>
    <w:rsid w:val="008F029B"/>
    <w:rsid w:val="008F0589"/>
    <w:rsid w:val="008F2A5D"/>
    <w:rsid w:val="008F3636"/>
    <w:rsid w:val="008F3FC9"/>
    <w:rsid w:val="008F509F"/>
    <w:rsid w:val="008F5383"/>
    <w:rsid w:val="008F585B"/>
    <w:rsid w:val="008F7FB0"/>
    <w:rsid w:val="009003A8"/>
    <w:rsid w:val="009005E4"/>
    <w:rsid w:val="00900977"/>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55E"/>
    <w:rsid w:val="00912437"/>
    <w:rsid w:val="00912A92"/>
    <w:rsid w:val="0091476D"/>
    <w:rsid w:val="00915D07"/>
    <w:rsid w:val="009162AE"/>
    <w:rsid w:val="00917251"/>
    <w:rsid w:val="0091728D"/>
    <w:rsid w:val="0092036B"/>
    <w:rsid w:val="009203CC"/>
    <w:rsid w:val="00920EC4"/>
    <w:rsid w:val="0092180B"/>
    <w:rsid w:val="00921F14"/>
    <w:rsid w:val="0092292F"/>
    <w:rsid w:val="00922D28"/>
    <w:rsid w:val="00923CB0"/>
    <w:rsid w:val="00923D8C"/>
    <w:rsid w:val="00924871"/>
    <w:rsid w:val="00924AC8"/>
    <w:rsid w:val="00925429"/>
    <w:rsid w:val="00925615"/>
    <w:rsid w:val="0092597A"/>
    <w:rsid w:val="00926520"/>
    <w:rsid w:val="00926CF0"/>
    <w:rsid w:val="009273A9"/>
    <w:rsid w:val="00930251"/>
    <w:rsid w:val="0093033E"/>
    <w:rsid w:val="009305FC"/>
    <w:rsid w:val="00930FB1"/>
    <w:rsid w:val="0093139F"/>
    <w:rsid w:val="00932443"/>
    <w:rsid w:val="00932B32"/>
    <w:rsid w:val="00933F4A"/>
    <w:rsid w:val="009341F1"/>
    <w:rsid w:val="00934FF2"/>
    <w:rsid w:val="009358D7"/>
    <w:rsid w:val="00935BD4"/>
    <w:rsid w:val="00935DFE"/>
    <w:rsid w:val="00935F70"/>
    <w:rsid w:val="0093648B"/>
    <w:rsid w:val="009373B2"/>
    <w:rsid w:val="00937AE2"/>
    <w:rsid w:val="0094061F"/>
    <w:rsid w:val="00940F0F"/>
    <w:rsid w:val="0094416B"/>
    <w:rsid w:val="0094427A"/>
    <w:rsid w:val="00944C7C"/>
    <w:rsid w:val="00945245"/>
    <w:rsid w:val="00945523"/>
    <w:rsid w:val="00950921"/>
    <w:rsid w:val="00951D68"/>
    <w:rsid w:val="00951E5B"/>
    <w:rsid w:val="00952050"/>
    <w:rsid w:val="00952B7B"/>
    <w:rsid w:val="00954F39"/>
    <w:rsid w:val="009555FD"/>
    <w:rsid w:val="0095664B"/>
    <w:rsid w:val="009568DC"/>
    <w:rsid w:val="00957140"/>
    <w:rsid w:val="00957445"/>
    <w:rsid w:val="0095759C"/>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A10"/>
    <w:rsid w:val="00965AD0"/>
    <w:rsid w:val="009670A3"/>
    <w:rsid w:val="009674BE"/>
    <w:rsid w:val="00970FB5"/>
    <w:rsid w:val="00971710"/>
    <w:rsid w:val="00971B87"/>
    <w:rsid w:val="00971C77"/>
    <w:rsid w:val="0097203A"/>
    <w:rsid w:val="00972FCD"/>
    <w:rsid w:val="00973324"/>
    <w:rsid w:val="009736DF"/>
    <w:rsid w:val="009741AE"/>
    <w:rsid w:val="009741FC"/>
    <w:rsid w:val="00974782"/>
    <w:rsid w:val="00974923"/>
    <w:rsid w:val="00975909"/>
    <w:rsid w:val="00977C3D"/>
    <w:rsid w:val="00980D3D"/>
    <w:rsid w:val="0098103E"/>
    <w:rsid w:val="0098157D"/>
    <w:rsid w:val="00983101"/>
    <w:rsid w:val="00983E41"/>
    <w:rsid w:val="009845E1"/>
    <w:rsid w:val="00984D1B"/>
    <w:rsid w:val="00986246"/>
    <w:rsid w:val="00987A30"/>
    <w:rsid w:val="00990312"/>
    <w:rsid w:val="0099182E"/>
    <w:rsid w:val="00992BB3"/>
    <w:rsid w:val="00992CF3"/>
    <w:rsid w:val="00993194"/>
    <w:rsid w:val="0099321E"/>
    <w:rsid w:val="00994171"/>
    <w:rsid w:val="00994868"/>
    <w:rsid w:val="00994D28"/>
    <w:rsid w:val="00994F2C"/>
    <w:rsid w:val="009957CC"/>
    <w:rsid w:val="009968D6"/>
    <w:rsid w:val="00997953"/>
    <w:rsid w:val="009A0BFF"/>
    <w:rsid w:val="009A10A0"/>
    <w:rsid w:val="009A1CAB"/>
    <w:rsid w:val="009A2359"/>
    <w:rsid w:val="009A24F1"/>
    <w:rsid w:val="009A27E0"/>
    <w:rsid w:val="009A4D57"/>
    <w:rsid w:val="009A51A5"/>
    <w:rsid w:val="009A60D1"/>
    <w:rsid w:val="009A6225"/>
    <w:rsid w:val="009A64F5"/>
    <w:rsid w:val="009B00D2"/>
    <w:rsid w:val="009B05B3"/>
    <w:rsid w:val="009B0CAF"/>
    <w:rsid w:val="009B1324"/>
    <w:rsid w:val="009B284F"/>
    <w:rsid w:val="009B3764"/>
    <w:rsid w:val="009B52AC"/>
    <w:rsid w:val="009B59EA"/>
    <w:rsid w:val="009B66CE"/>
    <w:rsid w:val="009B6FD3"/>
    <w:rsid w:val="009B72BE"/>
    <w:rsid w:val="009B78A4"/>
    <w:rsid w:val="009B7DB2"/>
    <w:rsid w:val="009C03DB"/>
    <w:rsid w:val="009C15AF"/>
    <w:rsid w:val="009C1750"/>
    <w:rsid w:val="009C2E29"/>
    <w:rsid w:val="009C3E8F"/>
    <w:rsid w:val="009C554B"/>
    <w:rsid w:val="009C5E83"/>
    <w:rsid w:val="009C7126"/>
    <w:rsid w:val="009C719E"/>
    <w:rsid w:val="009C7799"/>
    <w:rsid w:val="009D07A9"/>
    <w:rsid w:val="009D0AE2"/>
    <w:rsid w:val="009D0D9F"/>
    <w:rsid w:val="009D0EBB"/>
    <w:rsid w:val="009D2C46"/>
    <w:rsid w:val="009D3ACD"/>
    <w:rsid w:val="009D4254"/>
    <w:rsid w:val="009D4F21"/>
    <w:rsid w:val="009D587D"/>
    <w:rsid w:val="009D7731"/>
    <w:rsid w:val="009E1120"/>
    <w:rsid w:val="009E1393"/>
    <w:rsid w:val="009E1922"/>
    <w:rsid w:val="009E1A3D"/>
    <w:rsid w:val="009E4715"/>
    <w:rsid w:val="009E4A58"/>
    <w:rsid w:val="009E5273"/>
    <w:rsid w:val="009E57A8"/>
    <w:rsid w:val="009E5B85"/>
    <w:rsid w:val="009E5DDB"/>
    <w:rsid w:val="009F2921"/>
    <w:rsid w:val="009F42CF"/>
    <w:rsid w:val="009F4982"/>
    <w:rsid w:val="009F4CA7"/>
    <w:rsid w:val="009F4F6A"/>
    <w:rsid w:val="009F55BA"/>
    <w:rsid w:val="009F7D36"/>
    <w:rsid w:val="009F7D61"/>
    <w:rsid w:val="00A00E71"/>
    <w:rsid w:val="00A0306F"/>
    <w:rsid w:val="00A03B10"/>
    <w:rsid w:val="00A03E2E"/>
    <w:rsid w:val="00A04616"/>
    <w:rsid w:val="00A04717"/>
    <w:rsid w:val="00A05D8F"/>
    <w:rsid w:val="00A05EE4"/>
    <w:rsid w:val="00A06F99"/>
    <w:rsid w:val="00A1053B"/>
    <w:rsid w:val="00A10D66"/>
    <w:rsid w:val="00A113A4"/>
    <w:rsid w:val="00A14114"/>
    <w:rsid w:val="00A16413"/>
    <w:rsid w:val="00A16545"/>
    <w:rsid w:val="00A16AED"/>
    <w:rsid w:val="00A16C37"/>
    <w:rsid w:val="00A16E1D"/>
    <w:rsid w:val="00A171D5"/>
    <w:rsid w:val="00A17A15"/>
    <w:rsid w:val="00A17D5B"/>
    <w:rsid w:val="00A2016A"/>
    <w:rsid w:val="00A201E1"/>
    <w:rsid w:val="00A20FE1"/>
    <w:rsid w:val="00A21B4D"/>
    <w:rsid w:val="00A22073"/>
    <w:rsid w:val="00A223E0"/>
    <w:rsid w:val="00A22959"/>
    <w:rsid w:val="00A23158"/>
    <w:rsid w:val="00A23847"/>
    <w:rsid w:val="00A23E43"/>
    <w:rsid w:val="00A24726"/>
    <w:rsid w:val="00A24DEB"/>
    <w:rsid w:val="00A24ED9"/>
    <w:rsid w:val="00A251DB"/>
    <w:rsid w:val="00A25216"/>
    <w:rsid w:val="00A2597D"/>
    <w:rsid w:val="00A2628E"/>
    <w:rsid w:val="00A266BF"/>
    <w:rsid w:val="00A2731E"/>
    <w:rsid w:val="00A309AC"/>
    <w:rsid w:val="00A30F65"/>
    <w:rsid w:val="00A3279E"/>
    <w:rsid w:val="00A33DB1"/>
    <w:rsid w:val="00A33EEB"/>
    <w:rsid w:val="00A35900"/>
    <w:rsid w:val="00A40EAC"/>
    <w:rsid w:val="00A418BC"/>
    <w:rsid w:val="00A419FF"/>
    <w:rsid w:val="00A41FCF"/>
    <w:rsid w:val="00A42936"/>
    <w:rsid w:val="00A43CF8"/>
    <w:rsid w:val="00A43DF2"/>
    <w:rsid w:val="00A445A8"/>
    <w:rsid w:val="00A44B0D"/>
    <w:rsid w:val="00A44D21"/>
    <w:rsid w:val="00A45087"/>
    <w:rsid w:val="00A45489"/>
    <w:rsid w:val="00A45CED"/>
    <w:rsid w:val="00A465E9"/>
    <w:rsid w:val="00A468E7"/>
    <w:rsid w:val="00A46DE0"/>
    <w:rsid w:val="00A478BA"/>
    <w:rsid w:val="00A50D73"/>
    <w:rsid w:val="00A518BB"/>
    <w:rsid w:val="00A52A88"/>
    <w:rsid w:val="00A52CAD"/>
    <w:rsid w:val="00A53FC7"/>
    <w:rsid w:val="00A55569"/>
    <w:rsid w:val="00A566A0"/>
    <w:rsid w:val="00A601E7"/>
    <w:rsid w:val="00A60AC1"/>
    <w:rsid w:val="00A626FF"/>
    <w:rsid w:val="00A62CE1"/>
    <w:rsid w:val="00A65469"/>
    <w:rsid w:val="00A65528"/>
    <w:rsid w:val="00A655D3"/>
    <w:rsid w:val="00A662D9"/>
    <w:rsid w:val="00A6741E"/>
    <w:rsid w:val="00A67E29"/>
    <w:rsid w:val="00A7016A"/>
    <w:rsid w:val="00A7018D"/>
    <w:rsid w:val="00A7191D"/>
    <w:rsid w:val="00A722F9"/>
    <w:rsid w:val="00A72D42"/>
    <w:rsid w:val="00A746C9"/>
    <w:rsid w:val="00A74C2A"/>
    <w:rsid w:val="00A75E40"/>
    <w:rsid w:val="00A76818"/>
    <w:rsid w:val="00A77D1D"/>
    <w:rsid w:val="00A81652"/>
    <w:rsid w:val="00A82C91"/>
    <w:rsid w:val="00A83150"/>
    <w:rsid w:val="00A83398"/>
    <w:rsid w:val="00A83D6E"/>
    <w:rsid w:val="00A83FD5"/>
    <w:rsid w:val="00A8521A"/>
    <w:rsid w:val="00A857C0"/>
    <w:rsid w:val="00A85ACB"/>
    <w:rsid w:val="00A90F2C"/>
    <w:rsid w:val="00A90FED"/>
    <w:rsid w:val="00A91482"/>
    <w:rsid w:val="00A9189D"/>
    <w:rsid w:val="00A91E71"/>
    <w:rsid w:val="00A925B1"/>
    <w:rsid w:val="00A92A3E"/>
    <w:rsid w:val="00A934F9"/>
    <w:rsid w:val="00A940E3"/>
    <w:rsid w:val="00A94983"/>
    <w:rsid w:val="00A95F1A"/>
    <w:rsid w:val="00A96116"/>
    <w:rsid w:val="00A9614E"/>
    <w:rsid w:val="00A96422"/>
    <w:rsid w:val="00A96C0F"/>
    <w:rsid w:val="00A97075"/>
    <w:rsid w:val="00AA0E80"/>
    <w:rsid w:val="00AA17CD"/>
    <w:rsid w:val="00AA1D85"/>
    <w:rsid w:val="00AA212F"/>
    <w:rsid w:val="00AA26A9"/>
    <w:rsid w:val="00AA2996"/>
    <w:rsid w:val="00AA2AF4"/>
    <w:rsid w:val="00AA4282"/>
    <w:rsid w:val="00AA43F2"/>
    <w:rsid w:val="00AA4790"/>
    <w:rsid w:val="00AA52BF"/>
    <w:rsid w:val="00AA559A"/>
    <w:rsid w:val="00AA6C31"/>
    <w:rsid w:val="00AA7752"/>
    <w:rsid w:val="00AA7CE8"/>
    <w:rsid w:val="00AB1457"/>
    <w:rsid w:val="00AB2AF1"/>
    <w:rsid w:val="00AB3BA7"/>
    <w:rsid w:val="00AB3EC7"/>
    <w:rsid w:val="00AB5A64"/>
    <w:rsid w:val="00AB5CA1"/>
    <w:rsid w:val="00AB6456"/>
    <w:rsid w:val="00AB75C5"/>
    <w:rsid w:val="00AC044E"/>
    <w:rsid w:val="00AC2118"/>
    <w:rsid w:val="00AC2395"/>
    <w:rsid w:val="00AC2960"/>
    <w:rsid w:val="00AC2AC4"/>
    <w:rsid w:val="00AC4284"/>
    <w:rsid w:val="00AC45BD"/>
    <w:rsid w:val="00AC50BB"/>
    <w:rsid w:val="00AD0B22"/>
    <w:rsid w:val="00AD0EE7"/>
    <w:rsid w:val="00AD168E"/>
    <w:rsid w:val="00AD306C"/>
    <w:rsid w:val="00AD44CD"/>
    <w:rsid w:val="00AD5AD2"/>
    <w:rsid w:val="00AD6462"/>
    <w:rsid w:val="00AD66C5"/>
    <w:rsid w:val="00AD68C4"/>
    <w:rsid w:val="00AD71F9"/>
    <w:rsid w:val="00AE09B3"/>
    <w:rsid w:val="00AE1A83"/>
    <w:rsid w:val="00AE30BE"/>
    <w:rsid w:val="00AE3E6A"/>
    <w:rsid w:val="00AE6414"/>
    <w:rsid w:val="00AE7269"/>
    <w:rsid w:val="00AE797C"/>
    <w:rsid w:val="00AE7CE7"/>
    <w:rsid w:val="00AE7FAB"/>
    <w:rsid w:val="00AF0DE4"/>
    <w:rsid w:val="00AF1E87"/>
    <w:rsid w:val="00AF436B"/>
    <w:rsid w:val="00AF5179"/>
    <w:rsid w:val="00AF5CC2"/>
    <w:rsid w:val="00AF6776"/>
    <w:rsid w:val="00AF6F98"/>
    <w:rsid w:val="00B00550"/>
    <w:rsid w:val="00B00913"/>
    <w:rsid w:val="00B01593"/>
    <w:rsid w:val="00B01FF9"/>
    <w:rsid w:val="00B023F2"/>
    <w:rsid w:val="00B026FE"/>
    <w:rsid w:val="00B038CA"/>
    <w:rsid w:val="00B05F00"/>
    <w:rsid w:val="00B06DB4"/>
    <w:rsid w:val="00B0750D"/>
    <w:rsid w:val="00B0799C"/>
    <w:rsid w:val="00B102CE"/>
    <w:rsid w:val="00B10A4D"/>
    <w:rsid w:val="00B10C90"/>
    <w:rsid w:val="00B11002"/>
    <w:rsid w:val="00B1114F"/>
    <w:rsid w:val="00B121B2"/>
    <w:rsid w:val="00B131B1"/>
    <w:rsid w:val="00B141B6"/>
    <w:rsid w:val="00B14BC1"/>
    <w:rsid w:val="00B162C3"/>
    <w:rsid w:val="00B16DD1"/>
    <w:rsid w:val="00B16EB8"/>
    <w:rsid w:val="00B17E71"/>
    <w:rsid w:val="00B17FDE"/>
    <w:rsid w:val="00B20632"/>
    <w:rsid w:val="00B2379C"/>
    <w:rsid w:val="00B23D5D"/>
    <w:rsid w:val="00B23E6E"/>
    <w:rsid w:val="00B2450C"/>
    <w:rsid w:val="00B2687D"/>
    <w:rsid w:val="00B3108D"/>
    <w:rsid w:val="00B32DDB"/>
    <w:rsid w:val="00B32F57"/>
    <w:rsid w:val="00B3345C"/>
    <w:rsid w:val="00B34528"/>
    <w:rsid w:val="00B34CC9"/>
    <w:rsid w:val="00B34CDA"/>
    <w:rsid w:val="00B3563B"/>
    <w:rsid w:val="00B36BDC"/>
    <w:rsid w:val="00B37D3A"/>
    <w:rsid w:val="00B37D96"/>
    <w:rsid w:val="00B402FC"/>
    <w:rsid w:val="00B422E2"/>
    <w:rsid w:val="00B42D5F"/>
    <w:rsid w:val="00B43216"/>
    <w:rsid w:val="00B439DA"/>
    <w:rsid w:val="00B4411A"/>
    <w:rsid w:val="00B45FE8"/>
    <w:rsid w:val="00B46604"/>
    <w:rsid w:val="00B47089"/>
    <w:rsid w:val="00B47587"/>
    <w:rsid w:val="00B52151"/>
    <w:rsid w:val="00B530CD"/>
    <w:rsid w:val="00B53639"/>
    <w:rsid w:val="00B53C7D"/>
    <w:rsid w:val="00B53E56"/>
    <w:rsid w:val="00B55A97"/>
    <w:rsid w:val="00B55F5E"/>
    <w:rsid w:val="00B5642C"/>
    <w:rsid w:val="00B5658D"/>
    <w:rsid w:val="00B56B6F"/>
    <w:rsid w:val="00B5752E"/>
    <w:rsid w:val="00B60AC1"/>
    <w:rsid w:val="00B61FF6"/>
    <w:rsid w:val="00B62316"/>
    <w:rsid w:val="00B63A11"/>
    <w:rsid w:val="00B64425"/>
    <w:rsid w:val="00B64C24"/>
    <w:rsid w:val="00B65CEF"/>
    <w:rsid w:val="00B6608F"/>
    <w:rsid w:val="00B67749"/>
    <w:rsid w:val="00B679FB"/>
    <w:rsid w:val="00B71FBF"/>
    <w:rsid w:val="00B734A0"/>
    <w:rsid w:val="00B73A14"/>
    <w:rsid w:val="00B748BD"/>
    <w:rsid w:val="00B7680F"/>
    <w:rsid w:val="00B76B48"/>
    <w:rsid w:val="00B76D1E"/>
    <w:rsid w:val="00B77543"/>
    <w:rsid w:val="00B77584"/>
    <w:rsid w:val="00B80D89"/>
    <w:rsid w:val="00B80EC6"/>
    <w:rsid w:val="00B81288"/>
    <w:rsid w:val="00B81D70"/>
    <w:rsid w:val="00B833B9"/>
    <w:rsid w:val="00B83AAF"/>
    <w:rsid w:val="00B83E07"/>
    <w:rsid w:val="00B84CF6"/>
    <w:rsid w:val="00B85016"/>
    <w:rsid w:val="00B8561A"/>
    <w:rsid w:val="00B86628"/>
    <w:rsid w:val="00B86643"/>
    <w:rsid w:val="00B868F7"/>
    <w:rsid w:val="00B90131"/>
    <w:rsid w:val="00B92951"/>
    <w:rsid w:val="00B92D1D"/>
    <w:rsid w:val="00B92D7E"/>
    <w:rsid w:val="00B930CE"/>
    <w:rsid w:val="00B938C5"/>
    <w:rsid w:val="00B940A8"/>
    <w:rsid w:val="00B9554A"/>
    <w:rsid w:val="00B95940"/>
    <w:rsid w:val="00B95ACA"/>
    <w:rsid w:val="00B96D74"/>
    <w:rsid w:val="00B9720E"/>
    <w:rsid w:val="00B97ACC"/>
    <w:rsid w:val="00B97FE2"/>
    <w:rsid w:val="00BA0E0B"/>
    <w:rsid w:val="00BA201A"/>
    <w:rsid w:val="00BA361D"/>
    <w:rsid w:val="00BA3787"/>
    <w:rsid w:val="00BA403A"/>
    <w:rsid w:val="00BA46E8"/>
    <w:rsid w:val="00BA4AE9"/>
    <w:rsid w:val="00BA4E19"/>
    <w:rsid w:val="00BA6436"/>
    <w:rsid w:val="00BA64F2"/>
    <w:rsid w:val="00BA684E"/>
    <w:rsid w:val="00BA6C2B"/>
    <w:rsid w:val="00BA7B64"/>
    <w:rsid w:val="00BB02A3"/>
    <w:rsid w:val="00BB0351"/>
    <w:rsid w:val="00BB15C3"/>
    <w:rsid w:val="00BB1AF4"/>
    <w:rsid w:val="00BB2202"/>
    <w:rsid w:val="00BB3C6B"/>
    <w:rsid w:val="00BB3FD6"/>
    <w:rsid w:val="00BB453F"/>
    <w:rsid w:val="00BB46F3"/>
    <w:rsid w:val="00BB4A71"/>
    <w:rsid w:val="00BB4CB1"/>
    <w:rsid w:val="00BB4F98"/>
    <w:rsid w:val="00BB5AB2"/>
    <w:rsid w:val="00BB5ABF"/>
    <w:rsid w:val="00BB6EA2"/>
    <w:rsid w:val="00BB7B5B"/>
    <w:rsid w:val="00BB7EB1"/>
    <w:rsid w:val="00BC003F"/>
    <w:rsid w:val="00BC0930"/>
    <w:rsid w:val="00BC327F"/>
    <w:rsid w:val="00BC3512"/>
    <w:rsid w:val="00BC4B35"/>
    <w:rsid w:val="00BC50BE"/>
    <w:rsid w:val="00BC5332"/>
    <w:rsid w:val="00BC5715"/>
    <w:rsid w:val="00BC5C12"/>
    <w:rsid w:val="00BC641B"/>
    <w:rsid w:val="00BC7154"/>
    <w:rsid w:val="00BC731E"/>
    <w:rsid w:val="00BC7614"/>
    <w:rsid w:val="00BD041B"/>
    <w:rsid w:val="00BD25BB"/>
    <w:rsid w:val="00BD2AF8"/>
    <w:rsid w:val="00BD366B"/>
    <w:rsid w:val="00BD3C09"/>
    <w:rsid w:val="00BD410B"/>
    <w:rsid w:val="00BD4A73"/>
    <w:rsid w:val="00BD6C75"/>
    <w:rsid w:val="00BD6D50"/>
    <w:rsid w:val="00BD73D2"/>
    <w:rsid w:val="00BE0AD1"/>
    <w:rsid w:val="00BE0EF9"/>
    <w:rsid w:val="00BE10A1"/>
    <w:rsid w:val="00BE18B9"/>
    <w:rsid w:val="00BE190A"/>
    <w:rsid w:val="00BE2495"/>
    <w:rsid w:val="00BE24DD"/>
    <w:rsid w:val="00BE386D"/>
    <w:rsid w:val="00BE54BF"/>
    <w:rsid w:val="00BE557B"/>
    <w:rsid w:val="00BE7F5F"/>
    <w:rsid w:val="00BF02C8"/>
    <w:rsid w:val="00BF1578"/>
    <w:rsid w:val="00BF15CA"/>
    <w:rsid w:val="00BF1D12"/>
    <w:rsid w:val="00BF1D3A"/>
    <w:rsid w:val="00BF2B5B"/>
    <w:rsid w:val="00BF2D41"/>
    <w:rsid w:val="00BF3274"/>
    <w:rsid w:val="00BF32DC"/>
    <w:rsid w:val="00BF4329"/>
    <w:rsid w:val="00BF4E43"/>
    <w:rsid w:val="00BF5C4C"/>
    <w:rsid w:val="00BF77FC"/>
    <w:rsid w:val="00C006D6"/>
    <w:rsid w:val="00C00BD7"/>
    <w:rsid w:val="00C01410"/>
    <w:rsid w:val="00C0498E"/>
    <w:rsid w:val="00C04B78"/>
    <w:rsid w:val="00C052AA"/>
    <w:rsid w:val="00C06EE3"/>
    <w:rsid w:val="00C07749"/>
    <w:rsid w:val="00C11244"/>
    <w:rsid w:val="00C11D48"/>
    <w:rsid w:val="00C1246C"/>
    <w:rsid w:val="00C1493E"/>
    <w:rsid w:val="00C15DBD"/>
    <w:rsid w:val="00C161C5"/>
    <w:rsid w:val="00C2010D"/>
    <w:rsid w:val="00C20CB5"/>
    <w:rsid w:val="00C21430"/>
    <w:rsid w:val="00C216DF"/>
    <w:rsid w:val="00C21E61"/>
    <w:rsid w:val="00C21F94"/>
    <w:rsid w:val="00C224BD"/>
    <w:rsid w:val="00C234DB"/>
    <w:rsid w:val="00C2479A"/>
    <w:rsid w:val="00C24903"/>
    <w:rsid w:val="00C2590D"/>
    <w:rsid w:val="00C25D9C"/>
    <w:rsid w:val="00C27913"/>
    <w:rsid w:val="00C300E2"/>
    <w:rsid w:val="00C31F21"/>
    <w:rsid w:val="00C32631"/>
    <w:rsid w:val="00C33301"/>
    <w:rsid w:val="00C33311"/>
    <w:rsid w:val="00C33B68"/>
    <w:rsid w:val="00C34AD4"/>
    <w:rsid w:val="00C35570"/>
    <w:rsid w:val="00C35A2A"/>
    <w:rsid w:val="00C36A79"/>
    <w:rsid w:val="00C401A9"/>
    <w:rsid w:val="00C401D2"/>
    <w:rsid w:val="00C4031A"/>
    <w:rsid w:val="00C405D4"/>
    <w:rsid w:val="00C419D5"/>
    <w:rsid w:val="00C41D54"/>
    <w:rsid w:val="00C42EBB"/>
    <w:rsid w:val="00C4513B"/>
    <w:rsid w:val="00C475E8"/>
    <w:rsid w:val="00C50E79"/>
    <w:rsid w:val="00C5197D"/>
    <w:rsid w:val="00C525FB"/>
    <w:rsid w:val="00C5390B"/>
    <w:rsid w:val="00C54257"/>
    <w:rsid w:val="00C54697"/>
    <w:rsid w:val="00C550CE"/>
    <w:rsid w:val="00C553A5"/>
    <w:rsid w:val="00C55402"/>
    <w:rsid w:val="00C5603B"/>
    <w:rsid w:val="00C60AE3"/>
    <w:rsid w:val="00C61F47"/>
    <w:rsid w:val="00C62828"/>
    <w:rsid w:val="00C715CC"/>
    <w:rsid w:val="00C719A3"/>
    <w:rsid w:val="00C71D2F"/>
    <w:rsid w:val="00C72984"/>
    <w:rsid w:val="00C73885"/>
    <w:rsid w:val="00C73C93"/>
    <w:rsid w:val="00C7435A"/>
    <w:rsid w:val="00C747B1"/>
    <w:rsid w:val="00C75510"/>
    <w:rsid w:val="00C755F9"/>
    <w:rsid w:val="00C75752"/>
    <w:rsid w:val="00C770C9"/>
    <w:rsid w:val="00C81070"/>
    <w:rsid w:val="00C8174E"/>
    <w:rsid w:val="00C82191"/>
    <w:rsid w:val="00C83134"/>
    <w:rsid w:val="00C831E7"/>
    <w:rsid w:val="00C832F3"/>
    <w:rsid w:val="00C84307"/>
    <w:rsid w:val="00C845A4"/>
    <w:rsid w:val="00C85545"/>
    <w:rsid w:val="00C855B5"/>
    <w:rsid w:val="00C85F0E"/>
    <w:rsid w:val="00C90CF4"/>
    <w:rsid w:val="00C91C20"/>
    <w:rsid w:val="00C922DE"/>
    <w:rsid w:val="00C92843"/>
    <w:rsid w:val="00C92EB6"/>
    <w:rsid w:val="00C93389"/>
    <w:rsid w:val="00C948E6"/>
    <w:rsid w:val="00C94CDD"/>
    <w:rsid w:val="00C97588"/>
    <w:rsid w:val="00CA0346"/>
    <w:rsid w:val="00CA0DA1"/>
    <w:rsid w:val="00CA1BD6"/>
    <w:rsid w:val="00CA37FF"/>
    <w:rsid w:val="00CA423A"/>
    <w:rsid w:val="00CA47BC"/>
    <w:rsid w:val="00CA5EAD"/>
    <w:rsid w:val="00CA6AB4"/>
    <w:rsid w:val="00CA7255"/>
    <w:rsid w:val="00CB1BEE"/>
    <w:rsid w:val="00CB2351"/>
    <w:rsid w:val="00CB4930"/>
    <w:rsid w:val="00CB4BA9"/>
    <w:rsid w:val="00CB4C63"/>
    <w:rsid w:val="00CB5A48"/>
    <w:rsid w:val="00CB5E10"/>
    <w:rsid w:val="00CB613B"/>
    <w:rsid w:val="00CB6152"/>
    <w:rsid w:val="00CB64E1"/>
    <w:rsid w:val="00CB6E4D"/>
    <w:rsid w:val="00CC009B"/>
    <w:rsid w:val="00CC0834"/>
    <w:rsid w:val="00CC0AEA"/>
    <w:rsid w:val="00CC20FE"/>
    <w:rsid w:val="00CC2E7D"/>
    <w:rsid w:val="00CC5BE8"/>
    <w:rsid w:val="00CC612B"/>
    <w:rsid w:val="00CC655F"/>
    <w:rsid w:val="00CC66F9"/>
    <w:rsid w:val="00CC6C2A"/>
    <w:rsid w:val="00CC6FE5"/>
    <w:rsid w:val="00CC7458"/>
    <w:rsid w:val="00CC76BD"/>
    <w:rsid w:val="00CC7A87"/>
    <w:rsid w:val="00CD0D6B"/>
    <w:rsid w:val="00CD10A5"/>
    <w:rsid w:val="00CD1129"/>
    <w:rsid w:val="00CD1A80"/>
    <w:rsid w:val="00CD1CB5"/>
    <w:rsid w:val="00CD2076"/>
    <w:rsid w:val="00CD24CE"/>
    <w:rsid w:val="00CD29B5"/>
    <w:rsid w:val="00CD2B78"/>
    <w:rsid w:val="00CD3FAB"/>
    <w:rsid w:val="00CD5456"/>
    <w:rsid w:val="00CD5C3E"/>
    <w:rsid w:val="00CD5C57"/>
    <w:rsid w:val="00CD6331"/>
    <w:rsid w:val="00CE14BE"/>
    <w:rsid w:val="00CE17A4"/>
    <w:rsid w:val="00CE1BA9"/>
    <w:rsid w:val="00CE2D8F"/>
    <w:rsid w:val="00CE3E48"/>
    <w:rsid w:val="00CE47B8"/>
    <w:rsid w:val="00CE62FA"/>
    <w:rsid w:val="00CE670B"/>
    <w:rsid w:val="00CE6833"/>
    <w:rsid w:val="00CF020B"/>
    <w:rsid w:val="00CF15BF"/>
    <w:rsid w:val="00CF2E4D"/>
    <w:rsid w:val="00CF4205"/>
    <w:rsid w:val="00CF4908"/>
    <w:rsid w:val="00CF51EC"/>
    <w:rsid w:val="00CF545D"/>
    <w:rsid w:val="00CF5873"/>
    <w:rsid w:val="00CF73AE"/>
    <w:rsid w:val="00CF7777"/>
    <w:rsid w:val="00D0085A"/>
    <w:rsid w:val="00D0197F"/>
    <w:rsid w:val="00D01B31"/>
    <w:rsid w:val="00D0242D"/>
    <w:rsid w:val="00D02716"/>
    <w:rsid w:val="00D03A72"/>
    <w:rsid w:val="00D040DD"/>
    <w:rsid w:val="00D04134"/>
    <w:rsid w:val="00D05C65"/>
    <w:rsid w:val="00D06B56"/>
    <w:rsid w:val="00D06D68"/>
    <w:rsid w:val="00D075BE"/>
    <w:rsid w:val="00D07AFF"/>
    <w:rsid w:val="00D10C15"/>
    <w:rsid w:val="00D11011"/>
    <w:rsid w:val="00D11476"/>
    <w:rsid w:val="00D12C25"/>
    <w:rsid w:val="00D133B4"/>
    <w:rsid w:val="00D13986"/>
    <w:rsid w:val="00D14C5B"/>
    <w:rsid w:val="00D15FED"/>
    <w:rsid w:val="00D16712"/>
    <w:rsid w:val="00D214EF"/>
    <w:rsid w:val="00D215B0"/>
    <w:rsid w:val="00D21D6D"/>
    <w:rsid w:val="00D21D83"/>
    <w:rsid w:val="00D22A47"/>
    <w:rsid w:val="00D235B7"/>
    <w:rsid w:val="00D23FAE"/>
    <w:rsid w:val="00D25F28"/>
    <w:rsid w:val="00D26071"/>
    <w:rsid w:val="00D260C7"/>
    <w:rsid w:val="00D269B9"/>
    <w:rsid w:val="00D27973"/>
    <w:rsid w:val="00D27F3A"/>
    <w:rsid w:val="00D31537"/>
    <w:rsid w:val="00D31E1E"/>
    <w:rsid w:val="00D322A0"/>
    <w:rsid w:val="00D32824"/>
    <w:rsid w:val="00D334E2"/>
    <w:rsid w:val="00D350B1"/>
    <w:rsid w:val="00D35AD6"/>
    <w:rsid w:val="00D35BBB"/>
    <w:rsid w:val="00D35E1A"/>
    <w:rsid w:val="00D36B0A"/>
    <w:rsid w:val="00D36DFB"/>
    <w:rsid w:val="00D36E1C"/>
    <w:rsid w:val="00D373AF"/>
    <w:rsid w:val="00D40556"/>
    <w:rsid w:val="00D41F74"/>
    <w:rsid w:val="00D428C8"/>
    <w:rsid w:val="00D43034"/>
    <w:rsid w:val="00D43ED2"/>
    <w:rsid w:val="00D50F46"/>
    <w:rsid w:val="00D5384E"/>
    <w:rsid w:val="00D544E7"/>
    <w:rsid w:val="00D5499F"/>
    <w:rsid w:val="00D5560A"/>
    <w:rsid w:val="00D56FBF"/>
    <w:rsid w:val="00D57677"/>
    <w:rsid w:val="00D5781F"/>
    <w:rsid w:val="00D60415"/>
    <w:rsid w:val="00D60E3C"/>
    <w:rsid w:val="00D61FAB"/>
    <w:rsid w:val="00D63BE5"/>
    <w:rsid w:val="00D6475F"/>
    <w:rsid w:val="00D655D4"/>
    <w:rsid w:val="00D66223"/>
    <w:rsid w:val="00D667B8"/>
    <w:rsid w:val="00D67D55"/>
    <w:rsid w:val="00D70289"/>
    <w:rsid w:val="00D70822"/>
    <w:rsid w:val="00D72076"/>
    <w:rsid w:val="00D721B4"/>
    <w:rsid w:val="00D726A9"/>
    <w:rsid w:val="00D72DBA"/>
    <w:rsid w:val="00D743E0"/>
    <w:rsid w:val="00D7490C"/>
    <w:rsid w:val="00D75AC1"/>
    <w:rsid w:val="00D77252"/>
    <w:rsid w:val="00D8084C"/>
    <w:rsid w:val="00D81809"/>
    <w:rsid w:val="00D82EF1"/>
    <w:rsid w:val="00D84CC9"/>
    <w:rsid w:val="00D84F43"/>
    <w:rsid w:val="00D85114"/>
    <w:rsid w:val="00D85821"/>
    <w:rsid w:val="00D8598C"/>
    <w:rsid w:val="00D87C06"/>
    <w:rsid w:val="00D915EA"/>
    <w:rsid w:val="00D919ED"/>
    <w:rsid w:val="00D922A1"/>
    <w:rsid w:val="00D928BE"/>
    <w:rsid w:val="00D932B8"/>
    <w:rsid w:val="00D95302"/>
    <w:rsid w:val="00D95889"/>
    <w:rsid w:val="00D95C5D"/>
    <w:rsid w:val="00D97D00"/>
    <w:rsid w:val="00DA096C"/>
    <w:rsid w:val="00DA1AB6"/>
    <w:rsid w:val="00DA2E65"/>
    <w:rsid w:val="00DA3ADF"/>
    <w:rsid w:val="00DA4174"/>
    <w:rsid w:val="00DA544C"/>
    <w:rsid w:val="00DA5F8E"/>
    <w:rsid w:val="00DA6364"/>
    <w:rsid w:val="00DA7114"/>
    <w:rsid w:val="00DA7C0C"/>
    <w:rsid w:val="00DB03DD"/>
    <w:rsid w:val="00DB08A9"/>
    <w:rsid w:val="00DB0B33"/>
    <w:rsid w:val="00DB0FD9"/>
    <w:rsid w:val="00DB2DFA"/>
    <w:rsid w:val="00DB2EC8"/>
    <w:rsid w:val="00DB321D"/>
    <w:rsid w:val="00DB459B"/>
    <w:rsid w:val="00DB47FD"/>
    <w:rsid w:val="00DB5E3A"/>
    <w:rsid w:val="00DB5E9A"/>
    <w:rsid w:val="00DB613B"/>
    <w:rsid w:val="00DB657E"/>
    <w:rsid w:val="00DB7342"/>
    <w:rsid w:val="00DB7489"/>
    <w:rsid w:val="00DC17D0"/>
    <w:rsid w:val="00DC2B41"/>
    <w:rsid w:val="00DC3128"/>
    <w:rsid w:val="00DC435B"/>
    <w:rsid w:val="00DC53D8"/>
    <w:rsid w:val="00DC56FE"/>
    <w:rsid w:val="00DC5B3B"/>
    <w:rsid w:val="00DC6C2D"/>
    <w:rsid w:val="00DC7B1A"/>
    <w:rsid w:val="00DD04B0"/>
    <w:rsid w:val="00DD129F"/>
    <w:rsid w:val="00DD13FC"/>
    <w:rsid w:val="00DD1A3F"/>
    <w:rsid w:val="00DD29B5"/>
    <w:rsid w:val="00DD32DD"/>
    <w:rsid w:val="00DD33E8"/>
    <w:rsid w:val="00DD5287"/>
    <w:rsid w:val="00DD5B36"/>
    <w:rsid w:val="00DD7849"/>
    <w:rsid w:val="00DE03DE"/>
    <w:rsid w:val="00DE0D8B"/>
    <w:rsid w:val="00DE1237"/>
    <w:rsid w:val="00DE140F"/>
    <w:rsid w:val="00DE17E9"/>
    <w:rsid w:val="00DE2491"/>
    <w:rsid w:val="00DE450F"/>
    <w:rsid w:val="00DE5CA6"/>
    <w:rsid w:val="00DE7AC8"/>
    <w:rsid w:val="00DF0830"/>
    <w:rsid w:val="00DF2C5D"/>
    <w:rsid w:val="00DF3643"/>
    <w:rsid w:val="00DF42FF"/>
    <w:rsid w:val="00DF4369"/>
    <w:rsid w:val="00DF4423"/>
    <w:rsid w:val="00DF4ADF"/>
    <w:rsid w:val="00DF57D6"/>
    <w:rsid w:val="00DF5D1E"/>
    <w:rsid w:val="00DF77E4"/>
    <w:rsid w:val="00DF7F88"/>
    <w:rsid w:val="00E00B88"/>
    <w:rsid w:val="00E01C0E"/>
    <w:rsid w:val="00E0368F"/>
    <w:rsid w:val="00E03D73"/>
    <w:rsid w:val="00E03F9A"/>
    <w:rsid w:val="00E040DA"/>
    <w:rsid w:val="00E04694"/>
    <w:rsid w:val="00E1168B"/>
    <w:rsid w:val="00E12191"/>
    <w:rsid w:val="00E129E7"/>
    <w:rsid w:val="00E12ABE"/>
    <w:rsid w:val="00E12B1E"/>
    <w:rsid w:val="00E13995"/>
    <w:rsid w:val="00E1444C"/>
    <w:rsid w:val="00E17262"/>
    <w:rsid w:val="00E17F36"/>
    <w:rsid w:val="00E20016"/>
    <w:rsid w:val="00E2009B"/>
    <w:rsid w:val="00E20BB9"/>
    <w:rsid w:val="00E20BCC"/>
    <w:rsid w:val="00E2251C"/>
    <w:rsid w:val="00E2363D"/>
    <w:rsid w:val="00E23C6A"/>
    <w:rsid w:val="00E2484B"/>
    <w:rsid w:val="00E253A2"/>
    <w:rsid w:val="00E260F6"/>
    <w:rsid w:val="00E27127"/>
    <w:rsid w:val="00E27233"/>
    <w:rsid w:val="00E30F15"/>
    <w:rsid w:val="00E31771"/>
    <w:rsid w:val="00E3186D"/>
    <w:rsid w:val="00E31A3E"/>
    <w:rsid w:val="00E32080"/>
    <w:rsid w:val="00E3309D"/>
    <w:rsid w:val="00E350B1"/>
    <w:rsid w:val="00E35A53"/>
    <w:rsid w:val="00E3634A"/>
    <w:rsid w:val="00E3656B"/>
    <w:rsid w:val="00E3724A"/>
    <w:rsid w:val="00E378B1"/>
    <w:rsid w:val="00E417BE"/>
    <w:rsid w:val="00E41CD5"/>
    <w:rsid w:val="00E42054"/>
    <w:rsid w:val="00E4372D"/>
    <w:rsid w:val="00E43A9E"/>
    <w:rsid w:val="00E44243"/>
    <w:rsid w:val="00E453F9"/>
    <w:rsid w:val="00E45D7D"/>
    <w:rsid w:val="00E4623F"/>
    <w:rsid w:val="00E4665D"/>
    <w:rsid w:val="00E47854"/>
    <w:rsid w:val="00E47EBA"/>
    <w:rsid w:val="00E50156"/>
    <w:rsid w:val="00E504EB"/>
    <w:rsid w:val="00E5076C"/>
    <w:rsid w:val="00E50D2E"/>
    <w:rsid w:val="00E50D7D"/>
    <w:rsid w:val="00E51EF0"/>
    <w:rsid w:val="00E53470"/>
    <w:rsid w:val="00E5368D"/>
    <w:rsid w:val="00E539F6"/>
    <w:rsid w:val="00E54698"/>
    <w:rsid w:val="00E54FB4"/>
    <w:rsid w:val="00E5539A"/>
    <w:rsid w:val="00E55791"/>
    <w:rsid w:val="00E55E1A"/>
    <w:rsid w:val="00E578A2"/>
    <w:rsid w:val="00E579ED"/>
    <w:rsid w:val="00E60043"/>
    <w:rsid w:val="00E61740"/>
    <w:rsid w:val="00E61EB5"/>
    <w:rsid w:val="00E6324D"/>
    <w:rsid w:val="00E65084"/>
    <w:rsid w:val="00E6519D"/>
    <w:rsid w:val="00E66062"/>
    <w:rsid w:val="00E6660E"/>
    <w:rsid w:val="00E66768"/>
    <w:rsid w:val="00E67305"/>
    <w:rsid w:val="00E67696"/>
    <w:rsid w:val="00E70C5F"/>
    <w:rsid w:val="00E71A58"/>
    <w:rsid w:val="00E72A26"/>
    <w:rsid w:val="00E72A7A"/>
    <w:rsid w:val="00E7335A"/>
    <w:rsid w:val="00E7467D"/>
    <w:rsid w:val="00E747DC"/>
    <w:rsid w:val="00E74A2D"/>
    <w:rsid w:val="00E75C94"/>
    <w:rsid w:val="00E76A08"/>
    <w:rsid w:val="00E76B9B"/>
    <w:rsid w:val="00E76E61"/>
    <w:rsid w:val="00E77CC0"/>
    <w:rsid w:val="00E80B3D"/>
    <w:rsid w:val="00E80CA3"/>
    <w:rsid w:val="00E82618"/>
    <w:rsid w:val="00E84E09"/>
    <w:rsid w:val="00E87CE2"/>
    <w:rsid w:val="00E90CA8"/>
    <w:rsid w:val="00E930A1"/>
    <w:rsid w:val="00E93820"/>
    <w:rsid w:val="00E94A86"/>
    <w:rsid w:val="00E953F6"/>
    <w:rsid w:val="00E96143"/>
    <w:rsid w:val="00E96833"/>
    <w:rsid w:val="00E97506"/>
    <w:rsid w:val="00E97BB5"/>
    <w:rsid w:val="00E97F14"/>
    <w:rsid w:val="00EA0C68"/>
    <w:rsid w:val="00EA0E39"/>
    <w:rsid w:val="00EA1D0E"/>
    <w:rsid w:val="00EA2072"/>
    <w:rsid w:val="00EA2841"/>
    <w:rsid w:val="00EA32BC"/>
    <w:rsid w:val="00EA35A7"/>
    <w:rsid w:val="00EA3B32"/>
    <w:rsid w:val="00EA3CEB"/>
    <w:rsid w:val="00EA3D05"/>
    <w:rsid w:val="00EA4402"/>
    <w:rsid w:val="00EA4B8D"/>
    <w:rsid w:val="00EA513E"/>
    <w:rsid w:val="00EA7419"/>
    <w:rsid w:val="00EB0E32"/>
    <w:rsid w:val="00EB3E60"/>
    <w:rsid w:val="00EB4511"/>
    <w:rsid w:val="00EB48D7"/>
    <w:rsid w:val="00EB4A8E"/>
    <w:rsid w:val="00EB4BC5"/>
    <w:rsid w:val="00EB5BF7"/>
    <w:rsid w:val="00EB5E79"/>
    <w:rsid w:val="00EB6FAC"/>
    <w:rsid w:val="00EB7BAC"/>
    <w:rsid w:val="00EC03D7"/>
    <w:rsid w:val="00EC13A7"/>
    <w:rsid w:val="00EC2EB6"/>
    <w:rsid w:val="00ED0EF0"/>
    <w:rsid w:val="00ED12B9"/>
    <w:rsid w:val="00ED16B8"/>
    <w:rsid w:val="00ED1A00"/>
    <w:rsid w:val="00ED1DF0"/>
    <w:rsid w:val="00ED2386"/>
    <w:rsid w:val="00ED2EA1"/>
    <w:rsid w:val="00ED3851"/>
    <w:rsid w:val="00ED3E51"/>
    <w:rsid w:val="00ED3F10"/>
    <w:rsid w:val="00ED4D04"/>
    <w:rsid w:val="00ED566D"/>
    <w:rsid w:val="00ED5907"/>
    <w:rsid w:val="00ED5F5B"/>
    <w:rsid w:val="00ED62C6"/>
    <w:rsid w:val="00ED64C1"/>
    <w:rsid w:val="00ED781F"/>
    <w:rsid w:val="00EE249F"/>
    <w:rsid w:val="00EE2EB4"/>
    <w:rsid w:val="00EE3446"/>
    <w:rsid w:val="00EE3E78"/>
    <w:rsid w:val="00EE41FD"/>
    <w:rsid w:val="00EE460E"/>
    <w:rsid w:val="00EE4B1B"/>
    <w:rsid w:val="00EE5FBA"/>
    <w:rsid w:val="00EE6E06"/>
    <w:rsid w:val="00EE7179"/>
    <w:rsid w:val="00EF0D90"/>
    <w:rsid w:val="00EF150D"/>
    <w:rsid w:val="00EF1F5A"/>
    <w:rsid w:val="00EF23B5"/>
    <w:rsid w:val="00EF326A"/>
    <w:rsid w:val="00EF47BF"/>
    <w:rsid w:val="00EF59B1"/>
    <w:rsid w:val="00EF5A13"/>
    <w:rsid w:val="00EF5FF9"/>
    <w:rsid w:val="00EF77D4"/>
    <w:rsid w:val="00EF7CC7"/>
    <w:rsid w:val="00F00853"/>
    <w:rsid w:val="00F00866"/>
    <w:rsid w:val="00F00EC8"/>
    <w:rsid w:val="00F0160B"/>
    <w:rsid w:val="00F0193E"/>
    <w:rsid w:val="00F03E2F"/>
    <w:rsid w:val="00F03F8D"/>
    <w:rsid w:val="00F04811"/>
    <w:rsid w:val="00F0488C"/>
    <w:rsid w:val="00F073ED"/>
    <w:rsid w:val="00F07C4C"/>
    <w:rsid w:val="00F10F11"/>
    <w:rsid w:val="00F11159"/>
    <w:rsid w:val="00F115E4"/>
    <w:rsid w:val="00F12CFB"/>
    <w:rsid w:val="00F13E60"/>
    <w:rsid w:val="00F13FDB"/>
    <w:rsid w:val="00F15AAA"/>
    <w:rsid w:val="00F15BEF"/>
    <w:rsid w:val="00F17898"/>
    <w:rsid w:val="00F207C2"/>
    <w:rsid w:val="00F21337"/>
    <w:rsid w:val="00F219A1"/>
    <w:rsid w:val="00F23E20"/>
    <w:rsid w:val="00F24407"/>
    <w:rsid w:val="00F24FAA"/>
    <w:rsid w:val="00F25040"/>
    <w:rsid w:val="00F27071"/>
    <w:rsid w:val="00F27331"/>
    <w:rsid w:val="00F27EE5"/>
    <w:rsid w:val="00F27FB1"/>
    <w:rsid w:val="00F27FD6"/>
    <w:rsid w:val="00F307CB"/>
    <w:rsid w:val="00F30C65"/>
    <w:rsid w:val="00F321D2"/>
    <w:rsid w:val="00F32649"/>
    <w:rsid w:val="00F33523"/>
    <w:rsid w:val="00F3364D"/>
    <w:rsid w:val="00F33914"/>
    <w:rsid w:val="00F349BF"/>
    <w:rsid w:val="00F34DDC"/>
    <w:rsid w:val="00F36191"/>
    <w:rsid w:val="00F3629F"/>
    <w:rsid w:val="00F36DF3"/>
    <w:rsid w:val="00F37EDC"/>
    <w:rsid w:val="00F437CC"/>
    <w:rsid w:val="00F44537"/>
    <w:rsid w:val="00F46185"/>
    <w:rsid w:val="00F46423"/>
    <w:rsid w:val="00F4696A"/>
    <w:rsid w:val="00F47067"/>
    <w:rsid w:val="00F47234"/>
    <w:rsid w:val="00F51ADD"/>
    <w:rsid w:val="00F525AB"/>
    <w:rsid w:val="00F525EB"/>
    <w:rsid w:val="00F52CB5"/>
    <w:rsid w:val="00F53378"/>
    <w:rsid w:val="00F53A68"/>
    <w:rsid w:val="00F54934"/>
    <w:rsid w:val="00F55A92"/>
    <w:rsid w:val="00F575D3"/>
    <w:rsid w:val="00F62BFF"/>
    <w:rsid w:val="00F63AAE"/>
    <w:rsid w:val="00F63DDE"/>
    <w:rsid w:val="00F63FB7"/>
    <w:rsid w:val="00F6421B"/>
    <w:rsid w:val="00F647F1"/>
    <w:rsid w:val="00F649D2"/>
    <w:rsid w:val="00F6602B"/>
    <w:rsid w:val="00F6799D"/>
    <w:rsid w:val="00F7150B"/>
    <w:rsid w:val="00F717E4"/>
    <w:rsid w:val="00F71DE6"/>
    <w:rsid w:val="00F72D71"/>
    <w:rsid w:val="00F7381C"/>
    <w:rsid w:val="00F73A0C"/>
    <w:rsid w:val="00F7549F"/>
    <w:rsid w:val="00F756DB"/>
    <w:rsid w:val="00F766BE"/>
    <w:rsid w:val="00F767A8"/>
    <w:rsid w:val="00F77590"/>
    <w:rsid w:val="00F82D14"/>
    <w:rsid w:val="00F84E7D"/>
    <w:rsid w:val="00F85066"/>
    <w:rsid w:val="00F87A4D"/>
    <w:rsid w:val="00F93688"/>
    <w:rsid w:val="00F939F3"/>
    <w:rsid w:val="00F93C6E"/>
    <w:rsid w:val="00F93F2C"/>
    <w:rsid w:val="00F962AD"/>
    <w:rsid w:val="00F9644E"/>
    <w:rsid w:val="00FA0105"/>
    <w:rsid w:val="00FA05A0"/>
    <w:rsid w:val="00FA0AEF"/>
    <w:rsid w:val="00FA17CC"/>
    <w:rsid w:val="00FA1CFE"/>
    <w:rsid w:val="00FA1F01"/>
    <w:rsid w:val="00FA26DF"/>
    <w:rsid w:val="00FA32BC"/>
    <w:rsid w:val="00FA4059"/>
    <w:rsid w:val="00FA4574"/>
    <w:rsid w:val="00FA48A4"/>
    <w:rsid w:val="00FA4CB7"/>
    <w:rsid w:val="00FA5112"/>
    <w:rsid w:val="00FA5526"/>
    <w:rsid w:val="00FA5D4D"/>
    <w:rsid w:val="00FA6CB6"/>
    <w:rsid w:val="00FA70D3"/>
    <w:rsid w:val="00FA7AEC"/>
    <w:rsid w:val="00FB0AEA"/>
    <w:rsid w:val="00FB0EE2"/>
    <w:rsid w:val="00FB1A79"/>
    <w:rsid w:val="00FB208B"/>
    <w:rsid w:val="00FB2B2D"/>
    <w:rsid w:val="00FB542E"/>
    <w:rsid w:val="00FB564F"/>
    <w:rsid w:val="00FB7DBB"/>
    <w:rsid w:val="00FC05F8"/>
    <w:rsid w:val="00FC0E5F"/>
    <w:rsid w:val="00FC1266"/>
    <w:rsid w:val="00FC1A95"/>
    <w:rsid w:val="00FC1ED4"/>
    <w:rsid w:val="00FC3BEC"/>
    <w:rsid w:val="00FC440B"/>
    <w:rsid w:val="00FC56DE"/>
    <w:rsid w:val="00FC63D9"/>
    <w:rsid w:val="00FC64DE"/>
    <w:rsid w:val="00FC684B"/>
    <w:rsid w:val="00FC7D98"/>
    <w:rsid w:val="00FD1135"/>
    <w:rsid w:val="00FD3265"/>
    <w:rsid w:val="00FD3CF7"/>
    <w:rsid w:val="00FD4916"/>
    <w:rsid w:val="00FD4D12"/>
    <w:rsid w:val="00FD4F73"/>
    <w:rsid w:val="00FD595E"/>
    <w:rsid w:val="00FD7802"/>
    <w:rsid w:val="00FE27C7"/>
    <w:rsid w:val="00FE2C7E"/>
    <w:rsid w:val="00FE2F78"/>
    <w:rsid w:val="00FE3137"/>
    <w:rsid w:val="00FE346B"/>
    <w:rsid w:val="00FE346F"/>
    <w:rsid w:val="00FE48E4"/>
    <w:rsid w:val="00FE634C"/>
    <w:rsid w:val="00FE6E69"/>
    <w:rsid w:val="00FE6F59"/>
    <w:rsid w:val="00FF01B6"/>
    <w:rsid w:val="00FF1136"/>
    <w:rsid w:val="00FF3D76"/>
    <w:rsid w:val="00FF5B8C"/>
    <w:rsid w:val="00FF63E6"/>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74EEB6EC"/>
  <w15:docId w15:val="{02E7EBF8-5A4E-462D-AC4B-706FC6EE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JKAM%20CSU\PUBLIKACE\PUBLIKACE\2021\Qmakro\Trh%20pr&#225;ce\Grafy-trh%20pr&#225;ce-2021-1q.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JKAM%20CSU\PUBLIKACE\PUBLIKACE\2021\Qmakro\Trh%20pr&#225;ce\Grafy-trh%20pr&#225;ce-2021-1q.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JKAM%20CSU\PUBLIKACE\PUBLIKACE\2021\Qmakro\Trh%20pr&#225;ce\Grafy-trh%20pr&#225;ce-2021-1q.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488731014312048E-2"/>
          <c:y val="1.4522051060224651E-2"/>
          <c:w val="0.83420125451377358"/>
          <c:h val="0.66642820303791572"/>
        </c:manualLayout>
      </c:layout>
      <c:barChart>
        <c:barDir val="col"/>
        <c:grouping val="stacked"/>
        <c:varyColors val="0"/>
        <c:ser>
          <c:idx val="0"/>
          <c:order val="0"/>
          <c:tx>
            <c:strRef>
              <c:f>'Trh práce 1'!$AC$7</c:f>
              <c:strCache>
                <c:ptCount val="1"/>
                <c:pt idx="0">
                  <c:v>Zemědělství, lesnictví a rybářství</c:v>
                </c:pt>
              </c:strCache>
            </c:strRef>
          </c:tx>
          <c:spPr>
            <a:solidFill>
              <a:srgbClr val="7DBB2D"/>
            </a:solidFill>
            <a:ln>
              <a:noFill/>
            </a:ln>
          </c:spPr>
          <c:invertIfNegative val="0"/>
          <c:cat>
            <c:multiLvlStrRef>
              <c:f>'Trh práce 1'!$AA$28:$AB$53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 1'!$AC$28:$AC$53</c:f>
              <c:numCache>
                <c:formatCode>#\ ##0.0</c:formatCode>
                <c:ptCount val="26"/>
                <c:pt idx="0">
                  <c:v>-6.3775886113478369E-2</c:v>
                </c:pt>
                <c:pt idx="1">
                  <c:v>-5.3530554883726662E-2</c:v>
                </c:pt>
                <c:pt idx="2">
                  <c:v>-6.4075390166381849E-2</c:v>
                </c:pt>
                <c:pt idx="3">
                  <c:v>-0.13844304699479693</c:v>
                </c:pt>
                <c:pt idx="4">
                  <c:v>-0.13446730863002626</c:v>
                </c:pt>
                <c:pt idx="5">
                  <c:v>-4.2544545507820601E-2</c:v>
                </c:pt>
                <c:pt idx="6">
                  <c:v>-3.3191194580390673E-2</c:v>
                </c:pt>
                <c:pt idx="7">
                  <c:v>6.6309323471769377E-2</c:v>
                </c:pt>
                <c:pt idx="8">
                  <c:v>9.8066936941412233E-2</c:v>
                </c:pt>
                <c:pt idx="9">
                  <c:v>2.5196330912572437E-2</c:v>
                </c:pt>
                <c:pt idx="10">
                  <c:v>2.0639846638534198E-2</c:v>
                </c:pt>
                <c:pt idx="11">
                  <c:v>-8.3455519417103677E-2</c:v>
                </c:pt>
                <c:pt idx="12">
                  <c:v>2.5494598026070365E-2</c:v>
                </c:pt>
                <c:pt idx="13">
                  <c:v>2.6684441302942768E-2</c:v>
                </c:pt>
                <c:pt idx="14">
                  <c:v>1.9708592256982422E-2</c:v>
                </c:pt>
                <c:pt idx="15">
                  <c:v>8.7635855137036173E-2</c:v>
                </c:pt>
                <c:pt idx="16">
                  <c:v>-1.7993164823325757E-2</c:v>
                </c:pt>
                <c:pt idx="17">
                  <c:v>-7.0820472864832854E-2</c:v>
                </c:pt>
                <c:pt idx="18">
                  <c:v>-0.10170278786374146</c:v>
                </c:pt>
                <c:pt idx="19">
                  <c:v>-0.11671422849704614</c:v>
                </c:pt>
                <c:pt idx="20">
                  <c:v>-0.13192229045620107</c:v>
                </c:pt>
                <c:pt idx="21">
                  <c:v>-6.1309960075012639E-2</c:v>
                </c:pt>
                <c:pt idx="22">
                  <c:v>2.592734961307994E-2</c:v>
                </c:pt>
                <c:pt idx="23">
                  <c:v>1.8337259316546568E-2</c:v>
                </c:pt>
                <c:pt idx="24">
                  <c:v>2.2585068887230095E-2</c:v>
                </c:pt>
              </c:numCache>
            </c:numRef>
          </c:val>
          <c:extLst>
            <c:ext xmlns:c16="http://schemas.microsoft.com/office/drawing/2014/chart" uri="{C3380CC4-5D6E-409C-BE32-E72D297353CC}">
              <c16:uniqueId val="{00000000-A90A-4475-9596-A2F20E0693BD}"/>
            </c:ext>
          </c:extLst>
        </c:ser>
        <c:ser>
          <c:idx val="1"/>
          <c:order val="1"/>
          <c:tx>
            <c:strRef>
              <c:f>'Trh práce 1'!$AD$7</c:f>
              <c:strCache>
                <c:ptCount val="1"/>
                <c:pt idx="0">
                  <c:v>Zpracovatelský průmysl</c:v>
                </c:pt>
              </c:strCache>
            </c:strRef>
          </c:tx>
          <c:spPr>
            <a:solidFill>
              <a:srgbClr val="A6CDE8"/>
            </a:solidFill>
            <a:ln>
              <a:noFill/>
            </a:ln>
          </c:spPr>
          <c:invertIfNegative val="0"/>
          <c:cat>
            <c:multiLvlStrRef>
              <c:f>'Trh práce 1'!$AA$28:$AB$53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 1'!$AD$28:$AD$53</c:f>
              <c:numCache>
                <c:formatCode>#\ ##0.0</c:formatCode>
                <c:ptCount val="26"/>
                <c:pt idx="0">
                  <c:v>0.87384359543532464</c:v>
                </c:pt>
                <c:pt idx="1">
                  <c:v>0.93524489787512044</c:v>
                </c:pt>
                <c:pt idx="2">
                  <c:v>0.78267698384636852</c:v>
                </c:pt>
                <c:pt idx="3">
                  <c:v>0.94962455048902517</c:v>
                </c:pt>
                <c:pt idx="4">
                  <c:v>0.84718285167324348</c:v>
                </c:pt>
                <c:pt idx="5">
                  <c:v>0.62908867154608861</c:v>
                </c:pt>
                <c:pt idx="6">
                  <c:v>0.67775956738111331</c:v>
                </c:pt>
                <c:pt idx="7">
                  <c:v>0.54172812831113937</c:v>
                </c:pt>
                <c:pt idx="8">
                  <c:v>0.26867627785059034</c:v>
                </c:pt>
                <c:pt idx="9">
                  <c:v>0.39386843676908101</c:v>
                </c:pt>
                <c:pt idx="10">
                  <c:v>0.49256509811427385</c:v>
                </c:pt>
                <c:pt idx="11">
                  <c:v>0.47713964802096459</c:v>
                </c:pt>
                <c:pt idx="12">
                  <c:v>0.36434303678320645</c:v>
                </c:pt>
                <c:pt idx="13">
                  <c:v>0.28695143937637824</c:v>
                </c:pt>
                <c:pt idx="14">
                  <c:v>9.8952780783639532E-2</c:v>
                </c:pt>
                <c:pt idx="15">
                  <c:v>7.558219904144467E-2</c:v>
                </c:pt>
                <c:pt idx="16">
                  <c:v>-2.3335465306952373E-2</c:v>
                </c:pt>
                <c:pt idx="17">
                  <c:v>-0.19164270518730264</c:v>
                </c:pt>
                <c:pt idx="18">
                  <c:v>-0.35809202690016206</c:v>
                </c:pt>
                <c:pt idx="19">
                  <c:v>-0.74585932300225566</c:v>
                </c:pt>
                <c:pt idx="20">
                  <c:v>-0.68716111979198968</c:v>
                </c:pt>
                <c:pt idx="21">
                  <c:v>-0.95806001759904347</c:v>
                </c:pt>
                <c:pt idx="22">
                  <c:v>-0.98623436481310467</c:v>
                </c:pt>
                <c:pt idx="23">
                  <c:v>-0.79348811235920402</c:v>
                </c:pt>
                <c:pt idx="24">
                  <c:v>-0.5592343753981921</c:v>
                </c:pt>
              </c:numCache>
            </c:numRef>
          </c:val>
          <c:extLst>
            <c:ext xmlns:c16="http://schemas.microsoft.com/office/drawing/2014/chart" uri="{C3380CC4-5D6E-409C-BE32-E72D297353CC}">
              <c16:uniqueId val="{00000001-A90A-4475-9596-A2F20E0693BD}"/>
            </c:ext>
          </c:extLst>
        </c:ser>
        <c:ser>
          <c:idx val="2"/>
          <c:order val="2"/>
          <c:tx>
            <c:strRef>
              <c:f>'Trh práce 1'!$AE$7</c:f>
              <c:strCache>
                <c:ptCount val="1"/>
                <c:pt idx="0">
                  <c:v>Stavebnictví</c:v>
                </c:pt>
              </c:strCache>
            </c:strRef>
          </c:tx>
          <c:spPr>
            <a:solidFill>
              <a:srgbClr val="48AEE7"/>
            </a:solidFill>
            <a:ln w="19050">
              <a:noFill/>
            </a:ln>
          </c:spPr>
          <c:invertIfNegative val="0"/>
          <c:cat>
            <c:multiLvlStrRef>
              <c:f>'Trh práce 1'!$AA$28:$AB$53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 1'!$AE$28:$AE$53</c:f>
              <c:numCache>
                <c:formatCode>#\ ##0.0</c:formatCode>
                <c:ptCount val="26"/>
                <c:pt idx="0">
                  <c:v>-0.11694210540586052</c:v>
                </c:pt>
                <c:pt idx="1">
                  <c:v>-0.10810072845885586</c:v>
                </c:pt>
                <c:pt idx="2">
                  <c:v>-0.15839123886250733</c:v>
                </c:pt>
                <c:pt idx="3">
                  <c:v>-0.17189865446459995</c:v>
                </c:pt>
                <c:pt idx="4">
                  <c:v>-0.11151278826793087</c:v>
                </c:pt>
                <c:pt idx="5">
                  <c:v>-0.12826978061125432</c:v>
                </c:pt>
                <c:pt idx="6">
                  <c:v>-3.014577719148143E-2</c:v>
                </c:pt>
                <c:pt idx="7">
                  <c:v>1.7024586966207105E-2</c:v>
                </c:pt>
                <c:pt idx="8">
                  <c:v>-6.5148695688723116E-3</c:v>
                </c:pt>
                <c:pt idx="9">
                  <c:v>1.4289321905169284E-2</c:v>
                </c:pt>
                <c:pt idx="10">
                  <c:v>6.6438659970773833E-2</c:v>
                </c:pt>
                <c:pt idx="11">
                  <c:v>-6.4943430456315621E-2</c:v>
                </c:pt>
                <c:pt idx="12">
                  <c:v>0.11291809775653174</c:v>
                </c:pt>
                <c:pt idx="13">
                  <c:v>6.2607246062592548E-2</c:v>
                </c:pt>
                <c:pt idx="14">
                  <c:v>5.182353842998591E-2</c:v>
                </c:pt>
                <c:pt idx="15">
                  <c:v>0.12116998337824897</c:v>
                </c:pt>
                <c:pt idx="16">
                  <c:v>3.1719909121533031E-2</c:v>
                </c:pt>
                <c:pt idx="17">
                  <c:v>5.5381462391177826E-2</c:v>
                </c:pt>
                <c:pt idx="18">
                  <c:v>8.9850693144459925E-2</c:v>
                </c:pt>
                <c:pt idx="19">
                  <c:v>0.15065541085764433</c:v>
                </c:pt>
                <c:pt idx="20">
                  <c:v>0.22462444050650451</c:v>
                </c:pt>
                <c:pt idx="21">
                  <c:v>-3.6664679361405939E-2</c:v>
                </c:pt>
                <c:pt idx="22">
                  <c:v>8.483974244393748E-2</c:v>
                </c:pt>
                <c:pt idx="23">
                  <c:v>0.17742637211820689</c:v>
                </c:pt>
                <c:pt idx="24">
                  <c:v>-5.8872608023294797E-2</c:v>
                </c:pt>
              </c:numCache>
            </c:numRef>
          </c:val>
          <c:extLst>
            <c:ext xmlns:c16="http://schemas.microsoft.com/office/drawing/2014/chart" uri="{C3380CC4-5D6E-409C-BE32-E72D297353CC}">
              <c16:uniqueId val="{00000002-A90A-4475-9596-A2F20E0693BD}"/>
            </c:ext>
          </c:extLst>
        </c:ser>
        <c:ser>
          <c:idx val="3"/>
          <c:order val="3"/>
          <c:tx>
            <c:strRef>
              <c:f>'Trh práce 1'!$AF$7</c:f>
              <c:strCache>
                <c:ptCount val="1"/>
                <c:pt idx="0">
                  <c:v>Obchod, doprava, ubytování a pohost.</c:v>
                </c:pt>
              </c:strCache>
            </c:strRef>
          </c:tx>
          <c:spPr>
            <a:solidFill>
              <a:srgbClr val="FDDEB3"/>
            </a:solidFill>
            <a:ln w="19050">
              <a:noFill/>
            </a:ln>
          </c:spPr>
          <c:invertIfNegative val="0"/>
          <c:cat>
            <c:multiLvlStrRef>
              <c:f>'Trh práce 1'!$AA$28:$AB$53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 1'!$AF$28:$AF$53</c:f>
              <c:numCache>
                <c:formatCode>#\ ##0.0</c:formatCode>
                <c:ptCount val="26"/>
                <c:pt idx="0">
                  <c:v>0.22879550024382489</c:v>
                </c:pt>
                <c:pt idx="1">
                  <c:v>0.47330112084625897</c:v>
                </c:pt>
                <c:pt idx="2">
                  <c:v>0.33213712914903176</c:v>
                </c:pt>
                <c:pt idx="3">
                  <c:v>0.17959968299057444</c:v>
                </c:pt>
                <c:pt idx="4">
                  <c:v>8.0583366917820948E-2</c:v>
                </c:pt>
                <c:pt idx="5">
                  <c:v>0.20992754897152985</c:v>
                </c:pt>
                <c:pt idx="6">
                  <c:v>-8.6158327395090793E-3</c:v>
                </c:pt>
                <c:pt idx="7">
                  <c:v>9.5260739725036819E-2</c:v>
                </c:pt>
                <c:pt idx="8">
                  <c:v>0.16015880233389024</c:v>
                </c:pt>
                <c:pt idx="9">
                  <c:v>-9.025834979993895E-3</c:v>
                </c:pt>
                <c:pt idx="10">
                  <c:v>0.34149737055569235</c:v>
                </c:pt>
                <c:pt idx="11">
                  <c:v>0.22106834398785968</c:v>
                </c:pt>
                <c:pt idx="12">
                  <c:v>0.14583136020082346</c:v>
                </c:pt>
                <c:pt idx="13">
                  <c:v>0.38632474852631182</c:v>
                </c:pt>
                <c:pt idx="14">
                  <c:v>0.20625097681409202</c:v>
                </c:pt>
                <c:pt idx="15">
                  <c:v>0.2575234748212693</c:v>
                </c:pt>
                <c:pt idx="16">
                  <c:v>0.39403175997637707</c:v>
                </c:pt>
                <c:pt idx="17">
                  <c:v>4.5764322215464309E-2</c:v>
                </c:pt>
                <c:pt idx="18">
                  <c:v>-7.2257163132816132E-2</c:v>
                </c:pt>
                <c:pt idx="19">
                  <c:v>-0.11883095082430688</c:v>
                </c:pt>
                <c:pt idx="20">
                  <c:v>-0.26494730276074041</c:v>
                </c:pt>
                <c:pt idx="21">
                  <c:v>-0.76201884729923541</c:v>
                </c:pt>
                <c:pt idx="22">
                  <c:v>-0.57071495726133536</c:v>
                </c:pt>
                <c:pt idx="23">
                  <c:v>-1.1510369692443747</c:v>
                </c:pt>
                <c:pt idx="24">
                  <c:v>-1.1852267426421215</c:v>
                </c:pt>
              </c:numCache>
            </c:numRef>
          </c:val>
          <c:extLst>
            <c:ext xmlns:c16="http://schemas.microsoft.com/office/drawing/2014/chart" uri="{C3380CC4-5D6E-409C-BE32-E72D297353CC}">
              <c16:uniqueId val="{00000003-A90A-4475-9596-A2F20E0693BD}"/>
            </c:ext>
          </c:extLst>
        </c:ser>
        <c:ser>
          <c:idx val="4"/>
          <c:order val="4"/>
          <c:tx>
            <c:strRef>
              <c:f>'Trh práce 1'!$AG$7</c:f>
              <c:strCache>
                <c:ptCount val="1"/>
                <c:pt idx="0">
                  <c:v>Informační a komunikač. čin.</c:v>
                </c:pt>
              </c:strCache>
            </c:strRef>
          </c:tx>
          <c:spPr>
            <a:solidFill>
              <a:srgbClr val="F8A124"/>
            </a:solidFill>
            <a:ln w="19050">
              <a:noFill/>
            </a:ln>
          </c:spPr>
          <c:invertIfNegative val="0"/>
          <c:cat>
            <c:multiLvlStrRef>
              <c:f>'Trh práce 1'!$AA$28:$AB$53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 1'!$AG$28:$AG$53</c:f>
              <c:numCache>
                <c:formatCode>#\ ##0.0</c:formatCode>
                <c:ptCount val="26"/>
                <c:pt idx="0">
                  <c:v>7.3874717124669956E-3</c:v>
                </c:pt>
                <c:pt idx="1">
                  <c:v>5.6060947547706408E-2</c:v>
                </c:pt>
                <c:pt idx="2">
                  <c:v>7.3237389552977303E-2</c:v>
                </c:pt>
                <c:pt idx="3">
                  <c:v>0.10393464068853153</c:v>
                </c:pt>
                <c:pt idx="4">
                  <c:v>0.12034144994565989</c:v>
                </c:pt>
                <c:pt idx="5">
                  <c:v>0.11313726215922026</c:v>
                </c:pt>
                <c:pt idx="6">
                  <c:v>0.12927604067983756</c:v>
                </c:pt>
                <c:pt idx="7">
                  <c:v>0.16693713637598337</c:v>
                </c:pt>
                <c:pt idx="8">
                  <c:v>0.13971624972775135</c:v>
                </c:pt>
                <c:pt idx="9">
                  <c:v>0.13821878661994863</c:v>
                </c:pt>
                <c:pt idx="10">
                  <c:v>0.13496598887461</c:v>
                </c:pt>
                <c:pt idx="11">
                  <c:v>0.11698506830016364</c:v>
                </c:pt>
                <c:pt idx="12">
                  <c:v>0.11058328966551791</c:v>
                </c:pt>
                <c:pt idx="13">
                  <c:v>0.13540854835327559</c:v>
                </c:pt>
                <c:pt idx="14">
                  <c:v>0.13011769084595673</c:v>
                </c:pt>
                <c:pt idx="15">
                  <c:v>0.1533068562760779</c:v>
                </c:pt>
                <c:pt idx="16">
                  <c:v>0.14101447318239424</c:v>
                </c:pt>
                <c:pt idx="17">
                  <c:v>7.4984215546272034E-2</c:v>
                </c:pt>
                <c:pt idx="18">
                  <c:v>0.12791770141729253</c:v>
                </c:pt>
                <c:pt idx="19">
                  <c:v>0.14299839791729246</c:v>
                </c:pt>
                <c:pt idx="20">
                  <c:v>0.13885105940325984</c:v>
                </c:pt>
                <c:pt idx="21">
                  <c:v>9.7239508020651039E-2</c:v>
                </c:pt>
                <c:pt idx="22">
                  <c:v>0.10343298747563447</c:v>
                </c:pt>
                <c:pt idx="23">
                  <c:v>8.1141910812593782E-2</c:v>
                </c:pt>
                <c:pt idx="24">
                  <c:v>0.11309154690547595</c:v>
                </c:pt>
              </c:numCache>
            </c:numRef>
          </c:val>
          <c:extLst>
            <c:ext xmlns:c16="http://schemas.microsoft.com/office/drawing/2014/chart" uri="{C3380CC4-5D6E-409C-BE32-E72D297353CC}">
              <c16:uniqueId val="{00000004-A90A-4475-9596-A2F20E0693BD}"/>
            </c:ext>
          </c:extLst>
        </c:ser>
        <c:ser>
          <c:idx val="5"/>
          <c:order val="5"/>
          <c:tx>
            <c:strRef>
              <c:f>'Trh práce 1'!$AH$7</c:f>
              <c:strCache>
                <c:ptCount val="1"/>
                <c:pt idx="0">
                  <c:v>Profesní, vědec., techn. a admin. čin.</c:v>
                </c:pt>
              </c:strCache>
            </c:strRef>
          </c:tx>
          <c:spPr>
            <a:solidFill>
              <a:srgbClr val="E8C0BE"/>
            </a:solidFill>
            <a:ln w="19050">
              <a:noFill/>
            </a:ln>
          </c:spPr>
          <c:invertIfNegative val="0"/>
          <c:cat>
            <c:multiLvlStrRef>
              <c:f>'Trh práce 1'!$AA$28:$AB$53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 1'!$AH$28:$AH$53</c:f>
              <c:numCache>
                <c:formatCode>#\ ##0.0</c:formatCode>
                <c:ptCount val="26"/>
                <c:pt idx="0">
                  <c:v>0.11379850042183202</c:v>
                </c:pt>
                <c:pt idx="1">
                  <c:v>0.11820268366776726</c:v>
                </c:pt>
                <c:pt idx="2">
                  <c:v>0.23129653035669548</c:v>
                </c:pt>
                <c:pt idx="3">
                  <c:v>0.37241784026117603</c:v>
                </c:pt>
                <c:pt idx="4">
                  <c:v>0.26699425205615607</c:v>
                </c:pt>
                <c:pt idx="5">
                  <c:v>0.23716608218519117</c:v>
                </c:pt>
                <c:pt idx="6">
                  <c:v>0.24081927124703897</c:v>
                </c:pt>
                <c:pt idx="7">
                  <c:v>0.25506101535021469</c:v>
                </c:pt>
                <c:pt idx="8">
                  <c:v>0.4253197253437988</c:v>
                </c:pt>
                <c:pt idx="9">
                  <c:v>0.3617364642403027</c:v>
                </c:pt>
                <c:pt idx="10">
                  <c:v>0.29161615885428543</c:v>
                </c:pt>
                <c:pt idx="11">
                  <c:v>0.14112634349596684</c:v>
                </c:pt>
                <c:pt idx="12">
                  <c:v>0.15102819111308005</c:v>
                </c:pt>
                <c:pt idx="13">
                  <c:v>0.15512205414730354</c:v>
                </c:pt>
                <c:pt idx="14">
                  <c:v>7.7586282372714338E-2</c:v>
                </c:pt>
                <c:pt idx="15">
                  <c:v>0.21983484069239514</c:v>
                </c:pt>
                <c:pt idx="16">
                  <c:v>0.20886910918623508</c:v>
                </c:pt>
                <c:pt idx="17">
                  <c:v>0.16389670307116369</c:v>
                </c:pt>
                <c:pt idx="18">
                  <c:v>0.15468645117267918</c:v>
                </c:pt>
                <c:pt idx="19">
                  <c:v>5.7611659863705152E-3</c:v>
                </c:pt>
                <c:pt idx="20">
                  <c:v>-0.24247015575211209</c:v>
                </c:pt>
                <c:pt idx="21">
                  <c:v>-0.40867793231056837</c:v>
                </c:pt>
                <c:pt idx="22">
                  <c:v>-0.60095431811070577</c:v>
                </c:pt>
                <c:pt idx="23">
                  <c:v>-0.38602423842204375</c:v>
                </c:pt>
                <c:pt idx="24">
                  <c:v>-0.19454922381600084</c:v>
                </c:pt>
              </c:numCache>
            </c:numRef>
          </c:val>
          <c:extLst>
            <c:ext xmlns:c16="http://schemas.microsoft.com/office/drawing/2014/chart" uri="{C3380CC4-5D6E-409C-BE32-E72D297353CC}">
              <c16:uniqueId val="{00000005-A90A-4475-9596-A2F20E0693BD}"/>
            </c:ext>
          </c:extLst>
        </c:ser>
        <c:ser>
          <c:idx val="6"/>
          <c:order val="6"/>
          <c:tx>
            <c:strRef>
              <c:f>'Trh práce 1'!$AI$7</c:f>
              <c:strCache>
                <c:ptCount val="1"/>
                <c:pt idx="0">
                  <c:v>Veř.spr.,obrana, vzděl.,zdrav.a soc.péče</c:v>
                </c:pt>
              </c:strCache>
            </c:strRef>
          </c:tx>
          <c:spPr>
            <a:solidFill>
              <a:srgbClr val="D58D8B"/>
            </a:solidFill>
            <a:ln>
              <a:noFill/>
            </a:ln>
          </c:spPr>
          <c:invertIfNegative val="0"/>
          <c:cat>
            <c:multiLvlStrRef>
              <c:f>'Trh práce 1'!$AA$28:$AB$53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 1'!$AI$28:$AI$53</c:f>
              <c:numCache>
                <c:formatCode>#\ ##0.0</c:formatCode>
                <c:ptCount val="26"/>
                <c:pt idx="0">
                  <c:v>0.25561438026381811</c:v>
                </c:pt>
                <c:pt idx="1">
                  <c:v>0.23618959741845097</c:v>
                </c:pt>
                <c:pt idx="2">
                  <c:v>0.10591974557381781</c:v>
                </c:pt>
                <c:pt idx="3">
                  <c:v>9.8709639055718459E-2</c:v>
                </c:pt>
                <c:pt idx="4">
                  <c:v>0.36242141278378515</c:v>
                </c:pt>
                <c:pt idx="5">
                  <c:v>0.34758527415111612</c:v>
                </c:pt>
                <c:pt idx="6">
                  <c:v>0.42951950059780825</c:v>
                </c:pt>
                <c:pt idx="7">
                  <c:v>0.52568461923790011</c:v>
                </c:pt>
                <c:pt idx="8">
                  <c:v>0.43143338593628888</c:v>
                </c:pt>
                <c:pt idx="9">
                  <c:v>0.47637406936515148</c:v>
                </c:pt>
                <c:pt idx="10">
                  <c:v>0.54554133741649136</c:v>
                </c:pt>
                <c:pt idx="11">
                  <c:v>0.54623885355011015</c:v>
                </c:pt>
                <c:pt idx="12">
                  <c:v>0.39194649373019252</c:v>
                </c:pt>
                <c:pt idx="13">
                  <c:v>0.44662708849321481</c:v>
                </c:pt>
                <c:pt idx="14">
                  <c:v>0.31647379381273566</c:v>
                </c:pt>
                <c:pt idx="15">
                  <c:v>0.28796501123579255</c:v>
                </c:pt>
                <c:pt idx="16">
                  <c:v>0.30898159429086303</c:v>
                </c:pt>
                <c:pt idx="17">
                  <c:v>0.22102841127976061</c:v>
                </c:pt>
                <c:pt idx="18">
                  <c:v>0.30448068256247734</c:v>
                </c:pt>
                <c:pt idx="19">
                  <c:v>0.31027468061421015</c:v>
                </c:pt>
                <c:pt idx="20">
                  <c:v>0.38801106103529076</c:v>
                </c:pt>
                <c:pt idx="21">
                  <c:v>0.28629692987066752</c:v>
                </c:pt>
                <c:pt idx="22">
                  <c:v>0.49787145120553933</c:v>
                </c:pt>
                <c:pt idx="23">
                  <c:v>0.38063201312452954</c:v>
                </c:pt>
                <c:pt idx="24">
                  <c:v>0.42895010638804631</c:v>
                </c:pt>
              </c:numCache>
            </c:numRef>
          </c:val>
          <c:extLst>
            <c:ext xmlns:c16="http://schemas.microsoft.com/office/drawing/2014/chart" uri="{C3380CC4-5D6E-409C-BE32-E72D297353CC}">
              <c16:uniqueId val="{00000006-A90A-4475-9596-A2F20E0693BD}"/>
            </c:ext>
          </c:extLst>
        </c:ser>
        <c:ser>
          <c:idx val="7"/>
          <c:order val="7"/>
          <c:tx>
            <c:strRef>
              <c:f>'Trh práce 1'!$AJ$7</c:f>
              <c:strCache>
                <c:ptCount val="1"/>
                <c:pt idx="0">
                  <c:v>Ostatní odvětví*</c:v>
                </c:pt>
              </c:strCache>
            </c:strRef>
          </c:tx>
          <c:spPr>
            <a:solidFill>
              <a:schemeClr val="bg1">
                <a:lumMod val="85000"/>
              </a:schemeClr>
            </a:solidFill>
            <a:ln>
              <a:noFill/>
            </a:ln>
          </c:spPr>
          <c:invertIfNegative val="0"/>
          <c:cat>
            <c:multiLvlStrRef>
              <c:f>'Trh práce 1'!$AA$28:$AB$53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 1'!$AJ$28:$AJ$53</c:f>
              <c:numCache>
                <c:formatCode>#\ ##0.0</c:formatCode>
                <c:ptCount val="26"/>
                <c:pt idx="0">
                  <c:v>-4.1849241349879537E-2</c:v>
                </c:pt>
                <c:pt idx="1">
                  <c:v>9.7841849673883707E-2</c:v>
                </c:pt>
                <c:pt idx="2">
                  <c:v>4.8115148164572803E-2</c:v>
                </c:pt>
                <c:pt idx="3">
                  <c:v>-4.5211861143632473E-2</c:v>
                </c:pt>
                <c:pt idx="4">
                  <c:v>0.13066419283038919</c:v>
                </c:pt>
                <c:pt idx="5">
                  <c:v>8.2910779442291055E-2</c:v>
                </c:pt>
                <c:pt idx="6">
                  <c:v>0.10551022017018508</c:v>
                </c:pt>
                <c:pt idx="7">
                  <c:v>0.16861073984045793</c:v>
                </c:pt>
                <c:pt idx="8">
                  <c:v>-5.0552331024152901E-2</c:v>
                </c:pt>
                <c:pt idx="9">
                  <c:v>1.1401054711570741E-3</c:v>
                </c:pt>
                <c:pt idx="10">
                  <c:v>3.7899847185385735E-2</c:v>
                </c:pt>
                <c:pt idx="11">
                  <c:v>4.0443247413313496E-2</c:v>
                </c:pt>
                <c:pt idx="12">
                  <c:v>0.20431453706121822</c:v>
                </c:pt>
                <c:pt idx="13">
                  <c:v>0.21238866413451776</c:v>
                </c:pt>
                <c:pt idx="14">
                  <c:v>3.4275812620838987E-3</c:v>
                </c:pt>
                <c:pt idx="15">
                  <c:v>1.2817489016641342E-2</c:v>
                </c:pt>
                <c:pt idx="16">
                  <c:v>-0.11309724322455375</c:v>
                </c:pt>
                <c:pt idx="17">
                  <c:v>-5.1807276195606156E-2</c:v>
                </c:pt>
                <c:pt idx="18">
                  <c:v>3.8583922061212472E-2</c:v>
                </c:pt>
                <c:pt idx="19">
                  <c:v>4.5481920614445746E-2</c:v>
                </c:pt>
                <c:pt idx="20">
                  <c:v>9.7168173536073502E-2</c:v>
                </c:pt>
                <c:pt idx="21">
                  <c:v>-0.13635511552222562</c:v>
                </c:pt>
                <c:pt idx="22">
                  <c:v>-0.11424987036325199</c:v>
                </c:pt>
                <c:pt idx="23">
                  <c:v>-0.2069543455795945</c:v>
                </c:pt>
                <c:pt idx="24">
                  <c:v>-0.18439240624610997</c:v>
                </c:pt>
              </c:numCache>
            </c:numRef>
          </c:val>
          <c:extLst>
            <c:ext xmlns:c16="http://schemas.microsoft.com/office/drawing/2014/chart" uri="{C3380CC4-5D6E-409C-BE32-E72D297353CC}">
              <c16:uniqueId val="{00000007-A90A-4475-9596-A2F20E0693BD}"/>
            </c:ext>
          </c:extLst>
        </c:ser>
        <c:dLbls>
          <c:showLegendKey val="0"/>
          <c:showVal val="0"/>
          <c:showCatName val="0"/>
          <c:showSerName val="0"/>
          <c:showPercent val="0"/>
          <c:showBubbleSize val="0"/>
        </c:dLbls>
        <c:gapWidth val="47"/>
        <c:overlap val="100"/>
        <c:axId val="101898496"/>
        <c:axId val="101781504"/>
      </c:barChart>
      <c:lineChart>
        <c:grouping val="standard"/>
        <c:varyColors val="0"/>
        <c:ser>
          <c:idx val="8"/>
          <c:order val="8"/>
          <c:tx>
            <c:strRef>
              <c:f>'Trh práce 1'!$AK$7</c:f>
              <c:strCache>
                <c:ptCount val="1"/>
                <c:pt idx="0">
                  <c:v>Zaměstnanost celkem</c:v>
                </c:pt>
              </c:strCache>
            </c:strRef>
          </c:tx>
          <c:spPr>
            <a:ln w="22225">
              <a:solidFill>
                <a:schemeClr val="tx1">
                  <a:lumMod val="95000"/>
                  <a:lumOff val="5000"/>
                </a:schemeClr>
              </a:solidFill>
            </a:ln>
          </c:spPr>
          <c:marker>
            <c:symbol val="none"/>
          </c:marker>
          <c:cat>
            <c:multiLvlStrRef>
              <c:f>'Trh práce 1'!$AA$28:$AB$53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 1'!$AK$28:$AK$53</c:f>
              <c:numCache>
                <c:formatCode>#\ ##0.0</c:formatCode>
                <c:ptCount val="26"/>
                <c:pt idx="0">
                  <c:v>1.2568722152080483</c:v>
                </c:pt>
                <c:pt idx="1">
                  <c:v>1.755209813686605</c:v>
                </c:pt>
                <c:pt idx="2">
                  <c:v>1.3509162976145745</c:v>
                </c:pt>
                <c:pt idx="3">
                  <c:v>1.3487327908819964</c:v>
                </c:pt>
                <c:pt idx="4">
                  <c:v>1.5622074293090975</c:v>
                </c:pt>
                <c:pt idx="5">
                  <c:v>1.4490012923363622</c:v>
                </c:pt>
                <c:pt idx="6">
                  <c:v>1.510931795564602</c:v>
                </c:pt>
                <c:pt idx="7">
                  <c:v>1.8366162892787088</c:v>
                </c:pt>
                <c:pt idx="8">
                  <c:v>1.4663041775407066</c:v>
                </c:pt>
                <c:pt idx="9">
                  <c:v>1.4017976803033889</c:v>
                </c:pt>
                <c:pt idx="10">
                  <c:v>1.9311643076100466</c:v>
                </c:pt>
                <c:pt idx="11">
                  <c:v>1.3946025548949592</c:v>
                </c:pt>
                <c:pt idx="12">
                  <c:v>1.5064596043366407</c:v>
                </c:pt>
                <c:pt idx="13">
                  <c:v>1.7121142303965371</c:v>
                </c:pt>
                <c:pt idx="14">
                  <c:v>0.90434123657819043</c:v>
                </c:pt>
                <c:pt idx="15">
                  <c:v>1.2158357095989061</c:v>
                </c:pt>
                <c:pt idx="16">
                  <c:v>0.93019097240257054</c:v>
                </c:pt>
                <c:pt idx="17">
                  <c:v>0.2467846602560968</c:v>
                </c:pt>
                <c:pt idx="18">
                  <c:v>0.18346747246140183</c:v>
                </c:pt>
                <c:pt idx="19">
                  <c:v>-0.32623292633364542</c:v>
                </c:pt>
                <c:pt idx="20">
                  <c:v>-0.47784613427991474</c:v>
                </c:pt>
                <c:pt idx="21">
                  <c:v>-1.9795501142761793</c:v>
                </c:pt>
                <c:pt idx="22">
                  <c:v>-1.5600819798102066</c:v>
                </c:pt>
                <c:pt idx="23">
                  <c:v>-1.8799661102333403</c:v>
                </c:pt>
                <c:pt idx="24">
                  <c:v>-1.6176486339449667</c:v>
                </c:pt>
              </c:numCache>
            </c:numRef>
          </c:val>
          <c:smooth val="0"/>
          <c:extLst>
            <c:ext xmlns:c16="http://schemas.microsoft.com/office/drawing/2014/chart" uri="{C3380CC4-5D6E-409C-BE32-E72D297353CC}">
              <c16:uniqueId val="{00000008-A90A-4475-9596-A2F20E0693BD}"/>
            </c:ext>
          </c:extLst>
        </c:ser>
        <c:dLbls>
          <c:showLegendKey val="0"/>
          <c:showVal val="0"/>
          <c:showCatName val="0"/>
          <c:showSerName val="0"/>
          <c:showPercent val="0"/>
          <c:showBubbleSize val="0"/>
        </c:dLbls>
        <c:marker val="1"/>
        <c:smooth val="0"/>
        <c:axId val="101898496"/>
        <c:axId val="101781504"/>
      </c:lineChart>
      <c:lineChart>
        <c:grouping val="standard"/>
        <c:varyColors val="0"/>
        <c:ser>
          <c:idx val="9"/>
          <c:order val="9"/>
          <c:tx>
            <c:strRef>
              <c:f>'Trh práce 1'!$AL$7</c:f>
              <c:strCache>
                <c:ptCount val="1"/>
              </c:strCache>
            </c:strRef>
          </c:tx>
          <c:spPr>
            <a:ln>
              <a:noFill/>
            </a:ln>
          </c:spPr>
          <c:marker>
            <c:symbol val="none"/>
          </c:marker>
          <c:cat>
            <c:multiLvlStrRef>
              <c:f>'Trh práce 1'!$AA$28:$AB$53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 1'!$AL$28:$AL$53</c:f>
              <c:numCache>
                <c:formatCode>General</c:formatCode>
                <c:ptCount val="26"/>
              </c:numCache>
            </c:numRef>
          </c:val>
          <c:smooth val="0"/>
          <c:extLst>
            <c:ext xmlns:c16="http://schemas.microsoft.com/office/drawing/2014/chart" uri="{C3380CC4-5D6E-409C-BE32-E72D297353CC}">
              <c16:uniqueId val="{00000009-A90A-4475-9596-A2F20E0693BD}"/>
            </c:ext>
          </c:extLst>
        </c:ser>
        <c:ser>
          <c:idx val="10"/>
          <c:order val="10"/>
          <c:tx>
            <c:strRef>
              <c:f>'Trh práce 1'!$AM$7</c:f>
              <c:strCache>
                <c:ptCount val="1"/>
                <c:pt idx="0">
                  <c:v>Očekávání zaměstnanosti (průmysl)</c:v>
                </c:pt>
              </c:strCache>
            </c:strRef>
          </c:tx>
          <c:spPr>
            <a:ln w="15875">
              <a:solidFill>
                <a:schemeClr val="tx1">
                  <a:lumMod val="95000"/>
                  <a:lumOff val="5000"/>
                </a:schemeClr>
              </a:solidFill>
              <a:prstDash val="sysDot"/>
            </a:ln>
          </c:spPr>
          <c:marker>
            <c:symbol val="none"/>
          </c:marker>
          <c:cat>
            <c:multiLvlStrRef>
              <c:f>'Trh práce 1'!$AA$28:$AB$53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 1'!$AM$28:$AM$53</c:f>
              <c:numCache>
                <c:formatCode>General</c:formatCode>
                <c:ptCount val="26"/>
                <c:pt idx="0">
                  <c:v>-1.9</c:v>
                </c:pt>
                <c:pt idx="1">
                  <c:v>4.0999999999999996</c:v>
                </c:pt>
                <c:pt idx="2">
                  <c:v>4.7</c:v>
                </c:pt>
                <c:pt idx="3">
                  <c:v>8.8000000000000007</c:v>
                </c:pt>
                <c:pt idx="4">
                  <c:v>9.8000000000000007</c:v>
                </c:pt>
                <c:pt idx="5">
                  <c:v>10</c:v>
                </c:pt>
                <c:pt idx="6">
                  <c:v>4.2</c:v>
                </c:pt>
                <c:pt idx="7">
                  <c:v>9.1999999999999993</c:v>
                </c:pt>
                <c:pt idx="8">
                  <c:v>12.1</c:v>
                </c:pt>
                <c:pt idx="9">
                  <c:v>5.9</c:v>
                </c:pt>
                <c:pt idx="10">
                  <c:v>8.9</c:v>
                </c:pt>
                <c:pt idx="11">
                  <c:v>7.2</c:v>
                </c:pt>
                <c:pt idx="12">
                  <c:v>10.8</c:v>
                </c:pt>
                <c:pt idx="13">
                  <c:v>10.4</c:v>
                </c:pt>
                <c:pt idx="14">
                  <c:v>8.3000000000000007</c:v>
                </c:pt>
                <c:pt idx="15">
                  <c:v>6.5</c:v>
                </c:pt>
                <c:pt idx="16">
                  <c:v>3.1</c:v>
                </c:pt>
                <c:pt idx="17">
                  <c:v>2.5</c:v>
                </c:pt>
                <c:pt idx="18">
                  <c:v>1.6</c:v>
                </c:pt>
                <c:pt idx="19">
                  <c:v>-2.7</c:v>
                </c:pt>
                <c:pt idx="20">
                  <c:v>1.5</c:v>
                </c:pt>
                <c:pt idx="21">
                  <c:v>-17.399999999999999</c:v>
                </c:pt>
                <c:pt idx="22">
                  <c:v>-11.6</c:v>
                </c:pt>
                <c:pt idx="23">
                  <c:v>-5.9</c:v>
                </c:pt>
                <c:pt idx="24">
                  <c:v>0.1</c:v>
                </c:pt>
                <c:pt idx="25">
                  <c:v>9.4</c:v>
                </c:pt>
              </c:numCache>
            </c:numRef>
          </c:val>
          <c:smooth val="0"/>
          <c:extLst>
            <c:ext xmlns:c16="http://schemas.microsoft.com/office/drawing/2014/chart" uri="{C3380CC4-5D6E-409C-BE32-E72D297353CC}">
              <c16:uniqueId val="{0000000A-A90A-4475-9596-A2F20E0693BD}"/>
            </c:ext>
          </c:extLst>
        </c:ser>
        <c:ser>
          <c:idx val="11"/>
          <c:order val="11"/>
          <c:tx>
            <c:strRef>
              <c:f>'Trh práce 1'!$AN$7</c:f>
              <c:strCache>
                <c:ptCount val="1"/>
                <c:pt idx="0">
                  <c:v>Očekávání zaměstnanosti (stavebnictví)</c:v>
                </c:pt>
              </c:strCache>
            </c:strRef>
          </c:tx>
          <c:spPr>
            <a:ln w="15875">
              <a:solidFill>
                <a:srgbClr val="00B0F0"/>
              </a:solidFill>
              <a:prstDash val="sysDot"/>
            </a:ln>
          </c:spPr>
          <c:marker>
            <c:symbol val="none"/>
          </c:marker>
          <c:cat>
            <c:multiLvlStrRef>
              <c:f>'Trh práce 1'!$AA$28:$AB$53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 1'!$AN$28:$AN$53</c:f>
              <c:numCache>
                <c:formatCode>General</c:formatCode>
                <c:ptCount val="26"/>
                <c:pt idx="0">
                  <c:v>-1.9</c:v>
                </c:pt>
                <c:pt idx="1">
                  <c:v>7.3</c:v>
                </c:pt>
                <c:pt idx="2">
                  <c:v>0.6</c:v>
                </c:pt>
                <c:pt idx="3">
                  <c:v>2.2999999999999998</c:v>
                </c:pt>
                <c:pt idx="4">
                  <c:v>-0.9</c:v>
                </c:pt>
                <c:pt idx="5">
                  <c:v>-8</c:v>
                </c:pt>
                <c:pt idx="6">
                  <c:v>-6.3</c:v>
                </c:pt>
                <c:pt idx="7">
                  <c:v>-7.2</c:v>
                </c:pt>
                <c:pt idx="8">
                  <c:v>-7.7</c:v>
                </c:pt>
                <c:pt idx="9">
                  <c:v>-15.4</c:v>
                </c:pt>
                <c:pt idx="10">
                  <c:v>-9.3000000000000007</c:v>
                </c:pt>
                <c:pt idx="11">
                  <c:v>-3.2</c:v>
                </c:pt>
                <c:pt idx="12">
                  <c:v>4.3</c:v>
                </c:pt>
                <c:pt idx="13">
                  <c:v>4.3</c:v>
                </c:pt>
                <c:pt idx="14">
                  <c:v>8</c:v>
                </c:pt>
                <c:pt idx="15">
                  <c:v>11.4</c:v>
                </c:pt>
                <c:pt idx="16">
                  <c:v>8.8000000000000007</c:v>
                </c:pt>
                <c:pt idx="17">
                  <c:v>10</c:v>
                </c:pt>
                <c:pt idx="18">
                  <c:v>3.9</c:v>
                </c:pt>
                <c:pt idx="19">
                  <c:v>10.9</c:v>
                </c:pt>
                <c:pt idx="20">
                  <c:v>6.7</c:v>
                </c:pt>
                <c:pt idx="21">
                  <c:v>-3.6</c:v>
                </c:pt>
                <c:pt idx="22">
                  <c:v>-0.6</c:v>
                </c:pt>
                <c:pt idx="23">
                  <c:v>-3.1</c:v>
                </c:pt>
                <c:pt idx="24">
                  <c:v>2.1</c:v>
                </c:pt>
                <c:pt idx="25">
                  <c:v>3.6</c:v>
                </c:pt>
              </c:numCache>
            </c:numRef>
          </c:val>
          <c:smooth val="0"/>
          <c:extLst>
            <c:ext xmlns:c16="http://schemas.microsoft.com/office/drawing/2014/chart" uri="{C3380CC4-5D6E-409C-BE32-E72D297353CC}">
              <c16:uniqueId val="{0000000B-A90A-4475-9596-A2F20E0693BD}"/>
            </c:ext>
          </c:extLst>
        </c:ser>
        <c:ser>
          <c:idx val="12"/>
          <c:order val="12"/>
          <c:tx>
            <c:strRef>
              <c:f>'Trh práce 1'!$AO$7</c:f>
              <c:strCache>
                <c:ptCount val="1"/>
                <c:pt idx="0">
                  <c:v>Očekávání zaměstnanosti (obchod)</c:v>
                </c:pt>
              </c:strCache>
            </c:strRef>
          </c:tx>
          <c:spPr>
            <a:ln w="15875">
              <a:solidFill>
                <a:schemeClr val="accent6">
                  <a:lumMod val="75000"/>
                </a:schemeClr>
              </a:solidFill>
              <a:prstDash val="sysDot"/>
            </a:ln>
          </c:spPr>
          <c:marker>
            <c:symbol val="none"/>
          </c:marker>
          <c:cat>
            <c:multiLvlStrRef>
              <c:f>'Trh práce 1'!$AA$28:$AB$53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 1'!$AO$28:$AO$53</c:f>
              <c:numCache>
                <c:formatCode>General</c:formatCode>
                <c:ptCount val="26"/>
                <c:pt idx="0">
                  <c:v>15.5</c:v>
                </c:pt>
                <c:pt idx="1">
                  <c:v>5.4</c:v>
                </c:pt>
                <c:pt idx="2">
                  <c:v>3.4</c:v>
                </c:pt>
                <c:pt idx="3">
                  <c:v>-2.4</c:v>
                </c:pt>
                <c:pt idx="4">
                  <c:v>15.7</c:v>
                </c:pt>
                <c:pt idx="5">
                  <c:v>19.600000000000001</c:v>
                </c:pt>
                <c:pt idx="6">
                  <c:v>20.9</c:v>
                </c:pt>
                <c:pt idx="7">
                  <c:v>18.399999999999999</c:v>
                </c:pt>
                <c:pt idx="8">
                  <c:v>15.8</c:v>
                </c:pt>
                <c:pt idx="9">
                  <c:v>19.3</c:v>
                </c:pt>
                <c:pt idx="10">
                  <c:v>19.899999999999999</c:v>
                </c:pt>
                <c:pt idx="11">
                  <c:v>13.8</c:v>
                </c:pt>
                <c:pt idx="12">
                  <c:v>26.7</c:v>
                </c:pt>
                <c:pt idx="13">
                  <c:v>31.9</c:v>
                </c:pt>
                <c:pt idx="14">
                  <c:v>28.3</c:v>
                </c:pt>
                <c:pt idx="15">
                  <c:v>18.2</c:v>
                </c:pt>
                <c:pt idx="16">
                  <c:v>11.7</c:v>
                </c:pt>
                <c:pt idx="17">
                  <c:v>13.7</c:v>
                </c:pt>
                <c:pt idx="18">
                  <c:v>12.9</c:v>
                </c:pt>
                <c:pt idx="19">
                  <c:v>14.5</c:v>
                </c:pt>
                <c:pt idx="20">
                  <c:v>11.1</c:v>
                </c:pt>
                <c:pt idx="21">
                  <c:v>-6.9</c:v>
                </c:pt>
                <c:pt idx="22">
                  <c:v>-4.8</c:v>
                </c:pt>
                <c:pt idx="23">
                  <c:v>1.3</c:v>
                </c:pt>
                <c:pt idx="24">
                  <c:v>4.2</c:v>
                </c:pt>
                <c:pt idx="25">
                  <c:v>11.5</c:v>
                </c:pt>
              </c:numCache>
            </c:numRef>
          </c:val>
          <c:smooth val="0"/>
          <c:extLst>
            <c:ext xmlns:c16="http://schemas.microsoft.com/office/drawing/2014/chart" uri="{C3380CC4-5D6E-409C-BE32-E72D297353CC}">
              <c16:uniqueId val="{0000000C-A90A-4475-9596-A2F20E0693BD}"/>
            </c:ext>
          </c:extLst>
        </c:ser>
        <c:ser>
          <c:idx val="13"/>
          <c:order val="13"/>
          <c:tx>
            <c:strRef>
              <c:f>'Trh práce 1'!$AP$7</c:f>
              <c:strCache>
                <c:ptCount val="1"/>
                <c:pt idx="0">
                  <c:v>Očekávání zaměstnanosti (vybr. služby)</c:v>
                </c:pt>
              </c:strCache>
            </c:strRef>
          </c:tx>
          <c:spPr>
            <a:ln w="15875">
              <a:solidFill>
                <a:srgbClr val="C00000"/>
              </a:solidFill>
              <a:prstDash val="sysDot"/>
            </a:ln>
          </c:spPr>
          <c:marker>
            <c:symbol val="none"/>
          </c:marker>
          <c:cat>
            <c:multiLvlStrRef>
              <c:f>'Trh práce 1'!$AA$28:$AB$53</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 1'!$AP$28:$AP$53</c:f>
              <c:numCache>
                <c:formatCode>General</c:formatCode>
                <c:ptCount val="26"/>
                <c:pt idx="0">
                  <c:v>-15.7</c:v>
                </c:pt>
                <c:pt idx="1">
                  <c:v>-21.3</c:v>
                </c:pt>
                <c:pt idx="2">
                  <c:v>2.6</c:v>
                </c:pt>
                <c:pt idx="3">
                  <c:v>3.8</c:v>
                </c:pt>
                <c:pt idx="4">
                  <c:v>2.6</c:v>
                </c:pt>
                <c:pt idx="5">
                  <c:v>24.7</c:v>
                </c:pt>
                <c:pt idx="6">
                  <c:v>-1.7</c:v>
                </c:pt>
                <c:pt idx="7">
                  <c:v>7.2</c:v>
                </c:pt>
                <c:pt idx="8">
                  <c:v>11.7</c:v>
                </c:pt>
                <c:pt idx="9">
                  <c:v>11.5</c:v>
                </c:pt>
                <c:pt idx="10">
                  <c:v>19.8</c:v>
                </c:pt>
                <c:pt idx="11">
                  <c:v>2.8</c:v>
                </c:pt>
                <c:pt idx="12">
                  <c:v>14.9</c:v>
                </c:pt>
                <c:pt idx="13">
                  <c:v>10.5</c:v>
                </c:pt>
                <c:pt idx="14">
                  <c:v>9</c:v>
                </c:pt>
                <c:pt idx="15">
                  <c:v>-5.2</c:v>
                </c:pt>
                <c:pt idx="16">
                  <c:v>-8.1</c:v>
                </c:pt>
                <c:pt idx="17">
                  <c:v>-6.9</c:v>
                </c:pt>
                <c:pt idx="18">
                  <c:v>-8.3000000000000007</c:v>
                </c:pt>
                <c:pt idx="19">
                  <c:v>-11.7</c:v>
                </c:pt>
                <c:pt idx="20">
                  <c:v>-20.3</c:v>
                </c:pt>
                <c:pt idx="21">
                  <c:v>-33.700000000000003</c:v>
                </c:pt>
                <c:pt idx="22">
                  <c:v>-33.299999999999997</c:v>
                </c:pt>
                <c:pt idx="23">
                  <c:v>-27.3</c:v>
                </c:pt>
                <c:pt idx="24">
                  <c:v>-28</c:v>
                </c:pt>
                <c:pt idx="25">
                  <c:v>-29.7</c:v>
                </c:pt>
              </c:numCache>
            </c:numRef>
          </c:val>
          <c:smooth val="0"/>
          <c:extLst>
            <c:ext xmlns:c16="http://schemas.microsoft.com/office/drawing/2014/chart" uri="{C3380CC4-5D6E-409C-BE32-E72D297353CC}">
              <c16:uniqueId val="{0000000D-A90A-4475-9596-A2F20E0693BD}"/>
            </c:ext>
          </c:extLst>
        </c:ser>
        <c:dLbls>
          <c:showLegendKey val="0"/>
          <c:showVal val="0"/>
          <c:showCatName val="0"/>
          <c:showSerName val="0"/>
          <c:showPercent val="0"/>
          <c:showBubbleSize val="0"/>
        </c:dLbls>
        <c:marker val="1"/>
        <c:smooth val="0"/>
        <c:axId val="332941824"/>
        <c:axId val="332936832"/>
      </c:lineChart>
      <c:catAx>
        <c:axId val="101898496"/>
        <c:scaling>
          <c:orientation val="minMax"/>
        </c:scaling>
        <c:delete val="0"/>
        <c:axPos val="b"/>
        <c:numFmt formatCode="General" sourceLinked="1"/>
        <c:majorTickMark val="out"/>
        <c:minorTickMark val="none"/>
        <c:tickLblPos val="low"/>
        <c:spPr>
          <a:ln>
            <a:solidFill>
              <a:schemeClr val="tx1"/>
            </a:solidFill>
          </a:ln>
        </c:spPr>
        <c:crossAx val="101781504"/>
        <c:crosses val="autoZero"/>
        <c:auto val="1"/>
        <c:lblAlgn val="ctr"/>
        <c:lblOffset val="10"/>
        <c:noMultiLvlLbl val="0"/>
      </c:catAx>
      <c:valAx>
        <c:axId val="101781504"/>
        <c:scaling>
          <c:orientation val="minMax"/>
          <c:max val="2"/>
          <c:min val="-5"/>
        </c:scaling>
        <c:delete val="0"/>
        <c:axPos val="l"/>
        <c:majorGridlines>
          <c:spPr>
            <a:ln w="6350">
              <a:solidFill>
                <a:schemeClr val="bg1">
                  <a:lumMod val="75000"/>
                </a:schemeClr>
              </a:solidFill>
            </a:ln>
          </c:spPr>
        </c:majorGridlines>
        <c:title>
          <c:tx>
            <c:rich>
              <a:bodyPr/>
              <a:lstStyle/>
              <a:p>
                <a:pPr>
                  <a:defRPr sz="700" b="0" i="1"/>
                </a:pPr>
                <a:r>
                  <a:rPr lang="cs-CZ" sz="700" b="0" i="1"/>
                  <a:t>Příspěvky</a:t>
                </a:r>
                <a:r>
                  <a:rPr lang="cs-CZ" sz="700" b="0" i="1" baseline="0"/>
                  <a:t> k</a:t>
                </a:r>
                <a:r>
                  <a:rPr lang="cs-CZ" sz="700" b="0" i="1" u="none" strike="noStrike" kern="1200" baseline="0">
                    <a:solidFill>
                      <a:sysClr val="windowText" lastClr="000000"/>
                    </a:solidFill>
                    <a:latin typeface="Arial" panose="020B0604020202020204" pitchFamily="34" charset="0"/>
                    <a:ea typeface="+mn-ea"/>
                    <a:cs typeface="Arial" panose="020B0604020202020204" pitchFamily="34" charset="0"/>
                  </a:rPr>
                  <a:t> </a:t>
                </a:r>
                <a:r>
                  <a:rPr lang="cs-CZ" sz="700" b="0" i="1" baseline="0"/>
                  <a:t>růstu zaměstnanosti</a:t>
                </a:r>
                <a:endParaRPr lang="cs-CZ" sz="700" b="0" i="1"/>
              </a:p>
            </c:rich>
          </c:tx>
          <c:layout>
            <c:manualLayout>
              <c:xMode val="edge"/>
              <c:yMode val="edge"/>
              <c:x val="0"/>
              <c:y val="0.15110810581510684"/>
            </c:manualLayout>
          </c:layout>
          <c:overlay val="0"/>
        </c:title>
        <c:numFmt formatCode="0.0" sourceLinked="0"/>
        <c:majorTickMark val="out"/>
        <c:minorTickMark val="none"/>
        <c:tickLblPos val="nextTo"/>
        <c:spPr>
          <a:ln>
            <a:solidFill>
              <a:schemeClr val="tx1"/>
            </a:solidFill>
          </a:ln>
        </c:spPr>
        <c:crossAx val="101898496"/>
        <c:crosses val="autoZero"/>
        <c:crossBetween val="between"/>
        <c:majorUnit val="0.5"/>
      </c:valAx>
      <c:valAx>
        <c:axId val="332936832"/>
        <c:scaling>
          <c:orientation val="minMax"/>
          <c:max val="100"/>
          <c:min val="-40"/>
        </c:scaling>
        <c:delete val="0"/>
        <c:axPos val="r"/>
        <c:title>
          <c:tx>
            <c:rich>
              <a:bodyPr/>
              <a:lstStyle/>
              <a:p>
                <a:pPr>
                  <a:defRPr sz="700" b="0" i="1"/>
                </a:pPr>
                <a:r>
                  <a:rPr lang="cs-CZ" sz="700" b="0" i="1"/>
                  <a:t>Očekávání</a:t>
                </a:r>
                <a:r>
                  <a:rPr lang="cs-CZ" sz="700" b="0" i="1" baseline="0"/>
                  <a:t> vývoje zaměstnanosti</a:t>
                </a:r>
                <a:endParaRPr lang="cs-CZ" sz="700" b="0" i="1"/>
              </a:p>
            </c:rich>
          </c:tx>
          <c:layout>
            <c:manualLayout>
              <c:xMode val="edge"/>
              <c:yMode val="edge"/>
              <c:x val="0.97040343782834393"/>
              <c:y val="0.19420735772001382"/>
            </c:manualLayout>
          </c:layout>
          <c:overlay val="0"/>
        </c:title>
        <c:numFmt formatCode="#,##0" sourceLinked="0"/>
        <c:majorTickMark val="out"/>
        <c:minorTickMark val="none"/>
        <c:tickLblPos val="nextTo"/>
        <c:crossAx val="332941824"/>
        <c:crosses val="max"/>
        <c:crossBetween val="between"/>
        <c:majorUnit val="10"/>
      </c:valAx>
      <c:catAx>
        <c:axId val="332941824"/>
        <c:scaling>
          <c:orientation val="minMax"/>
        </c:scaling>
        <c:delete val="1"/>
        <c:axPos val="b"/>
        <c:numFmt formatCode="General" sourceLinked="1"/>
        <c:majorTickMark val="out"/>
        <c:minorTickMark val="none"/>
        <c:tickLblPos val="nextTo"/>
        <c:crossAx val="332936832"/>
        <c:crosses val="autoZero"/>
        <c:auto val="1"/>
        <c:lblAlgn val="ctr"/>
        <c:lblOffset val="100"/>
        <c:noMultiLvlLbl val="0"/>
      </c:catAx>
      <c:spPr>
        <a:ln>
          <a:solidFill>
            <a:schemeClr val="tx1"/>
          </a:solidFill>
        </a:ln>
      </c:spPr>
    </c:plotArea>
    <c:legend>
      <c:legendPos val="b"/>
      <c:layout>
        <c:manualLayout>
          <c:xMode val="edge"/>
          <c:yMode val="edge"/>
          <c:x val="4.692510837063792E-3"/>
          <c:y val="0.7737351285059999"/>
          <c:w val="0.96005692595618608"/>
          <c:h val="0.21194618315349945"/>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397366722205891E-2"/>
          <c:y val="1.6081916099773243E-2"/>
          <c:w val="0.83584199323558972"/>
          <c:h val="0.75393509070294773"/>
        </c:manualLayout>
      </c:layout>
      <c:barChart>
        <c:barDir val="col"/>
        <c:grouping val="clustered"/>
        <c:varyColors val="0"/>
        <c:ser>
          <c:idx val="0"/>
          <c:order val="0"/>
          <c:tx>
            <c:strRef>
              <c:f>'Trh práce-2b'!$A$29</c:f>
              <c:strCache>
                <c:ptCount val="1"/>
                <c:pt idx="0">
                  <c:v>Míra nezaměstnanosti mužů (levá osa)</c:v>
                </c:pt>
              </c:strCache>
            </c:strRef>
          </c:tx>
          <c:spPr>
            <a:solidFill>
              <a:srgbClr val="BCBCBC"/>
            </a:solidFill>
          </c:spPr>
          <c:invertIfNegative val="0"/>
          <c:cat>
            <c:multiLvlStrRef>
              <c:f>'Trh práce-2b'!$B$27:$AA$28</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práce-2b'!$B$29:$AA$29</c:f>
              <c:numCache>
                <c:formatCode>0.0</c:formatCode>
                <c:ptCount val="26"/>
                <c:pt idx="0">
                  <c:v>5.0279442811649515</c:v>
                </c:pt>
                <c:pt idx="1">
                  <c:v>4.3132022848917435</c:v>
                </c:pt>
                <c:pt idx="2">
                  <c:v>4.0493220315169971</c:v>
                </c:pt>
                <c:pt idx="3">
                  <c:v>3.796297064946359</c:v>
                </c:pt>
                <c:pt idx="4">
                  <c:v>3.6579593231451923</c:v>
                </c:pt>
                <c:pt idx="5">
                  <c:v>3.5625192464593023</c:v>
                </c:pt>
                <c:pt idx="6">
                  <c:v>3.3812822208883007</c:v>
                </c:pt>
                <c:pt idx="7">
                  <c:v>3.1604955590050579</c:v>
                </c:pt>
                <c:pt idx="8">
                  <c:v>2.7018943335334851</c:v>
                </c:pt>
                <c:pt idx="9">
                  <c:v>2.4843960569492856</c:v>
                </c:pt>
                <c:pt idx="10">
                  <c:v>2.2430057716347727</c:v>
                </c:pt>
                <c:pt idx="11">
                  <c:v>2.086614723505777</c:v>
                </c:pt>
                <c:pt idx="12">
                  <c:v>1.900186791646451</c:v>
                </c:pt>
                <c:pt idx="13">
                  <c:v>1.8247057320577735</c:v>
                </c:pt>
                <c:pt idx="14">
                  <c:v>1.8814809605942038</c:v>
                </c:pt>
                <c:pt idx="15">
                  <c:v>1.6838644007455752</c:v>
                </c:pt>
                <c:pt idx="16">
                  <c:v>1.8091345291598684</c:v>
                </c:pt>
                <c:pt idx="17">
                  <c:v>1.6718639728590583</c:v>
                </c:pt>
                <c:pt idx="18">
                  <c:v>1.7587593615374626</c:v>
                </c:pt>
                <c:pt idx="19">
                  <c:v>1.8616281034094877</c:v>
                </c:pt>
                <c:pt idx="20">
                  <c:v>1.8498512391749937</c:v>
                </c:pt>
                <c:pt idx="21">
                  <c:v>2.2720588923440892</c:v>
                </c:pt>
                <c:pt idx="22">
                  <c:v>2.4985859599987545</c:v>
                </c:pt>
                <c:pt idx="23">
                  <c:v>2.5706106644583726</c:v>
                </c:pt>
                <c:pt idx="24">
                  <c:v>2.6176776716422299</c:v>
                </c:pt>
              </c:numCache>
            </c:numRef>
          </c:val>
          <c:extLst>
            <c:ext xmlns:c16="http://schemas.microsoft.com/office/drawing/2014/chart" uri="{C3380CC4-5D6E-409C-BE32-E72D297353CC}">
              <c16:uniqueId val="{00000000-78AD-4B38-86C2-C17E60B86A59}"/>
            </c:ext>
          </c:extLst>
        </c:ser>
        <c:ser>
          <c:idx val="1"/>
          <c:order val="1"/>
          <c:tx>
            <c:strRef>
              <c:f>'Trh práce-2b'!$A$30</c:f>
              <c:strCache>
                <c:ptCount val="1"/>
                <c:pt idx="0">
                  <c:v>Míra nezaměstnanosti žen (levá osa)</c:v>
                </c:pt>
              </c:strCache>
            </c:strRef>
          </c:tx>
          <c:spPr>
            <a:solidFill>
              <a:schemeClr val="bg1">
                <a:lumMod val="95000"/>
              </a:schemeClr>
            </a:solidFill>
            <a:ln>
              <a:solidFill>
                <a:schemeClr val="bg1">
                  <a:lumMod val="65000"/>
                </a:schemeClr>
              </a:solidFill>
            </a:ln>
          </c:spPr>
          <c:invertIfNegative val="0"/>
          <c:cat>
            <c:multiLvlStrRef>
              <c:f>'Trh práce-2b'!$B$27:$AA$28</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práce-2b'!$B$30:$AA$30</c:f>
              <c:numCache>
                <c:formatCode>0.0</c:formatCode>
                <c:ptCount val="26"/>
                <c:pt idx="0">
                  <c:v>6.9457408606984989</c:v>
                </c:pt>
                <c:pt idx="1">
                  <c:v>6.177648448786127</c:v>
                </c:pt>
                <c:pt idx="2">
                  <c:v>5.9674466507578154</c:v>
                </c:pt>
                <c:pt idx="3">
                  <c:v>5.6521751054305609</c:v>
                </c:pt>
                <c:pt idx="4">
                  <c:v>5.0891718315980876</c:v>
                </c:pt>
                <c:pt idx="5">
                  <c:v>4.8062266995652889</c:v>
                </c:pt>
                <c:pt idx="6">
                  <c:v>4.7750484852108821</c:v>
                </c:pt>
                <c:pt idx="7">
                  <c:v>4.3473349153216212</c:v>
                </c:pt>
                <c:pt idx="8">
                  <c:v>4.2801462931522218</c:v>
                </c:pt>
                <c:pt idx="9">
                  <c:v>3.9213812677822548</c:v>
                </c:pt>
                <c:pt idx="10">
                  <c:v>3.3888114698518668</c:v>
                </c:pt>
                <c:pt idx="11">
                  <c:v>2.9905820242198646</c:v>
                </c:pt>
                <c:pt idx="12">
                  <c:v>2.9402559950808258</c:v>
                </c:pt>
                <c:pt idx="13">
                  <c:v>2.9353227379584781</c:v>
                </c:pt>
                <c:pt idx="14">
                  <c:v>2.8604233097151144</c:v>
                </c:pt>
                <c:pt idx="15">
                  <c:v>2.6486774454254731</c:v>
                </c:pt>
                <c:pt idx="16">
                  <c:v>2.2492984850555064</c:v>
                </c:pt>
                <c:pt idx="17">
                  <c:v>2.5011272609131612</c:v>
                </c:pt>
                <c:pt idx="18">
                  <c:v>2.5456393371021431</c:v>
                </c:pt>
                <c:pt idx="19">
                  <c:v>2.4415807173650577</c:v>
                </c:pt>
                <c:pt idx="20">
                  <c:v>2.0698278802825825</c:v>
                </c:pt>
                <c:pt idx="21">
                  <c:v>2.8182122704870634</c:v>
                </c:pt>
                <c:pt idx="22">
                  <c:v>3.3459924034590363</c:v>
                </c:pt>
                <c:pt idx="23">
                  <c:v>3.8739925140162246</c:v>
                </c:pt>
                <c:pt idx="24">
                  <c:v>4.1159607762157213</c:v>
                </c:pt>
              </c:numCache>
            </c:numRef>
          </c:val>
          <c:extLst>
            <c:ext xmlns:c16="http://schemas.microsoft.com/office/drawing/2014/chart" uri="{C3380CC4-5D6E-409C-BE32-E72D297353CC}">
              <c16:uniqueId val="{00000001-78AD-4B38-86C2-C17E60B86A59}"/>
            </c:ext>
          </c:extLst>
        </c:ser>
        <c:dLbls>
          <c:showLegendKey val="0"/>
          <c:showVal val="0"/>
          <c:showCatName val="0"/>
          <c:showSerName val="0"/>
          <c:showPercent val="0"/>
          <c:showBubbleSize val="0"/>
        </c:dLbls>
        <c:gapWidth val="68"/>
        <c:axId val="100654464"/>
        <c:axId val="101647488"/>
      </c:barChart>
      <c:lineChart>
        <c:grouping val="standard"/>
        <c:varyColors val="0"/>
        <c:ser>
          <c:idx val="2"/>
          <c:order val="2"/>
          <c:tx>
            <c:strRef>
              <c:f>'Trh práce-2b'!$A$31</c:f>
              <c:strCache>
                <c:ptCount val="1"/>
                <c:pt idx="0">
                  <c:v>Podíl nezam. déle než 1 rok (pravá osa)</c:v>
                </c:pt>
              </c:strCache>
            </c:strRef>
          </c:tx>
          <c:spPr>
            <a:ln w="19050">
              <a:solidFill>
                <a:srgbClr val="663300"/>
              </a:solidFill>
              <a:prstDash val="sysDash"/>
            </a:ln>
          </c:spPr>
          <c:marker>
            <c:symbol val="none"/>
          </c:marker>
          <c:cat>
            <c:multiLvlStrRef>
              <c:f>'Trh práce-2b'!$B$27:$AA$28</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práce-2b'!$B$31:$AA$31</c:f>
              <c:numCache>
                <c:formatCode>0.0</c:formatCode>
                <c:ptCount val="26"/>
                <c:pt idx="0">
                  <c:v>45.762175838077162</c:v>
                </c:pt>
                <c:pt idx="1">
                  <c:v>46.715049656226128</c:v>
                </c:pt>
                <c:pt idx="2">
                  <c:v>48.521400778210108</c:v>
                </c:pt>
                <c:pt idx="3">
                  <c:v>48.542458808618512</c:v>
                </c:pt>
                <c:pt idx="4">
                  <c:v>45.847750865051907</c:v>
                </c:pt>
                <c:pt idx="5">
                  <c:v>43.490701001430608</c:v>
                </c:pt>
                <c:pt idx="6">
                  <c:v>39.295774647887328</c:v>
                </c:pt>
                <c:pt idx="7">
                  <c:v>39.196242171189979</c:v>
                </c:pt>
                <c:pt idx="8">
                  <c:v>37.093275488069416</c:v>
                </c:pt>
                <c:pt idx="9">
                  <c:v>37.366099558916197</c:v>
                </c:pt>
                <c:pt idx="10">
                  <c:v>32.798931195724784</c:v>
                </c:pt>
                <c:pt idx="11">
                  <c:v>31.546231546231553</c:v>
                </c:pt>
                <c:pt idx="12">
                  <c:v>31.741140215716484</c:v>
                </c:pt>
                <c:pt idx="13">
                  <c:v>30.28764805414551</c:v>
                </c:pt>
                <c:pt idx="14">
                  <c:v>28.796223446105422</c:v>
                </c:pt>
                <c:pt idx="15">
                  <c:v>31.317689530685922</c:v>
                </c:pt>
                <c:pt idx="16">
                  <c:v>32.360984503190522</c:v>
                </c:pt>
                <c:pt idx="17">
                  <c:v>32.2265625</c:v>
                </c:pt>
                <c:pt idx="18">
                  <c:v>26.979982593559615</c:v>
                </c:pt>
                <c:pt idx="19">
                  <c:v>28.623853211009177</c:v>
                </c:pt>
                <c:pt idx="20">
                  <c:v>29.4</c:v>
                </c:pt>
                <c:pt idx="21">
                  <c:v>20.823436262866192</c:v>
                </c:pt>
                <c:pt idx="22">
                  <c:v>20.012995451591941</c:v>
                </c:pt>
                <c:pt idx="23">
                  <c:v>21.521335807050093</c:v>
                </c:pt>
                <c:pt idx="24">
                  <c:v>19.387186629526461</c:v>
                </c:pt>
              </c:numCache>
            </c:numRef>
          </c:val>
          <c:smooth val="0"/>
          <c:extLst>
            <c:ext xmlns:c16="http://schemas.microsoft.com/office/drawing/2014/chart" uri="{C3380CC4-5D6E-409C-BE32-E72D297353CC}">
              <c16:uniqueId val="{00000002-78AD-4B38-86C2-C17E60B86A59}"/>
            </c:ext>
          </c:extLst>
        </c:ser>
        <c:ser>
          <c:idx val="3"/>
          <c:order val="3"/>
          <c:tx>
            <c:strRef>
              <c:f>'Trh práce-2b'!$A$32</c:f>
              <c:strCache>
                <c:ptCount val="1"/>
                <c:pt idx="0">
                  <c:v>Podíl osob do 25 let mezi nezam. (pr. osa)</c:v>
                </c:pt>
              </c:strCache>
            </c:strRef>
          </c:tx>
          <c:spPr>
            <a:ln w="19050">
              <a:solidFill>
                <a:srgbClr val="00B050"/>
              </a:solidFill>
              <a:prstDash val="sysDash"/>
            </a:ln>
          </c:spPr>
          <c:marker>
            <c:symbol val="none"/>
          </c:marker>
          <c:cat>
            <c:multiLvlStrRef>
              <c:f>'Trh práce-2b'!$B$27:$AA$28</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práce-2b'!$B$32:$AA$32</c:f>
              <c:numCache>
                <c:formatCode>0.0</c:formatCode>
                <c:ptCount val="26"/>
                <c:pt idx="0">
                  <c:v>15.50632911392405</c:v>
                </c:pt>
                <c:pt idx="1">
                  <c:v>15.648854961832063</c:v>
                </c:pt>
                <c:pt idx="2">
                  <c:v>17.509727626459142</c:v>
                </c:pt>
                <c:pt idx="3">
                  <c:v>16.455696202531644</c:v>
                </c:pt>
                <c:pt idx="4">
                  <c:v>13.852813852813853</c:v>
                </c:pt>
                <c:pt idx="5">
                  <c:v>15.238095238095239</c:v>
                </c:pt>
                <c:pt idx="6">
                  <c:v>18.30985915492958</c:v>
                </c:pt>
                <c:pt idx="7">
                  <c:v>18.75</c:v>
                </c:pt>
                <c:pt idx="8">
                  <c:v>14.673913043478262</c:v>
                </c:pt>
                <c:pt idx="9">
                  <c:v>16.352201257861633</c:v>
                </c:pt>
                <c:pt idx="10">
                  <c:v>18.666666666666668</c:v>
                </c:pt>
                <c:pt idx="11">
                  <c:v>14.728682170542637</c:v>
                </c:pt>
                <c:pt idx="12">
                  <c:v>14.615384615384617</c:v>
                </c:pt>
                <c:pt idx="13">
                  <c:v>16.949152542372879</c:v>
                </c:pt>
                <c:pt idx="14">
                  <c:v>18.110236220472441</c:v>
                </c:pt>
                <c:pt idx="15">
                  <c:v>16.216216216216218</c:v>
                </c:pt>
                <c:pt idx="16">
                  <c:v>14.545454545454545</c:v>
                </c:pt>
                <c:pt idx="17">
                  <c:v>15.686274509803921</c:v>
                </c:pt>
                <c:pt idx="18">
                  <c:v>15.65217391304348</c:v>
                </c:pt>
                <c:pt idx="19">
                  <c:v>13.761467889908257</c:v>
                </c:pt>
                <c:pt idx="20">
                  <c:v>13.522012578616351</c:v>
                </c:pt>
                <c:pt idx="21">
                  <c:v>14.248021108179421</c:v>
                </c:pt>
                <c:pt idx="22">
                  <c:v>16.702819956616054</c:v>
                </c:pt>
                <c:pt idx="23">
                  <c:v>15.670103092783505</c:v>
                </c:pt>
                <c:pt idx="24">
                  <c:v>13.857677902621724</c:v>
                </c:pt>
              </c:numCache>
            </c:numRef>
          </c:val>
          <c:smooth val="0"/>
          <c:extLst>
            <c:ext xmlns:c16="http://schemas.microsoft.com/office/drawing/2014/chart" uri="{C3380CC4-5D6E-409C-BE32-E72D297353CC}">
              <c16:uniqueId val="{00000003-78AD-4B38-86C2-C17E60B86A59}"/>
            </c:ext>
          </c:extLst>
        </c:ser>
        <c:ser>
          <c:idx val="6"/>
          <c:order val="4"/>
          <c:tx>
            <c:strRef>
              <c:f>'Trh práce-2b'!$A$33</c:f>
              <c:strCache>
                <c:ptCount val="1"/>
                <c:pt idx="0">
                  <c:v>Podíl osob nad 50 let mezi nezam. (pr. osa)</c:v>
                </c:pt>
              </c:strCache>
            </c:strRef>
          </c:tx>
          <c:spPr>
            <a:ln w="19050">
              <a:solidFill>
                <a:srgbClr val="0070C0"/>
              </a:solidFill>
              <a:prstDash val="sysDash"/>
            </a:ln>
          </c:spPr>
          <c:marker>
            <c:symbol val="none"/>
          </c:marker>
          <c:cat>
            <c:multiLvlStrRef>
              <c:f>'Trh práce-2b'!$B$27:$AA$28</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práce-2b'!$B$33:$AA$33</c:f>
              <c:numCache>
                <c:formatCode>0.0</c:formatCode>
                <c:ptCount val="26"/>
                <c:pt idx="0">
                  <c:v>23.213156230234031</c:v>
                </c:pt>
                <c:pt idx="1">
                  <c:v>24.140565317035907</c:v>
                </c:pt>
                <c:pt idx="2">
                  <c:v>22.451361867704282</c:v>
                </c:pt>
                <c:pt idx="3">
                  <c:v>23.954372623574148</c:v>
                </c:pt>
                <c:pt idx="4">
                  <c:v>28.157439446366784</c:v>
                </c:pt>
                <c:pt idx="5">
                  <c:v>26.180257510729614</c:v>
                </c:pt>
                <c:pt idx="6">
                  <c:v>22.86384976525822</c:v>
                </c:pt>
                <c:pt idx="7">
                  <c:v>24.947807933194156</c:v>
                </c:pt>
                <c:pt idx="8">
                  <c:v>26.138828633405641</c:v>
                </c:pt>
                <c:pt idx="9">
                  <c:v>24.763705103969755</c:v>
                </c:pt>
                <c:pt idx="10">
                  <c:v>23.380093520374086</c:v>
                </c:pt>
                <c:pt idx="11">
                  <c:v>23.931623931623935</c:v>
                </c:pt>
                <c:pt idx="12">
                  <c:v>25.808936825885976</c:v>
                </c:pt>
                <c:pt idx="13">
                  <c:v>24.957698815566832</c:v>
                </c:pt>
                <c:pt idx="14">
                  <c:v>24.311565696302122</c:v>
                </c:pt>
                <c:pt idx="15">
                  <c:v>23.285198555956679</c:v>
                </c:pt>
                <c:pt idx="16">
                  <c:v>26.253418413855972</c:v>
                </c:pt>
                <c:pt idx="17">
                  <c:v>24.609374999999996</c:v>
                </c:pt>
                <c:pt idx="18">
                  <c:v>26.02262837249782</c:v>
                </c:pt>
                <c:pt idx="19">
                  <c:v>25.596330275229356</c:v>
                </c:pt>
                <c:pt idx="20">
                  <c:v>24.976437323279928</c:v>
                </c:pt>
                <c:pt idx="21">
                  <c:v>21.61520190023753</c:v>
                </c:pt>
                <c:pt idx="22">
                  <c:v>22.157244964262507</c:v>
                </c:pt>
                <c:pt idx="23">
                  <c:v>20.5</c:v>
                </c:pt>
              </c:numCache>
            </c:numRef>
          </c:val>
          <c:smooth val="0"/>
          <c:extLst>
            <c:ext xmlns:c16="http://schemas.microsoft.com/office/drawing/2014/chart" uri="{C3380CC4-5D6E-409C-BE32-E72D297353CC}">
              <c16:uniqueId val="{00000004-78AD-4B38-86C2-C17E60B86A59}"/>
            </c:ext>
          </c:extLst>
        </c:ser>
        <c:ser>
          <c:idx val="7"/>
          <c:order val="5"/>
          <c:tx>
            <c:strRef>
              <c:f>'Trh práce-2b'!$A$34</c:f>
              <c:strCache>
                <c:ptCount val="1"/>
                <c:pt idx="0">
                  <c:v>Ekon. neaktiv. chtějící pracovat (pr. osa)</c:v>
                </c:pt>
              </c:strCache>
            </c:strRef>
          </c:tx>
          <c:spPr>
            <a:ln w="19050">
              <a:solidFill>
                <a:schemeClr val="accent2">
                  <a:lumMod val="60000"/>
                  <a:lumOff val="40000"/>
                </a:schemeClr>
              </a:solidFill>
              <a:prstDash val="solid"/>
            </a:ln>
          </c:spPr>
          <c:marker>
            <c:symbol val="none"/>
          </c:marker>
          <c:cat>
            <c:multiLvlStrRef>
              <c:f>'Trh práce-2b'!$B$27:$AA$28</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práce-2b'!$B$34:$AA$34</c:f>
              <c:numCache>
                <c:formatCode>General</c:formatCode>
                <c:ptCount val="26"/>
                <c:pt idx="0">
                  <c:v>138.5</c:v>
                </c:pt>
                <c:pt idx="1">
                  <c:v>141.4</c:v>
                </c:pt>
                <c:pt idx="2">
                  <c:v>137.1</c:v>
                </c:pt>
                <c:pt idx="3">
                  <c:v>130.4</c:v>
                </c:pt>
                <c:pt idx="4">
                  <c:v>141</c:v>
                </c:pt>
                <c:pt idx="5">
                  <c:v>126.4</c:v>
                </c:pt>
                <c:pt idx="6">
                  <c:v>129.69999999999999</c:v>
                </c:pt>
                <c:pt idx="7">
                  <c:v>127.1</c:v>
                </c:pt>
                <c:pt idx="8" formatCode="0.0">
                  <c:v>133.1</c:v>
                </c:pt>
                <c:pt idx="9" formatCode="0.0">
                  <c:v>120.1</c:v>
                </c:pt>
                <c:pt idx="10" formatCode="0.0">
                  <c:v>121.3</c:v>
                </c:pt>
                <c:pt idx="11" formatCode="0.0">
                  <c:v>119.1</c:v>
                </c:pt>
                <c:pt idx="12" formatCode="0.0">
                  <c:v>113.5</c:v>
                </c:pt>
                <c:pt idx="13" formatCode="0.0">
                  <c:v>108.4</c:v>
                </c:pt>
                <c:pt idx="14" formatCode="0.0">
                  <c:v>110.3</c:v>
                </c:pt>
                <c:pt idx="15" formatCode="0.0">
                  <c:v>101.7</c:v>
                </c:pt>
                <c:pt idx="16" formatCode="0.0">
                  <c:v>104.6</c:v>
                </c:pt>
                <c:pt idx="17" formatCode="0.0">
                  <c:v>104.6</c:v>
                </c:pt>
                <c:pt idx="18" formatCode="0.0">
                  <c:v>97.6</c:v>
                </c:pt>
                <c:pt idx="19" formatCode="0.0">
                  <c:v>99.9</c:v>
                </c:pt>
                <c:pt idx="20" formatCode="0.0">
                  <c:v>93.4</c:v>
                </c:pt>
                <c:pt idx="21" formatCode="0.0">
                  <c:v>109.3</c:v>
                </c:pt>
                <c:pt idx="22" formatCode="0.0">
                  <c:v>98.8</c:v>
                </c:pt>
                <c:pt idx="23" formatCode="0.0">
                  <c:v>95.7</c:v>
                </c:pt>
                <c:pt idx="24" formatCode="0.0">
                  <c:v>108</c:v>
                </c:pt>
              </c:numCache>
            </c:numRef>
          </c:val>
          <c:smooth val="0"/>
          <c:extLst>
            <c:ext xmlns:c16="http://schemas.microsoft.com/office/drawing/2014/chart" uri="{C3380CC4-5D6E-409C-BE32-E72D297353CC}">
              <c16:uniqueId val="{00000005-78AD-4B38-86C2-C17E60B86A59}"/>
            </c:ext>
          </c:extLst>
        </c:ser>
        <c:ser>
          <c:idx val="4"/>
          <c:order val="6"/>
          <c:tx>
            <c:strRef>
              <c:f>'Trh práce-2b'!$A$35</c:f>
              <c:strCache>
                <c:ptCount val="1"/>
                <c:pt idx="0">
                  <c:v>Očekávání vývoje nezam. (pravá osa)</c:v>
                </c:pt>
              </c:strCache>
            </c:strRef>
          </c:tx>
          <c:spPr>
            <a:ln w="9525">
              <a:solidFill>
                <a:schemeClr val="accent6">
                  <a:lumMod val="75000"/>
                </a:schemeClr>
              </a:solidFill>
              <a:prstDash val="sysDot"/>
            </a:ln>
          </c:spPr>
          <c:marker>
            <c:symbol val="circle"/>
            <c:size val="4"/>
            <c:spPr>
              <a:solidFill>
                <a:schemeClr val="accent6">
                  <a:lumMod val="75000"/>
                </a:schemeClr>
              </a:solidFill>
              <a:ln>
                <a:noFill/>
              </a:ln>
            </c:spPr>
          </c:marker>
          <c:cat>
            <c:multiLvlStrRef>
              <c:f>'Trh práce-2b'!$B$27:$AA$28</c:f>
              <c:multiLvlStrCache>
                <c:ptCount val="26"/>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lvl>
                <c:lvl>
                  <c:pt idx="0">
                    <c:v>2015</c:v>
                  </c:pt>
                  <c:pt idx="4">
                    <c:v>2016</c:v>
                  </c:pt>
                  <c:pt idx="8">
                    <c:v>2017</c:v>
                  </c:pt>
                  <c:pt idx="12">
                    <c:v>2018</c:v>
                  </c:pt>
                  <c:pt idx="16">
                    <c:v>2019</c:v>
                  </c:pt>
                  <c:pt idx="20">
                    <c:v>2020</c:v>
                  </c:pt>
                  <c:pt idx="24">
                    <c:v>2021</c:v>
                  </c:pt>
                </c:lvl>
              </c:multiLvlStrCache>
            </c:multiLvlStrRef>
          </c:cat>
          <c:val>
            <c:numRef>
              <c:f>'Trh práce-2b'!$B$35:$AA$35</c:f>
              <c:numCache>
                <c:formatCode>#\ ##0.0</c:formatCode>
                <c:ptCount val="26"/>
                <c:pt idx="0">
                  <c:v>12.2</c:v>
                </c:pt>
                <c:pt idx="1">
                  <c:v>7.3</c:v>
                </c:pt>
                <c:pt idx="2">
                  <c:v>12.3</c:v>
                </c:pt>
                <c:pt idx="3">
                  <c:v>4.9000000000000004</c:v>
                </c:pt>
                <c:pt idx="4">
                  <c:v>1.1000000000000001</c:v>
                </c:pt>
                <c:pt idx="5">
                  <c:v>8.5</c:v>
                </c:pt>
                <c:pt idx="6">
                  <c:v>7</c:v>
                </c:pt>
                <c:pt idx="7">
                  <c:v>3.6</c:v>
                </c:pt>
                <c:pt idx="8">
                  <c:v>-1.6</c:v>
                </c:pt>
                <c:pt idx="9">
                  <c:v>-4.0999999999999996</c:v>
                </c:pt>
                <c:pt idx="10">
                  <c:v>3.5</c:v>
                </c:pt>
                <c:pt idx="11">
                  <c:v>-0.2</c:v>
                </c:pt>
                <c:pt idx="12">
                  <c:v>-2.8</c:v>
                </c:pt>
                <c:pt idx="13">
                  <c:v>-3.4</c:v>
                </c:pt>
                <c:pt idx="14">
                  <c:v>1.7</c:v>
                </c:pt>
                <c:pt idx="15">
                  <c:v>5.5</c:v>
                </c:pt>
                <c:pt idx="16">
                  <c:v>6</c:v>
                </c:pt>
                <c:pt idx="17">
                  <c:v>6.8</c:v>
                </c:pt>
                <c:pt idx="18">
                  <c:v>13.9</c:v>
                </c:pt>
                <c:pt idx="19">
                  <c:v>12.8</c:v>
                </c:pt>
                <c:pt idx="20">
                  <c:v>16.2</c:v>
                </c:pt>
                <c:pt idx="21">
                  <c:v>48.6</c:v>
                </c:pt>
                <c:pt idx="22">
                  <c:v>46.7</c:v>
                </c:pt>
                <c:pt idx="23">
                  <c:v>59.5</c:v>
                </c:pt>
                <c:pt idx="24">
                  <c:v>51.5</c:v>
                </c:pt>
                <c:pt idx="25">
                  <c:v>17.8</c:v>
                </c:pt>
              </c:numCache>
            </c:numRef>
          </c:val>
          <c:smooth val="0"/>
          <c:extLst>
            <c:ext xmlns:c16="http://schemas.microsoft.com/office/drawing/2014/chart" uri="{C3380CC4-5D6E-409C-BE32-E72D297353CC}">
              <c16:uniqueId val="{00000006-78AD-4B38-86C2-C17E60B86A59}"/>
            </c:ext>
          </c:extLst>
        </c:ser>
        <c:dLbls>
          <c:showLegendKey val="0"/>
          <c:showVal val="0"/>
          <c:showCatName val="0"/>
          <c:showSerName val="0"/>
          <c:showPercent val="0"/>
          <c:showBubbleSize val="0"/>
        </c:dLbls>
        <c:marker val="1"/>
        <c:smooth val="0"/>
        <c:axId val="331670576"/>
        <c:axId val="323971328"/>
      </c:lineChart>
      <c:catAx>
        <c:axId val="100654464"/>
        <c:scaling>
          <c:orientation val="minMax"/>
        </c:scaling>
        <c:delete val="0"/>
        <c:axPos val="b"/>
        <c:numFmt formatCode="General" sourceLinked="0"/>
        <c:majorTickMark val="out"/>
        <c:minorTickMark val="none"/>
        <c:tickLblPos val="low"/>
        <c:spPr>
          <a:ln>
            <a:solidFill>
              <a:schemeClr val="tx1"/>
            </a:solidFill>
          </a:ln>
        </c:spPr>
        <c:crossAx val="101647488"/>
        <c:crossesAt val="-50"/>
        <c:auto val="1"/>
        <c:lblAlgn val="ctr"/>
        <c:lblOffset val="0"/>
        <c:noMultiLvlLbl val="0"/>
      </c:catAx>
      <c:valAx>
        <c:axId val="101647488"/>
        <c:scaling>
          <c:orientation val="minMax"/>
          <c:max val="7.6"/>
          <c:min val="0"/>
        </c:scaling>
        <c:delete val="0"/>
        <c:axPos val="l"/>
        <c:majorGridlines>
          <c:spPr>
            <a:ln w="6350">
              <a:solidFill>
                <a:schemeClr val="bg1">
                  <a:lumMod val="75000"/>
                </a:schemeClr>
              </a:solidFill>
            </a:ln>
          </c:spPr>
        </c:majorGridlines>
        <c:title>
          <c:tx>
            <c:rich>
              <a:bodyPr/>
              <a:lstStyle/>
              <a:p>
                <a:pPr>
                  <a:defRPr sz="700" b="0" i="1"/>
                </a:pPr>
                <a:r>
                  <a:rPr lang="cs-CZ" sz="700" b="0" i="1"/>
                  <a:t>Míra</a:t>
                </a:r>
                <a:r>
                  <a:rPr lang="cs-CZ" sz="700" b="0" i="1" baseline="0"/>
                  <a:t> nezaměstnanosti</a:t>
                </a:r>
                <a:endParaRPr lang="cs-CZ" sz="700" b="0" i="1"/>
              </a:p>
            </c:rich>
          </c:tx>
          <c:layout/>
          <c:overlay val="0"/>
        </c:title>
        <c:numFmt formatCode="0.0" sourceLinked="0"/>
        <c:majorTickMark val="out"/>
        <c:minorTickMark val="none"/>
        <c:tickLblPos val="nextTo"/>
        <c:spPr>
          <a:ln>
            <a:solidFill>
              <a:schemeClr val="tx1"/>
            </a:solidFill>
          </a:ln>
        </c:spPr>
        <c:crossAx val="100654464"/>
        <c:crosses val="autoZero"/>
        <c:crossBetween val="between"/>
        <c:majorUnit val="0.5"/>
      </c:valAx>
      <c:valAx>
        <c:axId val="323971328"/>
        <c:scaling>
          <c:orientation val="minMax"/>
          <c:max val="142"/>
          <c:min val="-10"/>
        </c:scaling>
        <c:delete val="0"/>
        <c:axPos val="r"/>
        <c:title>
          <c:tx>
            <c:rich>
              <a:bodyPr/>
              <a:lstStyle/>
              <a:p>
                <a:pPr>
                  <a:defRPr sz="700" b="0" i="1"/>
                </a:pPr>
                <a:r>
                  <a:rPr lang="cs-CZ" sz="700" b="0" i="1" u="none" strike="noStrike" baseline="0">
                    <a:effectLst/>
                  </a:rPr>
                  <a:t>Ekon. neaktivní, </a:t>
                </a:r>
                <a:r>
                  <a:rPr lang="cs-CZ" sz="700" b="0" i="1" baseline="0"/>
                  <a:t>vybr. skupiny nezam., očekávání nezaměstnanosti</a:t>
                </a:r>
                <a:endParaRPr lang="cs-CZ" sz="700" b="0" i="1"/>
              </a:p>
            </c:rich>
          </c:tx>
          <c:layout/>
          <c:overlay val="0"/>
        </c:title>
        <c:numFmt formatCode="#,##0" sourceLinked="0"/>
        <c:majorTickMark val="out"/>
        <c:minorTickMark val="none"/>
        <c:tickLblPos val="nextTo"/>
        <c:crossAx val="331670576"/>
        <c:crosses val="max"/>
        <c:crossBetween val="between"/>
        <c:majorUnit val="10"/>
      </c:valAx>
      <c:catAx>
        <c:axId val="331670576"/>
        <c:scaling>
          <c:orientation val="minMax"/>
        </c:scaling>
        <c:delete val="1"/>
        <c:axPos val="b"/>
        <c:numFmt formatCode="General" sourceLinked="1"/>
        <c:majorTickMark val="out"/>
        <c:minorTickMark val="none"/>
        <c:tickLblPos val="nextTo"/>
        <c:crossAx val="323971328"/>
        <c:crosses val="autoZero"/>
        <c:auto val="1"/>
        <c:lblAlgn val="ctr"/>
        <c:lblOffset val="100"/>
        <c:noMultiLvlLbl val="0"/>
      </c:catAx>
      <c:spPr>
        <a:ln>
          <a:solidFill>
            <a:schemeClr val="tx1"/>
          </a:solidFill>
        </a:ln>
      </c:spPr>
    </c:plotArea>
    <c:legend>
      <c:legendPos val="b"/>
      <c:layout>
        <c:manualLayout>
          <c:xMode val="edge"/>
          <c:yMode val="edge"/>
          <c:x val="6.9661976872503594E-3"/>
          <c:y val="0.85929280045351475"/>
          <c:w val="0.98428486364480727"/>
          <c:h val="0.13700935374149659"/>
        </c:manualLayout>
      </c:layout>
      <c:overlay val="0"/>
      <c:spPr>
        <a:ln w="6350">
          <a:solidFill>
            <a:schemeClr val="tx1"/>
          </a:solidFill>
        </a:ln>
      </c:spPr>
      <c:txPr>
        <a:bodyPr/>
        <a:lstStyle/>
        <a:p>
          <a:pPr>
            <a:defRPr sz="77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091348527306885E-2"/>
          <c:y val="1.6549886621315273E-2"/>
          <c:w val="0.94100987714831696"/>
          <c:h val="0.76395209750566906"/>
        </c:manualLayout>
      </c:layout>
      <c:barChart>
        <c:barDir val="col"/>
        <c:grouping val="clustered"/>
        <c:varyColors val="0"/>
        <c:ser>
          <c:idx val="4"/>
          <c:order val="1"/>
          <c:tx>
            <c:strRef>
              <c:f>'Trh práce 3'!$D$8</c:f>
              <c:strCache>
                <c:ptCount val="1"/>
                <c:pt idx="0">
                  <c:v>Průměrná mzda celkem (reálně)</c:v>
                </c:pt>
              </c:strCache>
            </c:strRef>
          </c:tx>
          <c:spPr>
            <a:solidFill>
              <a:srgbClr val="DBDBDB"/>
            </a:solidFill>
            <a:ln w="19050">
              <a:noFill/>
            </a:ln>
          </c:spPr>
          <c:invertIfNegative val="0"/>
          <c:cat>
            <c:multiLvlStrRef>
              <c:f>'Trh práce 3'!$A$29:$B$53</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3'!$D$29:$D$53</c:f>
              <c:numCache>
                <c:formatCode>#\ ##0.0</c:formatCode>
                <c:ptCount val="25"/>
                <c:pt idx="0">
                  <c:v>2.2000000000000028</c:v>
                </c:pt>
                <c:pt idx="1">
                  <c:v>2.5999999999999943</c:v>
                </c:pt>
                <c:pt idx="2">
                  <c:v>3.0999999999999943</c:v>
                </c:pt>
                <c:pt idx="3">
                  <c:v>3.5999999999999943</c:v>
                </c:pt>
                <c:pt idx="4">
                  <c:v>4.2000000000000028</c:v>
                </c:pt>
                <c:pt idx="5">
                  <c:v>3.7999999999999972</c:v>
                </c:pt>
                <c:pt idx="6">
                  <c:v>4.2000000000000028</c:v>
                </c:pt>
                <c:pt idx="7">
                  <c:v>3</c:v>
                </c:pt>
                <c:pt idx="8">
                  <c:v>2.5999999999999943</c:v>
                </c:pt>
                <c:pt idx="9">
                  <c:v>4.9000000000000057</c:v>
                </c:pt>
                <c:pt idx="10">
                  <c:v>4.0999999999999943</c:v>
                </c:pt>
                <c:pt idx="11">
                  <c:v>5.0999999999999943</c:v>
                </c:pt>
                <c:pt idx="12">
                  <c:v>6.5</c:v>
                </c:pt>
                <c:pt idx="13">
                  <c:v>6.2999999999999972</c:v>
                </c:pt>
                <c:pt idx="14">
                  <c:v>5.9000000000000057</c:v>
                </c:pt>
                <c:pt idx="15">
                  <c:v>4.9000000000000057</c:v>
                </c:pt>
                <c:pt idx="16">
                  <c:v>5.5</c:v>
                </c:pt>
                <c:pt idx="17">
                  <c:v>5.0999999999999943</c:v>
                </c:pt>
                <c:pt idx="18">
                  <c:v>4.7999999999999972</c:v>
                </c:pt>
                <c:pt idx="19">
                  <c:v>4.5</c:v>
                </c:pt>
                <c:pt idx="20">
                  <c:v>0.20000000000000284</c:v>
                </c:pt>
                <c:pt idx="21">
                  <c:v>-3.5999999999999943</c:v>
                </c:pt>
                <c:pt idx="22">
                  <c:v>0.70000000000000284</c:v>
                </c:pt>
                <c:pt idx="23">
                  <c:v>2.5999999999999943</c:v>
                </c:pt>
                <c:pt idx="24">
                  <c:v>1</c:v>
                </c:pt>
              </c:numCache>
            </c:numRef>
          </c:val>
          <c:extLst>
            <c:ext xmlns:c16="http://schemas.microsoft.com/office/drawing/2014/chart" uri="{C3380CC4-5D6E-409C-BE32-E72D297353CC}">
              <c16:uniqueId val="{00000000-6C88-4644-9B0B-7AD571537288}"/>
            </c:ext>
          </c:extLst>
        </c:ser>
        <c:dLbls>
          <c:showLegendKey val="0"/>
          <c:showVal val="0"/>
          <c:showCatName val="0"/>
          <c:showSerName val="0"/>
          <c:showPercent val="0"/>
          <c:showBubbleSize val="0"/>
        </c:dLbls>
        <c:gapWidth val="37"/>
        <c:axId val="100688640"/>
        <c:axId val="100690560"/>
      </c:barChart>
      <c:lineChart>
        <c:grouping val="standard"/>
        <c:varyColors val="0"/>
        <c:ser>
          <c:idx val="0"/>
          <c:order val="0"/>
          <c:tx>
            <c:strRef>
              <c:f>'Trh práce 3'!$C$8</c:f>
              <c:strCache>
                <c:ptCount val="1"/>
                <c:pt idx="0">
                  <c:v>Průměrná mzda celkem (nominálně)</c:v>
                </c:pt>
              </c:strCache>
            </c:strRef>
          </c:tx>
          <c:spPr>
            <a:ln w="19050">
              <a:solidFill>
                <a:schemeClr val="tx1">
                  <a:lumMod val="95000"/>
                  <a:lumOff val="5000"/>
                </a:schemeClr>
              </a:solidFill>
            </a:ln>
          </c:spPr>
          <c:marker>
            <c:symbol val="none"/>
          </c:marker>
          <c:cat>
            <c:multiLvlStrRef>
              <c:f>'Trh práce 3'!$A$29:$B$53</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3'!$C$29:$C$53</c:f>
              <c:numCache>
                <c:formatCode>0.0</c:formatCode>
                <c:ptCount val="25"/>
                <c:pt idx="0">
                  <c:v>2.2999999999999972</c:v>
                </c:pt>
                <c:pt idx="1">
                  <c:v>3.2999999999999972</c:v>
                </c:pt>
                <c:pt idx="2">
                  <c:v>3.5</c:v>
                </c:pt>
                <c:pt idx="3">
                  <c:v>3.7000000000000028</c:v>
                </c:pt>
                <c:pt idx="4">
                  <c:v>4.7000000000000028</c:v>
                </c:pt>
                <c:pt idx="5">
                  <c:v>4</c:v>
                </c:pt>
                <c:pt idx="6">
                  <c:v>4.7000000000000028</c:v>
                </c:pt>
                <c:pt idx="7">
                  <c:v>4.4000000000000057</c:v>
                </c:pt>
                <c:pt idx="8">
                  <c:v>5.0999999999999943</c:v>
                </c:pt>
                <c:pt idx="9">
                  <c:v>7.2000000000000028</c:v>
                </c:pt>
                <c:pt idx="10">
                  <c:v>6.7000000000000028</c:v>
                </c:pt>
                <c:pt idx="11">
                  <c:v>7.7999999999999972</c:v>
                </c:pt>
                <c:pt idx="12">
                  <c:v>8.5</c:v>
                </c:pt>
                <c:pt idx="13">
                  <c:v>8.7000000000000028</c:v>
                </c:pt>
                <c:pt idx="14">
                  <c:v>8.4000000000000057</c:v>
                </c:pt>
                <c:pt idx="15">
                  <c:v>7.0999999999999943</c:v>
                </c:pt>
                <c:pt idx="16">
                  <c:v>8.2999999999999972</c:v>
                </c:pt>
                <c:pt idx="17">
                  <c:v>8</c:v>
                </c:pt>
                <c:pt idx="18">
                  <c:v>7.7000000000000028</c:v>
                </c:pt>
                <c:pt idx="19">
                  <c:v>7.5999999999999943</c:v>
                </c:pt>
                <c:pt idx="20">
                  <c:v>3.7999999999999972</c:v>
                </c:pt>
                <c:pt idx="21">
                  <c:v>-0.59999999999999432</c:v>
                </c:pt>
                <c:pt idx="22">
                  <c:v>4</c:v>
                </c:pt>
                <c:pt idx="23">
                  <c:v>5.2999999999999972</c:v>
                </c:pt>
                <c:pt idx="24">
                  <c:v>3.2000000000000028</c:v>
                </c:pt>
              </c:numCache>
            </c:numRef>
          </c:val>
          <c:smooth val="0"/>
          <c:extLst>
            <c:ext xmlns:c16="http://schemas.microsoft.com/office/drawing/2014/chart" uri="{C3380CC4-5D6E-409C-BE32-E72D297353CC}">
              <c16:uniqueId val="{00000001-6C88-4644-9B0B-7AD571537288}"/>
            </c:ext>
          </c:extLst>
        </c:ser>
        <c:ser>
          <c:idx val="5"/>
          <c:order val="2"/>
          <c:tx>
            <c:strRef>
              <c:f>'Trh práce 3'!$E$8</c:f>
              <c:strCache>
                <c:ptCount val="1"/>
                <c:pt idx="0">
                  <c:v>Prům. mzda v průmyslu (nominálně)</c:v>
                </c:pt>
              </c:strCache>
            </c:strRef>
          </c:tx>
          <c:spPr>
            <a:ln w="9525">
              <a:solidFill>
                <a:srgbClr val="C00000"/>
              </a:solidFill>
              <a:prstDash val="solid"/>
            </a:ln>
          </c:spPr>
          <c:marker>
            <c:symbol val="none"/>
          </c:marker>
          <c:cat>
            <c:multiLvlStrRef>
              <c:f>'Trh práce 3'!$A$29:$B$53</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3'!$E$29:$E$53</c:f>
              <c:numCache>
                <c:formatCode>0.0</c:formatCode>
                <c:ptCount val="25"/>
                <c:pt idx="0">
                  <c:v>1.6381118189372046</c:v>
                </c:pt>
                <c:pt idx="1">
                  <c:v>2.6920877025738719</c:v>
                </c:pt>
                <c:pt idx="2">
                  <c:v>3.010059729644766</c:v>
                </c:pt>
                <c:pt idx="3">
                  <c:v>2.9788308269320822</c:v>
                </c:pt>
                <c:pt idx="4">
                  <c:v>4.6482656596722052</c:v>
                </c:pt>
                <c:pt idx="5">
                  <c:v>3.9508373250157831</c:v>
                </c:pt>
                <c:pt idx="6">
                  <c:v>4.6540016784924205</c:v>
                </c:pt>
                <c:pt idx="7">
                  <c:v>3.8977412011906836</c:v>
                </c:pt>
                <c:pt idx="8">
                  <c:v>5.1746586808526445</c:v>
                </c:pt>
                <c:pt idx="9">
                  <c:v>8.0728701553848907</c:v>
                </c:pt>
                <c:pt idx="10">
                  <c:v>6.8272945979441602</c:v>
                </c:pt>
                <c:pt idx="11">
                  <c:v>7.0884454631252538</c:v>
                </c:pt>
                <c:pt idx="12">
                  <c:v>7.9018109790605564</c:v>
                </c:pt>
                <c:pt idx="13">
                  <c:v>8.1936869938853221</c:v>
                </c:pt>
                <c:pt idx="14">
                  <c:v>7.3566042242467802</c:v>
                </c:pt>
                <c:pt idx="15">
                  <c:v>7.6170092222467076</c:v>
                </c:pt>
                <c:pt idx="16">
                  <c:v>7.1985838851373387</c:v>
                </c:pt>
                <c:pt idx="17">
                  <c:v>7.0904869554591556</c:v>
                </c:pt>
                <c:pt idx="18">
                  <c:v>6.753964974732213</c:v>
                </c:pt>
                <c:pt idx="19">
                  <c:v>5.6242870930946793</c:v>
                </c:pt>
                <c:pt idx="20">
                  <c:v>3.2413919637942712</c:v>
                </c:pt>
                <c:pt idx="21">
                  <c:v>-4.9579232634431634</c:v>
                </c:pt>
                <c:pt idx="22">
                  <c:v>1.4528998451827988</c:v>
                </c:pt>
                <c:pt idx="23">
                  <c:v>2.5087223791327489</c:v>
                </c:pt>
                <c:pt idx="24">
                  <c:v>2.1651560926485303</c:v>
                </c:pt>
              </c:numCache>
            </c:numRef>
          </c:val>
          <c:smooth val="0"/>
          <c:extLst>
            <c:ext xmlns:c16="http://schemas.microsoft.com/office/drawing/2014/chart" uri="{C3380CC4-5D6E-409C-BE32-E72D297353CC}">
              <c16:uniqueId val="{00000002-6C88-4644-9B0B-7AD571537288}"/>
            </c:ext>
          </c:extLst>
        </c:ser>
        <c:ser>
          <c:idx val="1"/>
          <c:order val="3"/>
          <c:tx>
            <c:strRef>
              <c:f>'Trh práce 3'!$F$8</c:f>
              <c:strCache>
                <c:ptCount val="1"/>
                <c:pt idx="0">
                  <c:v>Prům. mzda v obchodu (nominálně)</c:v>
                </c:pt>
              </c:strCache>
            </c:strRef>
          </c:tx>
          <c:spPr>
            <a:ln w="9525">
              <a:solidFill>
                <a:srgbClr val="0070C0"/>
              </a:solidFill>
              <a:prstDash val="solid"/>
            </a:ln>
          </c:spPr>
          <c:marker>
            <c:symbol val="none"/>
          </c:marker>
          <c:cat>
            <c:multiLvlStrRef>
              <c:f>'Trh práce 3'!$A$29:$B$53</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3'!$F$29:$F$53</c:f>
              <c:numCache>
                <c:formatCode>0.0</c:formatCode>
                <c:ptCount val="25"/>
                <c:pt idx="0">
                  <c:v>3.1055099144049194</c:v>
                </c:pt>
                <c:pt idx="1">
                  <c:v>3.9141414141414117</c:v>
                </c:pt>
                <c:pt idx="2">
                  <c:v>3.949146815340427</c:v>
                </c:pt>
                <c:pt idx="3">
                  <c:v>5.7916298497871423</c:v>
                </c:pt>
                <c:pt idx="4">
                  <c:v>5.6443202202661524</c:v>
                </c:pt>
                <c:pt idx="5">
                  <c:v>3.9570676387201189</c:v>
                </c:pt>
                <c:pt idx="6">
                  <c:v>4.9977652269310511</c:v>
                </c:pt>
                <c:pt idx="7">
                  <c:v>4.4950645406226215</c:v>
                </c:pt>
                <c:pt idx="8">
                  <c:v>5.6231243089559229</c:v>
                </c:pt>
                <c:pt idx="9">
                  <c:v>7.9284684614485457</c:v>
                </c:pt>
                <c:pt idx="10">
                  <c:v>7.693200727526019</c:v>
                </c:pt>
                <c:pt idx="11">
                  <c:v>8.3926754832146457</c:v>
                </c:pt>
                <c:pt idx="12">
                  <c:v>7.2416629280693883</c:v>
                </c:pt>
                <c:pt idx="13">
                  <c:v>7.0392029456356937</c:v>
                </c:pt>
                <c:pt idx="14">
                  <c:v>6.8381903769449082</c:v>
                </c:pt>
                <c:pt idx="15">
                  <c:v>6.6970570490044992</c:v>
                </c:pt>
                <c:pt idx="16">
                  <c:v>9.5345999651385682</c:v>
                </c:pt>
                <c:pt idx="17">
                  <c:v>7.4227708080399282</c:v>
                </c:pt>
                <c:pt idx="18">
                  <c:v>8.1629221041302316</c:v>
                </c:pt>
                <c:pt idx="19">
                  <c:v>6.3018346318170444</c:v>
                </c:pt>
                <c:pt idx="20">
                  <c:v>3.0935709739019757</c:v>
                </c:pt>
                <c:pt idx="21">
                  <c:v>-2.0939942862524816</c:v>
                </c:pt>
                <c:pt idx="22">
                  <c:v>1.6200752510961109</c:v>
                </c:pt>
                <c:pt idx="23">
                  <c:v>-0.64424611383651609</c:v>
                </c:pt>
                <c:pt idx="24">
                  <c:v>2.2443813287231364</c:v>
                </c:pt>
              </c:numCache>
            </c:numRef>
          </c:val>
          <c:smooth val="0"/>
          <c:extLst>
            <c:ext xmlns:c16="http://schemas.microsoft.com/office/drawing/2014/chart" uri="{C3380CC4-5D6E-409C-BE32-E72D297353CC}">
              <c16:uniqueId val="{00000003-6C88-4644-9B0B-7AD571537288}"/>
            </c:ext>
          </c:extLst>
        </c:ser>
        <c:ser>
          <c:idx val="2"/>
          <c:order val="4"/>
          <c:tx>
            <c:strRef>
              <c:f>'Trh práce 3'!$G$8</c:f>
              <c:strCache>
                <c:ptCount val="1"/>
                <c:pt idx="0">
                  <c:v>Prům. mzda ve veř. službách (nominálně)*</c:v>
                </c:pt>
              </c:strCache>
            </c:strRef>
          </c:tx>
          <c:spPr>
            <a:ln w="9525">
              <a:solidFill>
                <a:srgbClr val="00B050"/>
              </a:solidFill>
              <a:prstDash val="solid"/>
            </a:ln>
          </c:spPr>
          <c:marker>
            <c:symbol val="none"/>
          </c:marker>
          <c:cat>
            <c:multiLvlStrRef>
              <c:f>'Trh práce 3'!$A$29:$B$53</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3'!$G$29:$G$53</c:f>
              <c:numCache>
                <c:formatCode>0.0</c:formatCode>
                <c:ptCount val="25"/>
                <c:pt idx="0">
                  <c:v>3.2925091204842687</c:v>
                </c:pt>
                <c:pt idx="1">
                  <c:v>4.3135889286729565</c:v>
                </c:pt>
                <c:pt idx="2">
                  <c:v>3.8145419077079765</c:v>
                </c:pt>
                <c:pt idx="3">
                  <c:v>3.6381766938736746</c:v>
                </c:pt>
                <c:pt idx="4">
                  <c:v>4.64178325585614</c:v>
                </c:pt>
                <c:pt idx="5">
                  <c:v>3.8061258933532116</c:v>
                </c:pt>
                <c:pt idx="6">
                  <c:v>4.8526374704253925</c:v>
                </c:pt>
                <c:pt idx="7">
                  <c:v>6.1351981806606233</c:v>
                </c:pt>
                <c:pt idx="8">
                  <c:v>5.4566112929362163</c:v>
                </c:pt>
                <c:pt idx="9">
                  <c:v>7.3192456135909225</c:v>
                </c:pt>
                <c:pt idx="10">
                  <c:v>7.9981713137873953</c:v>
                </c:pt>
                <c:pt idx="11">
                  <c:v>10.484072576559427</c:v>
                </c:pt>
                <c:pt idx="12">
                  <c:v>12.179699393983398</c:v>
                </c:pt>
                <c:pt idx="13">
                  <c:v>11.89217733254111</c:v>
                </c:pt>
                <c:pt idx="14">
                  <c:v>11.361326321628667</c:v>
                </c:pt>
                <c:pt idx="15">
                  <c:v>6.1282038917470629</c:v>
                </c:pt>
                <c:pt idx="16">
                  <c:v>9.4162908795776019</c:v>
                </c:pt>
                <c:pt idx="17">
                  <c:v>9.3022383570098555</c:v>
                </c:pt>
                <c:pt idx="18">
                  <c:v>8.3925247282538464</c:v>
                </c:pt>
                <c:pt idx="19">
                  <c:v>11.041060141001239</c:v>
                </c:pt>
                <c:pt idx="20">
                  <c:v>4.0761706440969334</c:v>
                </c:pt>
                <c:pt idx="21">
                  <c:v>3.8609569062914204</c:v>
                </c:pt>
                <c:pt idx="22">
                  <c:v>7.6176258951069542</c:v>
                </c:pt>
                <c:pt idx="23">
                  <c:v>12.682983973452551</c:v>
                </c:pt>
                <c:pt idx="24">
                  <c:v>4.841283987161944</c:v>
                </c:pt>
              </c:numCache>
            </c:numRef>
          </c:val>
          <c:smooth val="0"/>
          <c:extLst>
            <c:ext xmlns:c16="http://schemas.microsoft.com/office/drawing/2014/chart" uri="{C3380CC4-5D6E-409C-BE32-E72D297353CC}">
              <c16:uniqueId val="{00000004-6C88-4644-9B0B-7AD571537288}"/>
            </c:ext>
          </c:extLst>
        </c:ser>
        <c:ser>
          <c:idx val="3"/>
          <c:order val="5"/>
          <c:tx>
            <c:strRef>
              <c:f>'Trh práce 3'!$H$8</c:f>
              <c:strCache>
                <c:ptCount val="1"/>
                <c:pt idx="0">
                  <c:v>Mediánová mzda celkem (nominálně)</c:v>
                </c:pt>
              </c:strCache>
            </c:strRef>
          </c:tx>
          <c:spPr>
            <a:ln w="19050">
              <a:noFill/>
            </a:ln>
          </c:spPr>
          <c:marker>
            <c:symbol val="circle"/>
            <c:size val="5"/>
            <c:spPr>
              <a:solidFill>
                <a:srgbClr val="FFFF00"/>
              </a:solidFill>
              <a:ln w="6350">
                <a:solidFill>
                  <a:schemeClr val="bg1">
                    <a:lumMod val="50000"/>
                  </a:schemeClr>
                </a:solidFill>
              </a:ln>
            </c:spPr>
          </c:marker>
          <c:cat>
            <c:multiLvlStrRef>
              <c:f>'Trh práce 3'!$A$29:$B$53</c:f>
              <c:multiLvlStrCache>
                <c:ptCount val="2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lvl>
                <c:lvl>
                  <c:pt idx="0">
                    <c:v>2015</c:v>
                  </c:pt>
                  <c:pt idx="4">
                    <c:v>2016</c:v>
                  </c:pt>
                  <c:pt idx="8">
                    <c:v>2017</c:v>
                  </c:pt>
                  <c:pt idx="12">
                    <c:v>2018</c:v>
                  </c:pt>
                  <c:pt idx="16">
                    <c:v>2019</c:v>
                  </c:pt>
                  <c:pt idx="20">
                    <c:v>2020</c:v>
                  </c:pt>
                  <c:pt idx="24">
                    <c:v>2021</c:v>
                  </c:pt>
                </c:lvl>
              </c:multiLvlStrCache>
            </c:multiLvlStrRef>
          </c:cat>
          <c:val>
            <c:numRef>
              <c:f>'Trh práce 3'!$H$29:$H$53</c:f>
              <c:numCache>
                <c:formatCode>0.0</c:formatCode>
                <c:ptCount val="25"/>
                <c:pt idx="0">
                  <c:v>0.70000000000000284</c:v>
                </c:pt>
                <c:pt idx="1">
                  <c:v>2.2999999999999972</c:v>
                </c:pt>
                <c:pt idx="2">
                  <c:v>3.7999999999999972</c:v>
                </c:pt>
                <c:pt idx="3">
                  <c:v>4.7000000000000028</c:v>
                </c:pt>
                <c:pt idx="4">
                  <c:v>6.7000000000000028</c:v>
                </c:pt>
                <c:pt idx="5">
                  <c:v>4.5999999999999943</c:v>
                </c:pt>
                <c:pt idx="6">
                  <c:v>5.2999999999999972</c:v>
                </c:pt>
                <c:pt idx="7">
                  <c:v>6.2000000000000028</c:v>
                </c:pt>
                <c:pt idx="8">
                  <c:v>4.9000000000000057</c:v>
                </c:pt>
                <c:pt idx="9">
                  <c:v>7.7000000000000028</c:v>
                </c:pt>
                <c:pt idx="10">
                  <c:v>7</c:v>
                </c:pt>
                <c:pt idx="11">
                  <c:v>8.9000000000000057</c:v>
                </c:pt>
                <c:pt idx="12">
                  <c:v>8.7000000000000028</c:v>
                </c:pt>
                <c:pt idx="13">
                  <c:v>9.7000000000000028</c:v>
                </c:pt>
                <c:pt idx="14">
                  <c:v>9.2999999999999972</c:v>
                </c:pt>
                <c:pt idx="15">
                  <c:v>6.7000000000000028</c:v>
                </c:pt>
                <c:pt idx="16">
                  <c:v>8.7000000000000028</c:v>
                </c:pt>
                <c:pt idx="17">
                  <c:v>8</c:v>
                </c:pt>
                <c:pt idx="18">
                  <c:v>8.5999999999999943</c:v>
                </c:pt>
                <c:pt idx="19">
                  <c:v>8</c:v>
                </c:pt>
                <c:pt idx="20">
                  <c:v>3.5</c:v>
                </c:pt>
                <c:pt idx="21">
                  <c:v>-1.2000000000000028</c:v>
                </c:pt>
                <c:pt idx="22">
                  <c:v>4</c:v>
                </c:pt>
                <c:pt idx="23">
                  <c:v>4.0999999999999943</c:v>
                </c:pt>
                <c:pt idx="24">
                  <c:v>2.5</c:v>
                </c:pt>
              </c:numCache>
            </c:numRef>
          </c:val>
          <c:smooth val="0"/>
          <c:extLst>
            <c:ext xmlns:c16="http://schemas.microsoft.com/office/drawing/2014/chart" uri="{C3380CC4-5D6E-409C-BE32-E72D297353CC}">
              <c16:uniqueId val="{00000005-6C88-4644-9B0B-7AD571537288}"/>
            </c:ext>
          </c:extLst>
        </c:ser>
        <c:dLbls>
          <c:showLegendKey val="0"/>
          <c:showVal val="0"/>
          <c:showCatName val="0"/>
          <c:showSerName val="0"/>
          <c:showPercent val="0"/>
          <c:showBubbleSize val="0"/>
        </c:dLbls>
        <c:marker val="1"/>
        <c:smooth val="0"/>
        <c:axId val="100688640"/>
        <c:axId val="100690560"/>
      </c:lineChart>
      <c:catAx>
        <c:axId val="100688640"/>
        <c:scaling>
          <c:orientation val="minMax"/>
        </c:scaling>
        <c:delete val="0"/>
        <c:axPos val="b"/>
        <c:numFmt formatCode="General" sourceLinked="1"/>
        <c:majorTickMark val="out"/>
        <c:minorTickMark val="none"/>
        <c:tickLblPos val="low"/>
        <c:spPr>
          <a:ln>
            <a:solidFill>
              <a:schemeClr val="tx1"/>
            </a:solidFill>
          </a:ln>
        </c:spPr>
        <c:txPr>
          <a:bodyPr rot="0" vert="horz"/>
          <a:lstStyle/>
          <a:p>
            <a:pPr>
              <a:defRPr/>
            </a:pPr>
            <a:endParaRPr lang="cs-CZ"/>
          </a:p>
        </c:txPr>
        <c:crossAx val="100690560"/>
        <c:crosses val="autoZero"/>
        <c:auto val="1"/>
        <c:lblAlgn val="ctr"/>
        <c:lblOffset val="0"/>
        <c:tickMarkSkip val="4"/>
        <c:noMultiLvlLbl val="0"/>
      </c:catAx>
      <c:valAx>
        <c:axId val="100690560"/>
        <c:scaling>
          <c:orientation val="minMax"/>
          <c:max val="13"/>
          <c:min val="-5"/>
        </c:scaling>
        <c:delete val="0"/>
        <c:axPos val="l"/>
        <c:majorGridlines>
          <c:spPr>
            <a:ln>
              <a:solidFill>
                <a:schemeClr val="bg1">
                  <a:lumMod val="75000"/>
                </a:schemeClr>
              </a:solidFill>
            </a:ln>
          </c:spPr>
        </c:majorGridlines>
        <c:numFmt formatCode="0" sourceLinked="0"/>
        <c:majorTickMark val="out"/>
        <c:minorTickMark val="none"/>
        <c:tickLblPos val="nextTo"/>
        <c:spPr>
          <a:ln>
            <a:solidFill>
              <a:schemeClr val="tx1"/>
            </a:solidFill>
          </a:ln>
        </c:spPr>
        <c:crossAx val="100688640"/>
        <c:crosses val="autoZero"/>
        <c:crossBetween val="between"/>
        <c:majorUnit val="1"/>
      </c:valAx>
      <c:spPr>
        <a:ln>
          <a:solidFill>
            <a:schemeClr val="tx1"/>
          </a:solidFill>
        </a:ln>
      </c:spPr>
    </c:plotArea>
    <c:legend>
      <c:legendPos val="b"/>
      <c:layout>
        <c:manualLayout>
          <c:xMode val="edge"/>
          <c:yMode val="edge"/>
          <c:x val="2.5777042272800643E-2"/>
          <c:y val="0.87578174603174608"/>
          <c:w val="0.9607966303114982"/>
          <c:h val="0.11341893424036281"/>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507B9-5E57-4F72-BB07-08AC8FD66BA0}">
  <ds:schemaRefs>
    <ds:schemaRef ds:uri="http://schemas.openxmlformats.org/officeDocument/2006/bibliography"/>
  </ds:schemaRefs>
</ds:datastoreItem>
</file>

<file path=customXml/itemProps2.xml><?xml version="1.0" encoding="utf-8"?>
<ds:datastoreItem xmlns:ds="http://schemas.openxmlformats.org/officeDocument/2006/customXml" ds:itemID="{7D4BB506-9FCF-4B84-919C-8AE6C3D1E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7</TotalTime>
  <Pages>5</Pages>
  <Words>2295</Words>
  <Characters>12924</Characters>
  <Application>Microsoft Office Word</Application>
  <DocSecurity>0</DocSecurity>
  <Lines>195</Lines>
  <Paragraphs>57</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15162</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Mgr. Karolína Zábojníková</cp:lastModifiedBy>
  <cp:revision>4</cp:revision>
  <cp:lastPrinted>2019-04-08T10:52:00Z</cp:lastPrinted>
  <dcterms:created xsi:type="dcterms:W3CDTF">2021-06-15T07:59:00Z</dcterms:created>
  <dcterms:modified xsi:type="dcterms:W3CDTF">2021-06-15T08:14:00Z</dcterms:modified>
</cp:coreProperties>
</file>