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C45AE" w14:textId="77777777" w:rsidR="00E32778" w:rsidRPr="009110F7" w:rsidRDefault="00E32778" w:rsidP="00E32778">
      <w:pPr>
        <w:pStyle w:val="Nadpis11"/>
      </w:pPr>
      <w:bookmarkStart w:id="0" w:name="_Toc511215218"/>
      <w:bookmarkStart w:id="1" w:name="_Toc19090679"/>
      <w:bookmarkStart w:id="2" w:name="_Toc42852411"/>
      <w:bookmarkStart w:id="3" w:name="_Toc74643857"/>
      <w:bookmarkStart w:id="4" w:name="_Toc50712130"/>
      <w:bookmarkStart w:id="5" w:name="_Toc58605377"/>
      <w:bookmarkStart w:id="6" w:name="_Toc26865023"/>
      <w:bookmarkEnd w:id="0"/>
      <w:bookmarkEnd w:id="1"/>
      <w:r w:rsidRPr="009110F7">
        <w:t>5</w:t>
      </w:r>
      <w:r>
        <w:t>. </w:t>
      </w:r>
      <w:r w:rsidRPr="009110F7">
        <w:t>Ceny</w:t>
      </w:r>
      <w:bookmarkEnd w:id="2"/>
      <w:bookmarkEnd w:id="3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5"/>
        <w:gridCol w:w="224"/>
        <w:gridCol w:w="7610"/>
      </w:tblGrid>
      <w:tr w:rsidR="00E32778" w:rsidRPr="009110F7" w14:paraId="4DFB7BE2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34B9FECD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Růst cenové hladiny zrychlil.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E70C91A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7DFC0FD" w14:textId="77777777" w:rsidR="00E32778" w:rsidRPr="00793D78" w:rsidRDefault="00E32778" w:rsidP="00F57D57">
            <w:pPr>
              <w:rPr>
                <w:szCs w:val="20"/>
              </w:rPr>
            </w:pPr>
            <w:r>
              <w:rPr>
                <w:szCs w:val="20"/>
              </w:rPr>
              <w:t>Celkový meziroční nárůst cenové hladiny v ekonomice podle deflátoru HDP ve 2. čtvrtletí dosáhl 4,3 %. To je zrychlení oproti 1. čtvrtletí. Mezičtvrtletní nárůst cenové hladiny zrychlil na 1,5 %. Výrazně zrychlilo meziroční tempo cenového růstu spotřebních statků (3,9 %), a to jednak těch spotřebovávaných domácnostmi (2,1 %), ale hlavně v případě vládních institucí (7,4 %). Kapitálové statky meziročně zdražily o 3,5 %. Směnné relace oslabily na 100,7 %. Oslabení se týkalo směnných relací obchodu se zbožím (100,9 %), ale i se službami (99,0 %).</w:t>
            </w:r>
          </w:p>
        </w:tc>
      </w:tr>
      <w:tr w:rsidR="00E32778" w:rsidRPr="009110F7" w14:paraId="1CB4C8B5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3CC5C00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Ve 2. čtvrtletí meziroční růst spotřebitelských cen výrazně zrychlil.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11F2501B" w14:textId="77777777" w:rsidR="00E32778" w:rsidRPr="00793D78" w:rsidRDefault="00E32778" w:rsidP="00F57D57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7F7E910" w14:textId="77777777" w:rsidR="00E32778" w:rsidRPr="000316FC" w:rsidRDefault="00E32778" w:rsidP="00F57D57">
            <w:r>
              <w:t xml:space="preserve">Meziroční přírůstek spotřebitelských cen ve 2. čtvrtletí 2021 dosáhl 2,9 %. Po slabším meziročním tempu z 1. kvartálu tak došlo v průběhu 2. čtvrtletí k výraznému posílení. Na tom mělo podíl zejména zrychlení meziročního růstu cen dopravy (pod vlivem cen pohonných hmot), jež se také dostaly na pozici oddílu spotřebního koše, který nejvíce ovlivnil celkový </w:t>
            </w:r>
            <w:r w:rsidRPr="00EB06EF">
              <w:t>meziroční přírůstek cen. Druhý nejvyšší příspěvek představovaly ceny alkoholických nápojů a tabáku. Posílil i vliv přírůstku cen bydlení a energií. Za celé 1. pololetí se spotřebitelské ceny meziročně zvýšily o 2,5 %. Ve srovnání s 1. čtvrtletím 2021 spotřebitelské ceny vzrostly o 1,0 %, což byl také výsledek posílení cenového růstu u dopravy. K mezičtvrtletnímu navýšení výrazněji přispěl i přírůstek cen bydlení a alkoholických nápojů a tabáku.</w:t>
            </w:r>
          </w:p>
        </w:tc>
      </w:tr>
      <w:tr w:rsidR="00E32778" w:rsidRPr="00D75AC1" w14:paraId="40085F67" w14:textId="77777777" w:rsidTr="00F57D57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5E847C94" w14:textId="77777777" w:rsidR="00E327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1BAC15C8" w14:textId="77777777" w:rsidR="00E32778" w:rsidRPr="00793D78" w:rsidRDefault="00E32778" w:rsidP="00F57D57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3CC4F3B" w14:textId="77777777" w:rsidR="00E32778" w:rsidRPr="00D75AC1" w:rsidRDefault="00E32778" w:rsidP="00F57D57">
            <w:pPr>
              <w:spacing w:after="0"/>
              <w:rPr>
                <w:b/>
                <w:szCs w:val="20"/>
              </w:rPr>
            </w:pP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č. 9 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Ceny ve vybraných oddílech indexu spotřebitelských cen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9067EA">
              <w:rPr>
                <w:rFonts w:cs="Arial"/>
                <w:color w:val="000000"/>
                <w:sz w:val="18"/>
                <w:szCs w:val="18"/>
              </w:rPr>
              <w:t>(meziročně v %)</w:t>
            </w:r>
          </w:p>
        </w:tc>
      </w:tr>
      <w:tr w:rsidR="00E32778" w:rsidRPr="009110F7" w14:paraId="546FA6EF" w14:textId="77777777" w:rsidTr="00F57D5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1C40CB83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7CCC12F0" w14:textId="77777777" w:rsidR="00E32778" w:rsidRPr="00793D78" w:rsidRDefault="00E32778" w:rsidP="00F57D57">
            <w:pPr>
              <w:pStyle w:val="Textpoznpodarou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3BFF83CA" w14:textId="77777777" w:rsidR="00E32778" w:rsidRPr="00793D78" w:rsidRDefault="00E32778" w:rsidP="00F57D5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D9EA16B" wp14:editId="69A33693">
                  <wp:extent cx="4737600" cy="3553200"/>
                  <wp:effectExtent l="0" t="0" r="6350" b="0"/>
                  <wp:docPr id="16" name="Graf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E32778" w:rsidRPr="009110F7" w14:paraId="754D62F4" w14:textId="77777777" w:rsidTr="00F57D57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5A6414C3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4C7D52EF" w14:textId="77777777" w:rsidR="00E32778" w:rsidRPr="00793D78" w:rsidRDefault="00E32778" w:rsidP="00F57D57">
            <w:pPr>
              <w:pStyle w:val="Textpoznpodarou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EE36958" w14:textId="77777777" w:rsidR="00E32778" w:rsidRPr="00793D78" w:rsidRDefault="00E32778" w:rsidP="00F57D57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E32778" w:rsidRPr="009110F7" w14:paraId="1269119D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34DA32F0" w14:textId="77777777" w:rsidR="00E327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Na posílení dynamiky se podílely hlavně ceny pohonných hmot.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1E0E440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BA13488" w14:textId="77777777" w:rsidR="00E32778" w:rsidRDefault="00E32778" w:rsidP="00F57D57">
            <w:r>
              <w:t>Ceny dopravy se ve 2. čtvrtletí meziročně zvýšily o 9,1 %. To je výrazně více než v předchozím kvartálu (2,4 %) a jde o rekordní přírůstek v celé časové řadě</w:t>
            </w:r>
            <w:r w:rsidR="00067982">
              <w:t xml:space="preserve"> od roku 2005</w:t>
            </w:r>
            <w:r>
              <w:t>. Hlavním tahounem růstu cen dopravy byl provoz osobních dopravních prostředků, především pohonné hmoty. Ceny ropy totiž ve srovnání s rekordně nízkou úrovní stejného období loňského roku podstatně vzrostly</w:t>
            </w:r>
            <w:r>
              <w:rPr>
                <w:rStyle w:val="Znakapoznpodarou"/>
              </w:rPr>
              <w:footnoteReference w:id="1"/>
            </w:r>
            <w:r>
              <w:t xml:space="preserve">. Meziročně se náklady na provoz dopravních prostředků zvýšily o 13,9 %. Výkyvy dynamiky cen ropy jsou </w:t>
            </w:r>
            <w:r>
              <w:lastRenderedPageBreak/>
              <w:t>poměrně obvyklé, tentokrát se ale jejich růst potkal i s více než rok trvajícím silným meziročním růstem cen nákupů automobilů, motocyklů a jízdních kol (ve 2. čtvrtletí 7,1 %). Na 1,5 % zrychlil ve 2. čtvrtletí i přírůstek cen dopravních služeb.</w:t>
            </w:r>
          </w:p>
        </w:tc>
      </w:tr>
      <w:tr w:rsidR="00E32778" w:rsidRPr="009110F7" w14:paraId="2CC00CFA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63D55D18" w14:textId="77777777" w:rsidR="00E32778" w:rsidRPr="00EB06EF" w:rsidRDefault="00E32778" w:rsidP="00F57D57">
            <w:pPr>
              <w:pStyle w:val="Marginlie"/>
              <w:rPr>
                <w:spacing w:val="0"/>
              </w:rPr>
            </w:pPr>
            <w:r w:rsidRPr="00EB06EF">
              <w:rPr>
                <w:spacing w:val="0"/>
              </w:rPr>
              <w:lastRenderedPageBreak/>
              <w:t>Dál silně rostly ceny tabákových výrobků.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B61503E" w14:textId="77777777" w:rsidR="00E32778" w:rsidRPr="00EB06EF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F500AEE" w14:textId="77777777" w:rsidR="00E32778" w:rsidRDefault="00E32778" w:rsidP="00067982">
            <w:r w:rsidRPr="00EB06EF">
              <w:t xml:space="preserve">Silně ve 2. čtvrtletí meziročně rostly i ceny alkoholických nápojů a tabáku (9,8 %). Nad 9% úrovní se přírůstky pohybovaly od loňského června až do letošního května. Ve 2. čtvrtletí se ceny tabáku meziročně zvýšily o 14,8 %, zatímco ceny alkoholických nápojů o 3,2 %. Na celkovém růstu cen se projevilo i posílení meziročního přírůstku cen bydlení a energií na 1,3 %. S výjimkou cen elektrické a tepelné energie, plynu a dalších paliv (pokles o 2,8 %) zrychlil růst cen v celém </w:t>
            </w:r>
            <w:r w:rsidR="00067982">
              <w:t>oddíle</w:t>
            </w:r>
            <w:r w:rsidRPr="00EB06EF">
              <w:t>. Nájemné meziročně vzrostlo o 1,8 %, imputované nájemné dokonce o 3,6 %. Běžná údržba a opravy zdražily o 3,4 % a ostatní služby související s bydlením o 4,0 %.</w:t>
            </w:r>
          </w:p>
        </w:tc>
      </w:tr>
      <w:tr w:rsidR="00E32778" w:rsidRPr="009110F7" w14:paraId="606033D7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5EBE955B" w14:textId="77777777" w:rsidR="00E327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Rostly ceny většiny oddílů spotřebního koše.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074A949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68F3E92" w14:textId="77777777" w:rsidR="00E32778" w:rsidRDefault="00E32778" w:rsidP="00F57D57">
            <w:r>
              <w:t xml:space="preserve">K růstu spotřebitelských cen dále významněji přispívalo stravování a ubytování (meziroční přírůstek 2,9 %). Z toho ceny stravovacích služeb rostly o 3,4 %. Ceny ubytovacích služeb byly meziročně nižší o 0,7 %, v průběhu 2. kvartálu ale meziroční propad postupně slábl s tím, jak se uvolňovaly restrikce, které toto odvětví omezovaly. Většina dalších oddílů spotřebního koše vykazovala meziroční růst. Meziroční zvýšení u ostatního zboží a služeb (2,8 %) ovlivňovaly hlavně ceny finančních služeb. Ceny rekreace a kultury vzrostly o 2,0 % a přírůstek posílil zejména u ostatních </w:t>
            </w:r>
            <w:r w:rsidRPr="00BB52B3">
              <w:t>předmět</w:t>
            </w:r>
            <w:r>
              <w:t>ů</w:t>
            </w:r>
            <w:r w:rsidRPr="00BB52B3">
              <w:t xml:space="preserve"> pro rekreaci a</w:t>
            </w:r>
            <w:r>
              <w:t> </w:t>
            </w:r>
            <w:r w:rsidRPr="00BB52B3">
              <w:t>volný čas vč</w:t>
            </w:r>
            <w:r>
              <w:t>etně</w:t>
            </w:r>
            <w:r w:rsidRPr="00BB52B3">
              <w:t xml:space="preserve"> zahrad</w:t>
            </w:r>
            <w:r>
              <w:t>nictví</w:t>
            </w:r>
            <w:r w:rsidRPr="00BB52B3">
              <w:t xml:space="preserve"> a</w:t>
            </w:r>
            <w:r>
              <w:t> </w:t>
            </w:r>
            <w:r w:rsidRPr="00BB52B3">
              <w:t>dom</w:t>
            </w:r>
            <w:r>
              <w:t>ácích</w:t>
            </w:r>
            <w:r w:rsidRPr="00BB52B3">
              <w:t xml:space="preserve"> zvířat</w:t>
            </w:r>
            <w:r>
              <w:t xml:space="preserve"> (4,2 %). Ceny odívání a obuvi vzrostly o 2,9 %, bytového vybavení a zařízení domácnosti o 2,1 %, zdraví o 3,5 % a vzdělávání o 2,8 %.</w:t>
            </w:r>
          </w:p>
        </w:tc>
      </w:tr>
      <w:tr w:rsidR="00E32778" w:rsidRPr="009110F7" w14:paraId="2C516B2F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65B19FE9" w14:textId="77777777" w:rsidR="00E327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potravin a nealkoholických nápojů meziročně klesaly.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A50A18E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252C4B7" w14:textId="77777777" w:rsidR="00E32778" w:rsidRDefault="00E32778" w:rsidP="00E32778">
            <w:r>
              <w:t>Ve směru meziročního poklesu spotřebitelských cen výrazněji působily jen potraviny a nealkoholické nápoje. Jejich ceny meziročně klesly o 0,8 %. Vliv měl zejména pokles cen masa o 2,6 % a dále ovoce (–4,2 %) i zeleniny (–5,8 %). K růstu cen potravin naopak přispěl silný nárůst u olejů a tuků (11,6 %). Jen mírně se navýšily ceny pekárenských výrobků a obilovin (0,7 %). Snížily se i ceny pošt a telekomunikací</w:t>
            </w:r>
            <w:r>
              <w:br/>
              <w:t>(–0,3 %).</w:t>
            </w:r>
          </w:p>
        </w:tc>
      </w:tr>
      <w:tr w:rsidR="00E32778" w:rsidRPr="009110F7" w14:paraId="7F66391A" w14:textId="77777777" w:rsidTr="00F57D57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4A89C796" w14:textId="77777777" w:rsidR="00E327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22BA9358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AB3663E" w14:textId="77777777" w:rsidR="00E32778" w:rsidRDefault="00E32778" w:rsidP="00F57D57">
            <w:pPr>
              <w:spacing w:after="0"/>
            </w:pPr>
            <w:r>
              <w:rPr>
                <w:b/>
                <w:sz w:val="18"/>
                <w:szCs w:val="18"/>
                <w:lang w:eastAsia="en-US"/>
              </w:rPr>
              <w:t>Graf č. 10</w:t>
            </w:r>
            <w:r w:rsidRPr="00793D78">
              <w:rPr>
                <w:b/>
                <w:sz w:val="18"/>
                <w:szCs w:val="18"/>
                <w:lang w:eastAsia="en-US"/>
              </w:rPr>
              <w:t xml:space="preserve">  Ceny nemovitostí </w:t>
            </w:r>
            <w:r w:rsidRPr="009067EA">
              <w:rPr>
                <w:sz w:val="18"/>
                <w:szCs w:val="18"/>
                <w:lang w:eastAsia="en-US"/>
              </w:rPr>
              <w:t>(meziroční změna, v %)</w:t>
            </w:r>
          </w:p>
        </w:tc>
      </w:tr>
      <w:tr w:rsidR="00E32778" w:rsidRPr="009110F7" w14:paraId="47B28EFC" w14:textId="77777777" w:rsidTr="00F57D5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0FA99FD2" w14:textId="77777777" w:rsidR="00E327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7964FB0D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320011AB" w14:textId="77777777" w:rsidR="00E32778" w:rsidRDefault="00E32778" w:rsidP="00F57D5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57181CA" wp14:editId="5E8CFACC">
                  <wp:extent cx="4737600" cy="3553200"/>
                  <wp:effectExtent l="0" t="0" r="6350" b="0"/>
                  <wp:docPr id="2" name="Graf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E32778" w:rsidRPr="009110F7" w14:paraId="2B0E6175" w14:textId="77777777" w:rsidTr="00F57D57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2824266D" w14:textId="77777777" w:rsidR="00E327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0DE2E503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4786D85" w14:textId="77777777" w:rsidR="00E32778" w:rsidRDefault="00E32778" w:rsidP="00E32778">
            <w:pPr>
              <w:spacing w:after="0"/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E32778" w:rsidRPr="009110F7" w14:paraId="23AC15D5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61BD8CAF" w14:textId="77777777" w:rsidR="00E327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Růst cen bytů dál zrychloval.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FCB04D8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A85A231" w14:textId="77777777" w:rsidR="00E32778" w:rsidRDefault="00E32778" w:rsidP="00F57D57">
            <w:r>
              <w:t>Na trhu s nemovitostmi dál sílily tlaky působící ve směru nárůstu cen. Nabídkové ceny bytů v ČR ve 2. čtvrtletí meziročně rostly o 8,0 %, což je mírně více než v předchozím čtvrtletí. Přitom dál zrychlovala dynamika nabídkových cen bytů mimo Prahu (12,4 %), zatímco ceny v Praze rostly výrazně mírněji (4,5 %). Co se týká realizovaných cen starších bytů, zde došlo k další akceleraci, která meziroční nárůsty dostala k úrovni předchozího vrcholu z roku 2017. Realizované ceny starších bytů v ČR byly ve 2. čtvrtletí meziročně vyšší o 17,9 %. Z toho v Praze přírůstek dosáhl 15,8 %, zatímco mimo Prahu to bylo 18,5 %. Realizované ceny nových bytů v Praze vzrostly meziročně o 11,9 %. Výrazný převis dynamiky realizovaných cen nad nabídkovými cenami naznačuje velmi malou vyjednávací pozici kupujících v prostředí silného převisu poptávky nad nabídkou, který v některých oblastech trvá již několik let.</w:t>
            </w:r>
          </w:p>
        </w:tc>
      </w:tr>
      <w:tr w:rsidR="00E32778" w:rsidRPr="009110F7" w14:paraId="246B35C6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1BCE52AA" w14:textId="77777777" w:rsidR="00E327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spotřebitelských cen v EU posílil.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54605C5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A583160" w14:textId="77777777" w:rsidR="00E32778" w:rsidRDefault="00E32778" w:rsidP="00067982">
            <w:r>
              <w:t>Také v Evropské unii postupně zrychluje meziroční růst spotřebitelských cen. Ve 2. čtvrtletí index meziročně vzrostl o 2,2 % (v 1. kvartálu to bylo 1,4 %). Zrychlení je ovlivněno především meziročním nárůstem cen dopravy, posun vzhůru je ale v EU patrný také u dynamiky cen bydlení a energií. Zmírnil naopak růst cen potravin. Nejvíce se spotřebitelské ceny ve 2. čtvrtletí zvyšovaly v Maďarsku (5,3 %), Polsku (4,6 %) a Lucembursku (3,6 %). Výrazně nadprůměrně ale rostly ceny i v</w:t>
            </w:r>
            <w:r w:rsidR="00067982">
              <w:t> Litvě a Estonsku</w:t>
            </w:r>
            <w:r>
              <w:t>, Rumunsku a Česku. Jediné dvě ekonomiky, kde došlo ve 2. čtvrtletí k meziročnímu poklesu, byly Řecko (–0,6 %) a Portugalsko (–0,1 %). Stagnovaly spotřebitelské ceny na Maltě (0,1 %).</w:t>
            </w:r>
          </w:p>
        </w:tc>
      </w:tr>
      <w:tr w:rsidR="00E32778" w:rsidRPr="009110F7" w14:paraId="63BADB45" w14:textId="77777777" w:rsidTr="00F57D57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3FFAB72F" w14:textId="77777777" w:rsidR="00E327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10526024" w14:textId="77777777" w:rsidR="00E32778" w:rsidRPr="00793D78" w:rsidRDefault="00E32778" w:rsidP="00F57D57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33F054B" w14:textId="77777777" w:rsidR="00E32778" w:rsidRPr="00D75AC1" w:rsidRDefault="00E32778" w:rsidP="00F57D57">
            <w:pPr>
              <w:spacing w:after="0"/>
              <w:rPr>
                <w:b/>
                <w:szCs w:val="20"/>
              </w:rPr>
            </w:pPr>
            <w:r>
              <w:rPr>
                <w:b/>
                <w:sz w:val="18"/>
                <w:szCs w:val="18"/>
              </w:rPr>
              <w:t>Graf č. 11</w:t>
            </w:r>
            <w:r w:rsidRPr="00793D78">
              <w:rPr>
                <w:b/>
                <w:sz w:val="18"/>
                <w:szCs w:val="18"/>
              </w:rPr>
              <w:t xml:space="preserve">  </w:t>
            </w:r>
            <w:r w:rsidRPr="00793D78">
              <w:rPr>
                <w:b/>
                <w:sz w:val="18"/>
                <w:szCs w:val="18"/>
                <w:lang w:eastAsia="en-US"/>
              </w:rPr>
              <w:t xml:space="preserve">Ceny hlavních skupin průmyslových výrobců </w:t>
            </w:r>
            <w:r w:rsidRPr="009067EA">
              <w:rPr>
                <w:sz w:val="18"/>
                <w:szCs w:val="18"/>
                <w:lang w:eastAsia="en-US"/>
              </w:rPr>
              <w:t>(meziroční změna, v %, podle klasifikace CPA)</w:t>
            </w:r>
          </w:p>
        </w:tc>
      </w:tr>
      <w:tr w:rsidR="00E32778" w:rsidRPr="009110F7" w14:paraId="6F9CC68F" w14:textId="77777777" w:rsidTr="00F57D5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127ADBC8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0E4E48D9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6C4D615B" w14:textId="77777777" w:rsidR="00E32778" w:rsidRPr="00793D78" w:rsidRDefault="00E32778" w:rsidP="00F57D5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17E4AD6" wp14:editId="4509CEB5">
                  <wp:extent cx="4737600" cy="3553200"/>
                  <wp:effectExtent l="0" t="0" r="6350" b="0"/>
                  <wp:docPr id="20" name="Graf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E32778" w:rsidRPr="009110F7" w14:paraId="5C4B1497" w14:textId="77777777" w:rsidTr="00F57D57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6C7A485E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2A37380F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36E5F4F" w14:textId="77777777" w:rsidR="00E32778" w:rsidRPr="00793D78" w:rsidRDefault="00E32778" w:rsidP="00F57D57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E32778" w:rsidRPr="009110F7" w14:paraId="303A74F8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761DC37" w14:textId="77777777" w:rsidR="00E327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průmyslových výrobců meziročně vyskočily nejvíce od roku 2011.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104A1162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489A98F" w14:textId="77777777" w:rsidR="00E32778" w:rsidRDefault="00E32778" w:rsidP="00F57D57">
            <w:r>
              <w:t xml:space="preserve">Výrazné zrychlení se týkalo i meziročního přírůstku cen průmyslových výrobců. Ten ve 2. čtvrtletí dosáhl 5,3 % (v 1. kvartálu 1,5 %), což je nejvíce od 3. čtvrtletí 2011. Za celé 1. pololetí se tak ceny meziročně zvýšily o 3,4 %. I v případě cen průmyslových výrobců lze mluvit o vlivu prudkého meziročního navýšení cen ropy. To bylo patrné u cen těžby a dobývání, které se meziročně zvýšily o 0,8 % po více než rok trvající sérii poklesů. Dynamika cen výrobků a služeb zpracovatelského průmyslu zrychlila na 6,5 % </w:t>
            </w:r>
            <w:r>
              <w:lastRenderedPageBreak/>
              <w:t>a nejvíce k tomu přispěly ceny koksu a rafinovaných ropných výrobků</w:t>
            </w:r>
            <w:r>
              <w:rPr>
                <w:rStyle w:val="Znakapoznpodarou"/>
              </w:rPr>
              <w:footnoteReference w:id="2"/>
            </w:r>
            <w:r>
              <w:t>. Mimořádně silně se navýšily ceny chemických látek a výrobků (38,4 %) a také obecných kovů a kovodělných výrobků (10,7 %). K meziročnímu růstu cen průmyslových výrobců významně přispívalo i dřevo, papír a tisk (5,4 %) a pryžové a plastové výrobky (2,7 %). Výrazný byl i přírůstek cen elektrických zařízení (4,1 %), textilu, oděvů a usní (3,1 %) a nábytku a ostatních výrobků zpracovatelského průmyslu (2,9 %). Meziročně klesly ceny dopravních prostředků a počítačů, elektronických a optických přístrojů (shodně o 2,6 %) a pak potravinářských výrobků, nápojů a tabáku (–0,6 %). Ceny elektřiny, plynu, páry a klimatizovaného vzduchu meziročně stagnovaly (0,1 %). Naopak přírůstek u zásobování vodou a služeb souvisejících s odpadními vodami zůstal silný (6,2 %).</w:t>
            </w:r>
          </w:p>
        </w:tc>
      </w:tr>
      <w:tr w:rsidR="00E32778" w:rsidRPr="009110F7" w14:paraId="3FEDE3C9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DA61367" w14:textId="77777777" w:rsidR="00E327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Ceny průmyslových výrobců v EU meziročně rostly mimořádně silně.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74330EE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7B9047B" w14:textId="77777777" w:rsidR="00E32778" w:rsidRDefault="00E32778" w:rsidP="00C07279">
            <w:r>
              <w:t>Ceny průmyslových výrobců v EU se ve 2. čtvrtletí meziročně navýšily o 9,2 %. To je masivní zrychlení oproti 1. čtvrtletí (2,2 %). Rostoucí ceny ropy silně ovlivnily posílení meziročního nárůstu cen těžby a dobývání (22,5 %) i ceny ve zpracovatelském průmyslu (7,0 %). Zrychlila rovněž meziroční dynamika cen elektřiny, plynu, páry a klimatizovaného vzduchu (18,</w:t>
            </w:r>
            <w:r w:rsidR="00C07279">
              <w:t>4</w:t>
            </w:r>
            <w:r>
              <w:t> %). Meziročně rostly ceny průmyslových výrobců v celé Unii a více než 10% přírůstek vykázalo celkem 10 zemí EU. Nejvíce se meziročně zvyšovaly ceny výrobců v Irsku (40,5 %), Belgii (17,9 %) a Dánsku (16,6 %). Mírnější byl nárůst v případě Malty (1,1 %), Slovenska (2,6 %) a Slovinska (4,2 %). I Česko přes výrazný nárůst patřilo k zemím s dynamikou pod průměrem EU.</w:t>
            </w:r>
          </w:p>
        </w:tc>
      </w:tr>
      <w:tr w:rsidR="00E32778" w:rsidRPr="009110F7" w14:paraId="6D3DF773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24486E96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Dál zpomalovalo meziroční tempo růstu cen tržních služeb.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9C73ECC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BC0C478" w14:textId="77777777" w:rsidR="00E32778" w:rsidRPr="00793D78" w:rsidRDefault="00E32778" w:rsidP="00F57D57">
            <w:r>
              <w:t>Všeobecné zpomalení ekonomiky dál působilo na index cen tržních služeb, jehož dynamika opět zmírnila. Ceny tržních služeb ve 2. čtvrtletí meziročně vzrostly o 1,0 %, což je nejméně od 1. čtvrtletí 2017. Nejvíce k meziročnímu růstu přes zpomalení přispívaly ceny služeb v oblasti programování a souvisejícího poradenství, které meziročně vzrostly o 3,1 %. Významnější příspěvek měly také ceny pozemní a potrubní dopravy (1,4 %), služby v oblasti nemovitostí (1,5 %) a služby v oblasti zaměstnání (6,1 %, výrazné zrychlení oproti předchozím třem kvartálům). Ostatní odvětví přispívala jen drobně – skladování a podpůrné služby v dopravě (1,0 %), poštovní a kurýrní služby (2,0 %), právní a účetnické služby (2,0 %), vedení podniků, poradenství v oblasti řízení (2,4 %) a bezpečnostní a pátrací služby (3,5 %). Výrazněji ve směru poklesu cen působily informační služby (–4,8 %), architektonické a inženýrské služby a technické zkoušky a analýzy (–1,2 %) a reklamní služby a průzkum trhu (–1,8 %).</w:t>
            </w:r>
          </w:p>
        </w:tc>
      </w:tr>
      <w:tr w:rsidR="00E32778" w:rsidRPr="009110F7" w14:paraId="38EB766A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7D4AD808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zemědělské výroby vzrostly.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B4EA26B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2B9B1EB" w14:textId="77777777" w:rsidR="00E32778" w:rsidRPr="00CB64E1" w:rsidRDefault="00E32778" w:rsidP="00F57D57">
            <w:pPr>
              <w:rPr>
                <w:spacing w:val="-2"/>
              </w:rPr>
            </w:pPr>
            <w:r>
              <w:rPr>
                <w:spacing w:val="-2"/>
              </w:rPr>
              <w:t>Ceny zemědělské výroby se meziročně zvýšily o 3,8 %. Jde o první přírůstek od 3. čtvrtletí 2019. Výrazně posílil přírůstek cen rostlinné výroby (8,9 %). Přispěl k tomu 12,0% nárůst cen obilovin, kde se výrazně zvýšily ceny pšenice (16,2 %) i kukuřice (22,2 %). Posílení dynamiky bylo vidět také u průmyslových plodin (10,8 %), z toho olejniny zdražily o 11,0 % (především řepka). Ceny krmných plodin se zvýšily o 2,1 %. Naopak ceny zeleniny a zahradnických produktů klesly o 4,4 %, brambor o 15,5 % a ovoce o 5,2 %. Ceny živočišné výroby dál klesaly, ale jejich meziroční propad se ve 2. čtvrtletí zmírnil na 1,6 %. Především pod vlivem cen prasat se totiž zmírnil hluboký pokles u hospodářských zvířat (–7,3 %). Ceny živočišných výrobků vzrostly o 3,1 %, z toho ceny mléka o 2,9 % a vajec o 4,6 %.</w:t>
            </w:r>
          </w:p>
        </w:tc>
      </w:tr>
      <w:tr w:rsidR="00E32778" w:rsidRPr="009110F7" w14:paraId="1A13AEF9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3C2A8584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Růst cen exportu oslabil.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650FDF5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C2B7426" w14:textId="4E795B2B" w:rsidR="00E32778" w:rsidRPr="00793D78" w:rsidRDefault="00E32778" w:rsidP="00FA3FA8">
            <w:r>
              <w:t>Ceny vývozu ve 2. čtvrtletí 2021 meziročně vzrostly o 1,8 %. Výrazné zpomalení tempa</w:t>
            </w:r>
            <w:r w:rsidR="00FA3FA8">
              <w:t xml:space="preserve"> růstu</w:t>
            </w:r>
            <w:r>
              <w:t xml:space="preserve"> ve srovnání s 1. čtvrtletím lze připsat zejména velkému meziročnímu posílení kurzu koruny</w:t>
            </w:r>
            <w:r>
              <w:rPr>
                <w:rStyle w:val="Znakapoznpodarou"/>
              </w:rPr>
              <w:footnoteReference w:id="3"/>
            </w:r>
            <w:r>
              <w:t xml:space="preserve">, které aktuálně působí silně protiinflačně. Ve 2. čtvrtletí se nejvíce meziročně zvyšovaly ceny exportu minerálních paliv a maziv (47,2 %) a ostatních </w:t>
            </w:r>
            <w:r>
              <w:lastRenderedPageBreak/>
              <w:t>surovin</w:t>
            </w:r>
            <w:r>
              <w:rPr>
                <w:rStyle w:val="Znakapoznpodarou"/>
              </w:rPr>
              <w:footnoteReference w:id="4"/>
            </w:r>
            <w:r>
              <w:t xml:space="preserve"> (37,6 %). Silné bylo i navýšení u chemikálií a příbuzných výrobků (9,5 %). Naopak oslabil meziroční přírůstek cen polotovarů</w:t>
            </w:r>
            <w:r>
              <w:rPr>
                <w:rStyle w:val="Znakapoznpodarou"/>
              </w:rPr>
              <w:footnoteReference w:id="5"/>
            </w:r>
            <w:r>
              <w:t xml:space="preserve"> (2,7 %) a potravin a živých zvířat (1,0 %). Do hlubokého poklesu se dostala meziroční dynamika cen vývozu nápojů a tabáku</w:t>
            </w:r>
            <w:r w:rsidR="00FA3FA8">
              <w:t xml:space="preserve"> </w:t>
            </w:r>
            <w:r>
              <w:t>(–6,2 %) a průmyslového spotřebního zboží (–4,1 %). Meziročně se snížily i ceny strojů a dopravních prostředků (–1,5 %), které přitom v předchozích čtyřech kvartálech výrazně rostly a nejvíce se u nich projevilo posílení koruny.</w:t>
            </w:r>
          </w:p>
        </w:tc>
      </w:tr>
      <w:tr w:rsidR="00E32778" w:rsidRPr="009110F7" w14:paraId="598A9378" w14:textId="77777777" w:rsidTr="00F57D57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002C3FC8" w14:textId="77777777" w:rsidR="00E32778" w:rsidRPr="00793D78" w:rsidRDefault="00E32778" w:rsidP="00F57D57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Směnné relace byly poprvé po více než dvou letech záporné.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C978D69" w14:textId="77777777" w:rsidR="00E32778" w:rsidRPr="00793D78" w:rsidRDefault="00E32778" w:rsidP="00F57D57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D18C000" w14:textId="77777777" w:rsidR="00E32778" w:rsidRDefault="00E32778" w:rsidP="00F57D57">
            <w:r>
              <w:t>Ceny dovozu byly ve 2. čtvrtletí meziročně vyšší o 2,3 %. Nejvíce narostly ceny minerálních paliv (71,8 %) a ostatních surovin (21,6 %). Výrazně rostly i ceny chemikálií a příbuzných výrobků (6,0 %) a navýšily se ceny dovážených polotovarů (4,3 %). Silně se prohloubil pokles cen strojů a dopravních prostředků (–5,4 %) a průmyslového spotřebního zboží (–4,8 %). Snížily se i ceny potravin a živých zvířat (–3,6 %) a nápojů a tabáku (–1,7 %). Směnné relace byly ve 2. čtvrtletí záporné (99,5 %), poprvé od 4. čtvrtletí 2018. Záporné byly směnné relace obchodu s minerálními palivy (85,7 %), nápoji a tabákem (95,4 %) a polotovary (98,5 %). Naopak kladných směnných relací dosáhl ve 2. čtvrtletí obchod s ostatními surovinami (113,2 %), potravinami a živými zvířaty (104,8 %), stroji a dopravními prostředky (104,1 %), chemikáliemi (103,3 %) a průmyslovým spotřebním zbožím (100,7 %).</w:t>
            </w:r>
          </w:p>
        </w:tc>
      </w:tr>
    </w:tbl>
    <w:p w14:paraId="344849C5" w14:textId="77777777" w:rsidR="00E32778" w:rsidRDefault="00E32778" w:rsidP="00E32778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  <w:highlight w:val="yellow"/>
        </w:rPr>
      </w:pPr>
    </w:p>
    <w:p w14:paraId="5442E8FA" w14:textId="77777777" w:rsidR="00E32778" w:rsidRPr="000F45E7" w:rsidRDefault="00E32778" w:rsidP="00E32778">
      <w:pPr>
        <w:pStyle w:val="Nadpis11"/>
        <w:spacing w:after="0"/>
        <w:rPr>
          <w:b w:val="0"/>
          <w:sz w:val="2"/>
          <w:szCs w:val="2"/>
        </w:rPr>
      </w:pPr>
    </w:p>
    <w:p w14:paraId="25F09391" w14:textId="77777777" w:rsidR="00E32778" w:rsidRPr="00E42054" w:rsidRDefault="00E32778" w:rsidP="00E32778">
      <w:pPr>
        <w:pStyle w:val="Nadpis11"/>
        <w:rPr>
          <w:b w:val="0"/>
          <w:sz w:val="2"/>
          <w:szCs w:val="2"/>
        </w:rPr>
      </w:pPr>
    </w:p>
    <w:p w14:paraId="6D3C85BB" w14:textId="77777777" w:rsidR="002E1F8A" w:rsidRPr="000F45E7" w:rsidRDefault="002E1F8A" w:rsidP="002E1F8A">
      <w:pPr>
        <w:pStyle w:val="Nadpis11"/>
        <w:spacing w:after="0"/>
        <w:rPr>
          <w:b w:val="0"/>
          <w:sz w:val="2"/>
          <w:szCs w:val="2"/>
        </w:rPr>
      </w:pPr>
      <w:bookmarkStart w:id="7" w:name="_GoBack"/>
      <w:bookmarkEnd w:id="4"/>
      <w:bookmarkEnd w:id="5"/>
      <w:bookmarkEnd w:id="6"/>
      <w:bookmarkEnd w:id="7"/>
    </w:p>
    <w:p w14:paraId="45E33EB6" w14:textId="77777777" w:rsidR="00AB3BA7" w:rsidRPr="000F45E7" w:rsidRDefault="00AB3BA7" w:rsidP="00AB3BA7">
      <w:pPr>
        <w:pStyle w:val="Nadpis11"/>
        <w:spacing w:after="0"/>
        <w:rPr>
          <w:b w:val="0"/>
          <w:sz w:val="2"/>
          <w:szCs w:val="2"/>
        </w:rPr>
      </w:pPr>
    </w:p>
    <w:p w14:paraId="39E9959F" w14:textId="77777777" w:rsidR="000663F0" w:rsidRPr="00E42054" w:rsidRDefault="000663F0" w:rsidP="00AB3BA7">
      <w:pPr>
        <w:pStyle w:val="Nadpis11"/>
        <w:rPr>
          <w:b w:val="0"/>
          <w:sz w:val="2"/>
          <w:szCs w:val="2"/>
        </w:rPr>
      </w:pPr>
    </w:p>
    <w:sectPr w:rsidR="000663F0" w:rsidRPr="00E42054" w:rsidSect="00223F58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8ED79" w14:textId="77777777" w:rsidR="0066698B" w:rsidRDefault="0066698B" w:rsidP="00E71A58">
      <w:r>
        <w:separator/>
      </w:r>
    </w:p>
  </w:endnote>
  <w:endnote w:type="continuationSeparator" w:id="0">
    <w:p w14:paraId="0E4E7F52" w14:textId="77777777" w:rsidR="0066698B" w:rsidRDefault="0066698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0CA4475A" w:rsidR="00C872AA" w:rsidRPr="00932443" w:rsidRDefault="00C872AA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23F58"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56203F53" w:rsidR="00C872AA" w:rsidRPr="00932443" w:rsidRDefault="00C872AA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pololetí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23F58">
      <w:rPr>
        <w:rStyle w:val="ZpatChar"/>
        <w:szCs w:val="16"/>
      </w:rPr>
      <w:t>23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8EDF" w14:textId="77777777" w:rsidR="0066698B" w:rsidRDefault="0066698B" w:rsidP="00A21B4D">
      <w:pPr>
        <w:spacing w:after="0"/>
      </w:pPr>
      <w:r>
        <w:separator/>
      </w:r>
    </w:p>
  </w:footnote>
  <w:footnote w:type="continuationSeparator" w:id="0">
    <w:p w14:paraId="4988C8D8" w14:textId="77777777" w:rsidR="0066698B" w:rsidRDefault="0066698B" w:rsidP="00E71A58">
      <w:r>
        <w:continuationSeparator/>
      </w:r>
    </w:p>
  </w:footnote>
  <w:footnote w:id="1">
    <w:p w14:paraId="5D416F43" w14:textId="77777777" w:rsidR="00C872AA" w:rsidRPr="007F1653" w:rsidRDefault="00C872AA" w:rsidP="00E32778">
      <w:pPr>
        <w:pStyle w:val="Textpoznpodarou"/>
        <w:rPr>
          <w:sz w:val="16"/>
          <w:szCs w:val="16"/>
        </w:rPr>
      </w:pPr>
      <w:r w:rsidRPr="007F1653">
        <w:rPr>
          <w:rStyle w:val="Znakapoznpodarou"/>
          <w:sz w:val="16"/>
          <w:szCs w:val="16"/>
        </w:rPr>
        <w:footnoteRef/>
      </w:r>
      <w:r w:rsidRPr="007F1653">
        <w:rPr>
          <w:sz w:val="16"/>
          <w:szCs w:val="16"/>
        </w:rPr>
        <w:t xml:space="preserve"> Vlivem propadu poptávky i</w:t>
      </w:r>
      <w:r>
        <w:rPr>
          <w:sz w:val="16"/>
          <w:szCs w:val="16"/>
        </w:rPr>
        <w:t> </w:t>
      </w:r>
      <w:r w:rsidRPr="007F1653">
        <w:rPr>
          <w:sz w:val="16"/>
          <w:szCs w:val="16"/>
        </w:rPr>
        <w:t xml:space="preserve">zhroucení kartelových dohod klesla </w:t>
      </w:r>
      <w:r>
        <w:rPr>
          <w:sz w:val="16"/>
          <w:szCs w:val="16"/>
        </w:rPr>
        <w:t>p</w:t>
      </w:r>
      <w:r w:rsidRPr="0022386D">
        <w:rPr>
          <w:sz w:val="16"/>
          <w:szCs w:val="16"/>
        </w:rPr>
        <w:t>odle U.S</w:t>
      </w:r>
      <w:r>
        <w:rPr>
          <w:sz w:val="16"/>
          <w:szCs w:val="16"/>
        </w:rPr>
        <w:t>. </w:t>
      </w:r>
      <w:r w:rsidRPr="0022386D">
        <w:rPr>
          <w:sz w:val="16"/>
          <w:szCs w:val="16"/>
        </w:rPr>
        <w:t xml:space="preserve">Energy Information Administration </w:t>
      </w:r>
      <w:r w:rsidRPr="007F1653">
        <w:rPr>
          <w:sz w:val="16"/>
          <w:szCs w:val="16"/>
        </w:rPr>
        <w:t>průměrná cena barelu ropy BRENT v dubnu na 18,38</w:t>
      </w:r>
      <w:r>
        <w:rPr>
          <w:sz w:val="16"/>
          <w:szCs w:val="16"/>
        </w:rPr>
        <w:t> </w:t>
      </w:r>
      <w:r w:rsidRPr="007F1653">
        <w:rPr>
          <w:sz w:val="16"/>
          <w:szCs w:val="16"/>
        </w:rPr>
        <w:t>dolaru a</w:t>
      </w:r>
      <w:r>
        <w:rPr>
          <w:sz w:val="16"/>
          <w:szCs w:val="16"/>
        </w:rPr>
        <w:t> </w:t>
      </w:r>
      <w:r w:rsidRPr="007F1653">
        <w:rPr>
          <w:sz w:val="16"/>
          <w:szCs w:val="16"/>
        </w:rPr>
        <w:t>v květnu na 29,38</w:t>
      </w:r>
      <w:r>
        <w:rPr>
          <w:sz w:val="16"/>
          <w:szCs w:val="16"/>
        </w:rPr>
        <w:t> </w:t>
      </w:r>
      <w:r w:rsidRPr="007F1653">
        <w:rPr>
          <w:sz w:val="16"/>
          <w:szCs w:val="16"/>
        </w:rPr>
        <w:t>dolaru.</w:t>
      </w:r>
      <w:r>
        <w:rPr>
          <w:sz w:val="16"/>
          <w:szCs w:val="16"/>
        </w:rPr>
        <w:t xml:space="preserve"> Letos byly tedy ceny i více než dvojnásobné (64,81, 68,53 a 73,16 dolaru v dubnu, květnu a červnu).</w:t>
      </w:r>
    </w:p>
  </w:footnote>
  <w:footnote w:id="2">
    <w:p w14:paraId="3256384E" w14:textId="77777777" w:rsidR="00C872AA" w:rsidRPr="003E58F7" w:rsidRDefault="00C872AA" w:rsidP="00E32778">
      <w:pPr>
        <w:pStyle w:val="Textpoznpodarou"/>
        <w:rPr>
          <w:sz w:val="16"/>
          <w:szCs w:val="16"/>
        </w:rPr>
      </w:pPr>
      <w:r w:rsidRPr="003E58F7">
        <w:rPr>
          <w:rStyle w:val="Znakapoznpodarou"/>
          <w:sz w:val="16"/>
          <w:szCs w:val="16"/>
        </w:rPr>
        <w:footnoteRef/>
      </w:r>
      <w:r w:rsidRPr="003E58F7">
        <w:rPr>
          <w:sz w:val="16"/>
          <w:szCs w:val="16"/>
        </w:rPr>
        <w:t xml:space="preserve"> Individuální data</w:t>
      </w:r>
    </w:p>
  </w:footnote>
  <w:footnote w:id="3">
    <w:p w14:paraId="30BACF72" w14:textId="77777777" w:rsidR="00C872AA" w:rsidRPr="00C11C5A" w:rsidRDefault="00C872AA" w:rsidP="00E32778">
      <w:pPr>
        <w:pStyle w:val="Textpoznpodarou"/>
        <w:rPr>
          <w:sz w:val="16"/>
          <w:szCs w:val="16"/>
        </w:rPr>
      </w:pPr>
      <w:r w:rsidRPr="00C11C5A">
        <w:rPr>
          <w:rStyle w:val="Znakapoznpodarou"/>
          <w:sz w:val="16"/>
          <w:szCs w:val="16"/>
        </w:rPr>
        <w:footnoteRef/>
      </w:r>
      <w:r w:rsidRPr="00C11C5A">
        <w:rPr>
          <w:sz w:val="16"/>
          <w:szCs w:val="16"/>
        </w:rPr>
        <w:t xml:space="preserve"> Ve 2.</w:t>
      </w:r>
      <w:r>
        <w:rPr>
          <w:sz w:val="16"/>
          <w:szCs w:val="16"/>
        </w:rPr>
        <w:t> čtvrtlet</w:t>
      </w:r>
      <w:r w:rsidRPr="00C11C5A">
        <w:rPr>
          <w:sz w:val="16"/>
          <w:szCs w:val="16"/>
        </w:rPr>
        <w:t>í 2020 průměrný kurz koruny vůči euru dosáhl 27,054</w:t>
      </w:r>
      <w:r>
        <w:rPr>
          <w:sz w:val="16"/>
          <w:szCs w:val="16"/>
        </w:rPr>
        <w:t> </w:t>
      </w:r>
      <w:r w:rsidRPr="00C11C5A">
        <w:rPr>
          <w:sz w:val="16"/>
          <w:szCs w:val="16"/>
        </w:rPr>
        <w:t>CZK/EUR. Letos to bylo 25,638</w:t>
      </w:r>
      <w:r>
        <w:rPr>
          <w:sz w:val="16"/>
          <w:szCs w:val="16"/>
        </w:rPr>
        <w:t> </w:t>
      </w:r>
      <w:r w:rsidRPr="00C11C5A">
        <w:rPr>
          <w:sz w:val="16"/>
          <w:szCs w:val="16"/>
        </w:rPr>
        <w:t xml:space="preserve">CZK/EUR. Ještě </w:t>
      </w:r>
      <w:r>
        <w:rPr>
          <w:sz w:val="16"/>
          <w:szCs w:val="16"/>
        </w:rPr>
        <w:t>výraznější</w:t>
      </w:r>
      <w:r w:rsidRPr="00C11C5A">
        <w:rPr>
          <w:sz w:val="16"/>
          <w:szCs w:val="16"/>
        </w:rPr>
        <w:t xml:space="preserve"> bylo posílení kurzu vůči dolaru. Loni průměr ve 2.</w:t>
      </w:r>
      <w:r>
        <w:rPr>
          <w:sz w:val="16"/>
          <w:szCs w:val="16"/>
        </w:rPr>
        <w:t> čtvrtlet</w:t>
      </w:r>
      <w:r w:rsidRPr="00C11C5A">
        <w:rPr>
          <w:sz w:val="16"/>
          <w:szCs w:val="16"/>
        </w:rPr>
        <w:t>í činil 24,569</w:t>
      </w:r>
      <w:r>
        <w:rPr>
          <w:sz w:val="16"/>
          <w:szCs w:val="16"/>
        </w:rPr>
        <w:t> </w:t>
      </w:r>
      <w:r w:rsidRPr="00C11C5A">
        <w:rPr>
          <w:sz w:val="16"/>
          <w:szCs w:val="16"/>
        </w:rPr>
        <w:t>CZK/USD, letos 21,265</w:t>
      </w:r>
      <w:r>
        <w:rPr>
          <w:sz w:val="16"/>
          <w:szCs w:val="16"/>
        </w:rPr>
        <w:t> </w:t>
      </w:r>
      <w:r w:rsidRPr="00C11C5A">
        <w:rPr>
          <w:sz w:val="16"/>
          <w:szCs w:val="16"/>
        </w:rPr>
        <w:t>CZK/EUR.</w:t>
      </w:r>
    </w:p>
  </w:footnote>
  <w:footnote w:id="4">
    <w:p w14:paraId="09B50A5B" w14:textId="77777777" w:rsidR="00C872AA" w:rsidRPr="00940B11" w:rsidRDefault="00C872AA" w:rsidP="00E32778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2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suroviny nepoživatelné s výjimkou paliv</w:t>
      </w:r>
    </w:p>
  </w:footnote>
  <w:footnote w:id="5">
    <w:p w14:paraId="015AF28B" w14:textId="77777777" w:rsidR="00C872AA" w:rsidRPr="00940B11" w:rsidRDefault="00C872AA" w:rsidP="00E32778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6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tržní výrobky tříděné hlavně podle materiálu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C872AA" w:rsidRDefault="00C872AA" w:rsidP="00937AE2">
    <w:pPr>
      <w:pStyle w:val="Zhlav"/>
    </w:pPr>
    <w:r>
      <w:t>Vývoj ekonomiky České republiky</w:t>
    </w:r>
  </w:p>
  <w:p w14:paraId="3E881AB3" w14:textId="77777777" w:rsidR="00C872AA" w:rsidRPr="006F5416" w:rsidRDefault="00C872AA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C872AA" w:rsidRDefault="00C872AA" w:rsidP="00937AE2">
    <w:pPr>
      <w:pStyle w:val="Zhlav"/>
    </w:pPr>
    <w:r>
      <w:t>Vývoj ekonomiky České republiky</w:t>
    </w:r>
  </w:p>
  <w:p w14:paraId="57266714" w14:textId="77777777" w:rsidR="00C872AA" w:rsidRPr="006F5416" w:rsidRDefault="00C872AA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2196"/>
    <w:rsid w:val="000D3058"/>
    <w:rsid w:val="000D310A"/>
    <w:rsid w:val="000D3EF4"/>
    <w:rsid w:val="000D4DC0"/>
    <w:rsid w:val="000D55BA"/>
    <w:rsid w:val="000D5637"/>
    <w:rsid w:val="000D5A03"/>
    <w:rsid w:val="000D5ED3"/>
    <w:rsid w:val="000D6F4E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2C86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31A2"/>
    <w:rsid w:val="001C351D"/>
    <w:rsid w:val="001C4B8F"/>
    <w:rsid w:val="001C4BB8"/>
    <w:rsid w:val="001C4FD0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3F58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52D4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47E1"/>
    <w:rsid w:val="00324B59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30C96"/>
    <w:rsid w:val="0043174F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98B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528"/>
    <w:rsid w:val="00B34CC9"/>
    <w:rsid w:val="00B34CDA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F4"/>
    <w:rsid w:val="00BD6659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72AA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822"/>
    <w:rsid w:val="00D72076"/>
    <w:rsid w:val="00D721B4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450F"/>
    <w:rsid w:val="00DE5CA6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8D7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D57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1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68840579710145E-2"/>
          <c:y val="2.1811315924220299E-2"/>
          <c:w val="0.92237743255066085"/>
          <c:h val="0.714715752130041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2'!$A$22:$B$43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2'!$C$22:$C$43</c:f>
              <c:numCache>
                <c:formatCode>0.0</c:formatCode>
                <c:ptCount val="22"/>
                <c:pt idx="0">
                  <c:v>0.5</c:v>
                </c:pt>
                <c:pt idx="1">
                  <c:v>0.20000000000000284</c:v>
                </c:pt>
                <c:pt idx="2">
                  <c:v>0.5</c:v>
                </c:pt>
                <c:pt idx="3">
                  <c:v>1.4000000000000057</c:v>
                </c:pt>
                <c:pt idx="4" formatCode="General">
                  <c:v>2.4000000000000057</c:v>
                </c:pt>
                <c:pt idx="5" formatCode="General">
                  <c:v>2.2000000000000028</c:v>
                </c:pt>
                <c:pt idx="6">
                  <c:v>2.5</c:v>
                </c:pt>
                <c:pt idx="7">
                  <c:v>2.6</c:v>
                </c:pt>
                <c:pt idx="8">
                  <c:v>1.9</c:v>
                </c:pt>
                <c:pt idx="9">
                  <c:v>2.2999999999999998</c:v>
                </c:pt>
                <c:pt idx="10">
                  <c:v>2.4</c:v>
                </c:pt>
                <c:pt idx="11">
                  <c:v>2.1</c:v>
                </c:pt>
                <c:pt idx="12">
                  <c:v>2.7</c:v>
                </c:pt>
                <c:pt idx="13">
                  <c:v>2.8</c:v>
                </c:pt>
                <c:pt idx="14">
                  <c:v>2.8</c:v>
                </c:pt>
                <c:pt idx="15">
                  <c:v>3</c:v>
                </c:pt>
                <c:pt idx="16">
                  <c:v>3.6</c:v>
                </c:pt>
                <c:pt idx="17">
                  <c:v>3.1</c:v>
                </c:pt>
                <c:pt idx="18">
                  <c:v>3.3</c:v>
                </c:pt>
                <c:pt idx="19">
                  <c:v>2.6</c:v>
                </c:pt>
                <c:pt idx="20">
                  <c:v>2.2000000000000002</c:v>
                </c:pt>
                <c:pt idx="21">
                  <c:v>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2B-425E-8437-ADFE6D1E8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36595968"/>
        <c:axId val="36618240"/>
      </c:barChart>
      <c:lineChart>
        <c:grouping val="standard"/>
        <c:varyColors val="0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 a nealkoholické nápoje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2'!$D$22:$D$43</c:f>
              <c:numCache>
                <c:formatCode>0.0</c:formatCode>
                <c:ptCount val="22"/>
                <c:pt idx="0">
                  <c:v>-1.7000000000000028</c:v>
                </c:pt>
                <c:pt idx="1">
                  <c:v>-2.4000000000000057</c:v>
                </c:pt>
                <c:pt idx="2">
                  <c:v>-0.79999999999999716</c:v>
                </c:pt>
                <c:pt idx="3">
                  <c:v>1.2000000000000028</c:v>
                </c:pt>
                <c:pt idx="4" formatCode="General">
                  <c:v>4.2000000000000028</c:v>
                </c:pt>
                <c:pt idx="5" formatCode="General">
                  <c:v>4.5</c:v>
                </c:pt>
                <c:pt idx="6">
                  <c:v>5.7</c:v>
                </c:pt>
                <c:pt idx="7">
                  <c:v>6.3</c:v>
                </c:pt>
                <c:pt idx="8">
                  <c:v>2.9</c:v>
                </c:pt>
                <c:pt idx="9" formatCode="#\ ##0.0_ ;\-#\ ##0.0\ ">
                  <c:v>2.2999999999999998</c:v>
                </c:pt>
                <c:pt idx="10">
                  <c:v>0.6</c:v>
                </c:pt>
                <c:pt idx="11">
                  <c:v>-0.5</c:v>
                </c:pt>
                <c:pt idx="12">
                  <c:v>1</c:v>
                </c:pt>
                <c:pt idx="13">
                  <c:v>2.5</c:v>
                </c:pt>
                <c:pt idx="14">
                  <c:v>3.5</c:v>
                </c:pt>
                <c:pt idx="15">
                  <c:v>4.3</c:v>
                </c:pt>
                <c:pt idx="16">
                  <c:v>6.1</c:v>
                </c:pt>
                <c:pt idx="17">
                  <c:v>6.5</c:v>
                </c:pt>
                <c:pt idx="18">
                  <c:v>4</c:v>
                </c:pt>
                <c:pt idx="19">
                  <c:v>1.7</c:v>
                </c:pt>
                <c:pt idx="20">
                  <c:v>0.3</c:v>
                </c:pt>
                <c:pt idx="21">
                  <c:v>-0.8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2B-425E-8437-ADFE6D1E8B8A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2'!$F$22:$F$43</c:f>
              <c:numCache>
                <c:formatCode>0.0</c:formatCode>
                <c:ptCount val="22"/>
                <c:pt idx="0">
                  <c:v>0.90000000000000568</c:v>
                </c:pt>
                <c:pt idx="1">
                  <c:v>0.5</c:v>
                </c:pt>
                <c:pt idx="2">
                  <c:v>0.40000000000000568</c:v>
                </c:pt>
                <c:pt idx="3">
                  <c:v>0.59999999999999432</c:v>
                </c:pt>
                <c:pt idx="4" formatCode="General">
                  <c:v>0.79999999999999716</c:v>
                </c:pt>
                <c:pt idx="5" formatCode="General">
                  <c:v>1.5</c:v>
                </c:pt>
                <c:pt idx="6">
                  <c:v>2.1</c:v>
                </c:pt>
                <c:pt idx="7">
                  <c:v>2.2000000000000002</c:v>
                </c:pt>
                <c:pt idx="8">
                  <c:v>2.2999999999999998</c:v>
                </c:pt>
                <c:pt idx="9">
                  <c:v>2.6</c:v>
                </c:pt>
                <c:pt idx="10">
                  <c:v>3.2</c:v>
                </c:pt>
                <c:pt idx="11">
                  <c:v>3.8</c:v>
                </c:pt>
                <c:pt idx="12">
                  <c:v>5.4</c:v>
                </c:pt>
                <c:pt idx="13">
                  <c:v>5.7</c:v>
                </c:pt>
                <c:pt idx="14">
                  <c:v>5.2</c:v>
                </c:pt>
                <c:pt idx="15">
                  <c:v>5</c:v>
                </c:pt>
                <c:pt idx="16">
                  <c:v>4.2</c:v>
                </c:pt>
                <c:pt idx="17">
                  <c:v>3.2</c:v>
                </c:pt>
                <c:pt idx="18">
                  <c:v>2.7</c:v>
                </c:pt>
                <c:pt idx="19">
                  <c:v>1.4</c:v>
                </c:pt>
                <c:pt idx="20">
                  <c:v>0.6</c:v>
                </c:pt>
                <c:pt idx="21">
                  <c:v>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62B-425E-8437-ADFE6D1E8B8A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'Ceny 2'!$A$22:$B$43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2'!$G$22:$G$43</c:f>
              <c:numCache>
                <c:formatCode>General</c:formatCode>
                <c:ptCount val="22"/>
                <c:pt idx="0">
                  <c:v>-2.7000000000000028</c:v>
                </c:pt>
                <c:pt idx="1">
                  <c:v>-2.9000000000000057</c:v>
                </c:pt>
                <c:pt idx="2">
                  <c:v>-2.2999999999999972</c:v>
                </c:pt>
                <c:pt idx="3">
                  <c:v>1.0999999999999943</c:v>
                </c:pt>
                <c:pt idx="4">
                  <c:v>6</c:v>
                </c:pt>
                <c:pt idx="5">
                  <c:v>3.9000000000000057</c:v>
                </c:pt>
                <c:pt idx="6" formatCode="0.0">
                  <c:v>2.5</c:v>
                </c:pt>
                <c:pt idx="7" formatCode="0.0">
                  <c:v>2.5</c:v>
                </c:pt>
                <c:pt idx="8" formatCode="0.0">
                  <c:v>1</c:v>
                </c:pt>
                <c:pt idx="9" formatCode="0.0">
                  <c:v>3</c:v>
                </c:pt>
                <c:pt idx="10" formatCode="0.0">
                  <c:v>4.5</c:v>
                </c:pt>
                <c:pt idx="11" formatCode="0.0">
                  <c:v>2.6</c:v>
                </c:pt>
                <c:pt idx="12" formatCode="0.0">
                  <c:v>0.6</c:v>
                </c:pt>
                <c:pt idx="13" formatCode="0.0">
                  <c:v>0.8</c:v>
                </c:pt>
                <c:pt idx="14" formatCode="0.0">
                  <c:v>-0.2</c:v>
                </c:pt>
                <c:pt idx="15" formatCode="0.0">
                  <c:v>0.5</c:v>
                </c:pt>
                <c:pt idx="16">
                  <c:v>1.7</c:v>
                </c:pt>
                <c:pt idx="17" formatCode="0.0">
                  <c:v>-3.4</c:v>
                </c:pt>
                <c:pt idx="18" formatCode="0.0">
                  <c:v>-0.2</c:v>
                </c:pt>
                <c:pt idx="19" formatCode="0.0">
                  <c:v>0.6</c:v>
                </c:pt>
                <c:pt idx="20" formatCode="0.0">
                  <c:v>2.4</c:v>
                </c:pt>
                <c:pt idx="21" formatCode="0.0">
                  <c:v>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62B-425E-8437-ADFE6D1E8B8A}"/>
            </c:ext>
          </c:extLst>
        </c:ser>
        <c:ser>
          <c:idx val="2"/>
          <c:order val="4"/>
          <c:tx>
            <c:strRef>
              <c:f>'Ceny 2'!$E$5</c:f>
              <c:strCache>
                <c:ptCount val="1"/>
                <c:pt idx="0">
                  <c:v>Alkoholické nápoje a tabák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2'!$A$22:$B$43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2'!$E$22:$E$43</c:f>
              <c:numCache>
                <c:formatCode>0.0</c:formatCode>
                <c:ptCount val="22"/>
                <c:pt idx="0">
                  <c:v>3.5</c:v>
                </c:pt>
                <c:pt idx="1">
                  <c:v>4.4000000000000057</c:v>
                </c:pt>
                <c:pt idx="2">
                  <c:v>4.5</c:v>
                </c:pt>
                <c:pt idx="3">
                  <c:v>5.2000000000000028</c:v>
                </c:pt>
                <c:pt idx="4" formatCode="General">
                  <c:v>3.4000000000000057</c:v>
                </c:pt>
                <c:pt idx="5" formatCode="General">
                  <c:v>0.79999999999999716</c:v>
                </c:pt>
                <c:pt idx="6">
                  <c:v>1.3</c:v>
                </c:pt>
                <c:pt idx="7">
                  <c:v>1.5</c:v>
                </c:pt>
                <c:pt idx="8">
                  <c:v>2.5</c:v>
                </c:pt>
                <c:pt idx="9">
                  <c:v>3.6</c:v>
                </c:pt>
                <c:pt idx="10">
                  <c:v>2.8</c:v>
                </c:pt>
                <c:pt idx="11">
                  <c:v>3.1</c:v>
                </c:pt>
                <c:pt idx="12">
                  <c:v>3.3</c:v>
                </c:pt>
                <c:pt idx="13">
                  <c:v>1.7</c:v>
                </c:pt>
                <c:pt idx="14">
                  <c:v>1.9</c:v>
                </c:pt>
                <c:pt idx="15">
                  <c:v>1.8</c:v>
                </c:pt>
                <c:pt idx="16" formatCode="General">
                  <c:v>3.5</c:v>
                </c:pt>
                <c:pt idx="17">
                  <c:v>6.6</c:v>
                </c:pt>
                <c:pt idx="18">
                  <c:v>10.3</c:v>
                </c:pt>
                <c:pt idx="19">
                  <c:v>9.9</c:v>
                </c:pt>
                <c:pt idx="20">
                  <c:v>9.9</c:v>
                </c:pt>
                <c:pt idx="21">
                  <c:v>9.8000000000000007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62B-425E-8437-ADFE6D1E8B8A}"/>
            </c:ext>
          </c:extLst>
        </c:ser>
        <c:ser>
          <c:idx val="5"/>
          <c:order val="5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'Ceny 2'!$A$22:$B$43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2'!$H$22:$H$43</c:f>
              <c:numCache>
                <c:formatCode>###\ ###\ ##0.0</c:formatCode>
                <c:ptCount val="22"/>
                <c:pt idx="0">
                  <c:v>1.2000000000000028</c:v>
                </c:pt>
                <c:pt idx="1">
                  <c:v>1.0999999999999943</c:v>
                </c:pt>
                <c:pt idx="2">
                  <c:v>1.2000000000000028</c:v>
                </c:pt>
                <c:pt idx="3">
                  <c:v>2.7000000000000028</c:v>
                </c:pt>
                <c:pt idx="4">
                  <c:v>5.2000000000000028</c:v>
                </c:pt>
                <c:pt idx="5">
                  <c:v>5.7999999999999972</c:v>
                </c:pt>
                <c:pt idx="6">
                  <c:v>6.2999999999999972</c:v>
                </c:pt>
                <c:pt idx="7" formatCode="0.0">
                  <c:v>5.6</c:v>
                </c:pt>
                <c:pt idx="8" formatCode="0.0">
                  <c:v>3.5</c:v>
                </c:pt>
                <c:pt idx="9" formatCode="0.0">
                  <c:v>3.6</c:v>
                </c:pt>
                <c:pt idx="10" formatCode="0.0">
                  <c:v>3.5</c:v>
                </c:pt>
                <c:pt idx="11" formatCode="0.0">
                  <c:v>3.7</c:v>
                </c:pt>
                <c:pt idx="12" formatCode="0.0">
                  <c:v>3.8</c:v>
                </c:pt>
                <c:pt idx="13" formatCode="0.0">
                  <c:v>4</c:v>
                </c:pt>
                <c:pt idx="14" formatCode="0.0">
                  <c:v>4.5</c:v>
                </c:pt>
                <c:pt idx="15" formatCode="0.0">
                  <c:v>4.5999999999999996</c:v>
                </c:pt>
                <c:pt idx="16" formatCode="0.0">
                  <c:v>5.5</c:v>
                </c:pt>
                <c:pt idx="17" formatCode="0.0">
                  <c:v>5.0999999999999996</c:v>
                </c:pt>
                <c:pt idx="18" formatCode="0.0">
                  <c:v>4.9000000000000004</c:v>
                </c:pt>
                <c:pt idx="19" formatCode="0.0">
                  <c:v>4.3</c:v>
                </c:pt>
                <c:pt idx="20" formatCode="0.0">
                  <c:v>3</c:v>
                </c:pt>
                <c:pt idx="21" formatCode="0.0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62B-425E-8437-ADFE6D1E8B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595968"/>
        <c:axId val="36618240"/>
      </c:lineChart>
      <c:catAx>
        <c:axId val="3659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36618240"/>
        <c:crosses val="autoZero"/>
        <c:auto val="1"/>
        <c:lblAlgn val="ctr"/>
        <c:lblOffset val="100"/>
        <c:noMultiLvlLbl val="0"/>
      </c:catAx>
      <c:valAx>
        <c:axId val="3661824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36595968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3882134414049307E-2"/>
          <c:y val="0.85444938788566116"/>
          <c:w val="0.92202296521445437"/>
          <c:h val="0.1381645293553171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70373184734885E-2"/>
          <c:y val="2.9569886214146503E-2"/>
          <c:w val="0.90493308848362042"/>
          <c:h val="0.73556653157716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1'!$A$22:$B$43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1'!$C$22:$C$43</c:f>
              <c:numCache>
                <c:formatCode>General</c:formatCode>
                <c:ptCount val="22"/>
                <c:pt idx="0">
                  <c:v>8.9000000000000057</c:v>
                </c:pt>
                <c:pt idx="1">
                  <c:v>10.299999999999997</c:v>
                </c:pt>
                <c:pt idx="2">
                  <c:v>12.299999999999997</c:v>
                </c:pt>
                <c:pt idx="3">
                  <c:v>14.599999999999994</c:v>
                </c:pt>
                <c:pt idx="4">
                  <c:v>17.200000000000003</c:v>
                </c:pt>
                <c:pt idx="5">
                  <c:v>18.700000000000003</c:v>
                </c:pt>
                <c:pt idx="6">
                  <c:v>15.799999999999997</c:v>
                </c:pt>
                <c:pt idx="7">
                  <c:v>12</c:v>
                </c:pt>
                <c:pt idx="8">
                  <c:v>9.2000000000000028</c:v>
                </c:pt>
                <c:pt idx="9">
                  <c:v>8</c:v>
                </c:pt>
                <c:pt idx="10">
                  <c:v>9.4000000000000057</c:v>
                </c:pt>
                <c:pt idx="11">
                  <c:v>11.400000000000006</c:v>
                </c:pt>
                <c:pt idx="12">
                  <c:v>11.299999999999997</c:v>
                </c:pt>
                <c:pt idx="13">
                  <c:v>10.599999999999994</c:v>
                </c:pt>
                <c:pt idx="14">
                  <c:v>9.5</c:v>
                </c:pt>
                <c:pt idx="15">
                  <c:v>9.4000000000000057</c:v>
                </c:pt>
                <c:pt idx="16">
                  <c:v>10.599999999999994</c:v>
                </c:pt>
                <c:pt idx="17">
                  <c:v>10.200000000000003</c:v>
                </c:pt>
                <c:pt idx="18">
                  <c:v>11.200000000000003</c:v>
                </c:pt>
                <c:pt idx="19">
                  <c:v>13.299999999999997</c:v>
                </c:pt>
                <c:pt idx="20">
                  <c:v>15.200000000000003</c:v>
                </c:pt>
                <c:pt idx="21">
                  <c:v>17.900000000000006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0D-4B86-91F9-ABE04704D75C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invertIfNegative val="0"/>
          <c:cat>
            <c:multiLvlStrRef>
              <c:f>'Ceny 1'!$A$22:$B$43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1'!$D$22:$D$43</c:f>
              <c:numCache>
                <c:formatCode>General</c:formatCode>
                <c:ptCount val="22"/>
                <c:pt idx="0">
                  <c:v>5.7999999999999972</c:v>
                </c:pt>
                <c:pt idx="1">
                  <c:v>7.5</c:v>
                </c:pt>
                <c:pt idx="2">
                  <c:v>9.4000000000000057</c:v>
                </c:pt>
                <c:pt idx="3">
                  <c:v>13.900000000000006</c:v>
                </c:pt>
                <c:pt idx="4">
                  <c:v>16.200000000000003</c:v>
                </c:pt>
                <c:pt idx="5">
                  <c:v>19</c:v>
                </c:pt>
                <c:pt idx="6">
                  <c:v>16.400000000000006</c:v>
                </c:pt>
                <c:pt idx="7">
                  <c:v>11.099999999999994</c:v>
                </c:pt>
                <c:pt idx="8">
                  <c:v>8.2999999999999972</c:v>
                </c:pt>
                <c:pt idx="9">
                  <c:v>4</c:v>
                </c:pt>
                <c:pt idx="10">
                  <c:v>6</c:v>
                </c:pt>
                <c:pt idx="11">
                  <c:v>8.7000000000000028</c:v>
                </c:pt>
                <c:pt idx="12">
                  <c:v>9.4000000000000057</c:v>
                </c:pt>
                <c:pt idx="13">
                  <c:v>8.7000000000000028</c:v>
                </c:pt>
                <c:pt idx="14">
                  <c:v>6.5</c:v>
                </c:pt>
                <c:pt idx="15">
                  <c:v>7.0999999999999943</c:v>
                </c:pt>
                <c:pt idx="16">
                  <c:v>6.2000000000000028</c:v>
                </c:pt>
                <c:pt idx="17">
                  <c:v>8</c:v>
                </c:pt>
                <c:pt idx="18">
                  <c:v>9.4000000000000057</c:v>
                </c:pt>
                <c:pt idx="19">
                  <c:v>10.599999999999994</c:v>
                </c:pt>
                <c:pt idx="20">
                  <c:v>14.299999999999997</c:v>
                </c:pt>
                <c:pt idx="21">
                  <c:v>15.799999999999997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0D-4B86-91F9-ABE04704D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37169408"/>
        <c:axId val="37179392"/>
      </c:barChart>
      <c:lineChart>
        <c:grouping val="standard"/>
        <c:varyColors val="0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1'!$E$22:$E$43</c:f>
              <c:numCache>
                <c:formatCode>0.0</c:formatCode>
                <c:ptCount val="22"/>
                <c:pt idx="0">
                  <c:v>10.204081632653043</c:v>
                </c:pt>
                <c:pt idx="1">
                  <c:v>10.321969696969703</c:v>
                </c:pt>
                <c:pt idx="2">
                  <c:v>9.8982423681776197</c:v>
                </c:pt>
                <c:pt idx="3">
                  <c:v>9.918845807033378</c:v>
                </c:pt>
                <c:pt idx="4">
                  <c:v>9.5238095238095184</c:v>
                </c:pt>
                <c:pt idx="5" formatCode="General">
                  <c:v>9.5278969957081472</c:v>
                </c:pt>
                <c:pt idx="6" formatCode="General">
                  <c:v>12.542087542087543</c:v>
                </c:pt>
                <c:pt idx="7" formatCode="General">
                  <c:v>12.469237079573418</c:v>
                </c:pt>
                <c:pt idx="8" formatCode="General">
                  <c:v>12.801932367149746</c:v>
                </c:pt>
                <c:pt idx="9" formatCode="General">
                  <c:v>12.225705329153584</c:v>
                </c:pt>
                <c:pt idx="10" formatCode="General">
                  <c:v>9.498878085265531</c:v>
                </c:pt>
                <c:pt idx="11" formatCode="General">
                  <c:v>8.4609773887673185</c:v>
                </c:pt>
                <c:pt idx="12" formatCode="General">
                  <c:v>7.4232690935046435</c:v>
                </c:pt>
                <c:pt idx="13" formatCode="General">
                  <c:v>5.7262569832402335</c:v>
                </c:pt>
                <c:pt idx="14" formatCode="General">
                  <c:v>5.1912568306010911</c:v>
                </c:pt>
                <c:pt idx="15" formatCode="General">
                  <c:v>5.5144586415601964</c:v>
                </c:pt>
                <c:pt idx="16" formatCode="General">
                  <c:v>6.0465116279069662</c:v>
                </c:pt>
                <c:pt idx="17" formatCode="General">
                  <c:v>7.1334214002641829</c:v>
                </c:pt>
                <c:pt idx="18" formatCode="General">
                  <c:v>7.9870129870129887</c:v>
                </c:pt>
                <c:pt idx="19" formatCode="General">
                  <c:v>7.6481835564053569</c:v>
                </c:pt>
                <c:pt idx="20" formatCode="General">
                  <c:v>7.6441102756892292</c:v>
                </c:pt>
                <c:pt idx="21" formatCode="General">
                  <c:v>7.9531442663378584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B0D-4B86-91F9-ABE04704D75C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1'!$A$22:$B$43</c:f>
              <c:multiLvlStrCache>
                <c:ptCount val="2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  <c:pt idx="8">
                    <c:v>2018</c:v>
                  </c:pt>
                  <c:pt idx="12">
                    <c:v>2019</c:v>
                  </c:pt>
                  <c:pt idx="16">
                    <c:v>2020</c:v>
                  </c:pt>
                  <c:pt idx="20">
                    <c:v>2021</c:v>
                  </c:pt>
                </c:lvl>
              </c:multiLvlStrCache>
            </c:multiLvlStrRef>
          </c:cat>
          <c:val>
            <c:numRef>
              <c:f>'Ceny 1'!$F$22:$F$43</c:f>
              <c:numCache>
                <c:formatCode>0.0</c:formatCode>
                <c:ptCount val="22"/>
                <c:pt idx="0">
                  <c:v>10.196779964221832</c:v>
                </c:pt>
                <c:pt idx="1">
                  <c:v>10.549258936355699</c:v>
                </c:pt>
                <c:pt idx="2">
                  <c:v>9.7706032285471451</c:v>
                </c:pt>
                <c:pt idx="3">
                  <c:v>11.323896752706062</c:v>
                </c:pt>
                <c:pt idx="4">
                  <c:v>13.636363636363626</c:v>
                </c:pt>
                <c:pt idx="5" formatCode="General">
                  <c:v>14.589905362776051</c:v>
                </c:pt>
                <c:pt idx="6" formatCode="General">
                  <c:v>18.266253869969049</c:v>
                </c:pt>
                <c:pt idx="7" formatCode="General">
                  <c:v>18.773373223635019</c:v>
                </c:pt>
                <c:pt idx="8" formatCode="General">
                  <c:v>15.071428571428555</c:v>
                </c:pt>
                <c:pt idx="9" formatCode="General">
                  <c:v>14.24638678596007</c:v>
                </c:pt>
                <c:pt idx="10" formatCode="General">
                  <c:v>10.732984293193695</c:v>
                </c:pt>
                <c:pt idx="11" formatCode="General">
                  <c:v>8.7531486146095574</c:v>
                </c:pt>
                <c:pt idx="12" formatCode="General">
                  <c:v>8.3178150217256359</c:v>
                </c:pt>
                <c:pt idx="13" formatCode="General">
                  <c:v>4.9397590361445651</c:v>
                </c:pt>
                <c:pt idx="14" formatCode="General">
                  <c:v>3.3096926713947994</c:v>
                </c:pt>
                <c:pt idx="15" formatCode="General">
                  <c:v>2.9530978575564575</c:v>
                </c:pt>
                <c:pt idx="16" formatCode="General">
                  <c:v>3.5530085959885298</c:v>
                </c:pt>
                <c:pt idx="17" formatCode="General">
                  <c:v>5.2812858783008068</c:v>
                </c:pt>
                <c:pt idx="18" formatCode="General">
                  <c:v>6.2356979405034281</c:v>
                </c:pt>
                <c:pt idx="19" formatCode="General">
                  <c:v>5.1743532058492718</c:v>
                </c:pt>
                <c:pt idx="20" formatCode="General">
                  <c:v>4.759269507470961</c:v>
                </c:pt>
                <c:pt idx="21" formatCode="General">
                  <c:v>4.5256270447110012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B0D-4B86-91F9-ABE04704D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169408"/>
        <c:axId val="37179392"/>
      </c:lineChart>
      <c:catAx>
        <c:axId val="37169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37179392"/>
        <c:crosses val="autoZero"/>
        <c:auto val="1"/>
        <c:lblAlgn val="ctr"/>
        <c:lblOffset val="100"/>
        <c:noMultiLvlLbl val="0"/>
      </c:catAx>
      <c:valAx>
        <c:axId val="37179392"/>
        <c:scaling>
          <c:orientation val="minMax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37169408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3334810874704504E-2"/>
          <c:y val="0.88817854328492629"/>
          <c:w val="0.89999282337048292"/>
          <c:h val="9.8380614657210319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510469436001351E-2"/>
          <c:y val="2.181131592422042E-2"/>
          <c:w val="0.90860161263086792"/>
          <c:h val="0.71663233141956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4'!$A$42:$B$107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'Ceny 4'!$C$42:$C$107</c:f>
              <c:numCache>
                <c:formatCode>0.0</c:formatCode>
                <c:ptCount val="66"/>
                <c:pt idx="0">
                  <c:v>-3.4000000000000057</c:v>
                </c:pt>
                <c:pt idx="1">
                  <c:v>-4</c:v>
                </c:pt>
                <c:pt idx="2">
                  <c:v>-4.5</c:v>
                </c:pt>
                <c:pt idx="3">
                  <c:v>-4.7000000000000028</c:v>
                </c:pt>
                <c:pt idx="4">
                  <c:v>-4.7999999999999972</c:v>
                </c:pt>
                <c:pt idx="5">
                  <c:v>-4.4000000000000057</c:v>
                </c:pt>
                <c:pt idx="6">
                  <c:v>-4</c:v>
                </c:pt>
                <c:pt idx="7">
                  <c:v>-3.4000000000000057</c:v>
                </c:pt>
                <c:pt idx="8">
                  <c:v>-2.4000000000000057</c:v>
                </c:pt>
                <c:pt idx="9">
                  <c:v>-1.7000000000000028</c:v>
                </c:pt>
                <c:pt idx="10">
                  <c:v>-1.2999999999999972</c:v>
                </c:pt>
                <c:pt idx="11">
                  <c:v>-0.40000000000000568</c:v>
                </c:pt>
                <c:pt idx="12" formatCode="General">
                  <c:v>2.0999999999999943</c:v>
                </c:pt>
                <c:pt idx="13" formatCode="General">
                  <c:v>3.0999999999999943</c:v>
                </c:pt>
                <c:pt idx="14">
                  <c:v>3</c:v>
                </c:pt>
                <c:pt idx="15">
                  <c:v>3.2000000000000028</c:v>
                </c:pt>
                <c:pt idx="16" formatCode="General">
                  <c:v>2.2999999999999972</c:v>
                </c:pt>
                <c:pt idx="17" formatCode="General">
                  <c:v>1.2999999999999972</c:v>
                </c:pt>
                <c:pt idx="18" formatCode="General">
                  <c:v>1.1000000000000001</c:v>
                </c:pt>
                <c:pt idx="19" formatCode="General">
                  <c:v>1.4</c:v>
                </c:pt>
                <c:pt idx="20" formatCode="General">
                  <c:v>1.7</c:v>
                </c:pt>
                <c:pt idx="21" formatCode="General">
                  <c:v>1.1000000000000001</c:v>
                </c:pt>
                <c:pt idx="22" formatCode="General">
                  <c:v>0.9</c:v>
                </c:pt>
                <c:pt idx="23" formatCode="General">
                  <c:v>0.7</c:v>
                </c:pt>
                <c:pt idx="24" formatCode="General">
                  <c:v>0.5</c:v>
                </c:pt>
                <c:pt idx="25" formatCode="General">
                  <c:v>-0.3</c:v>
                </c:pt>
                <c:pt idx="26" formatCode="General">
                  <c:v>0.1</c:v>
                </c:pt>
                <c:pt idx="27" formatCode="General">
                  <c:v>0</c:v>
                </c:pt>
                <c:pt idx="28" formatCode="General">
                  <c:v>1.5</c:v>
                </c:pt>
                <c:pt idx="29" formatCode="General">
                  <c:v>2.9</c:v>
                </c:pt>
                <c:pt idx="30" formatCode="General">
                  <c:v>3.4</c:v>
                </c:pt>
                <c:pt idx="31" formatCode="General">
                  <c:v>3.3</c:v>
                </c:pt>
                <c:pt idx="32" formatCode="General">
                  <c:v>3.2</c:v>
                </c:pt>
                <c:pt idx="33" formatCode="General">
                  <c:v>3.9</c:v>
                </c:pt>
                <c:pt idx="34" formatCode="General">
                  <c:v>3.9</c:v>
                </c:pt>
                <c:pt idx="35" formatCode="General">
                  <c:v>2.4</c:v>
                </c:pt>
                <c:pt idx="36" formatCode="General">
                  <c:v>2.9</c:v>
                </c:pt>
                <c:pt idx="37" formatCode="General">
                  <c:v>3.6</c:v>
                </c:pt>
                <c:pt idx="38" formatCode="General">
                  <c:v>3.8</c:v>
                </c:pt>
                <c:pt idx="39" formatCode="General">
                  <c:v>4.3</c:v>
                </c:pt>
                <c:pt idx="40" formatCode="General">
                  <c:v>3.8</c:v>
                </c:pt>
                <c:pt idx="41" formatCode="General">
                  <c:v>2.5</c:v>
                </c:pt>
                <c:pt idx="42" formatCode="General">
                  <c:v>2.1</c:v>
                </c:pt>
                <c:pt idx="43" formatCode="General">
                  <c:v>2.1</c:v>
                </c:pt>
                <c:pt idx="44" formatCode="General">
                  <c:v>1.9</c:v>
                </c:pt>
                <c:pt idx="45" formatCode="General">
                  <c:v>0.9</c:v>
                </c:pt>
                <c:pt idx="46" formatCode="General">
                  <c:v>0.9</c:v>
                </c:pt>
                <c:pt idx="47" formatCode="General">
                  <c:v>2.1</c:v>
                </c:pt>
                <c:pt idx="48" formatCode="General">
                  <c:v>2.4</c:v>
                </c:pt>
                <c:pt idx="49" formatCode="General">
                  <c:v>1.4</c:v>
                </c:pt>
                <c:pt idx="50" formatCode="General">
                  <c:v>0.4</c:v>
                </c:pt>
                <c:pt idx="51" formatCode="General">
                  <c:v>-0.8</c:v>
                </c:pt>
                <c:pt idx="52" formatCode="General">
                  <c:v>-0.9</c:v>
                </c:pt>
                <c:pt idx="53" formatCode="General">
                  <c:v>-0.3</c:v>
                </c:pt>
                <c:pt idx="54" formatCode="General">
                  <c:v>-0.1</c:v>
                </c:pt>
                <c:pt idx="55" formatCode="General">
                  <c:v>-0.5</c:v>
                </c:pt>
                <c:pt idx="56" formatCode="General">
                  <c:v>-0.4</c:v>
                </c:pt>
                <c:pt idx="57" formatCode="General">
                  <c:v>0.3</c:v>
                </c:pt>
                <c:pt idx="58" formatCode="General">
                  <c:v>-0.1</c:v>
                </c:pt>
                <c:pt idx="59" formatCode="General">
                  <c:v>0</c:v>
                </c:pt>
                <c:pt idx="60" formatCode="General">
                  <c:v>0</c:v>
                </c:pt>
                <c:pt idx="61" formatCode="General">
                  <c:v>1.4</c:v>
                </c:pt>
                <c:pt idx="62" formatCode="General">
                  <c:v>3.3</c:v>
                </c:pt>
                <c:pt idx="63" formatCode="General">
                  <c:v>4.5999999999999996</c:v>
                </c:pt>
                <c:pt idx="64" formatCode="General">
                  <c:v>5.0999999999999996</c:v>
                </c:pt>
                <c:pt idx="65" formatCode="General">
                  <c:v>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68-4E5C-892C-91A74145F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36503936"/>
        <c:axId val="36505472"/>
      </c:barChart>
      <c:lineChart>
        <c:grouping val="standard"/>
        <c:varyColors val="0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'Ceny 4'!$D$42:$D$107</c:f>
              <c:numCache>
                <c:formatCode>0.0</c:formatCode>
                <c:ptCount val="66"/>
                <c:pt idx="0">
                  <c:v>-6.5999999999999943</c:v>
                </c:pt>
                <c:pt idx="1">
                  <c:v>-6.0999999999999943</c:v>
                </c:pt>
                <c:pt idx="2">
                  <c:v>-6.5</c:v>
                </c:pt>
                <c:pt idx="3">
                  <c:v>-7</c:v>
                </c:pt>
                <c:pt idx="4">
                  <c:v>-7.0999999999999943</c:v>
                </c:pt>
                <c:pt idx="5">
                  <c:v>-7.2999999999999972</c:v>
                </c:pt>
                <c:pt idx="6">
                  <c:v>-6.5999999999999943</c:v>
                </c:pt>
                <c:pt idx="7">
                  <c:v>-6</c:v>
                </c:pt>
                <c:pt idx="8">
                  <c:v>-4.9000000000000057</c:v>
                </c:pt>
                <c:pt idx="9">
                  <c:v>-5.2000000000000028</c:v>
                </c:pt>
                <c:pt idx="10">
                  <c:v>-5.2999999999999972</c:v>
                </c:pt>
                <c:pt idx="11">
                  <c:v>-5.0999999999999943</c:v>
                </c:pt>
                <c:pt idx="12" formatCode="General">
                  <c:v>2.2999999999999972</c:v>
                </c:pt>
                <c:pt idx="13" formatCode="General">
                  <c:v>5.7999999999999972</c:v>
                </c:pt>
                <c:pt idx="14">
                  <c:v>6.2000000000000028</c:v>
                </c:pt>
                <c:pt idx="15">
                  <c:v>6.4000000000000057</c:v>
                </c:pt>
                <c:pt idx="16" formatCode="General">
                  <c:v>4.2999999999999972</c:v>
                </c:pt>
                <c:pt idx="17" formatCode="General">
                  <c:v>4.0999999999999943</c:v>
                </c:pt>
                <c:pt idx="18" formatCode="General">
                  <c:v>2.9</c:v>
                </c:pt>
                <c:pt idx="19" formatCode="General">
                  <c:v>1.7</c:v>
                </c:pt>
                <c:pt idx="20" formatCode="General">
                  <c:v>1.9</c:v>
                </c:pt>
                <c:pt idx="21" formatCode="General">
                  <c:v>3.4</c:v>
                </c:pt>
                <c:pt idx="22" formatCode="General">
                  <c:v>3.3</c:v>
                </c:pt>
                <c:pt idx="23" formatCode="General">
                  <c:v>3.6</c:v>
                </c:pt>
                <c:pt idx="24" formatCode="General">
                  <c:v>6.7</c:v>
                </c:pt>
                <c:pt idx="25" formatCode="General">
                  <c:v>5</c:v>
                </c:pt>
                <c:pt idx="26" formatCode="General">
                  <c:v>4.3</c:v>
                </c:pt>
                <c:pt idx="27" formatCode="General">
                  <c:v>4.5999999999999996</c:v>
                </c:pt>
                <c:pt idx="28" formatCode="General">
                  <c:v>7.4</c:v>
                </c:pt>
                <c:pt idx="29" formatCode="General">
                  <c:v>8</c:v>
                </c:pt>
                <c:pt idx="30" formatCode="General">
                  <c:v>8.4</c:v>
                </c:pt>
                <c:pt idx="31" formatCode="General">
                  <c:v>10.1</c:v>
                </c:pt>
                <c:pt idx="32" formatCode="General">
                  <c:v>9.9</c:v>
                </c:pt>
                <c:pt idx="33" formatCode="General">
                  <c:v>9</c:v>
                </c:pt>
                <c:pt idx="34" formatCode="General">
                  <c:v>9.1999999999999993</c:v>
                </c:pt>
                <c:pt idx="35" formatCode="General">
                  <c:v>8.3000000000000007</c:v>
                </c:pt>
                <c:pt idx="36" formatCode="General">
                  <c:v>7.9</c:v>
                </c:pt>
                <c:pt idx="37" formatCode="General">
                  <c:v>7.4</c:v>
                </c:pt>
                <c:pt idx="38" formatCode="General">
                  <c:v>8</c:v>
                </c:pt>
                <c:pt idx="39" formatCode="General">
                  <c:v>8.4</c:v>
                </c:pt>
                <c:pt idx="40" formatCode="General">
                  <c:v>7.5</c:v>
                </c:pt>
                <c:pt idx="41" formatCode="General">
                  <c:v>7.1</c:v>
                </c:pt>
                <c:pt idx="42" formatCode="General">
                  <c:v>6.9</c:v>
                </c:pt>
                <c:pt idx="43" formatCode="General">
                  <c:v>6.8</c:v>
                </c:pt>
                <c:pt idx="44" formatCode="General">
                  <c:v>6.6</c:v>
                </c:pt>
                <c:pt idx="45" formatCode="General">
                  <c:v>3.6</c:v>
                </c:pt>
                <c:pt idx="46" formatCode="General">
                  <c:v>3.2</c:v>
                </c:pt>
                <c:pt idx="47" formatCode="General">
                  <c:v>4.3</c:v>
                </c:pt>
                <c:pt idx="48" formatCode="General">
                  <c:v>-2.1</c:v>
                </c:pt>
                <c:pt idx="49" formatCode="General">
                  <c:v>-1.8</c:v>
                </c:pt>
                <c:pt idx="50" formatCode="General">
                  <c:v>-2.6</c:v>
                </c:pt>
                <c:pt idx="51" formatCode="General">
                  <c:v>-3.7</c:v>
                </c:pt>
                <c:pt idx="52" formatCode="General">
                  <c:v>-3.1</c:v>
                </c:pt>
                <c:pt idx="53" formatCode="General">
                  <c:v>-3.6</c:v>
                </c:pt>
                <c:pt idx="54" formatCode="General">
                  <c:v>-3.5</c:v>
                </c:pt>
                <c:pt idx="55" formatCode="General">
                  <c:v>-3.5</c:v>
                </c:pt>
                <c:pt idx="56" formatCode="General">
                  <c:v>-3.7</c:v>
                </c:pt>
                <c:pt idx="57" formatCode="General">
                  <c:v>-1.9</c:v>
                </c:pt>
                <c:pt idx="58" formatCode="General">
                  <c:v>-1.8</c:v>
                </c:pt>
                <c:pt idx="59" formatCode="General">
                  <c:v>-2.2000000000000002</c:v>
                </c:pt>
                <c:pt idx="60" formatCode="General">
                  <c:v>-0.3</c:v>
                </c:pt>
                <c:pt idx="61" formatCode="General">
                  <c:v>-0.8</c:v>
                </c:pt>
                <c:pt idx="62" formatCode="General">
                  <c:v>-0.3</c:v>
                </c:pt>
                <c:pt idx="63" formatCode="General">
                  <c:v>1</c:v>
                </c:pt>
                <c:pt idx="64" formatCode="General">
                  <c:v>0.3</c:v>
                </c:pt>
                <c:pt idx="65" formatCode="General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468-4E5C-892C-91A74145FB10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'Ceny 4'!$E$42:$E$107</c:f>
              <c:numCache>
                <c:formatCode>0.0</c:formatCode>
                <c:ptCount val="66"/>
                <c:pt idx="0">
                  <c:v>-3.2999999999999972</c:v>
                </c:pt>
                <c:pt idx="1">
                  <c:v>-4.0999999999999943</c:v>
                </c:pt>
                <c:pt idx="2">
                  <c:v>-4.5999999999999943</c:v>
                </c:pt>
                <c:pt idx="3">
                  <c:v>-4.9000000000000057</c:v>
                </c:pt>
                <c:pt idx="4">
                  <c:v>-5</c:v>
                </c:pt>
                <c:pt idx="5">
                  <c:v>-4.5</c:v>
                </c:pt>
                <c:pt idx="6">
                  <c:v>-4</c:v>
                </c:pt>
                <c:pt idx="7">
                  <c:v>-3.2000000000000028</c:v>
                </c:pt>
                <c:pt idx="8">
                  <c:v>-2</c:v>
                </c:pt>
                <c:pt idx="9">
                  <c:v>-1.0999999999999943</c:v>
                </c:pt>
                <c:pt idx="10">
                  <c:v>-0.59999999999999432</c:v>
                </c:pt>
                <c:pt idx="11">
                  <c:v>0.59999999999999432</c:v>
                </c:pt>
                <c:pt idx="12" formatCode="General">
                  <c:v>2.5999999999999943</c:v>
                </c:pt>
                <c:pt idx="13" formatCode="General">
                  <c:v>4</c:v>
                </c:pt>
                <c:pt idx="14">
                  <c:v>3.7999999999999972</c:v>
                </c:pt>
                <c:pt idx="15">
                  <c:v>4</c:v>
                </c:pt>
                <c:pt idx="16" formatCode="General">
                  <c:v>2.7999999999999972</c:v>
                </c:pt>
                <c:pt idx="17" formatCode="General">
                  <c:v>1.5</c:v>
                </c:pt>
                <c:pt idx="18" formatCode="General">
                  <c:v>1.4</c:v>
                </c:pt>
                <c:pt idx="19" formatCode="General">
                  <c:v>2</c:v>
                </c:pt>
                <c:pt idx="20" formatCode="General">
                  <c:v>2.1</c:v>
                </c:pt>
                <c:pt idx="21" formatCode="General">
                  <c:v>1.4</c:v>
                </c:pt>
                <c:pt idx="22" formatCode="General">
                  <c:v>1.1000000000000001</c:v>
                </c:pt>
                <c:pt idx="23" formatCode="General">
                  <c:v>0.9</c:v>
                </c:pt>
                <c:pt idx="24" formatCode="General">
                  <c:v>0.2</c:v>
                </c:pt>
                <c:pt idx="25" formatCode="General">
                  <c:v>-0.9</c:v>
                </c:pt>
                <c:pt idx="26" formatCode="General">
                  <c:v>-0.5</c:v>
                </c:pt>
                <c:pt idx="27" formatCode="General">
                  <c:v>-0.5</c:v>
                </c:pt>
                <c:pt idx="28" formatCode="General">
                  <c:v>1.3</c:v>
                </c:pt>
                <c:pt idx="29" formatCode="General">
                  <c:v>2.8</c:v>
                </c:pt>
                <c:pt idx="30" formatCode="General">
                  <c:v>3.4</c:v>
                </c:pt>
                <c:pt idx="31" formatCode="General">
                  <c:v>3.2</c:v>
                </c:pt>
                <c:pt idx="32" formatCode="General">
                  <c:v>3</c:v>
                </c:pt>
                <c:pt idx="33" formatCode="General">
                  <c:v>3.8</c:v>
                </c:pt>
                <c:pt idx="34" formatCode="General">
                  <c:v>3.9</c:v>
                </c:pt>
                <c:pt idx="35" formatCode="General">
                  <c:v>2.2000000000000002</c:v>
                </c:pt>
                <c:pt idx="36" formatCode="General">
                  <c:v>1.9</c:v>
                </c:pt>
                <c:pt idx="37" formatCode="General">
                  <c:v>2.9</c:v>
                </c:pt>
                <c:pt idx="38" formatCode="General">
                  <c:v>3</c:v>
                </c:pt>
                <c:pt idx="39" formatCode="General">
                  <c:v>3.5</c:v>
                </c:pt>
                <c:pt idx="40" formatCode="General">
                  <c:v>2.9</c:v>
                </c:pt>
                <c:pt idx="41" formatCode="General">
                  <c:v>1.4</c:v>
                </c:pt>
                <c:pt idx="42" formatCode="General">
                  <c:v>0.9</c:v>
                </c:pt>
                <c:pt idx="43" formatCode="General">
                  <c:v>0.8</c:v>
                </c:pt>
                <c:pt idx="44" formatCode="General">
                  <c:v>0.7</c:v>
                </c:pt>
                <c:pt idx="45" formatCode="General">
                  <c:v>-0.4</c:v>
                </c:pt>
                <c:pt idx="46" formatCode="General">
                  <c:v>-0.7</c:v>
                </c:pt>
                <c:pt idx="47" formatCode="General">
                  <c:v>0.8</c:v>
                </c:pt>
                <c:pt idx="48" formatCode="General">
                  <c:v>1.2</c:v>
                </c:pt>
                <c:pt idx="49" formatCode="General">
                  <c:v>-0.1</c:v>
                </c:pt>
                <c:pt idx="50" formatCode="General">
                  <c:v>-1.2</c:v>
                </c:pt>
                <c:pt idx="51" formatCode="General">
                  <c:v>-2.5</c:v>
                </c:pt>
                <c:pt idx="52" formatCode="General">
                  <c:v>-2.6</c:v>
                </c:pt>
                <c:pt idx="53" formatCode="General">
                  <c:v>-1.9</c:v>
                </c:pt>
                <c:pt idx="54" formatCode="General">
                  <c:v>-1.6</c:v>
                </c:pt>
                <c:pt idx="55" formatCode="General">
                  <c:v>-2</c:v>
                </c:pt>
                <c:pt idx="56" formatCode="General">
                  <c:v>-1.9</c:v>
                </c:pt>
                <c:pt idx="57" formatCode="General">
                  <c:v>-1.1000000000000001</c:v>
                </c:pt>
                <c:pt idx="58" formatCode="General">
                  <c:v>-1.4</c:v>
                </c:pt>
                <c:pt idx="59" formatCode="General">
                  <c:v>-1.2</c:v>
                </c:pt>
                <c:pt idx="60" formatCode="General">
                  <c:v>-0.3</c:v>
                </c:pt>
                <c:pt idx="61" formatCode="General">
                  <c:v>1.6</c:v>
                </c:pt>
                <c:pt idx="62" formatCode="General">
                  <c:v>4.0999999999999996</c:v>
                </c:pt>
                <c:pt idx="63" formatCode="General">
                  <c:v>5.6</c:v>
                </c:pt>
                <c:pt idx="64" formatCode="General">
                  <c:v>6.3</c:v>
                </c:pt>
                <c:pt idx="65" formatCode="General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468-4E5C-892C-91A74145FB10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'Ceny 4'!$F$42:$F$107</c:f>
              <c:numCache>
                <c:formatCode>0.0</c:formatCode>
                <c:ptCount val="66"/>
                <c:pt idx="0">
                  <c:v>-4</c:v>
                </c:pt>
                <c:pt idx="1">
                  <c:v>-4.0999999999999943</c:v>
                </c:pt>
                <c:pt idx="2">
                  <c:v>-4.0999999999999943</c:v>
                </c:pt>
                <c:pt idx="3">
                  <c:v>-4</c:v>
                </c:pt>
                <c:pt idx="4">
                  <c:v>-4</c:v>
                </c:pt>
                <c:pt idx="5">
                  <c:v>-4.0999999999999943</c:v>
                </c:pt>
                <c:pt idx="6">
                  <c:v>-4</c:v>
                </c:pt>
                <c:pt idx="7">
                  <c:v>-4</c:v>
                </c:pt>
                <c:pt idx="8">
                  <c:v>-4.0999999999999943</c:v>
                </c:pt>
                <c:pt idx="9">
                  <c:v>-4.0999999999999943</c:v>
                </c:pt>
                <c:pt idx="10">
                  <c:v>-4.0999999999999943</c:v>
                </c:pt>
                <c:pt idx="11">
                  <c:v>-4.0999999999999943</c:v>
                </c:pt>
                <c:pt idx="12" formatCode="General">
                  <c:v>-1.0999999999999943</c:v>
                </c:pt>
                <c:pt idx="13" formatCode="General">
                  <c:v>-1.2000000000000028</c:v>
                </c:pt>
                <c:pt idx="14">
                  <c:v>-1.2000000000000028</c:v>
                </c:pt>
                <c:pt idx="15">
                  <c:v>-1.4000000000000057</c:v>
                </c:pt>
                <c:pt idx="16" formatCode="General">
                  <c:v>-1.2999999999999972</c:v>
                </c:pt>
                <c:pt idx="17" formatCode="General">
                  <c:v>-1.0999999999999943</c:v>
                </c:pt>
                <c:pt idx="18" formatCode="General">
                  <c:v>-1.1000000000000001</c:v>
                </c:pt>
                <c:pt idx="19" formatCode="General">
                  <c:v>-1.3</c:v>
                </c:pt>
                <c:pt idx="20" formatCode="General">
                  <c:v>-1.1000000000000001</c:v>
                </c:pt>
                <c:pt idx="21" formatCode="General">
                  <c:v>-1.1000000000000001</c:v>
                </c:pt>
                <c:pt idx="22" formatCode="General">
                  <c:v>-1.1000000000000001</c:v>
                </c:pt>
                <c:pt idx="23" formatCode="General">
                  <c:v>-1.1000000000000001</c:v>
                </c:pt>
                <c:pt idx="24" formatCode="General">
                  <c:v>1.5</c:v>
                </c:pt>
                <c:pt idx="25" formatCode="General">
                  <c:v>1.6</c:v>
                </c:pt>
                <c:pt idx="26" formatCode="General">
                  <c:v>1.6</c:v>
                </c:pt>
                <c:pt idx="27" formatCode="General">
                  <c:v>1.7</c:v>
                </c:pt>
                <c:pt idx="28" formatCode="General">
                  <c:v>1.7</c:v>
                </c:pt>
                <c:pt idx="29" formatCode="General">
                  <c:v>2.2999999999999998</c:v>
                </c:pt>
                <c:pt idx="30" formatCode="General">
                  <c:v>2.2999999999999998</c:v>
                </c:pt>
                <c:pt idx="31" formatCode="General">
                  <c:v>2.6</c:v>
                </c:pt>
                <c:pt idx="32" formatCode="General">
                  <c:v>2.7</c:v>
                </c:pt>
                <c:pt idx="33" formatCode="General">
                  <c:v>2.8</c:v>
                </c:pt>
                <c:pt idx="34" formatCode="General">
                  <c:v>2.8</c:v>
                </c:pt>
                <c:pt idx="35" formatCode="General">
                  <c:v>2.8</c:v>
                </c:pt>
                <c:pt idx="36" formatCode="General">
                  <c:v>7.2</c:v>
                </c:pt>
                <c:pt idx="37" formatCode="General">
                  <c:v>7.5</c:v>
                </c:pt>
                <c:pt idx="38" formatCode="General">
                  <c:v>8.4</c:v>
                </c:pt>
                <c:pt idx="39" formatCode="General">
                  <c:v>8.1999999999999993</c:v>
                </c:pt>
                <c:pt idx="40" formatCode="General">
                  <c:v>8.6</c:v>
                </c:pt>
                <c:pt idx="41" formatCode="General">
                  <c:v>7.9</c:v>
                </c:pt>
                <c:pt idx="42" formatCode="General">
                  <c:v>8</c:v>
                </c:pt>
                <c:pt idx="43" formatCode="General">
                  <c:v>7.7</c:v>
                </c:pt>
                <c:pt idx="44" formatCode="General">
                  <c:v>7.7</c:v>
                </c:pt>
                <c:pt idx="45" formatCode="General">
                  <c:v>7.5</c:v>
                </c:pt>
                <c:pt idx="46" formatCode="General">
                  <c:v>8.6999999999999993</c:v>
                </c:pt>
                <c:pt idx="47" formatCode="General">
                  <c:v>8.8000000000000007</c:v>
                </c:pt>
                <c:pt idx="48" formatCode="General">
                  <c:v>9.3000000000000007</c:v>
                </c:pt>
                <c:pt idx="49" formatCode="General">
                  <c:v>9</c:v>
                </c:pt>
                <c:pt idx="50" formatCode="General">
                  <c:v>8.3000000000000007</c:v>
                </c:pt>
                <c:pt idx="51" formatCode="General">
                  <c:v>8.6</c:v>
                </c:pt>
                <c:pt idx="52" formatCode="General">
                  <c:v>8</c:v>
                </c:pt>
                <c:pt idx="53" formatCode="General">
                  <c:v>8</c:v>
                </c:pt>
                <c:pt idx="54" formatCode="General">
                  <c:v>7.7</c:v>
                </c:pt>
                <c:pt idx="55" formatCode="General">
                  <c:v>7.9</c:v>
                </c:pt>
                <c:pt idx="56" formatCode="General">
                  <c:v>7.7</c:v>
                </c:pt>
                <c:pt idx="57" formatCode="General">
                  <c:v>7</c:v>
                </c:pt>
                <c:pt idx="58" formatCode="General">
                  <c:v>5.8</c:v>
                </c:pt>
                <c:pt idx="59" formatCode="General">
                  <c:v>5.6</c:v>
                </c:pt>
                <c:pt idx="60" formatCode="General">
                  <c:v>0.4</c:v>
                </c:pt>
                <c:pt idx="61" formatCode="General">
                  <c:v>0.4</c:v>
                </c:pt>
                <c:pt idx="62" formatCode="General">
                  <c:v>0.1</c:v>
                </c:pt>
                <c:pt idx="63" formatCode="General">
                  <c:v>-0.1</c:v>
                </c:pt>
                <c:pt idx="64" formatCode="General">
                  <c:v>0.2</c:v>
                </c:pt>
                <c:pt idx="65" formatCode="General">
                  <c:v>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468-4E5C-892C-91A74145FB10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  <c:pt idx="24">
                    <c:v>2018</c:v>
                  </c:pt>
                  <c:pt idx="36">
                    <c:v>2019</c:v>
                  </c:pt>
                  <c:pt idx="48">
                    <c:v>2020</c:v>
                  </c:pt>
                  <c:pt idx="60">
                    <c:v>2021</c:v>
                  </c:pt>
                </c:lvl>
              </c:multiLvlStrCache>
            </c:multiLvlStrRef>
          </c:cat>
          <c:val>
            <c:numRef>
              <c:f>'Ceny 4'!$G$42:$G$107</c:f>
              <c:numCache>
                <c:formatCode>General</c:formatCode>
                <c:ptCount val="66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1.5999999999999943</c:v>
                </c:pt>
                <c:pt idx="4">
                  <c:v>1.5999999999999943</c:v>
                </c:pt>
                <c:pt idx="5">
                  <c:v>1.5999999999999943</c:v>
                </c:pt>
                <c:pt idx="6">
                  <c:v>1.5999999999999943</c:v>
                </c:pt>
                <c:pt idx="7">
                  <c:v>1.5999999999999943</c:v>
                </c:pt>
                <c:pt idx="8">
                  <c:v>1.5999999999999943</c:v>
                </c:pt>
                <c:pt idx="9">
                  <c:v>1.5999999999999943</c:v>
                </c:pt>
                <c:pt idx="10">
                  <c:v>1.5999999999999943</c:v>
                </c:pt>
                <c:pt idx="11">
                  <c:v>1.5999999999999943</c:v>
                </c:pt>
                <c:pt idx="12">
                  <c:v>2.0999999999999943</c:v>
                </c:pt>
                <c:pt idx="13">
                  <c:v>2.0999999999999943</c:v>
                </c:pt>
                <c:pt idx="14" formatCode="0.0">
                  <c:v>2.0999999999999943</c:v>
                </c:pt>
                <c:pt idx="15" formatCode="0.0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1.9</c:v>
                </c:pt>
                <c:pt idx="25">
                  <c:v>1.9</c:v>
                </c:pt>
                <c:pt idx="26">
                  <c:v>1.9</c:v>
                </c:pt>
                <c:pt idx="27">
                  <c:v>1.9</c:v>
                </c:pt>
                <c:pt idx="28">
                  <c:v>1.9</c:v>
                </c:pt>
                <c:pt idx="29">
                  <c:v>1.9</c:v>
                </c:pt>
                <c:pt idx="30">
                  <c:v>1.9</c:v>
                </c:pt>
                <c:pt idx="31">
                  <c:v>1.9</c:v>
                </c:pt>
                <c:pt idx="32">
                  <c:v>1.9</c:v>
                </c:pt>
                <c:pt idx="33">
                  <c:v>1.9</c:v>
                </c:pt>
                <c:pt idx="34">
                  <c:v>1.9</c:v>
                </c:pt>
                <c:pt idx="35">
                  <c:v>1.9</c:v>
                </c:pt>
                <c:pt idx="36">
                  <c:v>2.9</c:v>
                </c:pt>
                <c:pt idx="37">
                  <c:v>2.9</c:v>
                </c:pt>
                <c:pt idx="38">
                  <c:v>2.9</c:v>
                </c:pt>
                <c:pt idx="39">
                  <c:v>2.9</c:v>
                </c:pt>
                <c:pt idx="40">
                  <c:v>2.9</c:v>
                </c:pt>
                <c:pt idx="41">
                  <c:v>2.9</c:v>
                </c:pt>
                <c:pt idx="42">
                  <c:v>2.9</c:v>
                </c:pt>
                <c:pt idx="43">
                  <c:v>2.9</c:v>
                </c:pt>
                <c:pt idx="44">
                  <c:v>2.9</c:v>
                </c:pt>
                <c:pt idx="45">
                  <c:v>2.9</c:v>
                </c:pt>
                <c:pt idx="46">
                  <c:v>2.9</c:v>
                </c:pt>
                <c:pt idx="47">
                  <c:v>2.9</c:v>
                </c:pt>
                <c:pt idx="48">
                  <c:v>5.4</c:v>
                </c:pt>
                <c:pt idx="49">
                  <c:v>5.4</c:v>
                </c:pt>
                <c:pt idx="50">
                  <c:v>5.4</c:v>
                </c:pt>
                <c:pt idx="51">
                  <c:v>5.4</c:v>
                </c:pt>
                <c:pt idx="52">
                  <c:v>6.4</c:v>
                </c:pt>
                <c:pt idx="53">
                  <c:v>6.4</c:v>
                </c:pt>
                <c:pt idx="54">
                  <c:v>6.4</c:v>
                </c:pt>
                <c:pt idx="55">
                  <c:v>6.4</c:v>
                </c:pt>
                <c:pt idx="56">
                  <c:v>6.4</c:v>
                </c:pt>
                <c:pt idx="57">
                  <c:v>6.4</c:v>
                </c:pt>
                <c:pt idx="58">
                  <c:v>6.4</c:v>
                </c:pt>
                <c:pt idx="59">
                  <c:v>6.4</c:v>
                </c:pt>
                <c:pt idx="60">
                  <c:v>6.9</c:v>
                </c:pt>
                <c:pt idx="61">
                  <c:v>6.9</c:v>
                </c:pt>
                <c:pt idx="62">
                  <c:v>6.9</c:v>
                </c:pt>
                <c:pt idx="63">
                  <c:v>6.9</c:v>
                </c:pt>
                <c:pt idx="64">
                  <c:v>5.9</c:v>
                </c:pt>
                <c:pt idx="65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468-4E5C-892C-91A74145FB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503936"/>
        <c:axId val="36505472"/>
      </c:lineChart>
      <c:catAx>
        <c:axId val="36503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36505472"/>
        <c:crosses val="autoZero"/>
        <c:auto val="1"/>
        <c:lblAlgn val="ctr"/>
        <c:lblOffset val="100"/>
        <c:noMultiLvlLbl val="0"/>
      </c:catAx>
      <c:valAx>
        <c:axId val="36505472"/>
        <c:scaling>
          <c:orientation val="minMax"/>
          <c:max val="12"/>
          <c:min val="-1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36503936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1319022289766968E-2"/>
          <c:y val="0.86223931272106069"/>
          <c:w val="0.90901046943600139"/>
          <c:h val="0.12109402425765226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7A0D-5D16-4C47-886C-4B11AE05E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A4464-9D1B-4897-BC51-B06E1905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5</Pages>
  <Words>1757</Words>
  <Characters>10368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12101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2019-04-08T10:52:00Z</cp:lastPrinted>
  <dcterms:created xsi:type="dcterms:W3CDTF">2021-09-14T08:33:00Z</dcterms:created>
  <dcterms:modified xsi:type="dcterms:W3CDTF">2021-09-14T08:46:00Z</dcterms:modified>
</cp:coreProperties>
</file>