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045CEE">
        <w:rPr>
          <w:rFonts w:ascii="Arial" w:hAnsi="Arial"/>
          <w:sz w:val="32"/>
        </w:rPr>
        <w:t>červ</w:t>
      </w:r>
      <w:r w:rsidR="00404DC9">
        <w:rPr>
          <w:rFonts w:ascii="Arial" w:hAnsi="Arial"/>
          <w:sz w:val="32"/>
        </w:rPr>
        <w:t>e</w:t>
      </w:r>
      <w:r w:rsidR="00045CEE">
        <w:rPr>
          <w:rFonts w:ascii="Arial" w:hAnsi="Arial"/>
          <w:sz w:val="32"/>
        </w:rPr>
        <w:t>n</w:t>
      </w:r>
      <w:r w:rsidR="00404DC9">
        <w:rPr>
          <w:rFonts w:ascii="Arial" w:hAnsi="Arial"/>
          <w:sz w:val="32"/>
        </w:rPr>
        <w:t>ci</w:t>
      </w:r>
      <w:r>
        <w:rPr>
          <w:rFonts w:ascii="Arial" w:hAnsi="Arial"/>
          <w:sz w:val="32"/>
        </w:rPr>
        <w:t xml:space="preserve"> 202</w:t>
      </w:r>
      <w:r w:rsidR="0028058B">
        <w:rPr>
          <w:rFonts w:ascii="Arial" w:hAnsi="Arial"/>
          <w:sz w:val="32"/>
        </w:rPr>
        <w:t>3</w:t>
      </w:r>
    </w:p>
    <w:p w:rsidR="004124D2" w:rsidRDefault="004124D2" w:rsidP="00146378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5F498E" w:rsidRDefault="005F498E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5F498E" w:rsidRDefault="005F498E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F498E" w:rsidRDefault="00404DC9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404DC9">
        <w:rPr>
          <w:rFonts w:ascii="Arial" w:eastAsia="Calibri" w:hAnsi="Arial" w:cs="Arial"/>
          <w:b/>
          <w:sz w:val="20"/>
          <w:szCs w:val="20"/>
          <w:lang w:eastAsia="en-US"/>
        </w:rPr>
        <w:t>Meziměsíčně se ceny</w:t>
      </w:r>
      <w:r w:rsidRPr="00404DC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04DC9">
        <w:rPr>
          <w:rFonts w:ascii="Arial" w:eastAsia="Calibri" w:hAnsi="Arial" w:cs="Arial"/>
          <w:b/>
          <w:sz w:val="20"/>
          <w:szCs w:val="20"/>
          <w:lang w:eastAsia="en-US"/>
        </w:rPr>
        <w:t xml:space="preserve">průmyslových výrobců snížily </w:t>
      </w:r>
      <w:r w:rsidRPr="00404DC9">
        <w:rPr>
          <w:rFonts w:ascii="Arial" w:eastAsia="Calibri" w:hAnsi="Arial" w:cs="Arial"/>
          <w:sz w:val="20"/>
          <w:szCs w:val="20"/>
          <w:lang w:eastAsia="en-US"/>
        </w:rPr>
        <w:t>o 0,1 %.</w:t>
      </w:r>
    </w:p>
    <w:p w:rsidR="005F498E" w:rsidRDefault="005F498E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A66E2" w:rsidRDefault="00287C2E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4789E59E" wp14:editId="0A302208">
            <wp:extent cx="5760720" cy="3926205"/>
            <wp:effectExtent l="0" t="0" r="11430" b="17145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66E2" w:rsidRDefault="00AA66E2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498E" w:rsidRDefault="00404DC9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404DC9">
        <w:rPr>
          <w:rFonts w:ascii="Arial" w:eastAsia="Calibri" w:hAnsi="Arial" w:cs="Arial"/>
          <w:sz w:val="20"/>
          <w:szCs w:val="20"/>
          <w:lang w:eastAsia="en-US"/>
        </w:rPr>
        <w:t>Klesly ceny chemických látek a chemických přípravků o 3,3 %, základních kovů o 2,0 %, ostatních nekovových minerálních výrobků o 1,0 % a potravinářských výrobků o 0,7 %, z toho mléčných výrobků o 2,3 % a průmyslových krmiv o 3,0 %.</w:t>
      </w:r>
    </w:p>
    <w:p w:rsidR="005F498E" w:rsidRDefault="005F498E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498E" w:rsidRDefault="00404DC9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404DC9">
        <w:rPr>
          <w:rFonts w:ascii="Arial" w:eastAsia="Calibri" w:hAnsi="Arial" w:cs="Arial"/>
          <w:sz w:val="20"/>
          <w:szCs w:val="20"/>
          <w:lang w:eastAsia="en-US"/>
        </w:rPr>
        <w:t>Vzrostly zejména ceny koksu a rafinovaných ropných produktů. Ceny elektřiny, plynu, páry a klimatizovaného vzduchu byly vyšší o 0,6 %, z toho ceny elektřiny, přenosu, rozvodu a obchodu s elektřinou o 0,8 %.</w:t>
      </w:r>
    </w:p>
    <w:p w:rsidR="005F498E" w:rsidRDefault="005F498E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04DC9" w:rsidRPr="00404DC9" w:rsidRDefault="00404DC9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404DC9">
        <w:rPr>
          <w:rFonts w:ascii="Arial" w:eastAsia="Calibri" w:hAnsi="Arial" w:cs="Arial"/>
          <w:sz w:val="20"/>
          <w:szCs w:val="20"/>
          <w:lang w:eastAsia="en-US"/>
        </w:rPr>
        <w:t>Ceny motorových vozidel se zvýšily o 0,6 %, z toho ceny dílů a příslušenství pro motorová vozidla o 0,9 %.</w:t>
      </w:r>
    </w:p>
    <w:p w:rsidR="0028404E" w:rsidRPr="00045CEE" w:rsidRDefault="0028404E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5F498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5F498E" w:rsidP="005F498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>
            <wp:extent cx="5136515" cy="1232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A66E2" w:rsidRDefault="00AA66E2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A66E2" w:rsidRDefault="00AA66E2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A66E2" w:rsidRDefault="00AA66E2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F498E" w:rsidRPr="005F498E" w:rsidRDefault="005F498E" w:rsidP="00146378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498E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5F498E" w:rsidRDefault="005F498E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498E" w:rsidRDefault="00146378" w:rsidP="00146378">
      <w:p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146378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meziročně</w:t>
      </w:r>
      <w:r w:rsidRPr="0014637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46378">
        <w:rPr>
          <w:rFonts w:ascii="Arial" w:eastAsia="Calibri" w:hAnsi="Arial" w:cs="Arial"/>
          <w:b/>
          <w:bCs/>
          <w:sz w:val="20"/>
          <w:szCs w:val="20"/>
          <w:lang w:eastAsia="en-US"/>
        </w:rPr>
        <w:t>vzrostly</w:t>
      </w:r>
      <w:r w:rsidRPr="00146378">
        <w:rPr>
          <w:rFonts w:ascii="Arial" w:eastAsia="Calibri" w:hAnsi="Arial" w:cs="Arial"/>
          <w:bCs/>
          <w:sz w:val="20"/>
          <w:szCs w:val="20"/>
          <w:lang w:eastAsia="en-US"/>
        </w:rPr>
        <w:t xml:space="preserve"> o 1,4 % (v červnu o 1,9 %).</w:t>
      </w:r>
    </w:p>
    <w:p w:rsidR="00AA66E2" w:rsidRDefault="00AA66E2" w:rsidP="00146378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F498E" w:rsidRDefault="00AA66E2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1152C018" wp14:editId="545DDB31">
            <wp:extent cx="5760720" cy="3279140"/>
            <wp:effectExtent l="0" t="0" r="11430" b="1651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66E2" w:rsidRDefault="00AA66E2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A66E2" w:rsidRDefault="00AA66E2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2AE7660D" wp14:editId="6F253DE7">
            <wp:extent cx="5760720" cy="4377055"/>
            <wp:effectExtent l="0" t="0" r="11430" b="4445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66E2" w:rsidRDefault="00AA66E2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498E" w:rsidRDefault="00146378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146378">
        <w:rPr>
          <w:rFonts w:ascii="Arial" w:eastAsia="Calibri" w:hAnsi="Arial" w:cs="Arial"/>
          <w:sz w:val="20"/>
          <w:szCs w:val="20"/>
          <w:lang w:eastAsia="en-US"/>
        </w:rPr>
        <w:lastRenderedPageBreak/>
        <w:t>Ceny elektřiny, plynu, páry a klimatizovaného vzduchu byly vyšší o 15,9 %, černého a hnědého uhlí a lignitu o 73,4 %, potravinářských výrobků o 4,9 %, ostatních nekovových minerálních výrobků o 11,2 % a motorových vozidel o 3,4 %.</w:t>
      </w:r>
    </w:p>
    <w:p w:rsidR="005F498E" w:rsidRDefault="005F498E" w:rsidP="00146378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46378" w:rsidRPr="00146378" w:rsidRDefault="00146378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Snížily se především ceny koksu a rafinovaných ropných produktů. Ceny chemických látek a chemických přípravků byly nižší o 20,8 %, základních kovů o 14,0 % a dřeva, dřevěných a korkových výrobků o 18,6 %. </w:t>
      </w:r>
    </w:p>
    <w:p w:rsidR="00CF19F5" w:rsidRPr="00045CEE" w:rsidRDefault="00CF19F5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7E3F25" w:rsidRPr="0057148E" w:rsidRDefault="007E3F25" w:rsidP="006D4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E3F25" w:rsidRPr="006D4052" w:rsidRDefault="007E3F25" w:rsidP="006D4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5F498E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5F498E" w:rsidP="005F498E">
      <w:r>
        <w:rPr>
          <w:noProof/>
        </w:rPr>
        <w:drawing>
          <wp:inline distT="0" distB="0" distL="0" distR="0">
            <wp:extent cx="5136515" cy="15347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46378" w:rsidRPr="00146378" w:rsidRDefault="00146378" w:rsidP="00146378">
      <w:pPr>
        <w:rPr>
          <w:rFonts w:ascii="Arial" w:eastAsia="Calibri" w:hAnsi="Arial" w:cs="Arial"/>
          <w:sz w:val="20"/>
          <w:szCs w:val="20"/>
          <w:lang w:eastAsia="en-US"/>
        </w:rPr>
      </w:pP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146378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 se zvýšily zejména ceny zboží krátkodobé spotřeby o 8,2 %. Ceny energií byly vyšší o 4,4 %. Klesly pouze ceny meziproduktů o 5,8 %. Ceny </w:t>
      </w:r>
      <w:r w:rsidRPr="00146378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6378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6378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146378">
        <w:rPr>
          <w:rFonts w:ascii="Arial" w:eastAsia="Calibri" w:hAnsi="Arial" w:cs="Arial"/>
          <w:sz w:val="20"/>
          <w:szCs w:val="20"/>
          <w:lang w:eastAsia="en-US"/>
        </w:rPr>
        <w:t xml:space="preserve"> vzrostly o 0,4 % (v červnu o 1,2 %). </w:t>
      </w:r>
    </w:p>
    <w:p w:rsidR="00435CD8" w:rsidRDefault="00435CD8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045CEE" w:rsidRPr="00435CD8" w:rsidRDefault="00045CEE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435CD8">
        <w:rPr>
          <w:rFonts w:ascii="Arial" w:hAnsi="Arial" w:cs="Arial"/>
          <w:sz w:val="20"/>
          <w:szCs w:val="20"/>
        </w:rPr>
        <w:t>1</w:t>
      </w:r>
      <w:r w:rsidR="00146378">
        <w:rPr>
          <w:rFonts w:ascii="Arial" w:hAnsi="Arial" w:cs="Arial"/>
          <w:sz w:val="20"/>
          <w:szCs w:val="20"/>
        </w:rPr>
        <w:t>3</w:t>
      </w:r>
      <w:r w:rsidR="00573148">
        <w:rPr>
          <w:rFonts w:ascii="Arial" w:hAnsi="Arial" w:cs="Arial"/>
          <w:sz w:val="20"/>
          <w:szCs w:val="20"/>
        </w:rPr>
        <w:t>,</w:t>
      </w:r>
      <w:r w:rsidR="00146378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5F498E" w:rsidRDefault="005F498E" w:rsidP="005F498E">
      <w:pPr>
        <w:pStyle w:val="Nadpis8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červenec 2023</w:t>
      </w:r>
    </w:p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177DA" w:rsidRDefault="005177DA" w:rsidP="005177DA">
      <w:pPr>
        <w:rPr>
          <w:rFonts w:ascii="Arial" w:hAnsi="Arial" w:cs="Arial"/>
          <w:sz w:val="20"/>
          <w:szCs w:val="20"/>
        </w:rPr>
      </w:pPr>
      <w:r w:rsidRPr="0057638F">
        <w:rPr>
          <w:rFonts w:ascii="Arial" w:hAnsi="Arial" w:cs="Arial"/>
          <w:b/>
          <w:sz w:val="20"/>
          <w:szCs w:val="20"/>
        </w:rPr>
        <w:t>101112 Vepřová pečeně s kostí:</w:t>
      </w:r>
      <w:r w:rsidRPr="0057638F">
        <w:rPr>
          <w:rFonts w:ascii="Arial" w:hAnsi="Arial" w:cs="Arial"/>
          <w:sz w:val="20"/>
          <w:szCs w:val="20"/>
        </w:rPr>
        <w:t xml:space="preserve"> růst nákupních cen prasat</w:t>
      </w:r>
    </w:p>
    <w:p w:rsidR="005177DA" w:rsidRDefault="005177DA" w:rsidP="005177DA">
      <w:pPr>
        <w:rPr>
          <w:rFonts w:ascii="Arial" w:hAnsi="Arial" w:cs="Arial"/>
          <w:sz w:val="20"/>
          <w:szCs w:val="20"/>
        </w:rPr>
      </w:pPr>
    </w:p>
    <w:p w:rsidR="005177DA" w:rsidRDefault="005177DA" w:rsidP="005177DA">
      <w:pPr>
        <w:rPr>
          <w:rFonts w:ascii="Arial" w:hAnsi="Arial" w:cs="Arial"/>
          <w:sz w:val="20"/>
          <w:szCs w:val="20"/>
        </w:rPr>
      </w:pPr>
      <w:r w:rsidRPr="0057638F">
        <w:rPr>
          <w:rFonts w:ascii="Arial" w:hAnsi="Arial" w:cs="Arial"/>
          <w:b/>
          <w:sz w:val="20"/>
          <w:szCs w:val="20"/>
        </w:rPr>
        <w:t>105111 Mléko polotučné čerstvé &amp; trvanlivé</w:t>
      </w:r>
      <w:r>
        <w:rPr>
          <w:rFonts w:ascii="Arial" w:hAnsi="Arial" w:cs="Arial"/>
          <w:sz w:val="20"/>
          <w:szCs w:val="20"/>
        </w:rPr>
        <w:t xml:space="preserve">: </w:t>
      </w:r>
      <w:r w:rsidRPr="0057638F">
        <w:rPr>
          <w:rFonts w:ascii="Arial" w:hAnsi="Arial" w:cs="Arial"/>
          <w:sz w:val="20"/>
          <w:szCs w:val="20"/>
        </w:rPr>
        <w:t>pokles cen, vliv trhu</w:t>
      </w:r>
    </w:p>
    <w:p w:rsidR="005177DA" w:rsidRDefault="005177DA" w:rsidP="005177DA">
      <w:pPr>
        <w:rPr>
          <w:rFonts w:ascii="Arial" w:hAnsi="Arial" w:cs="Arial"/>
          <w:sz w:val="20"/>
          <w:szCs w:val="20"/>
        </w:rPr>
      </w:pPr>
    </w:p>
    <w:p w:rsidR="005177DA" w:rsidRDefault="005177DA" w:rsidP="005177DA">
      <w:pPr>
        <w:rPr>
          <w:rFonts w:ascii="Arial" w:hAnsi="Arial" w:cs="Arial"/>
          <w:sz w:val="20"/>
          <w:szCs w:val="20"/>
        </w:rPr>
      </w:pPr>
      <w:r w:rsidRPr="0057638F">
        <w:rPr>
          <w:rFonts w:ascii="Arial" w:hAnsi="Arial" w:cs="Arial"/>
          <w:b/>
          <w:sz w:val="20"/>
          <w:szCs w:val="20"/>
        </w:rPr>
        <w:t>109110 Krmné směsi všechny druhy</w:t>
      </w:r>
      <w:r>
        <w:rPr>
          <w:rFonts w:ascii="Arial" w:hAnsi="Arial" w:cs="Arial"/>
          <w:sz w:val="20"/>
          <w:szCs w:val="20"/>
        </w:rPr>
        <w:t xml:space="preserve">: </w:t>
      </w:r>
      <w:r w:rsidRPr="0057638F">
        <w:rPr>
          <w:rFonts w:ascii="Arial" w:hAnsi="Arial" w:cs="Arial"/>
          <w:sz w:val="20"/>
          <w:szCs w:val="20"/>
        </w:rPr>
        <w:t>nižší ceny vstupních surovin,</w:t>
      </w:r>
      <w:r>
        <w:rPr>
          <w:rFonts w:ascii="Arial" w:hAnsi="Arial" w:cs="Arial"/>
          <w:sz w:val="20"/>
          <w:szCs w:val="20"/>
        </w:rPr>
        <w:t xml:space="preserve"> </w:t>
      </w:r>
      <w:r w:rsidRPr="0057638F">
        <w:rPr>
          <w:rFonts w:ascii="Arial" w:hAnsi="Arial" w:cs="Arial"/>
          <w:sz w:val="20"/>
          <w:szCs w:val="20"/>
        </w:rPr>
        <w:t>zejména obilovin</w:t>
      </w:r>
    </w:p>
    <w:p w:rsidR="005177DA" w:rsidRDefault="005177DA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5177DA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87C2E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177DA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498E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A576A"/>
    <w:rsid w:val="00AA66E2"/>
    <w:rsid w:val="00AA7964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5D6A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9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98E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3\07-2023\0110442307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07-2023\0110442307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07-2023\0110442307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175438596491229E-3"/>
                  <c:y val="2.5447717284314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0A-40F2-9B66-888153013470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0A-40F2-9B66-888153013470}"/>
                </c:ext>
              </c:extLst>
            </c:dLbl>
            <c:dLbl>
              <c:idx val="2"/>
              <c:layout>
                <c:manualLayout>
                  <c:x val="1.7520805957074025E-3"/>
                  <c:y val="8.9061511678486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00A-40F2-9B66-888153013470}"/>
                </c:ext>
              </c:extLst>
            </c:dLbl>
            <c:dLbl>
              <c:idx val="3"/>
              <c:layout>
                <c:manualLayout>
                  <c:x val="-1.7520805957074346E-3"/>
                  <c:y val="-2.5443283956787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0A-40F2-9B66-888153013470}"/>
                </c:ext>
              </c:extLst>
            </c:dLbl>
            <c:dLbl>
              <c:idx val="4"/>
              <c:layout>
                <c:manualLayout>
                  <c:x val="0"/>
                  <c:y val="2.0621809985547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0A-40F2-9B66-888153013470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0A-40F2-9B66-888153013470}"/>
                </c:ext>
              </c:extLst>
            </c:dLbl>
            <c:dLbl>
              <c:idx val="7"/>
              <c:layout>
                <c:manualLayout>
                  <c:x val="0"/>
                  <c:y val="-5.0890575045465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0A-40F2-9B66-888153013470}"/>
                </c:ext>
              </c:extLst>
            </c:dLbl>
            <c:dLbl>
              <c:idx val="12"/>
              <c:layout>
                <c:manualLayout>
                  <c:x val="0"/>
                  <c:y val="2.316601847079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0A-40F2-9B66-888153013470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0A-40F2-9B66-888153013470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0A-40F2-9B66-888153013470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0A-40F2-9B66-888153013470}"/>
                </c:ext>
              </c:extLst>
            </c:dLbl>
            <c:dLbl>
              <c:idx val="18"/>
              <c:layout>
                <c:manualLayout>
                  <c:x val="3.5041611914148037E-3"/>
                  <c:y val="7.6334860785225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B00A-40F2-9B66-888153013470}"/>
                </c:ext>
              </c:extLst>
            </c:dLbl>
            <c:dLbl>
              <c:idx val="20"/>
              <c:layout>
                <c:manualLayout>
                  <c:x val="0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0A-40F2-9B66-888153013470}"/>
                </c:ext>
              </c:extLst>
            </c:dLbl>
            <c:dLbl>
              <c:idx val="21"/>
              <c:layout>
                <c:manualLayout>
                  <c:x val="-5.263157894736842E-3"/>
                  <c:y val="2.54481651722929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0A-40F2-9B66-888153013470}"/>
                </c:ext>
              </c:extLst>
            </c:dLbl>
            <c:dLbl>
              <c:idx val="22"/>
              <c:layout>
                <c:manualLayout>
                  <c:x val="2.6476032601186724E-3"/>
                  <c:y val="1.415032293591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63047382235116E-2"/>
                      <c:h val="5.08839670276417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B00A-40F2-9B66-888153013470}"/>
                </c:ext>
              </c:extLst>
            </c:dLbl>
            <c:dLbl>
              <c:idx val="23"/>
              <c:layout>
                <c:manualLayout>
                  <c:x val="-5.2562508633789201E-3"/>
                  <c:y val="2.316622114812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00A-40F2-9B66-888153013470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1.2000000000000028</c:v>
                </c:pt>
                <c:pt idx="1">
                  <c:v>0.7</c:v>
                </c:pt>
                <c:pt idx="2">
                  <c:v>1.9</c:v>
                </c:pt>
                <c:pt idx="3">
                  <c:v>1.2000000000000028</c:v>
                </c:pt>
                <c:pt idx="4">
                  <c:v>-0.1</c:v>
                </c:pt>
                <c:pt idx="5">
                  <c:v>6.9</c:v>
                </c:pt>
                <c:pt idx="6">
                  <c:v>2.2000000000000002</c:v>
                </c:pt>
                <c:pt idx="7">
                  <c:v>4.2</c:v>
                </c:pt>
                <c:pt idx="8">
                  <c:v>2.2999999999999998</c:v>
                </c:pt>
                <c:pt idx="9">
                  <c:v>1.9</c:v>
                </c:pt>
                <c:pt idx="10">
                  <c:v>1.4</c:v>
                </c:pt>
                <c:pt idx="11">
                  <c:v>0.3</c:v>
                </c:pt>
                <c:pt idx="12">
                  <c:v>-0.1</c:v>
                </c:pt>
                <c:pt idx="13">
                  <c:v>1.2000000000000028</c:v>
                </c:pt>
                <c:pt idx="14">
                  <c:v>0.59999999999999432</c:v>
                </c:pt>
                <c:pt idx="15">
                  <c:v>-1</c:v>
                </c:pt>
                <c:pt idx="16">
                  <c:v>-1.1000000000000001</c:v>
                </c:pt>
                <c:pt idx="17" formatCode="General">
                  <c:v>5.8</c:v>
                </c:pt>
                <c:pt idx="18">
                  <c:v>-0.3</c:v>
                </c:pt>
                <c:pt idx="19">
                  <c:v>-1</c:v>
                </c:pt>
                <c:pt idx="20">
                  <c:v>-1.2</c:v>
                </c:pt>
                <c:pt idx="21">
                  <c:v>-0.8</c:v>
                </c:pt>
                <c:pt idx="22">
                  <c:v>-0.3</c:v>
                </c:pt>
                <c:pt idx="23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00A-40F2-9B66-8881530134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 formatCode="0.0">
                  <c:v>9.3000000000000007</c:v>
                </c:pt>
                <c:pt idx="1">
                  <c:v>9.9</c:v>
                </c:pt>
                <c:pt idx="2" formatCode="0.0">
                  <c:v>11.6</c:v>
                </c:pt>
                <c:pt idx="3">
                  <c:v>13.5</c:v>
                </c:pt>
                <c:pt idx="4" formatCode="0.0">
                  <c:v>13.2</c:v>
                </c:pt>
                <c:pt idx="5">
                  <c:v>19.399999999999999</c:v>
                </c:pt>
                <c:pt idx="6" formatCode="0.0">
                  <c:v>21.3</c:v>
                </c:pt>
                <c:pt idx="7">
                  <c:v>24.7</c:v>
                </c:pt>
                <c:pt idx="8">
                  <c:v>26.6</c:v>
                </c:pt>
                <c:pt idx="9">
                  <c:v>27.9</c:v>
                </c:pt>
                <c:pt idx="10">
                  <c:v>28.5</c:v>
                </c:pt>
                <c:pt idx="11" formatCode="0.0">
                  <c:v>26.799999999999997</c:v>
                </c:pt>
                <c:pt idx="12">
                  <c:v>25.2</c:v>
                </c:pt>
                <c:pt idx="13">
                  <c:v>25.8</c:v>
                </c:pt>
                <c:pt idx="14">
                  <c:v>24.1</c:v>
                </c:pt>
                <c:pt idx="15">
                  <c:v>21.3</c:v>
                </c:pt>
                <c:pt idx="16">
                  <c:v>20.099999999999994</c:v>
                </c:pt>
                <c:pt idx="17" formatCode="0.0">
                  <c:v>19</c:v>
                </c:pt>
                <c:pt idx="18" formatCode="0.0">
                  <c:v>16</c:v>
                </c:pt>
                <c:pt idx="19">
                  <c:v>10.199999999999999</c:v>
                </c:pt>
                <c:pt idx="20">
                  <c:v>6.4</c:v>
                </c:pt>
                <c:pt idx="21">
                  <c:v>3.6</c:v>
                </c:pt>
                <c:pt idx="22">
                  <c:v>1.9</c:v>
                </c:pt>
                <c:pt idx="2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B-4C2B-9DB6-0B1E9F6FD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11.4</c:v>
                </c:pt>
                <c:pt idx="1">
                  <c:v>12</c:v>
                </c:pt>
                <c:pt idx="2">
                  <c:v>13.4</c:v>
                </c:pt>
                <c:pt idx="3">
                  <c:v>15.4</c:v>
                </c:pt>
                <c:pt idx="4">
                  <c:v>14.7</c:v>
                </c:pt>
                <c:pt idx="5">
                  <c:v>15.5</c:v>
                </c:pt>
                <c:pt idx="6">
                  <c:v>16.600000000000001</c:v>
                </c:pt>
                <c:pt idx="7">
                  <c:v>20.3</c:v>
                </c:pt>
                <c:pt idx="8">
                  <c:v>22.3</c:v>
                </c:pt>
                <c:pt idx="9">
                  <c:v>24.6</c:v>
                </c:pt>
                <c:pt idx="10">
                  <c:v>25.8</c:v>
                </c:pt>
                <c:pt idx="11">
                  <c:v>22.700000000000003</c:v>
                </c:pt>
                <c:pt idx="12">
                  <c:v>20</c:v>
                </c:pt>
                <c:pt idx="13">
                  <c:v>18.899999999999999</c:v>
                </c:pt>
                <c:pt idx="14">
                  <c:v>18.399999999999999</c:v>
                </c:pt>
                <c:pt idx="15">
                  <c:v>15.7</c:v>
                </c:pt>
                <c:pt idx="16">
                  <c:v>14</c:v>
                </c:pt>
                <c:pt idx="17">
                  <c:v>13.599999999999994</c:v>
                </c:pt>
                <c:pt idx="18">
                  <c:v>11.6</c:v>
                </c:pt>
                <c:pt idx="19">
                  <c:v>5.9</c:v>
                </c:pt>
                <c:pt idx="20">
                  <c:v>2.4</c:v>
                </c:pt>
                <c:pt idx="21">
                  <c:v>-1.4</c:v>
                </c:pt>
                <c:pt idx="22">
                  <c:v>-3.6</c:v>
                </c:pt>
                <c:pt idx="23">
                  <c:v>-3.5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2C-4B99-AA2A-F83F3C4A5716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0.7</c:v>
                </c:pt>
                <c:pt idx="1">
                  <c:v>1.2</c:v>
                </c:pt>
                <c:pt idx="2">
                  <c:v>3.7</c:v>
                </c:pt>
                <c:pt idx="3">
                  <c:v>5.6</c:v>
                </c:pt>
                <c:pt idx="4">
                  <c:v>7.1</c:v>
                </c:pt>
                <c:pt idx="5">
                  <c:v>40.6</c:v>
                </c:pt>
                <c:pt idx="6">
                  <c:v>45.5</c:v>
                </c:pt>
                <c:pt idx="7">
                  <c:v>48.9</c:v>
                </c:pt>
                <c:pt idx="8">
                  <c:v>51.4</c:v>
                </c:pt>
                <c:pt idx="9">
                  <c:v>45.8</c:v>
                </c:pt>
                <c:pt idx="10">
                  <c:v>44.6</c:v>
                </c:pt>
                <c:pt idx="11">
                  <c:v>49.800000000000011</c:v>
                </c:pt>
                <c:pt idx="12">
                  <c:v>54.3</c:v>
                </c:pt>
                <c:pt idx="13">
                  <c:v>64</c:v>
                </c:pt>
                <c:pt idx="14">
                  <c:v>56.8</c:v>
                </c:pt>
                <c:pt idx="15">
                  <c:v>52.6</c:v>
                </c:pt>
                <c:pt idx="16">
                  <c:v>53.5</c:v>
                </c:pt>
                <c:pt idx="17">
                  <c:v>35.699999999999989</c:v>
                </c:pt>
                <c:pt idx="18">
                  <c:v>28.5</c:v>
                </c:pt>
                <c:pt idx="19">
                  <c:v>21.4</c:v>
                </c:pt>
                <c:pt idx="20">
                  <c:v>16.5</c:v>
                </c:pt>
                <c:pt idx="21">
                  <c:v>19.3</c:v>
                </c:pt>
                <c:pt idx="22">
                  <c:v>19.600000000000001</c:v>
                </c:pt>
                <c:pt idx="23">
                  <c:v>15.900000000000006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2C-4B99-AA2A-F83F3C4A5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3.6</c:v>
                </c:pt>
                <c:pt idx="1">
                  <c:v>4.3</c:v>
                </c:pt>
                <c:pt idx="2">
                  <c:v>12.7</c:v>
                </c:pt>
                <c:pt idx="3">
                  <c:v>14</c:v>
                </c:pt>
                <c:pt idx="4">
                  <c:v>14.6</c:v>
                </c:pt>
                <c:pt idx="5">
                  <c:v>24.2</c:v>
                </c:pt>
                <c:pt idx="6">
                  <c:v>25.1</c:v>
                </c:pt>
                <c:pt idx="7">
                  <c:v>26.3</c:v>
                </c:pt>
                <c:pt idx="8">
                  <c:v>28.3</c:v>
                </c:pt>
                <c:pt idx="9">
                  <c:v>34</c:v>
                </c:pt>
                <c:pt idx="10">
                  <c:v>33.299999999999997</c:v>
                </c:pt>
                <c:pt idx="11">
                  <c:v>30.400000000000006</c:v>
                </c:pt>
                <c:pt idx="12">
                  <c:v>28.8</c:v>
                </c:pt>
                <c:pt idx="13">
                  <c:v>31.3</c:v>
                </c:pt>
                <c:pt idx="14">
                  <c:v>24.5</c:v>
                </c:pt>
                <c:pt idx="15">
                  <c:v>23.5</c:v>
                </c:pt>
                <c:pt idx="16">
                  <c:v>21.900000000000006</c:v>
                </c:pt>
                <c:pt idx="17">
                  <c:v>54</c:v>
                </c:pt>
                <c:pt idx="18">
                  <c:v>53.3</c:v>
                </c:pt>
                <c:pt idx="19">
                  <c:v>54.6</c:v>
                </c:pt>
                <c:pt idx="20">
                  <c:v>51.4</c:v>
                </c:pt>
                <c:pt idx="21">
                  <c:v>45.6</c:v>
                </c:pt>
                <c:pt idx="22">
                  <c:v>45.9</c:v>
                </c:pt>
                <c:pt idx="23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2C-4B99-AA2A-F83F3C4A5716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VIII.21</c:v>
                </c:pt>
                <c:pt idx="1">
                  <c:v>IX.21</c:v>
                </c:pt>
                <c:pt idx="2">
                  <c:v>X.21</c:v>
                </c:pt>
                <c:pt idx="3">
                  <c:v>XI.21</c:v>
                </c:pt>
                <c:pt idx="4">
                  <c:v>XII.21</c:v>
                </c:pt>
                <c:pt idx="5">
                  <c:v>I.22</c:v>
                </c:pt>
                <c:pt idx="6">
                  <c:v>II.22</c:v>
                </c:pt>
                <c:pt idx="7">
                  <c:v>III.22</c:v>
                </c:pt>
                <c:pt idx="8">
                  <c:v>IV.22</c:v>
                </c:pt>
                <c:pt idx="9">
                  <c:v>V.22</c:v>
                </c:pt>
                <c:pt idx="10">
                  <c:v>VI.22</c:v>
                </c:pt>
                <c:pt idx="11">
                  <c:v>VII.22</c:v>
                </c:pt>
                <c:pt idx="12">
                  <c:v>VIII.22</c:v>
                </c:pt>
                <c:pt idx="13">
                  <c:v>IX.22</c:v>
                </c:pt>
                <c:pt idx="14">
                  <c:v>X.22</c:v>
                </c:pt>
                <c:pt idx="15">
                  <c:v>XI.22</c:v>
                </c:pt>
                <c:pt idx="16">
                  <c:v>XII.22</c:v>
                </c:pt>
                <c:pt idx="17">
                  <c:v>I.23</c:v>
                </c:pt>
                <c:pt idx="18">
                  <c:v>II.23</c:v>
                </c:pt>
                <c:pt idx="19">
                  <c:v>III.23</c:v>
                </c:pt>
                <c:pt idx="20">
                  <c:v>IV.23</c:v>
                </c:pt>
                <c:pt idx="21">
                  <c:v>V.23</c:v>
                </c:pt>
                <c:pt idx="22">
                  <c:v>VI.23</c:v>
                </c:pt>
                <c:pt idx="23">
                  <c:v>VII.23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5.9</c:v>
                </c:pt>
                <c:pt idx="1">
                  <c:v>5.9</c:v>
                </c:pt>
                <c:pt idx="2">
                  <c:v>5.9</c:v>
                </c:pt>
                <c:pt idx="3">
                  <c:v>5.9</c:v>
                </c:pt>
                <c:pt idx="4">
                  <c:v>5.9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5.3</c:v>
                </c:pt>
                <c:pt idx="9">
                  <c:v>5.3</c:v>
                </c:pt>
                <c:pt idx="10">
                  <c:v>5.3</c:v>
                </c:pt>
                <c:pt idx="11">
                  <c:v>5.2999999999999972</c:v>
                </c:pt>
                <c:pt idx="12">
                  <c:v>5.3</c:v>
                </c:pt>
                <c:pt idx="13">
                  <c:v>5.3</c:v>
                </c:pt>
                <c:pt idx="14">
                  <c:v>5.3</c:v>
                </c:pt>
                <c:pt idx="15">
                  <c:v>5.3</c:v>
                </c:pt>
                <c:pt idx="16">
                  <c:v>5.2999999999999972</c:v>
                </c:pt>
                <c:pt idx="17">
                  <c:v>16.299999999999997</c:v>
                </c:pt>
                <c:pt idx="18">
                  <c:v>16.3</c:v>
                </c:pt>
                <c:pt idx="19">
                  <c:v>16.3</c:v>
                </c:pt>
                <c:pt idx="20">
                  <c:v>16.3</c:v>
                </c:pt>
                <c:pt idx="21">
                  <c:v>16.3</c:v>
                </c:pt>
                <c:pt idx="22">
                  <c:v>16.3</c:v>
                </c:pt>
                <c:pt idx="23">
                  <c:v>16.299999999999997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2C-4B99-AA2A-F83F3C4A5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12AC-98C9-4A31-980E-2D6751BF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5</cp:revision>
  <cp:lastPrinted>2011-06-10T07:57:00Z</cp:lastPrinted>
  <dcterms:created xsi:type="dcterms:W3CDTF">2023-08-11T10:28:00Z</dcterms:created>
  <dcterms:modified xsi:type="dcterms:W3CDTF">2023-08-14T10:12:00Z</dcterms:modified>
</cp:coreProperties>
</file>