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6E4B" w14:textId="37274182" w:rsidR="000D4DC0" w:rsidRPr="00D970F7" w:rsidRDefault="000D4DC0" w:rsidP="000D4DC0">
      <w:pPr>
        <w:pStyle w:val="Nadpis11"/>
        <w:rPr>
          <w:lang w:val="en-GB"/>
        </w:rPr>
      </w:pPr>
      <w:bookmarkStart w:id="0" w:name="_Toc50712132"/>
      <w:bookmarkStart w:id="1" w:name="_Toc26865023"/>
      <w:bookmarkStart w:id="2" w:name="_GoBack"/>
      <w:bookmarkEnd w:id="2"/>
      <w:r w:rsidRPr="00D970F7">
        <w:rPr>
          <w:lang w:val="en-GB"/>
        </w:rPr>
        <w:t>8. St</w:t>
      </w:r>
      <w:r w:rsidR="00434459" w:rsidRPr="00D970F7">
        <w:rPr>
          <w:lang w:val="en-GB"/>
        </w:rPr>
        <w:t>ate Budget</w:t>
      </w:r>
      <w:bookmarkEnd w:id="0"/>
    </w:p>
    <w:tbl>
      <w:tblPr>
        <w:tblW w:w="9669" w:type="dxa"/>
        <w:tblInd w:w="-20" w:type="dxa"/>
        <w:tblCellMar>
          <w:left w:w="0" w:type="dxa"/>
          <w:right w:w="0" w:type="dxa"/>
        </w:tblCellMar>
        <w:tblLook w:val="00A0" w:firstRow="1" w:lastRow="0" w:firstColumn="1" w:lastColumn="0" w:noHBand="0" w:noVBand="0"/>
      </w:tblPr>
      <w:tblGrid>
        <w:gridCol w:w="9669"/>
        <w:gridCol w:w="6"/>
        <w:gridCol w:w="6"/>
      </w:tblGrid>
      <w:tr w:rsidR="00E42054" w:rsidRPr="00D970F7" w14:paraId="0219A5DA" w14:textId="77777777" w:rsidTr="00CF6F9C">
        <w:trPr>
          <w:trHeight w:val="145"/>
        </w:trPr>
        <w:tc>
          <w:tcPr>
            <w:tcW w:w="1732" w:type="dxa"/>
            <w:shd w:val="clear" w:color="auto" w:fill="auto"/>
            <w:tcMar>
              <w:left w:w="0" w:type="dxa"/>
            </w:tcMar>
          </w:tcPr>
          <w:tbl>
            <w:tblPr>
              <w:tblW w:w="9669" w:type="dxa"/>
              <w:tblCellMar>
                <w:left w:w="0" w:type="dxa"/>
                <w:right w:w="0" w:type="dxa"/>
              </w:tblCellMar>
              <w:tblLook w:val="00A0" w:firstRow="1" w:lastRow="0" w:firstColumn="1" w:lastColumn="0" w:noHBand="0" w:noVBand="0"/>
            </w:tblPr>
            <w:tblGrid>
              <w:gridCol w:w="1732"/>
              <w:gridCol w:w="217"/>
              <w:gridCol w:w="7720"/>
            </w:tblGrid>
            <w:tr w:rsidR="00C2211E" w:rsidRPr="00D970F7" w14:paraId="689FD9DD" w14:textId="77777777" w:rsidTr="00C2211E">
              <w:trPr>
                <w:trHeight w:val="145"/>
              </w:trPr>
              <w:tc>
                <w:tcPr>
                  <w:tcW w:w="1732" w:type="dxa"/>
                  <w:shd w:val="clear" w:color="auto" w:fill="auto"/>
                  <w:tcMar>
                    <w:left w:w="0" w:type="dxa"/>
                  </w:tcMar>
                </w:tcPr>
                <w:p w14:paraId="020B747B" w14:textId="77777777" w:rsidR="00C2211E" w:rsidRPr="00D970F7" w:rsidRDefault="00C2211E" w:rsidP="00C2211E">
                  <w:pPr>
                    <w:pStyle w:val="Marginlie"/>
                    <w:rPr>
                      <w:lang w:val="en-GB"/>
                    </w:rPr>
                  </w:pPr>
                  <w:r w:rsidRPr="00D970F7">
                    <w:rPr>
                      <w:lang w:val="en-GB"/>
                    </w:rPr>
                    <w:t>State budget slumped to the deepest deficit in the contemporary history in Q2.</w:t>
                  </w:r>
                </w:p>
              </w:tc>
              <w:tc>
                <w:tcPr>
                  <w:tcW w:w="217" w:type="dxa"/>
                  <w:shd w:val="clear" w:color="auto" w:fill="auto"/>
                  <w:tcMar>
                    <w:left w:w="0" w:type="dxa"/>
                  </w:tcMar>
                </w:tcPr>
                <w:p w14:paraId="0C803946"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E21FAD0" w14:textId="77777777" w:rsidR="00C2211E" w:rsidRPr="00D970F7" w:rsidRDefault="00C2211E" w:rsidP="00C2211E">
                  <w:pPr>
                    <w:spacing w:after="200"/>
                    <w:rPr>
                      <w:spacing w:val="-2"/>
                      <w:lang w:val="en-GB"/>
                    </w:rPr>
                  </w:pPr>
                  <w:r w:rsidRPr="00D970F7">
                    <w:rPr>
                      <w:spacing w:val="-2"/>
                      <w:lang w:val="en-GB"/>
                    </w:rPr>
                    <w:t>State budget (SR)</w:t>
                  </w:r>
                  <w:r w:rsidRPr="00D970F7">
                    <w:rPr>
                      <w:rStyle w:val="Znakapoznpodarou"/>
                      <w:spacing w:val="-2"/>
                      <w:lang w:val="en-GB"/>
                    </w:rPr>
                    <w:footnoteReference w:id="1"/>
                  </w:r>
                  <w:r w:rsidRPr="00D970F7">
                    <w:rPr>
                      <w:spacing w:val="-2"/>
                      <w:lang w:val="en-GB"/>
                    </w:rPr>
                    <w:t xml:space="preserve"> ended in considerable deficit of 195.2 CZK bn for H1 2020. Compared to the so far record half yearly value from year 2010, which already for the most part reflected the impacts of the deep economic recession, this year´s deficit was more than twice and a half higher. Even though the SB budget struggled with deficits in all months of this year up to now, the May deficit (64 bn) contributed the most to the half yearly result. Impacts of intensive counter pandemic measures were already considerably felt during Q2, both on the revenue and outlay side of the budget. It inevitably brought the need for fundamental revision of the originally approved yearly budget deficit</w:t>
                  </w:r>
                  <w:r w:rsidRPr="00D970F7">
                    <w:rPr>
                      <w:rStyle w:val="Znakapoznpodarou"/>
                      <w:spacing w:val="-2"/>
                      <w:lang w:val="en-GB"/>
                    </w:rPr>
                    <w:footnoteReference w:id="2"/>
                  </w:r>
                  <w:r w:rsidRPr="00D970F7">
                    <w:rPr>
                      <w:spacing w:val="-2"/>
                      <w:lang w:val="en-GB"/>
                    </w:rPr>
                    <w:t>.</w:t>
                  </w:r>
                </w:p>
              </w:tc>
            </w:tr>
            <w:tr w:rsidR="00C2211E" w:rsidRPr="00D970F7" w14:paraId="360B9820" w14:textId="77777777" w:rsidTr="00C2211E">
              <w:trPr>
                <w:trHeight w:val="145"/>
              </w:trPr>
              <w:tc>
                <w:tcPr>
                  <w:tcW w:w="1732" w:type="dxa"/>
                  <w:shd w:val="clear" w:color="auto" w:fill="auto"/>
                  <w:tcMar>
                    <w:left w:w="0" w:type="dxa"/>
                  </w:tcMar>
                </w:tcPr>
                <w:p w14:paraId="5775DBD9" w14:textId="77777777" w:rsidR="00C2211E" w:rsidRPr="00D970F7" w:rsidRDefault="00C2211E" w:rsidP="00C2211E">
                  <w:pPr>
                    <w:pStyle w:val="Marginlie"/>
                    <w:rPr>
                      <w:lang w:val="en-GB"/>
                    </w:rPr>
                  </w:pPr>
                  <w:r w:rsidRPr="00D970F7">
                    <w:rPr>
                      <w:lang w:val="en-GB"/>
                    </w:rPr>
                    <w:t>Downturn of economic activity together with measures to strengthen the liquidity of firms led to 12.6% decrease of state</w:t>
                  </w:r>
                  <w:r>
                    <w:rPr>
                      <w:lang w:val="en-GB"/>
                    </w:rPr>
                    <w:t>-</w:t>
                  </w:r>
                  <w:r w:rsidRPr="00D970F7">
                    <w:rPr>
                      <w:lang w:val="en-GB"/>
                    </w:rPr>
                    <w:t>wide tax collection.</w:t>
                  </w:r>
                </w:p>
              </w:tc>
              <w:tc>
                <w:tcPr>
                  <w:tcW w:w="217" w:type="dxa"/>
                  <w:shd w:val="clear" w:color="auto" w:fill="auto"/>
                  <w:tcMar>
                    <w:left w:w="0" w:type="dxa"/>
                  </w:tcMar>
                </w:tcPr>
                <w:p w14:paraId="5F7FECD8"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49AE1294" w14:textId="77777777" w:rsidR="00C2211E" w:rsidRPr="00D970F7" w:rsidRDefault="00C2211E" w:rsidP="00C2211E">
                  <w:pPr>
                    <w:spacing w:after="200"/>
                    <w:rPr>
                      <w:spacing w:val="-2"/>
                      <w:lang w:val="en-GB"/>
                    </w:rPr>
                  </w:pPr>
                  <w:r w:rsidRPr="00D970F7">
                    <w:rPr>
                      <w:spacing w:val="-2"/>
                      <w:lang w:val="en-GB"/>
                    </w:rPr>
                    <w:t>Total revenues of the SB fell by 5.9% year-on-year in H1, resp. by 44 CZK bn. Within H1, it presented the first decrease since year 2017, which was however influenced by the slump of the European subsidies, which occurred at the onset of new programme period at that time. The tax revenues of the SB itself lastly fell year-on-year in H1 2012. Depth of the downturn of economic activity also proves the decrease of state</w:t>
                  </w:r>
                  <w:r>
                    <w:rPr>
                      <w:spacing w:val="-2"/>
                      <w:lang w:val="en-GB"/>
                    </w:rPr>
                    <w:t>-</w:t>
                  </w:r>
                  <w:r w:rsidRPr="00D970F7">
                    <w:rPr>
                      <w:spacing w:val="-2"/>
                      <w:lang w:val="en-GB"/>
                    </w:rPr>
                    <w:t>wide tax collection (at the level of all public budgets) in the first this year’s half, which was 12.6%, resp. 65 CZK bn (without insurance on social security). While the collection fell „only“ by 10.2% in H1 2009. This year’s collection however included the significant effect of measures on the strengthening of liquidity of firms affected by the slump of sales</w:t>
                  </w:r>
                  <w:r w:rsidRPr="00D970F7">
                    <w:rPr>
                      <w:rStyle w:val="Znakapoznpodarou"/>
                      <w:spacing w:val="-2"/>
                      <w:lang w:val="en-GB"/>
                    </w:rPr>
                    <w:footnoteReference w:id="3"/>
                  </w:r>
                  <w:r w:rsidRPr="00D970F7">
                    <w:rPr>
                      <w:spacing w:val="-2"/>
                      <w:lang w:val="en-GB"/>
                    </w:rPr>
                    <w:t xml:space="preserve">. Decrease of the total revenues of the SB was dampened by the growing inflow of funds from the EU budget. </w:t>
                  </w:r>
                </w:p>
              </w:tc>
            </w:tr>
            <w:tr w:rsidR="00C2211E" w:rsidRPr="00D970F7" w14:paraId="30E4BC6B" w14:textId="77777777" w:rsidTr="00C2211E">
              <w:trPr>
                <w:trHeight w:val="145"/>
              </w:trPr>
              <w:tc>
                <w:tcPr>
                  <w:tcW w:w="1732" w:type="dxa"/>
                  <w:shd w:val="clear" w:color="auto" w:fill="auto"/>
                  <w:tcMar>
                    <w:left w:w="0" w:type="dxa"/>
                  </w:tcMar>
                </w:tcPr>
                <w:p w14:paraId="75D7CDBA" w14:textId="77777777" w:rsidR="00C2211E" w:rsidRPr="00D970F7" w:rsidRDefault="00C2211E" w:rsidP="00C2211E">
                  <w:pPr>
                    <w:pStyle w:val="Marginlie"/>
                    <w:rPr>
                      <w:lang w:val="en-GB"/>
                    </w:rPr>
                  </w:pPr>
                  <w:r w:rsidRPr="00D970F7">
                    <w:rPr>
                      <w:lang w:val="en-GB"/>
                    </w:rPr>
                    <w:t xml:space="preserve">Marked deprivation of collection of direct taxes affected negatively the most the total tax collection. </w:t>
                  </w:r>
                </w:p>
              </w:tc>
              <w:tc>
                <w:tcPr>
                  <w:tcW w:w="217" w:type="dxa"/>
                  <w:shd w:val="clear" w:color="auto" w:fill="auto"/>
                  <w:tcMar>
                    <w:left w:w="0" w:type="dxa"/>
                  </w:tcMar>
                </w:tcPr>
                <w:p w14:paraId="72FC4B0F"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53D86D44" w14:textId="77777777" w:rsidR="00C2211E" w:rsidRPr="00D970F7" w:rsidRDefault="00C2211E" w:rsidP="00C2211E">
                  <w:pPr>
                    <w:spacing w:after="200"/>
                    <w:rPr>
                      <w:spacing w:val="-3"/>
                      <w:lang w:val="en-GB"/>
                    </w:rPr>
                  </w:pPr>
                  <w:r w:rsidRPr="00D970F7">
                    <w:rPr>
                      <w:spacing w:val="-3"/>
                      <w:lang w:val="en-GB"/>
                    </w:rPr>
                    <w:t xml:space="preserve">Collection of the corporate tax, which was by one quarter lower year-on-year (it still registered weak growth by 1.6% in Q1), contributed the most to the decrease of half yearly tax SB revenues. Above mentioned tax measures played a major role. Collection of income taxes of natural persons slumped by 18.5% in H1. Its size was affected by the paid out compensation bonuses (especially self-employed – in the size of 21 CZK bn), lengthened deadline of filing the tax returns by tax payers, growth of number of persons drawing care benefits as well as decrease of volume of paid out wages in the economy due to the reduction of employment together with lowering of the growth pace of the average wage. </w:t>
                  </w:r>
                </w:p>
              </w:tc>
            </w:tr>
            <w:tr w:rsidR="00C2211E" w:rsidRPr="00D970F7" w14:paraId="60420EAF" w14:textId="77777777" w:rsidTr="00C2211E">
              <w:trPr>
                <w:trHeight w:val="145"/>
              </w:trPr>
              <w:tc>
                <w:tcPr>
                  <w:tcW w:w="1732" w:type="dxa"/>
                  <w:shd w:val="clear" w:color="auto" w:fill="auto"/>
                  <w:tcMar>
                    <w:left w:w="0" w:type="dxa"/>
                  </w:tcMar>
                </w:tcPr>
                <w:p w14:paraId="521D323B" w14:textId="77777777" w:rsidR="00C2211E" w:rsidRPr="00D970F7" w:rsidRDefault="00C2211E" w:rsidP="00C2211E">
                  <w:pPr>
                    <w:pStyle w:val="Marginlie"/>
                    <w:rPr>
                      <w:lang w:val="en-GB"/>
                    </w:rPr>
                  </w:pPr>
                  <w:r w:rsidRPr="00D970F7">
                    <w:rPr>
                      <w:lang w:val="en-GB"/>
                    </w:rPr>
                    <w:t xml:space="preserve">Lower VAT collection reflected the deeper March and April decrease of retail sales. Decrease of collection nearly halted in June. </w:t>
                  </w:r>
                </w:p>
              </w:tc>
              <w:tc>
                <w:tcPr>
                  <w:tcW w:w="217" w:type="dxa"/>
                  <w:shd w:val="clear" w:color="auto" w:fill="auto"/>
                  <w:tcMar>
                    <w:left w:w="0" w:type="dxa"/>
                  </w:tcMar>
                </w:tcPr>
                <w:p w14:paraId="451CE7B6"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00F208A3" w14:textId="77777777" w:rsidR="00C2211E" w:rsidRPr="00D970F7" w:rsidRDefault="00C2211E" w:rsidP="00C2211E">
                  <w:pPr>
                    <w:spacing w:after="200"/>
                    <w:rPr>
                      <w:spacing w:val="-2"/>
                      <w:lang w:val="en-GB"/>
                    </w:rPr>
                  </w:pPr>
                  <w:r w:rsidRPr="00D970F7">
                    <w:rPr>
                      <w:spacing w:val="-2"/>
                      <w:lang w:val="en-GB"/>
                    </w:rPr>
                    <w:t xml:space="preserve">From the weight dominant tax </w:t>
                  </w:r>
                  <w:r w:rsidRPr="00D970F7">
                    <w:rPr>
                      <w:spacing w:val="-6"/>
                      <w:lang w:val="en-GB"/>
                    </w:rPr>
                    <w:t xml:space="preserve">– VAT – flew into the SB by 6.1% (resp. by 8.2 CZK bn) less year-on-year in H1. This decrease reflected especially the downturn of retail sales in March and April, since the collection of taxes grew during the first two months of the year. The June VAT collection itself did not significantly lag behind the last year´s level anymore </w:t>
                  </w:r>
                  <w:r w:rsidRPr="00D970F7">
                    <w:rPr>
                      <w:spacing w:val="-2"/>
                      <w:lang w:val="en-GB"/>
                    </w:rPr>
                    <w:t>(</w:t>
                  </w:r>
                  <w:r w:rsidRPr="00D970F7">
                    <w:rPr>
                      <w:spacing w:val="-6"/>
                      <w:lang w:val="en-GB"/>
                    </w:rPr>
                    <w:t>–</w:t>
                  </w:r>
                  <w:r w:rsidRPr="00D970F7">
                    <w:rPr>
                      <w:spacing w:val="-2"/>
                      <w:lang w:val="en-GB"/>
                    </w:rPr>
                    <w:t>1.6%). Half yearly collection was also adversely affected by the deferral of part of payments (in the amount of 5.8 CZK bn), lowering of tax tariff for some items</w:t>
                  </w:r>
                  <w:r w:rsidRPr="00D970F7">
                    <w:rPr>
                      <w:rStyle w:val="Znakapoznpodarou"/>
                      <w:spacing w:val="-2"/>
                      <w:lang w:val="en-GB"/>
                    </w:rPr>
                    <w:footnoteReference w:id="4"/>
                  </w:r>
                  <w:r w:rsidRPr="00D970F7">
                    <w:rPr>
                      <w:spacing w:val="-2"/>
                      <w:lang w:val="en-GB"/>
                    </w:rPr>
                    <w:t xml:space="preserve"> also had an effect. Higher expenditures of the government sector had the opposite influence. </w:t>
                  </w:r>
                </w:p>
              </w:tc>
            </w:tr>
            <w:tr w:rsidR="00C2211E" w:rsidRPr="00D970F7" w14:paraId="6ABED467" w14:textId="77777777" w:rsidTr="00C2211E">
              <w:trPr>
                <w:trHeight w:val="145"/>
              </w:trPr>
              <w:tc>
                <w:tcPr>
                  <w:tcW w:w="1732" w:type="dxa"/>
                  <w:shd w:val="clear" w:color="auto" w:fill="auto"/>
                  <w:tcMar>
                    <w:left w:w="0" w:type="dxa"/>
                  </w:tcMar>
                </w:tcPr>
                <w:p w14:paraId="613A35A0" w14:textId="77777777" w:rsidR="00C2211E" w:rsidRPr="00D970F7" w:rsidRDefault="00C2211E" w:rsidP="00C2211E">
                  <w:pPr>
                    <w:pStyle w:val="Marginlie"/>
                    <w:rPr>
                      <w:lang w:val="en-GB"/>
                    </w:rPr>
                  </w:pPr>
                  <w:r w:rsidRPr="00D970F7">
                    <w:rPr>
                      <w:lang w:val="en-GB"/>
                    </w:rPr>
                    <w:t xml:space="preserve">Lower transport performance manifested in 10% decline of collection of tax on mineral oils. Limitations of relations with non-residents also affected the weaker collection of </w:t>
                  </w:r>
                  <w:r w:rsidRPr="00D970F7">
                    <w:rPr>
                      <w:lang w:val="en-GB"/>
                    </w:rPr>
                    <w:lastRenderedPageBreak/>
                    <w:t xml:space="preserve">tax on beer or tobacco products. </w:t>
                  </w:r>
                </w:p>
              </w:tc>
              <w:tc>
                <w:tcPr>
                  <w:tcW w:w="217" w:type="dxa"/>
                  <w:shd w:val="clear" w:color="auto" w:fill="auto"/>
                  <w:tcMar>
                    <w:left w:w="0" w:type="dxa"/>
                  </w:tcMar>
                </w:tcPr>
                <w:p w14:paraId="11282F91"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4DB58B7E" w14:textId="77777777" w:rsidR="00C2211E" w:rsidRPr="00D970F7" w:rsidRDefault="00C2211E" w:rsidP="00C2211E">
                  <w:pPr>
                    <w:spacing w:after="0"/>
                    <w:rPr>
                      <w:spacing w:val="-4"/>
                      <w:lang w:val="en-GB"/>
                    </w:rPr>
                  </w:pPr>
                  <w:r w:rsidRPr="00D970F7">
                    <w:rPr>
                      <w:spacing w:val="-4"/>
                      <w:lang w:val="en-GB"/>
                    </w:rPr>
                    <w:t>Total collection of the SB from consumer taxes weakened to 6.5% year-on-year in H1 (resp. nearly 5 CZK bn). Especially the fallout of collection of tax on mineral oils (by 10%) due to the considerable reduction of transport performance (including transit transport) had an effect. More detailed data of the CZSO regarding the consumption of oil products suggest, that the largest downturn occurred during April</w:t>
                  </w:r>
                  <w:r w:rsidRPr="00D970F7">
                    <w:rPr>
                      <w:rStyle w:val="Znakapoznpodarou"/>
                      <w:spacing w:val="-4"/>
                      <w:lang w:val="en-GB"/>
                    </w:rPr>
                    <w:footnoteReference w:id="5"/>
                  </w:r>
                  <w:r w:rsidRPr="00D970F7">
                    <w:rPr>
                      <w:spacing w:val="-4"/>
                      <w:lang w:val="en-GB"/>
                    </w:rPr>
                    <w:t xml:space="preserve">. The counter pandemic measures also afflicted the weaker collection of other consumer taxes, for example for beer (by 8%), where </w:t>
                  </w:r>
                  <w:r w:rsidRPr="00D970F7">
                    <w:rPr>
                      <w:spacing w:val="-4"/>
                      <w:lang w:val="en-GB"/>
                    </w:rPr>
                    <w:lastRenderedPageBreak/>
                    <w:t>higher consumption of bottled beer was not adequate to offset lower slump of draught beer or tobacco products, where the collection despite increased tax tariff fell 3% (among other things due to temporary slump of across the border purchases from Germany and Austria). Collection of tax on alcohol, where the effect of tariff growth was hampered by lower consumption, also did not fulfil the budget anticipations, also as a consequence of the dramatic slump of the arrival tourism in the whole Q2.</w:t>
                  </w:r>
                </w:p>
                <w:p w14:paraId="48B534FE" w14:textId="77777777" w:rsidR="00C2211E" w:rsidRPr="00D970F7" w:rsidRDefault="00C2211E" w:rsidP="00C2211E">
                  <w:pPr>
                    <w:spacing w:after="0"/>
                    <w:rPr>
                      <w:spacing w:val="-4"/>
                      <w:lang w:val="en-GB"/>
                    </w:rPr>
                  </w:pPr>
                </w:p>
              </w:tc>
            </w:tr>
            <w:tr w:rsidR="00C2211E" w:rsidRPr="00D970F7" w14:paraId="41EEEA5F" w14:textId="77777777" w:rsidTr="00C2211E">
              <w:trPr>
                <w:trHeight w:val="170"/>
              </w:trPr>
              <w:tc>
                <w:tcPr>
                  <w:tcW w:w="1732" w:type="dxa"/>
                  <w:vMerge w:val="restart"/>
                  <w:shd w:val="clear" w:color="auto" w:fill="auto"/>
                  <w:tcMar>
                    <w:left w:w="0" w:type="dxa"/>
                  </w:tcMar>
                </w:tcPr>
                <w:p w14:paraId="35E77558" w14:textId="77777777" w:rsidR="00C2211E" w:rsidRPr="00D970F7" w:rsidRDefault="00C2211E" w:rsidP="00C2211E">
                  <w:pPr>
                    <w:pStyle w:val="Marginlie"/>
                    <w:rPr>
                      <w:lang w:val="en-GB"/>
                    </w:rPr>
                  </w:pPr>
                </w:p>
              </w:tc>
              <w:tc>
                <w:tcPr>
                  <w:tcW w:w="217" w:type="dxa"/>
                  <w:vMerge w:val="restart"/>
                  <w:shd w:val="clear" w:color="auto" w:fill="auto"/>
                  <w:tcMar>
                    <w:left w:w="0" w:type="dxa"/>
                  </w:tcMar>
                </w:tcPr>
                <w:p w14:paraId="0B8D8976"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4FDF3B33" w14:textId="77777777" w:rsidR="00C2211E" w:rsidRPr="00D970F7" w:rsidRDefault="00C2211E" w:rsidP="00C2211E">
                  <w:pPr>
                    <w:spacing w:after="0" w:line="240" w:lineRule="auto"/>
                    <w:rPr>
                      <w:rFonts w:cs="Arial"/>
                      <w:bCs/>
                      <w:lang w:val="en-GB"/>
                    </w:rPr>
                  </w:pPr>
                  <w:r w:rsidRPr="00D970F7">
                    <w:rPr>
                      <w:rFonts w:cs="Arial"/>
                      <w:b/>
                      <w:bCs/>
                      <w:color w:val="000000"/>
                      <w:szCs w:val="20"/>
                      <w:lang w:val="en-GB"/>
                    </w:rPr>
                    <w:t>Chart 16</w:t>
                  </w:r>
                  <w:r w:rsidRPr="00D970F7">
                    <w:rPr>
                      <w:rFonts w:cs="Arial"/>
                      <w:b/>
                      <w:bCs/>
                      <w:color w:val="000000"/>
                      <w:sz w:val="18"/>
                      <w:szCs w:val="18"/>
                      <w:lang w:val="en-GB"/>
                    </w:rPr>
                    <w:t xml:space="preserve">  </w:t>
                  </w:r>
                  <w:r w:rsidRPr="00D970F7">
                    <w:rPr>
                      <w:rFonts w:cs="Arial"/>
                      <w:b/>
                      <w:bCs/>
                      <w:spacing w:val="-2"/>
                      <w:lang w:val="en-GB"/>
                    </w:rPr>
                    <w:t>State wide collection of selected tax incomes</w:t>
                  </w:r>
                  <w:r w:rsidRPr="00D970F7">
                    <w:rPr>
                      <w:rFonts w:cs="Arial"/>
                      <w:b/>
                      <w:bCs/>
                      <w:color w:val="000000"/>
                      <w:spacing w:val="-2"/>
                      <w:sz w:val="18"/>
                      <w:lang w:val="en-GB"/>
                    </w:rPr>
                    <w:t xml:space="preserve"> </w:t>
                  </w:r>
                  <w:r w:rsidRPr="00D970F7">
                    <w:rPr>
                      <w:rFonts w:cs="Arial"/>
                      <w:bCs/>
                      <w:spacing w:val="-2"/>
                      <w:lang w:val="en-GB"/>
                    </w:rPr>
                    <w:t xml:space="preserve">(year-on-year in </w:t>
                  </w:r>
                  <w:r w:rsidRPr="00D970F7">
                    <w:rPr>
                      <w:bCs/>
                      <w:spacing w:val="-2"/>
                      <w:lang w:val="en-GB"/>
                    </w:rPr>
                    <w:t>%)</w:t>
                  </w:r>
                  <w:r w:rsidRPr="00D970F7">
                    <w:rPr>
                      <w:bCs/>
                      <w:spacing w:val="-2"/>
                      <w:lang w:val="en-GB"/>
                    </w:rPr>
                    <w:br/>
                  </w:r>
                  <w:r w:rsidRPr="00D970F7">
                    <w:rPr>
                      <w:rFonts w:cs="Arial"/>
                      <w:b/>
                      <w:bCs/>
                      <w:spacing w:val="-2"/>
                      <w:lang w:val="en-GB"/>
                    </w:rPr>
                    <w:t xml:space="preserve">and state budget balance </w:t>
                  </w:r>
                  <w:r w:rsidRPr="00D970F7">
                    <w:rPr>
                      <w:rFonts w:cs="Arial"/>
                      <w:bCs/>
                      <w:spacing w:val="-6"/>
                      <w:lang w:val="en-GB"/>
                    </w:rPr>
                    <w:t xml:space="preserve">(in CZK bn, right axis) </w:t>
                  </w:r>
                  <w:r w:rsidRPr="00D970F7">
                    <w:rPr>
                      <w:rFonts w:cs="Arial"/>
                      <w:b/>
                      <w:bCs/>
                      <w:lang w:val="en-GB"/>
                    </w:rPr>
                    <w:t>in accumulation for H1</w:t>
                  </w:r>
                </w:p>
              </w:tc>
            </w:tr>
            <w:tr w:rsidR="00C2211E" w:rsidRPr="00D970F7" w14:paraId="378343AE" w14:textId="77777777" w:rsidTr="00C2211E">
              <w:tblPrEx>
                <w:tblCellMar>
                  <w:left w:w="70" w:type="dxa"/>
                  <w:right w:w="70" w:type="dxa"/>
                </w:tblCellMar>
              </w:tblPrEx>
              <w:trPr>
                <w:trHeight w:val="170"/>
              </w:trPr>
              <w:tc>
                <w:tcPr>
                  <w:tcW w:w="1732" w:type="dxa"/>
                  <w:vMerge/>
                  <w:shd w:val="clear" w:color="auto" w:fill="auto"/>
                </w:tcPr>
                <w:p w14:paraId="05A205FF" w14:textId="77777777" w:rsidR="00C2211E" w:rsidRPr="00D970F7" w:rsidRDefault="00C2211E" w:rsidP="00C2211E">
                  <w:pPr>
                    <w:pStyle w:val="Marginlie"/>
                    <w:rPr>
                      <w:lang w:val="en-GB"/>
                    </w:rPr>
                  </w:pPr>
                </w:p>
              </w:tc>
              <w:tc>
                <w:tcPr>
                  <w:tcW w:w="217" w:type="dxa"/>
                  <w:vMerge/>
                  <w:shd w:val="clear" w:color="auto" w:fill="auto"/>
                </w:tcPr>
                <w:p w14:paraId="33CCC60E" w14:textId="77777777" w:rsidR="00C2211E" w:rsidRPr="00D970F7" w:rsidRDefault="00C2211E" w:rsidP="00C2211E">
                  <w:pPr>
                    <w:pStyle w:val="Textpoznpodarou"/>
                    <w:jc w:val="both"/>
                    <w:rPr>
                      <w:spacing w:val="-4"/>
                      <w:lang w:val="en-GB"/>
                    </w:rPr>
                  </w:pPr>
                </w:p>
              </w:tc>
              <w:tc>
                <w:tcPr>
                  <w:tcW w:w="7720" w:type="dxa"/>
                  <w:shd w:val="clear" w:color="auto" w:fill="auto"/>
                </w:tcPr>
                <w:p w14:paraId="51D6C653" w14:textId="77777777" w:rsidR="00C2211E" w:rsidRPr="00D970F7" w:rsidRDefault="00C2211E" w:rsidP="00C2211E">
                  <w:pPr>
                    <w:spacing w:after="0"/>
                    <w:rPr>
                      <w:spacing w:val="-6"/>
                      <w:lang w:val="en-GB"/>
                    </w:rPr>
                  </w:pPr>
                  <w:r w:rsidRPr="00D970F7">
                    <w:rPr>
                      <w:noProof/>
                      <w:lang w:val="en-GB"/>
                    </w:rPr>
                    <w:t xml:space="preserve"> </w:t>
                  </w:r>
                  <w:r>
                    <w:rPr>
                      <w:noProof/>
                    </w:rPr>
                    <w:drawing>
                      <wp:inline distT="0" distB="0" distL="0" distR="0" wp14:anchorId="27205574" wp14:editId="1E7B051E">
                        <wp:extent cx="4762250" cy="3648098"/>
                        <wp:effectExtent l="0" t="0" r="635"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2211E" w:rsidRPr="00D970F7" w14:paraId="49EA188F" w14:textId="77777777" w:rsidTr="00C2211E">
              <w:trPr>
                <w:trHeight w:val="170"/>
              </w:trPr>
              <w:tc>
                <w:tcPr>
                  <w:tcW w:w="1732" w:type="dxa"/>
                  <w:vMerge/>
                  <w:shd w:val="clear" w:color="auto" w:fill="auto"/>
                  <w:tcMar>
                    <w:left w:w="0" w:type="dxa"/>
                  </w:tcMar>
                </w:tcPr>
                <w:p w14:paraId="41C848C5" w14:textId="77777777" w:rsidR="00C2211E" w:rsidRPr="00D970F7" w:rsidRDefault="00C2211E" w:rsidP="00C2211E">
                  <w:pPr>
                    <w:pStyle w:val="Marginlie"/>
                    <w:rPr>
                      <w:lang w:val="en-GB"/>
                    </w:rPr>
                  </w:pPr>
                </w:p>
              </w:tc>
              <w:tc>
                <w:tcPr>
                  <w:tcW w:w="217" w:type="dxa"/>
                  <w:vMerge/>
                  <w:shd w:val="clear" w:color="auto" w:fill="auto"/>
                  <w:tcMar>
                    <w:left w:w="0" w:type="dxa"/>
                  </w:tcMar>
                </w:tcPr>
                <w:p w14:paraId="3B9C903F"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0056A332" w14:textId="77777777" w:rsidR="00C2211E" w:rsidRDefault="00C2211E" w:rsidP="00C2211E">
                  <w:pPr>
                    <w:spacing w:after="0" w:line="240" w:lineRule="auto"/>
                    <w:jc w:val="left"/>
                    <w:rPr>
                      <w:spacing w:val="-6"/>
                      <w:sz w:val="14"/>
                      <w:szCs w:val="14"/>
                      <w:lang w:val="en-GB"/>
                    </w:rPr>
                  </w:pPr>
                  <w:r w:rsidRPr="00D970F7">
                    <w:rPr>
                      <w:spacing w:val="-6"/>
                      <w:sz w:val="14"/>
                      <w:szCs w:val="14"/>
                      <w:lang w:val="en-GB"/>
                    </w:rPr>
                    <w:t>*Balance adjusted for resources on programmes from the EU budget (incl. financial mechanisms), which were pre-financed from the SB and are subsequently reimbursed from the EU and FM budgets. Data available since year 2013.</w:t>
                  </w:r>
                </w:p>
                <w:p w14:paraId="16BF74A2" w14:textId="77777777" w:rsidR="00C2211E" w:rsidRPr="00D970F7" w:rsidRDefault="00C2211E" w:rsidP="00C2211E">
                  <w:pPr>
                    <w:spacing w:after="200" w:line="240" w:lineRule="auto"/>
                    <w:jc w:val="left"/>
                    <w:rPr>
                      <w:spacing w:val="-6"/>
                      <w:sz w:val="14"/>
                      <w:szCs w:val="14"/>
                      <w:lang w:val="en-GB"/>
                    </w:rPr>
                  </w:pPr>
                  <w:r w:rsidRPr="00D970F7">
                    <w:rPr>
                      <w:spacing w:val="-6"/>
                      <w:sz w:val="14"/>
                      <w:szCs w:val="14"/>
                      <w:lang w:val="en-GB"/>
                    </w:rPr>
                    <w:t>Source: MF CR</w:t>
                  </w:r>
                </w:p>
              </w:tc>
            </w:tr>
            <w:tr w:rsidR="00C2211E" w:rsidRPr="00D970F7" w14:paraId="37E22E75" w14:textId="77777777" w:rsidTr="00C2211E">
              <w:trPr>
                <w:trHeight w:val="145"/>
              </w:trPr>
              <w:tc>
                <w:tcPr>
                  <w:tcW w:w="1732" w:type="dxa"/>
                  <w:shd w:val="clear" w:color="auto" w:fill="auto"/>
                  <w:tcMar>
                    <w:left w:w="0" w:type="dxa"/>
                  </w:tcMar>
                </w:tcPr>
                <w:p w14:paraId="34BD0684" w14:textId="77777777" w:rsidR="00C2211E" w:rsidRPr="00D970F7" w:rsidRDefault="00C2211E" w:rsidP="00C2211E">
                  <w:pPr>
                    <w:pStyle w:val="Marginlie"/>
                    <w:rPr>
                      <w:lang w:val="en-GB"/>
                    </w:rPr>
                  </w:pPr>
                  <w:r w:rsidRPr="00D970F7">
                    <w:rPr>
                      <w:lang w:val="en-GB"/>
                    </w:rPr>
                    <w:t xml:space="preserve">Rate of growth of total SB outlays accelerated. It was driven by higher current outlays as well as investment. </w:t>
                  </w:r>
                </w:p>
                <w:p w14:paraId="52AFB677" w14:textId="77777777" w:rsidR="00C2211E" w:rsidRPr="00D970F7" w:rsidRDefault="00C2211E" w:rsidP="00C2211E">
                  <w:pPr>
                    <w:pStyle w:val="Marginlie"/>
                    <w:rPr>
                      <w:lang w:val="en-GB"/>
                    </w:rPr>
                  </w:pPr>
                </w:p>
                <w:p w14:paraId="39F7DC21" w14:textId="77777777" w:rsidR="00C2211E" w:rsidRPr="00D970F7" w:rsidRDefault="00C2211E" w:rsidP="00C2211E">
                  <w:pPr>
                    <w:pStyle w:val="Marginlie"/>
                    <w:rPr>
                      <w:lang w:val="en-GB"/>
                    </w:rPr>
                  </w:pPr>
                </w:p>
                <w:p w14:paraId="74C4C337" w14:textId="77777777" w:rsidR="00C2211E" w:rsidRPr="00D970F7" w:rsidRDefault="00C2211E" w:rsidP="00C2211E">
                  <w:pPr>
                    <w:pStyle w:val="Marginlie"/>
                    <w:rPr>
                      <w:lang w:val="en-GB"/>
                    </w:rPr>
                  </w:pPr>
                </w:p>
                <w:p w14:paraId="3B81FE08" w14:textId="77777777" w:rsidR="00C2211E" w:rsidRPr="00D970F7" w:rsidRDefault="00C2211E" w:rsidP="00C2211E">
                  <w:pPr>
                    <w:pStyle w:val="Marginlie"/>
                    <w:rPr>
                      <w:spacing w:val="-4"/>
                      <w:lang w:val="en-GB"/>
                    </w:rPr>
                  </w:pPr>
                  <w:r w:rsidRPr="00D970F7">
                    <w:rPr>
                      <w:spacing w:val="-4"/>
                      <w:lang w:val="en-GB"/>
                    </w:rPr>
                    <w:t>More than one third of current outlays growth was linked to the counter pandemic measures,…</w:t>
                  </w:r>
                </w:p>
                <w:p w14:paraId="04FB45DD" w14:textId="77777777" w:rsidR="00C2211E" w:rsidRPr="00D970F7" w:rsidRDefault="00C2211E" w:rsidP="00C2211E">
                  <w:pPr>
                    <w:pStyle w:val="Marginlie"/>
                    <w:rPr>
                      <w:lang w:val="en-GB"/>
                    </w:rPr>
                  </w:pPr>
                </w:p>
              </w:tc>
              <w:tc>
                <w:tcPr>
                  <w:tcW w:w="217" w:type="dxa"/>
                  <w:shd w:val="clear" w:color="auto" w:fill="auto"/>
                  <w:tcMar>
                    <w:left w:w="0" w:type="dxa"/>
                  </w:tcMar>
                </w:tcPr>
                <w:p w14:paraId="36B3D14E"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B7162A5" w14:textId="77777777" w:rsidR="00C2211E" w:rsidRPr="00D970F7" w:rsidRDefault="00C2211E" w:rsidP="00C2211E">
                  <w:pPr>
                    <w:spacing w:after="220"/>
                    <w:rPr>
                      <w:spacing w:val="-4"/>
                      <w:lang w:val="en-GB"/>
                    </w:rPr>
                  </w:pPr>
                  <w:r w:rsidRPr="00D970F7">
                    <w:rPr>
                      <w:spacing w:val="-4"/>
                      <w:lang w:val="en-GB"/>
                    </w:rPr>
                    <w:t>Total SB outlays increased by 17.0% year-on-year in H1, resp. by 130 CZK bn (by +13.0% for Q1). Even though the double-digit growth was recorded also during years 2018 and 2019, this year´s half yearly pace belongs to the highest in the history of independent CR</w:t>
                  </w:r>
                  <w:r w:rsidRPr="00D970F7">
                    <w:rPr>
                      <w:rStyle w:val="Znakapoznpodarou"/>
                      <w:spacing w:val="-4"/>
                      <w:lang w:val="en-GB"/>
                    </w:rPr>
                    <w:footnoteReference w:id="6"/>
                  </w:r>
                  <w:r w:rsidRPr="00D970F7">
                    <w:rPr>
                      <w:spacing w:val="-4"/>
                      <w:lang w:val="en-GB"/>
                    </w:rPr>
                    <w:t>. The achieved rate of growth was more than quadruple compared to the originally approved budget (from the end of year 2019). Mainly current outlays contributed to the growth (+15.5%, +112 bn), more than one third of their addition was attributed to direct SB outlays connected to counter pandemic measures</w:t>
                  </w:r>
                  <w:r w:rsidRPr="00D970F7">
                    <w:rPr>
                      <w:rStyle w:val="Znakapoznpodarou"/>
                      <w:spacing w:val="-4"/>
                      <w:lang w:val="en-GB"/>
                    </w:rPr>
                    <w:footnoteReference w:id="7"/>
                  </w:r>
                  <w:r w:rsidRPr="00D970F7">
                    <w:rPr>
                      <w:spacing w:val="-4"/>
                      <w:lang w:val="en-GB"/>
                    </w:rPr>
                    <w:t>. It was evident the most in the acceleration of non-investment transfers to business entities (+83%, from more than one half driven by the compensation of part of wages to employees within the Antivirus programme), non-investment purchases and associated outlays (+27%, nearly exclusively due to the purchases of protective aids and materials) or current transfers to state funded organizations (+23%, in two thirds due to the partial debt relief to hospitals and strengthening of transfers in the area of cultural activities).</w:t>
                  </w:r>
                </w:p>
              </w:tc>
            </w:tr>
            <w:tr w:rsidR="00C2211E" w:rsidRPr="00D970F7" w14:paraId="595D7E7F" w14:textId="77777777" w:rsidTr="00C2211E">
              <w:trPr>
                <w:trHeight w:val="145"/>
              </w:trPr>
              <w:tc>
                <w:tcPr>
                  <w:tcW w:w="1732" w:type="dxa"/>
                  <w:shd w:val="clear" w:color="auto" w:fill="auto"/>
                  <w:tcMar>
                    <w:left w:w="0" w:type="dxa"/>
                  </w:tcMar>
                </w:tcPr>
                <w:p w14:paraId="7B1D0229" w14:textId="77777777" w:rsidR="00C2211E" w:rsidRPr="00D970F7" w:rsidRDefault="00C2211E" w:rsidP="00C2211E">
                  <w:pPr>
                    <w:pStyle w:val="Marginlie"/>
                    <w:rPr>
                      <w:lang w:val="en-GB"/>
                    </w:rPr>
                  </w:pPr>
                  <w:r w:rsidRPr="00D970F7">
                    <w:rPr>
                      <w:lang w:val="en-GB"/>
                    </w:rPr>
                    <w:t xml:space="preserve">… higher drawing of social benefits, especially non pension </w:t>
                  </w:r>
                  <w:r w:rsidRPr="00D970F7">
                    <w:rPr>
                      <w:lang w:val="en-GB"/>
                    </w:rPr>
                    <w:lastRenderedPageBreak/>
                    <w:t xml:space="preserve">however also contributed similarly. </w:t>
                  </w:r>
                </w:p>
                <w:p w14:paraId="22E8DFEC" w14:textId="77777777" w:rsidR="00C2211E" w:rsidRPr="00D970F7" w:rsidRDefault="00C2211E" w:rsidP="00C2211E">
                  <w:pPr>
                    <w:pStyle w:val="Marginlie"/>
                    <w:rPr>
                      <w:lang w:val="en-GB"/>
                    </w:rPr>
                  </w:pPr>
                </w:p>
                <w:p w14:paraId="5AE3327B" w14:textId="77777777" w:rsidR="00C2211E" w:rsidRPr="00D970F7" w:rsidRDefault="00C2211E" w:rsidP="00C2211E">
                  <w:pPr>
                    <w:pStyle w:val="Marginlie"/>
                    <w:rPr>
                      <w:lang w:val="en-GB"/>
                    </w:rPr>
                  </w:pPr>
                </w:p>
                <w:p w14:paraId="5914790A" w14:textId="77777777" w:rsidR="00C2211E" w:rsidRPr="00D970F7" w:rsidRDefault="00C2211E" w:rsidP="00C2211E">
                  <w:pPr>
                    <w:pStyle w:val="Marginlie"/>
                    <w:rPr>
                      <w:lang w:val="en-GB"/>
                    </w:rPr>
                  </w:pPr>
                </w:p>
                <w:p w14:paraId="0174651B" w14:textId="77777777" w:rsidR="00C2211E" w:rsidRPr="00D970F7" w:rsidRDefault="00C2211E" w:rsidP="00C2211E">
                  <w:pPr>
                    <w:pStyle w:val="Marginlie"/>
                    <w:rPr>
                      <w:lang w:val="en-GB"/>
                    </w:rPr>
                  </w:pPr>
                  <w:r w:rsidRPr="00D970F7">
                    <w:rPr>
                      <w:lang w:val="en-GB"/>
                    </w:rPr>
                    <w:t xml:space="preserve">Swift growth of outlays on wages in both education and social care continued. </w:t>
                  </w:r>
                </w:p>
                <w:p w14:paraId="69576292" w14:textId="77777777" w:rsidR="00C2211E" w:rsidRPr="00D970F7" w:rsidRDefault="00C2211E" w:rsidP="00C2211E">
                  <w:pPr>
                    <w:pStyle w:val="Marginlie"/>
                    <w:rPr>
                      <w:lang w:val="en-GB"/>
                    </w:rPr>
                  </w:pPr>
                </w:p>
                <w:p w14:paraId="586D69DC" w14:textId="77777777" w:rsidR="00C2211E" w:rsidRPr="00D970F7" w:rsidRDefault="00C2211E" w:rsidP="00C2211E">
                  <w:pPr>
                    <w:pStyle w:val="Marginlie"/>
                    <w:rPr>
                      <w:lang w:val="en-GB"/>
                    </w:rPr>
                  </w:pPr>
                </w:p>
                <w:p w14:paraId="7882F4A9" w14:textId="77777777" w:rsidR="00C2211E" w:rsidRPr="00D970F7" w:rsidRDefault="00C2211E" w:rsidP="00C2211E">
                  <w:pPr>
                    <w:pStyle w:val="Marginlie"/>
                    <w:rPr>
                      <w:lang w:val="en-GB"/>
                    </w:rPr>
                  </w:pPr>
                </w:p>
                <w:p w14:paraId="52F0EC22" w14:textId="77777777" w:rsidR="00C2211E" w:rsidRPr="00D970F7" w:rsidRDefault="00C2211E" w:rsidP="00C2211E">
                  <w:pPr>
                    <w:pStyle w:val="Marginlie"/>
                    <w:rPr>
                      <w:lang w:val="en-GB"/>
                    </w:rPr>
                  </w:pPr>
                  <w:r w:rsidRPr="00D970F7">
                    <w:rPr>
                      <w:lang w:val="en-GB"/>
                    </w:rPr>
                    <w:t xml:space="preserve">Total financial situation of households has not markedly worsened also thanks to the extraordinary public transfers so far. </w:t>
                  </w:r>
                </w:p>
              </w:tc>
              <w:tc>
                <w:tcPr>
                  <w:tcW w:w="217" w:type="dxa"/>
                  <w:shd w:val="clear" w:color="auto" w:fill="auto"/>
                  <w:tcMar>
                    <w:left w:w="0" w:type="dxa"/>
                  </w:tcMar>
                </w:tcPr>
                <w:p w14:paraId="7F9FAE30"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BEA5F79" w14:textId="77777777" w:rsidR="00C2211E" w:rsidRPr="00D970F7" w:rsidRDefault="00C2211E" w:rsidP="00C2211E">
                  <w:pPr>
                    <w:spacing w:after="220"/>
                    <w:rPr>
                      <w:spacing w:val="-4"/>
                      <w:lang w:val="en-GB"/>
                    </w:rPr>
                  </w:pPr>
                  <w:r w:rsidRPr="00D970F7">
                    <w:rPr>
                      <w:spacing w:val="-4"/>
                      <w:lang w:val="en-GB"/>
                    </w:rPr>
                    <w:t xml:space="preserve">Measures stimulating incomes, resp. household consumption (social benefits, wages in the public sector) remained the dominant source of SB current outlays growth. Current transfers </w:t>
                  </w:r>
                  <w:r w:rsidRPr="00D970F7">
                    <w:rPr>
                      <w:spacing w:val="-4"/>
                      <w:lang w:val="en-GB"/>
                    </w:rPr>
                    <w:lastRenderedPageBreak/>
                    <w:t>to regional budgets strengthened by one seventh year-on-year (mainly due to increase of wage resources to employees of primary as well as secondary schools and also in the area of social care). Wage outlays in the central government institutions featured more modest growth (+4.1%, four year minimum). Even though the year-on-year rate of growth of outlays on social benefits increased by 13.3% and strengthened by more than one half compared to the last year, proportion of benefits on all SB outlays decreased already third year in a row (to record 37.9%). For the first time after year 2014, the growth of social transfers was driven primarily by non-pension benefits, which expanded by one third year-on-year (to 86 CZK bn). Paid out benefits of sickness insurance accelerated (+10.2 bn)</w:t>
                  </w:r>
                  <w:r w:rsidRPr="00D970F7">
                    <w:rPr>
                      <w:rStyle w:val="Znakapoznpodarou"/>
                      <w:spacing w:val="-4"/>
                      <w:lang w:val="en-GB"/>
                    </w:rPr>
                    <w:footnoteReference w:id="8"/>
                  </w:r>
                  <w:r w:rsidRPr="00D970F7">
                    <w:rPr>
                      <w:spacing w:val="-4"/>
                      <w:lang w:val="en-GB"/>
                    </w:rPr>
                    <w:t>, which was the result from two thirds of the payment of care benefits provided for the reason of closing schools and other institutions. The increase of total morbidity however also had an effect (particularly due to the cancelled grace period), drawing of parental benefits was also slightly higher. State social care expenditures strengthened by one third (+6.6 bn), nearly exclusively due to the effect of legal increase of the parental allowance. Long term growing care allowance also accelerated (by one fifth, resp. 2.9 bn). The state expended more on the unemployment benefits for second year in a row. Even though the levels of registered job applicants have not expanded so far</w:t>
                  </w:r>
                  <w:r w:rsidRPr="00D970F7">
                    <w:rPr>
                      <w:rStyle w:val="Znakapoznpodarou"/>
                      <w:spacing w:val="-4"/>
                      <w:lang w:val="en-GB"/>
                    </w:rPr>
                    <w:footnoteReference w:id="9"/>
                  </w:r>
                  <w:r w:rsidRPr="00D970F7">
                    <w:rPr>
                      <w:spacing w:val="-4"/>
                      <w:lang w:val="en-GB"/>
                    </w:rPr>
                    <w:t>, the volume of paid out benefits increased by 0.9 bn, resp. by one fifth compared to last year´s H1 (the most after year 2009)</w:t>
                  </w:r>
                  <w:r w:rsidRPr="00D970F7">
                    <w:rPr>
                      <w:rStyle w:val="Znakapoznpodarou"/>
                      <w:spacing w:val="-4"/>
                      <w:lang w:val="en-GB"/>
                    </w:rPr>
                    <w:footnoteReference w:id="10"/>
                  </w:r>
                  <w:r w:rsidRPr="00D970F7">
                    <w:rPr>
                      <w:spacing w:val="-4"/>
                      <w:lang w:val="en-GB"/>
                    </w:rPr>
                    <w:t>. On the other hand, the total financial situation of households has not markedly worsened so far also thanks to the extraordinary public transfers. It is also proved by the six years lasting year-on-year decrease of the volume of paid out benefits of material deprivation assistance (by 61% in total, by 2% this year)</w:t>
                  </w:r>
                  <w:r w:rsidRPr="00D970F7">
                    <w:rPr>
                      <w:rStyle w:val="Znakapoznpodarou"/>
                      <w:spacing w:val="-4"/>
                      <w:lang w:val="en-GB"/>
                    </w:rPr>
                    <w:footnoteReference w:id="11"/>
                  </w:r>
                  <w:r w:rsidRPr="00D970F7">
                    <w:rPr>
                      <w:spacing w:val="-4"/>
                      <w:lang w:val="en-GB"/>
                    </w:rPr>
                    <w:t xml:space="preserve"> or decrease of paid out child allowances.</w:t>
                  </w:r>
                </w:p>
              </w:tc>
            </w:tr>
            <w:tr w:rsidR="00C2211E" w:rsidRPr="00D970F7" w14:paraId="78AC69A3" w14:textId="77777777" w:rsidTr="00C2211E">
              <w:trPr>
                <w:trHeight w:val="145"/>
              </w:trPr>
              <w:tc>
                <w:tcPr>
                  <w:tcW w:w="1732" w:type="dxa"/>
                  <w:shd w:val="clear" w:color="auto" w:fill="auto"/>
                  <w:tcMar>
                    <w:left w:w="0" w:type="dxa"/>
                  </w:tcMar>
                </w:tcPr>
                <w:p w14:paraId="72CAAA4C" w14:textId="77777777" w:rsidR="00C2211E" w:rsidRPr="00D970F7" w:rsidRDefault="00C2211E" w:rsidP="00C2211E">
                  <w:pPr>
                    <w:pStyle w:val="Marginlie"/>
                    <w:rPr>
                      <w:lang w:val="en-GB"/>
                    </w:rPr>
                  </w:pPr>
                  <w:r w:rsidRPr="00D970F7">
                    <w:rPr>
                      <w:lang w:val="en-GB"/>
                    </w:rPr>
                    <w:lastRenderedPageBreak/>
                    <w:t xml:space="preserve">Revenues of the pension insurance fell for the first time after year 2013. Pension account deficit reached six year maximum. </w:t>
                  </w:r>
                </w:p>
              </w:tc>
              <w:tc>
                <w:tcPr>
                  <w:tcW w:w="217" w:type="dxa"/>
                  <w:shd w:val="clear" w:color="auto" w:fill="auto"/>
                  <w:tcMar>
                    <w:left w:w="0" w:type="dxa"/>
                  </w:tcMar>
                </w:tcPr>
                <w:p w14:paraId="63F40F7B"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502D4DA" w14:textId="77777777" w:rsidR="00C2211E" w:rsidRPr="00D970F7" w:rsidRDefault="00C2211E" w:rsidP="00C2211E">
                  <w:pPr>
                    <w:spacing w:after="220"/>
                    <w:rPr>
                      <w:rFonts w:cs="Arial"/>
                      <w:color w:val="0D0D0D" w:themeColor="text1" w:themeTint="F2"/>
                      <w:spacing w:val="-6"/>
                      <w:lang w:val="en-GB"/>
                    </w:rPr>
                  </w:pPr>
                  <w:r w:rsidRPr="00D970F7">
                    <w:rPr>
                      <w:spacing w:val="-6"/>
                      <w:lang w:val="en-GB"/>
                    </w:rPr>
                    <w:t>Year-on-year growth of expenditures on pension attained 8.0% in H1 and only slightly lagged behind the last year´s pace (8.8%), which however was the highest after year 2009. Given the stagnation of the total number of persons receiving pensions (including old age pensioners) the effect of legislative amendments became fully evident</w:t>
                  </w:r>
                  <w:r w:rsidRPr="00D970F7">
                    <w:rPr>
                      <w:rStyle w:val="Znakapoznpodarou"/>
                      <w:spacing w:val="-6"/>
                      <w:lang w:val="en-GB"/>
                    </w:rPr>
                    <w:footnoteReference w:id="12"/>
                  </w:r>
                  <w:r w:rsidRPr="00D970F7">
                    <w:rPr>
                      <w:rFonts w:cs="Arial"/>
                      <w:color w:val="0D0D0D" w:themeColor="text1" w:themeTint="F2"/>
                      <w:spacing w:val="-6"/>
                      <w:lang w:val="en-GB"/>
                    </w:rPr>
                    <w:t>. Revenues of the pension insurance went down (by 1.1%) for the first time after year 2013. It was the consequence of worsened situation on the labour market (lowering of employment as well as number of hours worked, slowdown of growth of average wages), but also the budget measures aimed at the support of small businesses</w:t>
                  </w:r>
                  <w:r w:rsidRPr="00D970F7">
                    <w:rPr>
                      <w:rStyle w:val="Znakapoznpodarou"/>
                      <w:color w:val="0D0D0D" w:themeColor="text1" w:themeTint="F2"/>
                      <w:spacing w:val="-6"/>
                      <w:lang w:val="en-GB"/>
                    </w:rPr>
                    <w:footnoteReference w:id="13"/>
                  </w:r>
                  <w:r w:rsidRPr="00D970F7">
                    <w:rPr>
                      <w:rFonts w:cs="Arial"/>
                      <w:color w:val="0D0D0D" w:themeColor="text1" w:themeTint="F2"/>
                      <w:spacing w:val="-6"/>
                      <w:lang w:val="en-GB"/>
                    </w:rPr>
                    <w:t>. Pension account balance</w:t>
                  </w:r>
                  <w:r w:rsidRPr="00D970F7">
                    <w:rPr>
                      <w:rStyle w:val="Znakapoznpodarou"/>
                      <w:color w:val="0D0D0D" w:themeColor="text1" w:themeTint="F2"/>
                      <w:spacing w:val="-6"/>
                      <w:lang w:val="en-GB"/>
                    </w:rPr>
                    <w:footnoteReference w:id="14"/>
                  </w:r>
                  <w:r w:rsidRPr="00D970F7">
                    <w:rPr>
                      <w:rFonts w:cs="Arial"/>
                      <w:color w:val="0D0D0D" w:themeColor="text1" w:themeTint="F2"/>
                      <w:spacing w:val="-6"/>
                      <w:lang w:val="en-GB"/>
                    </w:rPr>
                    <w:t xml:space="preserve"> thus returned to deficit after two surplus years. It amounted to 12 CZK bn in Q1, which presented the worst result in the last six years. </w:t>
                  </w:r>
                </w:p>
              </w:tc>
            </w:tr>
            <w:tr w:rsidR="00C2211E" w:rsidRPr="00D970F7" w14:paraId="57CE6F2A" w14:textId="77777777" w:rsidTr="00C2211E">
              <w:trPr>
                <w:trHeight w:val="145"/>
              </w:trPr>
              <w:tc>
                <w:tcPr>
                  <w:tcW w:w="1732" w:type="dxa"/>
                  <w:shd w:val="clear" w:color="auto" w:fill="auto"/>
                  <w:tcMar>
                    <w:left w:w="0" w:type="dxa"/>
                  </w:tcMar>
                </w:tcPr>
                <w:p w14:paraId="095D8622" w14:textId="77777777" w:rsidR="00C2211E" w:rsidRPr="00D970F7" w:rsidRDefault="00C2211E" w:rsidP="00C2211E">
                  <w:pPr>
                    <w:pStyle w:val="Marginlie"/>
                    <w:rPr>
                      <w:lang w:val="en-GB"/>
                    </w:rPr>
                  </w:pPr>
                  <w:r w:rsidRPr="00D970F7">
                    <w:rPr>
                      <w:lang w:val="en-GB"/>
                    </w:rPr>
                    <w:t xml:space="preserve">Investment growth from the SB further accelerated, mainly thanks to higher outlays on transport infrastructure. </w:t>
                  </w:r>
                </w:p>
                <w:p w14:paraId="63EF79D3" w14:textId="77777777" w:rsidR="00C2211E" w:rsidRPr="00D970F7" w:rsidRDefault="00C2211E" w:rsidP="00C2211E">
                  <w:pPr>
                    <w:pStyle w:val="Marginlie"/>
                    <w:rPr>
                      <w:lang w:val="en-GB"/>
                    </w:rPr>
                  </w:pPr>
                </w:p>
                <w:p w14:paraId="75218BAF" w14:textId="77777777" w:rsidR="00C2211E" w:rsidRPr="00D970F7" w:rsidRDefault="00C2211E" w:rsidP="00C2211E">
                  <w:pPr>
                    <w:pStyle w:val="Marginlie"/>
                    <w:rPr>
                      <w:lang w:val="en-GB"/>
                    </w:rPr>
                  </w:pPr>
                </w:p>
                <w:p w14:paraId="22F8B854" w14:textId="77777777" w:rsidR="00C2211E" w:rsidRDefault="00C2211E" w:rsidP="00C2211E">
                  <w:pPr>
                    <w:pStyle w:val="Marginlie"/>
                    <w:rPr>
                      <w:lang w:val="en-GB"/>
                    </w:rPr>
                  </w:pPr>
                </w:p>
                <w:p w14:paraId="3AC43CD1" w14:textId="77777777" w:rsidR="00C2211E" w:rsidRPr="00D970F7" w:rsidRDefault="00C2211E" w:rsidP="00C2211E">
                  <w:pPr>
                    <w:pStyle w:val="Marginlie"/>
                    <w:rPr>
                      <w:lang w:val="en-GB"/>
                    </w:rPr>
                  </w:pPr>
                </w:p>
                <w:p w14:paraId="155DF0A6" w14:textId="77777777" w:rsidR="00C2211E" w:rsidRPr="00D970F7" w:rsidRDefault="00C2211E" w:rsidP="00C2211E">
                  <w:pPr>
                    <w:pStyle w:val="Marginlie"/>
                    <w:rPr>
                      <w:lang w:val="en-GB"/>
                    </w:rPr>
                  </w:pPr>
                  <w:r w:rsidRPr="00D970F7">
                    <w:rPr>
                      <w:lang w:val="en-GB"/>
                    </w:rPr>
                    <w:lastRenderedPageBreak/>
                    <w:t xml:space="preserve">Positive balance of the CR towards the EU budget doubled year-on-year. </w:t>
                  </w:r>
                </w:p>
              </w:tc>
              <w:tc>
                <w:tcPr>
                  <w:tcW w:w="217" w:type="dxa"/>
                  <w:shd w:val="clear" w:color="auto" w:fill="auto"/>
                  <w:tcMar>
                    <w:left w:w="0" w:type="dxa"/>
                  </w:tcMar>
                </w:tcPr>
                <w:p w14:paraId="4FE5D829"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3FA27E27" w14:textId="77777777" w:rsidR="00C2211E" w:rsidRPr="00D970F7" w:rsidRDefault="00C2211E" w:rsidP="00C2211E">
                  <w:pPr>
                    <w:spacing w:after="220"/>
                    <w:rPr>
                      <w:spacing w:val="-6"/>
                      <w:lang w:val="en-GB"/>
                    </w:rPr>
                  </w:pPr>
                  <w:r w:rsidRPr="00D970F7">
                    <w:rPr>
                      <w:spacing w:val="-6"/>
                      <w:lang w:val="en-GB"/>
                    </w:rPr>
                    <w:t xml:space="preserve">With the approaching end of the current programme period of the EU, the drawing of European funds gradually accelerates in the CR. Total capital outlays of the SB were 64.5 CZK bn in H1 and increased by two fifths, resp. 18.7 CZK bn in H1. Mostly investment from national resources (+13.7 bn) shared in this growth, which was associated with higher outlays on transport infrastructure. Still the funds on common programmes of the CR and EU (35.5 bn) formed predominant part in the total volume of investment. Proportion of investment on all SB outlays was expanding third year in a row and reached 7.2%, which was the most in the last five years. Net position of the CR towards the EU budget was +50.1 CZK bn in H1 and doubled </w:t>
                  </w:r>
                  <w:r w:rsidRPr="00D970F7">
                    <w:rPr>
                      <w:spacing w:val="-6"/>
                      <w:lang w:val="en-GB"/>
                    </w:rPr>
                    <w:lastRenderedPageBreak/>
                    <w:t>year-on-year. It was mainly thanks to the inflow of funds from the structural funds (+21.7 bn) as well as the cohesion funds (+5.1 bn). On the contrary, direct payments in agriculture, which formed one quarter of total revenues from the EU this year (from 82.1 bn), flowed undisturbed.</w:t>
                  </w:r>
                </w:p>
              </w:tc>
            </w:tr>
            <w:tr w:rsidR="00C2211E" w:rsidRPr="00D970F7" w14:paraId="73373371" w14:textId="77777777" w:rsidTr="00C2211E">
              <w:trPr>
                <w:trHeight w:val="145"/>
              </w:trPr>
              <w:tc>
                <w:tcPr>
                  <w:tcW w:w="1732" w:type="dxa"/>
                  <w:shd w:val="clear" w:color="auto" w:fill="auto"/>
                  <w:tcMar>
                    <w:left w:w="0" w:type="dxa"/>
                  </w:tcMar>
                </w:tcPr>
                <w:p w14:paraId="258B85A9" w14:textId="77777777" w:rsidR="00C2211E" w:rsidRPr="00D970F7" w:rsidRDefault="00C2211E" w:rsidP="00C2211E">
                  <w:pPr>
                    <w:pStyle w:val="Marginlie"/>
                    <w:rPr>
                      <w:lang w:val="en-GB"/>
                    </w:rPr>
                  </w:pPr>
                  <w:r w:rsidRPr="00D970F7">
                    <w:rPr>
                      <w:lang w:val="en-GB"/>
                    </w:rPr>
                    <w:lastRenderedPageBreak/>
                    <w:t xml:space="preserve">Size of the state debt accelerated during H1. Volume of issued state bonds overtook half a trillion CZK. </w:t>
                  </w:r>
                </w:p>
                <w:p w14:paraId="74937158" w14:textId="77777777" w:rsidR="00C2211E" w:rsidRPr="00D970F7" w:rsidRDefault="00C2211E" w:rsidP="00C2211E">
                  <w:pPr>
                    <w:pStyle w:val="Marginlie"/>
                    <w:rPr>
                      <w:lang w:val="en-GB"/>
                    </w:rPr>
                  </w:pPr>
                </w:p>
                <w:p w14:paraId="57702BB6" w14:textId="77777777" w:rsidR="00C2211E" w:rsidRPr="00D970F7" w:rsidRDefault="00C2211E" w:rsidP="00C2211E">
                  <w:pPr>
                    <w:pStyle w:val="Marginlie"/>
                    <w:rPr>
                      <w:lang w:val="en-GB"/>
                    </w:rPr>
                  </w:pPr>
                </w:p>
                <w:p w14:paraId="0549D0F1" w14:textId="77777777" w:rsidR="00C2211E" w:rsidRPr="00D970F7" w:rsidRDefault="00C2211E" w:rsidP="00C2211E">
                  <w:pPr>
                    <w:pStyle w:val="Marginlie"/>
                    <w:rPr>
                      <w:lang w:val="en-GB"/>
                    </w:rPr>
                  </w:pPr>
                </w:p>
                <w:p w14:paraId="7BE16FA2" w14:textId="77777777" w:rsidR="00C2211E" w:rsidRPr="00D970F7" w:rsidRDefault="00C2211E" w:rsidP="00C2211E">
                  <w:pPr>
                    <w:pStyle w:val="Marginlie"/>
                    <w:rPr>
                      <w:lang w:val="en-GB"/>
                    </w:rPr>
                  </w:pPr>
                </w:p>
                <w:p w14:paraId="1284A200" w14:textId="77777777" w:rsidR="00C2211E" w:rsidRPr="00D970F7" w:rsidRDefault="00C2211E" w:rsidP="00C2211E">
                  <w:pPr>
                    <w:pStyle w:val="Marginlie"/>
                    <w:rPr>
                      <w:lang w:val="en-GB"/>
                    </w:rPr>
                  </w:pPr>
                  <w:r w:rsidRPr="00D970F7">
                    <w:rPr>
                      <w:lang w:val="en-GB"/>
                    </w:rPr>
                    <w:t xml:space="preserve">Among holders of domestic bonds, the weight of financial institutions increased to the detriment of non-residents. </w:t>
                  </w:r>
                </w:p>
              </w:tc>
              <w:tc>
                <w:tcPr>
                  <w:tcW w:w="217" w:type="dxa"/>
                  <w:shd w:val="clear" w:color="auto" w:fill="auto"/>
                  <w:tcMar>
                    <w:left w:w="0" w:type="dxa"/>
                  </w:tcMar>
                </w:tcPr>
                <w:p w14:paraId="05478F21"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54A9026" w14:textId="77777777" w:rsidR="00C2211E" w:rsidRPr="00D970F7" w:rsidRDefault="00C2211E" w:rsidP="00C2211E">
                  <w:pPr>
                    <w:spacing w:after="0"/>
                    <w:rPr>
                      <w:rFonts w:cs="Arial"/>
                      <w:color w:val="0D0D0D" w:themeColor="text1" w:themeTint="F2"/>
                      <w:spacing w:val="-6"/>
                      <w:lang w:val="en-GB"/>
                    </w:rPr>
                  </w:pPr>
                  <w:r w:rsidRPr="00D970F7">
                    <w:rPr>
                      <w:spacing w:val="-6"/>
                      <w:lang w:val="en-GB"/>
                    </w:rPr>
                    <w:t>Value of the state debt accelerated in Q2 2020. At its end, its value was 2 157 CZK bn, quarter-on-quarter increase then 384 bn. The debt expanded by one quarter year-on-year and neared the record pace from Q3 of the crisis year 2009. To cover this year´s exceptional SB deficit, planned debt instalments (concentrated especially to the second half of year 2020) as well as strengthening liquid reserves, a record volume of state bonds (533 CZK bn)</w:t>
                  </w:r>
                  <w:r w:rsidRPr="00D970F7">
                    <w:rPr>
                      <w:rStyle w:val="Znakapoznpodarou"/>
                      <w:spacing w:val="-4"/>
                      <w:lang w:val="en-GB"/>
                    </w:rPr>
                    <w:footnoteReference w:id="15"/>
                  </w:r>
                  <w:r w:rsidRPr="00D970F7">
                    <w:rPr>
                      <w:spacing w:val="-6"/>
                      <w:lang w:val="en-GB"/>
                    </w:rPr>
                    <w:t xml:space="preserve"> was issued during H1. Similarly to the previous years, the borrowing activity was limited to the domestic market. Koruna value of the external debt thus further shrank (by 7% year-on-year).</w:t>
                  </w:r>
                  <w:r w:rsidRPr="00D970F7">
                    <w:rPr>
                      <w:rFonts w:cs="Arial"/>
                      <w:color w:val="0D0D0D" w:themeColor="text1" w:themeTint="F2"/>
                      <w:spacing w:val="-6"/>
                      <w:lang w:val="en-GB"/>
                    </w:rPr>
                    <w:t xml:space="preserve"> At the end of June 2020, the external debt constituted already less than one tenth of the total state debt (minimum in the last sixteen years). Financial institutions with 61% share remain the key holder of the domestic state bonds, non-residents owned 35% of bonds. In Q2 2020, position of financial institutions strengthened, and the weight of non-residents was one of the weakest since the end of year 2016 (when the CNB forex interventions were still in place). Net SB outlays to service the state debt</w:t>
                  </w:r>
                  <w:r w:rsidRPr="00D970F7">
                    <w:rPr>
                      <w:rStyle w:val="Znakapoznpodarou"/>
                      <w:spacing w:val="-4"/>
                      <w:lang w:val="en-GB"/>
                    </w:rPr>
                    <w:footnoteReference w:id="16"/>
                  </w:r>
                  <w:r w:rsidRPr="00D970F7">
                    <w:rPr>
                      <w:rFonts w:cs="Arial"/>
                      <w:color w:val="0D0D0D" w:themeColor="text1" w:themeTint="F2"/>
                      <w:spacing w:val="-6"/>
                      <w:lang w:val="en-GB"/>
                    </w:rPr>
                    <w:t xml:space="preserve"> were 12.5 CZK bn in H1 and decreased by one quarter year-on-year. </w:t>
                  </w:r>
                </w:p>
                <w:p w14:paraId="3888CD42" w14:textId="77777777" w:rsidR="00C2211E" w:rsidRPr="00D970F7" w:rsidRDefault="00C2211E" w:rsidP="00C2211E">
                  <w:pPr>
                    <w:spacing w:after="0"/>
                    <w:rPr>
                      <w:rFonts w:cs="Arial"/>
                      <w:color w:val="0D0D0D" w:themeColor="text1" w:themeTint="F2"/>
                      <w:spacing w:val="-6"/>
                      <w:lang w:val="en-GB"/>
                    </w:rPr>
                  </w:pPr>
                </w:p>
              </w:tc>
            </w:tr>
            <w:tr w:rsidR="00C2211E" w:rsidRPr="00D970F7" w14:paraId="0616B49E" w14:textId="77777777" w:rsidTr="00C2211E">
              <w:trPr>
                <w:trHeight w:val="170"/>
              </w:trPr>
              <w:tc>
                <w:tcPr>
                  <w:tcW w:w="1732" w:type="dxa"/>
                  <w:vMerge w:val="restart"/>
                  <w:shd w:val="clear" w:color="auto" w:fill="auto"/>
                  <w:tcMar>
                    <w:left w:w="0" w:type="dxa"/>
                  </w:tcMar>
                </w:tcPr>
                <w:p w14:paraId="27BD676B" w14:textId="77777777" w:rsidR="00C2211E" w:rsidRPr="00D970F7" w:rsidRDefault="00C2211E" w:rsidP="00C2211E">
                  <w:pPr>
                    <w:pStyle w:val="Marginlie"/>
                    <w:rPr>
                      <w:lang w:val="en-GB"/>
                    </w:rPr>
                  </w:pPr>
                </w:p>
              </w:tc>
              <w:tc>
                <w:tcPr>
                  <w:tcW w:w="217" w:type="dxa"/>
                  <w:vMerge w:val="restart"/>
                  <w:shd w:val="clear" w:color="auto" w:fill="auto"/>
                  <w:tcMar>
                    <w:left w:w="0" w:type="dxa"/>
                  </w:tcMar>
                </w:tcPr>
                <w:p w14:paraId="283546F8"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1EF05C6E" w14:textId="77777777" w:rsidR="00C2211E" w:rsidRPr="00D970F7" w:rsidRDefault="00C2211E" w:rsidP="00C2211E">
                  <w:pPr>
                    <w:spacing w:after="40" w:line="240" w:lineRule="auto"/>
                    <w:jc w:val="left"/>
                    <w:rPr>
                      <w:rFonts w:cs="Arial"/>
                      <w:bCs/>
                      <w:spacing w:val="-6"/>
                      <w:lang w:val="en-GB"/>
                    </w:rPr>
                  </w:pPr>
                  <w:r w:rsidRPr="00D970F7">
                    <w:rPr>
                      <w:b/>
                      <w:spacing w:val="-6"/>
                      <w:lang w:val="en-GB"/>
                    </w:rPr>
                    <w:t xml:space="preserve">Chart 17  </w:t>
                  </w:r>
                  <w:r w:rsidRPr="00D970F7">
                    <w:rPr>
                      <w:rFonts w:cs="Arial"/>
                      <w:b/>
                      <w:bCs/>
                      <w:spacing w:val="-6"/>
                      <w:lang w:val="en-GB"/>
                    </w:rPr>
                    <w:t xml:space="preserve">Selected expenditures of the state budget in accumulation for H1 </w:t>
                  </w:r>
                  <w:r w:rsidRPr="00D970F7">
                    <w:rPr>
                      <w:rFonts w:cs="Arial"/>
                      <w:bCs/>
                      <w:spacing w:val="-6"/>
                      <w:lang w:val="en-GB"/>
                    </w:rPr>
                    <w:t>(in CZK bn)</w:t>
                  </w:r>
                </w:p>
              </w:tc>
            </w:tr>
            <w:tr w:rsidR="00C2211E" w:rsidRPr="00D970F7" w14:paraId="0A6DF11F" w14:textId="77777777" w:rsidTr="00C2211E">
              <w:tblPrEx>
                <w:tblCellMar>
                  <w:left w:w="70" w:type="dxa"/>
                  <w:right w:w="70" w:type="dxa"/>
                </w:tblCellMar>
              </w:tblPrEx>
              <w:trPr>
                <w:trHeight w:val="170"/>
              </w:trPr>
              <w:tc>
                <w:tcPr>
                  <w:tcW w:w="1732" w:type="dxa"/>
                  <w:vMerge/>
                  <w:shd w:val="clear" w:color="auto" w:fill="auto"/>
                </w:tcPr>
                <w:p w14:paraId="301BBDE8" w14:textId="77777777" w:rsidR="00C2211E" w:rsidRPr="00D970F7" w:rsidRDefault="00C2211E" w:rsidP="00C2211E">
                  <w:pPr>
                    <w:pStyle w:val="Marginlie"/>
                    <w:rPr>
                      <w:lang w:val="en-GB"/>
                    </w:rPr>
                  </w:pPr>
                </w:p>
              </w:tc>
              <w:tc>
                <w:tcPr>
                  <w:tcW w:w="217" w:type="dxa"/>
                  <w:vMerge/>
                  <w:shd w:val="clear" w:color="auto" w:fill="auto"/>
                </w:tcPr>
                <w:p w14:paraId="33514313" w14:textId="77777777" w:rsidR="00C2211E" w:rsidRPr="00D970F7" w:rsidRDefault="00C2211E" w:rsidP="00C2211E">
                  <w:pPr>
                    <w:pStyle w:val="Textpoznpodarou"/>
                    <w:jc w:val="both"/>
                    <w:rPr>
                      <w:spacing w:val="-4"/>
                      <w:lang w:val="en-GB"/>
                    </w:rPr>
                  </w:pPr>
                </w:p>
              </w:tc>
              <w:tc>
                <w:tcPr>
                  <w:tcW w:w="7720" w:type="dxa"/>
                  <w:shd w:val="clear" w:color="auto" w:fill="auto"/>
                </w:tcPr>
                <w:p w14:paraId="4F8708EB" w14:textId="77777777" w:rsidR="00C2211E" w:rsidRPr="00D970F7" w:rsidRDefault="00C2211E" w:rsidP="00C2211E">
                  <w:pPr>
                    <w:spacing w:after="0"/>
                    <w:rPr>
                      <w:spacing w:val="-6"/>
                      <w:lang w:val="en-GB"/>
                    </w:rPr>
                  </w:pPr>
                  <w:r>
                    <w:rPr>
                      <w:noProof/>
                    </w:rPr>
                    <w:drawing>
                      <wp:inline distT="0" distB="0" distL="0" distR="0" wp14:anchorId="7080140B" wp14:editId="53B4FB0B">
                        <wp:extent cx="4769487" cy="3461740"/>
                        <wp:effectExtent l="0" t="0" r="0" b="57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211E" w:rsidRPr="00D970F7" w14:paraId="0E1CF7A2" w14:textId="77777777" w:rsidTr="00C2211E">
              <w:trPr>
                <w:trHeight w:val="170"/>
              </w:trPr>
              <w:tc>
                <w:tcPr>
                  <w:tcW w:w="1732" w:type="dxa"/>
                  <w:vMerge/>
                  <w:shd w:val="clear" w:color="auto" w:fill="auto"/>
                  <w:tcMar>
                    <w:left w:w="0" w:type="dxa"/>
                  </w:tcMar>
                </w:tcPr>
                <w:p w14:paraId="36C7EC42" w14:textId="77777777" w:rsidR="00C2211E" w:rsidRPr="00D970F7" w:rsidRDefault="00C2211E" w:rsidP="00C2211E">
                  <w:pPr>
                    <w:pStyle w:val="Marginlie"/>
                    <w:rPr>
                      <w:lang w:val="en-GB"/>
                    </w:rPr>
                  </w:pPr>
                </w:p>
              </w:tc>
              <w:tc>
                <w:tcPr>
                  <w:tcW w:w="217" w:type="dxa"/>
                  <w:vMerge/>
                  <w:shd w:val="clear" w:color="auto" w:fill="auto"/>
                  <w:tcMar>
                    <w:left w:w="0" w:type="dxa"/>
                  </w:tcMar>
                </w:tcPr>
                <w:p w14:paraId="2EBF6A15"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005573C3" w14:textId="77777777" w:rsidR="00C2211E" w:rsidRPr="00D970F7" w:rsidRDefault="00C2211E" w:rsidP="00C2211E">
                  <w:pPr>
                    <w:pStyle w:val="Textpoznpodarou"/>
                    <w:rPr>
                      <w:spacing w:val="-6"/>
                      <w:sz w:val="14"/>
                      <w:szCs w:val="14"/>
                      <w:lang w:val="en-GB"/>
                    </w:rPr>
                  </w:pPr>
                  <w:r w:rsidRPr="00D970F7">
                    <w:rPr>
                      <w:spacing w:val="-6"/>
                      <w:sz w:val="14"/>
                      <w:szCs w:val="14"/>
                      <w:lang w:val="en-GB"/>
                    </w:rPr>
                    <w:t xml:space="preserve">*Covers expenditures on salaries in central government institutions. Does not include e.g. wage costs of regional education. </w:t>
                  </w:r>
                </w:p>
                <w:p w14:paraId="6946A1EE" w14:textId="77777777" w:rsidR="00C2211E" w:rsidRDefault="00C2211E" w:rsidP="00C2211E">
                  <w:pPr>
                    <w:pStyle w:val="Textpoznpodarou"/>
                    <w:rPr>
                      <w:spacing w:val="-6"/>
                      <w:sz w:val="14"/>
                      <w:szCs w:val="14"/>
                      <w:lang w:val="en-GB"/>
                    </w:rPr>
                  </w:pPr>
                  <w:r w:rsidRPr="00D970F7">
                    <w:rPr>
                      <w:spacing w:val="-6"/>
                      <w:sz w:val="14"/>
                      <w:szCs w:val="14"/>
                      <w:lang w:val="en-GB"/>
                    </w:rPr>
                    <w:t>**Also includes the foster care benefits.</w:t>
                  </w:r>
                </w:p>
                <w:p w14:paraId="55BF1A1A" w14:textId="77777777" w:rsidR="00C2211E" w:rsidRPr="00D970F7" w:rsidRDefault="00C2211E" w:rsidP="00C2211E">
                  <w:pPr>
                    <w:pStyle w:val="Textpoznpodarou"/>
                    <w:rPr>
                      <w:spacing w:val="-6"/>
                      <w:sz w:val="14"/>
                      <w:szCs w:val="14"/>
                      <w:lang w:val="en-GB"/>
                    </w:rPr>
                  </w:pPr>
                  <w:r w:rsidRPr="00D970F7">
                    <w:rPr>
                      <w:spacing w:val="-6"/>
                      <w:sz w:val="14"/>
                      <w:szCs w:val="14"/>
                      <w:lang w:val="en-GB"/>
                    </w:rPr>
                    <w:t>***Includes Material deprivation assistance benefits, Benefits for people with disabilities, Care benefits based on Act on State Social Support.</w:t>
                  </w:r>
                </w:p>
                <w:p w14:paraId="1F593C3A" w14:textId="77777777" w:rsidR="00C2211E" w:rsidRDefault="00C2211E" w:rsidP="00C2211E">
                  <w:pPr>
                    <w:pStyle w:val="Textpoznpodarou"/>
                    <w:rPr>
                      <w:spacing w:val="-6"/>
                      <w:sz w:val="14"/>
                      <w:szCs w:val="14"/>
                      <w:lang w:val="en-GB"/>
                    </w:rPr>
                  </w:pPr>
                  <w:r w:rsidRPr="00D970F7">
                    <w:rPr>
                      <w:spacing w:val="-6"/>
                      <w:sz w:val="14"/>
                      <w:szCs w:val="14"/>
                      <w:lang w:val="en-GB"/>
                    </w:rPr>
                    <w:t xml:space="preserve">****Contains mainly expenditures on purchase of services, materials, energies or other services (e.g. expenditures on repairs and maintenance).    </w:t>
                  </w:r>
                </w:p>
                <w:p w14:paraId="3D683C4F" w14:textId="77777777" w:rsidR="00C2211E" w:rsidRPr="00D970F7" w:rsidRDefault="00C2211E" w:rsidP="00C2211E">
                  <w:pPr>
                    <w:pStyle w:val="Textpoznpodarou"/>
                    <w:rPr>
                      <w:spacing w:val="-6"/>
                      <w:sz w:val="14"/>
                      <w:szCs w:val="14"/>
                      <w:lang w:val="en-GB"/>
                    </w:rPr>
                  </w:pPr>
                  <w:r w:rsidRPr="00D970F7">
                    <w:rPr>
                      <w:spacing w:val="-6"/>
                      <w:sz w:val="14"/>
                      <w:szCs w:val="14"/>
                      <w:lang w:val="en-GB"/>
                    </w:rPr>
                    <w:t xml:space="preserve">*****Corresponds to the balance of the budget chapter State debt. </w:t>
                  </w:r>
                </w:p>
                <w:p w14:paraId="62DE883A" w14:textId="77777777" w:rsidR="00C2211E" w:rsidRPr="00D970F7" w:rsidRDefault="00C2211E" w:rsidP="00C2211E">
                  <w:pPr>
                    <w:spacing w:after="220" w:line="240" w:lineRule="auto"/>
                    <w:rPr>
                      <w:spacing w:val="-6"/>
                      <w:sz w:val="14"/>
                      <w:szCs w:val="14"/>
                      <w:lang w:val="en-GB"/>
                    </w:rPr>
                  </w:pPr>
                  <w:r>
                    <w:rPr>
                      <w:spacing w:val="-6"/>
                      <w:sz w:val="14"/>
                      <w:szCs w:val="14"/>
                      <w:lang w:val="en-GB"/>
                    </w:rPr>
                    <w:t>Source: MF CR, MLS</w:t>
                  </w:r>
                </w:p>
              </w:tc>
            </w:tr>
            <w:tr w:rsidR="00C2211E" w:rsidRPr="00D970F7" w14:paraId="16E75E2C" w14:textId="77777777" w:rsidTr="00C2211E">
              <w:trPr>
                <w:trHeight w:val="170"/>
              </w:trPr>
              <w:tc>
                <w:tcPr>
                  <w:tcW w:w="1732" w:type="dxa"/>
                  <w:shd w:val="clear" w:color="auto" w:fill="auto"/>
                  <w:tcMar>
                    <w:left w:w="0" w:type="dxa"/>
                  </w:tcMar>
                </w:tcPr>
                <w:p w14:paraId="0854BE2C" w14:textId="77777777" w:rsidR="00C2211E" w:rsidRPr="00D970F7" w:rsidRDefault="00C2211E" w:rsidP="00C2211E">
                  <w:pPr>
                    <w:pStyle w:val="Marginlie"/>
                    <w:rPr>
                      <w:lang w:val="en-GB"/>
                    </w:rPr>
                  </w:pPr>
                  <w:r w:rsidRPr="00D970F7">
                    <w:rPr>
                      <w:lang w:val="en-GB"/>
                    </w:rPr>
                    <w:t xml:space="preserve">Indebtedness rate of the government institution sector so far increased only slowly compared to </w:t>
                  </w:r>
                  <w:r w:rsidRPr="00D970F7">
                    <w:rPr>
                      <w:lang w:val="en-GB"/>
                    </w:rPr>
                    <w:lastRenderedPageBreak/>
                    <w:t xml:space="preserve">the long-term minimum from the end of year 2019. Budget balance however already deepened more. </w:t>
                  </w:r>
                </w:p>
              </w:tc>
              <w:tc>
                <w:tcPr>
                  <w:tcW w:w="217" w:type="dxa"/>
                  <w:shd w:val="clear" w:color="auto" w:fill="auto"/>
                  <w:tcMar>
                    <w:left w:w="0" w:type="dxa"/>
                  </w:tcMar>
                </w:tcPr>
                <w:p w14:paraId="361059EE" w14:textId="77777777" w:rsidR="00C2211E" w:rsidRPr="00D970F7" w:rsidRDefault="00C2211E" w:rsidP="00C2211E">
                  <w:pPr>
                    <w:pStyle w:val="Textpoznpodarou"/>
                    <w:jc w:val="both"/>
                    <w:rPr>
                      <w:spacing w:val="-4"/>
                      <w:lang w:val="en-GB"/>
                    </w:rPr>
                  </w:pPr>
                </w:p>
              </w:tc>
              <w:tc>
                <w:tcPr>
                  <w:tcW w:w="7720" w:type="dxa"/>
                  <w:shd w:val="clear" w:color="auto" w:fill="auto"/>
                  <w:tcMar>
                    <w:left w:w="0" w:type="dxa"/>
                  </w:tcMar>
                </w:tcPr>
                <w:p w14:paraId="2C56BEED" w14:textId="77777777" w:rsidR="00C2211E" w:rsidRPr="00D970F7" w:rsidRDefault="00C2211E" w:rsidP="00C2211E">
                  <w:pPr>
                    <w:pStyle w:val="Textpoznpodarou"/>
                    <w:spacing w:after="200" w:line="276" w:lineRule="auto"/>
                    <w:jc w:val="both"/>
                    <w:rPr>
                      <w:rFonts w:cs="Arial"/>
                      <w:color w:val="0D0D0D" w:themeColor="text1" w:themeTint="F2"/>
                      <w:spacing w:val="-6"/>
                      <w:lang w:val="en-GB"/>
                    </w:rPr>
                  </w:pPr>
                  <w:r w:rsidRPr="00D970F7">
                    <w:rPr>
                      <w:rFonts w:cs="Arial"/>
                      <w:color w:val="0D0D0D" w:themeColor="text1" w:themeTint="F2"/>
                      <w:spacing w:val="-6"/>
                      <w:lang w:val="en-GB"/>
                    </w:rPr>
                    <w:t>Consolidated debt of the government institution sector was 1 894 CZK bn at the end of Q1 2020</w:t>
                  </w:r>
                  <w:r w:rsidRPr="00D970F7">
                    <w:rPr>
                      <w:rStyle w:val="Znakapoznpodarou"/>
                      <w:color w:val="000000" w:themeColor="text1"/>
                      <w:spacing w:val="-6"/>
                      <w:lang w:val="en-GB"/>
                    </w:rPr>
                    <w:footnoteReference w:id="17"/>
                  </w:r>
                  <w:r w:rsidRPr="00D970F7">
                    <w:rPr>
                      <w:rFonts w:cs="Arial"/>
                      <w:color w:val="0D0D0D" w:themeColor="text1" w:themeTint="F2"/>
                      <w:spacing w:val="-6"/>
                      <w:lang w:val="en-GB"/>
                    </w:rPr>
                    <w:t xml:space="preserve"> based on the CZSO data. It strengthened by 3.2% year-on-year, and in comparison to the end of the last year even by 8.9%. More significant quarter-on-quarter growth of debt at the </w:t>
                  </w:r>
                  <w:r w:rsidRPr="00D970F7">
                    <w:rPr>
                      <w:rFonts w:cs="Arial"/>
                      <w:color w:val="0D0D0D" w:themeColor="text1" w:themeTint="F2"/>
                      <w:spacing w:val="-6"/>
                      <w:lang w:val="en-GB"/>
                    </w:rPr>
                    <w:lastRenderedPageBreak/>
                    <w:t>year beginning was however apparent also in the previous three years. Indebtedness rate equalled 32.8% of GDP in Q1 and since the end of the last year, when it arrived at ten year minimum, increased by 2.6 p.p. Even though the domestic economy was only on the threshold of recession in Q1, budget deficit of government institutions already tested a boundary of 2% of GDP, which was the worst result since the end of 2014. It was connected with a fact</w:t>
                  </w:r>
                  <w:r w:rsidRPr="00D970F7">
                    <w:rPr>
                      <w:spacing w:val="-6"/>
                      <w:lang w:val="en-GB"/>
                    </w:rPr>
                    <w:t xml:space="preserve">, that a year-on-year decrease of total revenues of the sector (by 1.5%) occurred after more than three years due to the weaker collection of weight significant taxes. </w:t>
                  </w:r>
                  <w:r w:rsidRPr="00D970F7">
                    <w:rPr>
                      <w:rFonts w:cs="Arial"/>
                      <w:color w:val="0D0D0D" w:themeColor="text1" w:themeTint="F2"/>
                      <w:spacing w:val="-6"/>
                      <w:lang w:val="en-GB"/>
                    </w:rPr>
                    <w:t>Dynamics of total outlays however remained high (+9.8%).</w:t>
                  </w:r>
                </w:p>
              </w:tc>
            </w:tr>
            <w:tr w:rsidR="00C2211E" w:rsidRPr="00D970F7" w14:paraId="017C128C" w14:textId="77777777" w:rsidTr="00C2211E">
              <w:trPr>
                <w:trHeight w:val="170"/>
              </w:trPr>
              <w:tc>
                <w:tcPr>
                  <w:tcW w:w="1732" w:type="dxa"/>
                  <w:shd w:val="clear" w:color="auto" w:fill="auto"/>
                  <w:tcMar>
                    <w:left w:w="0" w:type="dxa"/>
                  </w:tcMar>
                </w:tcPr>
                <w:p w14:paraId="451469D1" w14:textId="25CA9BB9" w:rsidR="00C2211E" w:rsidRPr="00D970F7" w:rsidRDefault="00C2211E" w:rsidP="00C2211E">
                  <w:pPr>
                    <w:pStyle w:val="Marginlie"/>
                    <w:rPr>
                      <w:lang w:val="en-GB"/>
                    </w:rPr>
                  </w:pPr>
                  <w:r w:rsidRPr="00D970F7">
                    <w:rPr>
                      <w:lang w:val="en-GB"/>
                    </w:rPr>
                    <w:lastRenderedPageBreak/>
                    <w:t xml:space="preserve">Budget deficit of government institutions in the EU countries increased to </w:t>
                  </w:r>
                  <w:r w:rsidR="00FD6B56">
                    <w:rPr>
                      <w:lang w:val="en-GB"/>
                    </w:rPr>
                    <w:t>-</w:t>
                  </w:r>
                  <w:r w:rsidRPr="00D970F7">
                    <w:rPr>
                      <w:lang w:val="en-GB"/>
                    </w:rPr>
                    <w:t>2.3% of GDP at the beginning of the year.</w:t>
                  </w:r>
                </w:p>
                <w:p w14:paraId="3B2C5ABB" w14:textId="77777777" w:rsidR="00C2211E" w:rsidRPr="00D970F7" w:rsidRDefault="00C2211E" w:rsidP="00C2211E">
                  <w:pPr>
                    <w:pStyle w:val="Marginlie"/>
                    <w:rPr>
                      <w:lang w:val="en-GB"/>
                    </w:rPr>
                  </w:pPr>
                </w:p>
                <w:p w14:paraId="2FA18FAD" w14:textId="77777777" w:rsidR="00C2211E" w:rsidRPr="00D970F7" w:rsidRDefault="00C2211E" w:rsidP="00C2211E">
                  <w:pPr>
                    <w:pStyle w:val="Marginlie"/>
                    <w:rPr>
                      <w:lang w:val="en-GB"/>
                    </w:rPr>
                  </w:pPr>
                </w:p>
                <w:p w14:paraId="6411AE39" w14:textId="77777777" w:rsidR="00C2211E" w:rsidRPr="00D970F7" w:rsidRDefault="00C2211E" w:rsidP="00C2211E">
                  <w:pPr>
                    <w:pStyle w:val="Marginlie"/>
                    <w:rPr>
                      <w:lang w:val="en-GB"/>
                    </w:rPr>
                  </w:pPr>
                </w:p>
                <w:p w14:paraId="15559A66" w14:textId="77777777" w:rsidR="00C2211E" w:rsidRPr="00D970F7" w:rsidRDefault="00C2211E" w:rsidP="00C2211E">
                  <w:pPr>
                    <w:pStyle w:val="Marginlie"/>
                    <w:rPr>
                      <w:lang w:val="en-GB"/>
                    </w:rPr>
                  </w:pPr>
                </w:p>
                <w:p w14:paraId="1010FECB" w14:textId="77777777" w:rsidR="00C2211E" w:rsidRPr="00D970F7" w:rsidRDefault="00C2211E" w:rsidP="00C2211E">
                  <w:pPr>
                    <w:pStyle w:val="Marginlie"/>
                    <w:rPr>
                      <w:lang w:val="en-GB"/>
                    </w:rPr>
                  </w:pPr>
                </w:p>
                <w:p w14:paraId="770B6D03" w14:textId="77777777" w:rsidR="00C2211E" w:rsidRPr="00D970F7" w:rsidRDefault="00C2211E" w:rsidP="00C2211E">
                  <w:pPr>
                    <w:pStyle w:val="Marginlie"/>
                    <w:rPr>
                      <w:lang w:val="en-GB"/>
                    </w:rPr>
                  </w:pPr>
                  <w:r w:rsidRPr="00D970F7">
                    <w:rPr>
                      <w:lang w:val="en-GB"/>
                    </w:rPr>
                    <w:t xml:space="preserve">Quarter-on-quarter growth of the indebtedness rate reached ten year maximum in the EU in Q1. Worse position of states with fast outbreak of the covid-19 infection had an effect among other things. </w:t>
                  </w:r>
                </w:p>
              </w:tc>
              <w:tc>
                <w:tcPr>
                  <w:tcW w:w="217" w:type="dxa"/>
                  <w:shd w:val="clear" w:color="auto" w:fill="auto"/>
                  <w:tcMar>
                    <w:left w:w="0" w:type="dxa"/>
                  </w:tcMar>
                </w:tcPr>
                <w:p w14:paraId="0C61FFEF" w14:textId="77777777" w:rsidR="00C2211E" w:rsidRPr="00D970F7" w:rsidRDefault="00C2211E" w:rsidP="00C2211E">
                  <w:pPr>
                    <w:pStyle w:val="Textpoznpodarou"/>
                    <w:jc w:val="both"/>
                    <w:rPr>
                      <w:spacing w:val="-6"/>
                      <w:lang w:val="en-GB"/>
                    </w:rPr>
                  </w:pPr>
                </w:p>
              </w:tc>
              <w:tc>
                <w:tcPr>
                  <w:tcW w:w="7720" w:type="dxa"/>
                  <w:shd w:val="clear" w:color="auto" w:fill="auto"/>
                  <w:tcMar>
                    <w:left w:w="0" w:type="dxa"/>
                  </w:tcMar>
                </w:tcPr>
                <w:p w14:paraId="26A42069" w14:textId="37663DBB" w:rsidR="00C2211E" w:rsidRPr="00D970F7" w:rsidRDefault="00C2211E" w:rsidP="00C2211E">
                  <w:pPr>
                    <w:pStyle w:val="Textpoznpodarou"/>
                    <w:spacing w:line="276" w:lineRule="auto"/>
                    <w:jc w:val="both"/>
                    <w:rPr>
                      <w:spacing w:val="-6"/>
                      <w:lang w:val="en-GB"/>
                    </w:rPr>
                  </w:pPr>
                  <w:r w:rsidRPr="00D970F7">
                    <w:rPr>
                      <w:rFonts w:cs="Arial"/>
                      <w:color w:val="0D0D0D" w:themeColor="text1" w:themeTint="F2"/>
                      <w:spacing w:val="-6"/>
                      <w:lang w:val="en-GB"/>
                    </w:rPr>
                    <w:t xml:space="preserve">Worsening of the condition of public finances was apparent in the vast majority of the EU states. Seasonally adjusted budget balance decreased by </w:t>
                  </w:r>
                  <w:r w:rsidRPr="00D970F7">
                    <w:rPr>
                      <w:spacing w:val="-6"/>
                      <w:lang w:val="en-GB"/>
                    </w:rPr>
                    <w:t>1.6 p.p. to –2.3% of GDP quarter-on-quarter in Q1</w:t>
                  </w:r>
                  <w:r w:rsidR="00860903">
                    <w:rPr>
                      <w:spacing w:val="-6"/>
                      <w:lang w:val="en-GB"/>
                    </w:rPr>
                    <w:t xml:space="preserve"> 2020</w:t>
                  </w:r>
                  <w:r w:rsidRPr="00D970F7">
                    <w:rPr>
                      <w:spacing w:val="-6"/>
                      <w:lang w:val="en-GB"/>
                    </w:rPr>
                    <w:t>, that is to the lowest level since the end of year 2014. Only Germany, Netherlands and Luxembourg kept a mild surplus (up to 1% of GDP) from the monitored countries</w:t>
                  </w:r>
                  <w:r w:rsidRPr="00D970F7">
                    <w:rPr>
                      <w:rStyle w:val="Znakapoznpodarou"/>
                      <w:color w:val="000000" w:themeColor="text1"/>
                      <w:spacing w:val="-6"/>
                      <w:lang w:val="en-GB"/>
                    </w:rPr>
                    <w:footnoteReference w:id="18"/>
                  </w:r>
                  <w:r w:rsidRPr="00D970F7">
                    <w:rPr>
                      <w:spacing w:val="-6"/>
                      <w:lang w:val="en-GB"/>
                    </w:rPr>
                    <w:t>. Total nominal revenues of the government sector shrank year-on-year in half of the Union states. For outlays it concerned only Cyprus and their growth rate even strengthened in the half of states compared to the beginning of the last year (especially in countries of central and eastern Europe). The indebtedness rate in the EU continued in the descending tendency despite slowing growth of the economy for the most part of the last year. Turning point occurred already at the end of year 2020, when the indebtedness strengthened by 1.8 p.p. quarter-on-quarter (the most after year 2010) to the level of 79.5% of GDP. Negative development was more evident in the euro area countries (+2.2 p.p.), however 90% of Union states experienced at least a mild worsening. The indebtedness increased in 10 countries year-on-year – the most in Finland (+4.7 p.p.) and Romania (+3.6 p.p.), states strongly afflicted by the coronavirus epidemic (Spain, Italy, France, Belgium) were also included. In the CR, similarly to majority of its neighbours, the indebtedness mildly decreased. The CR thus held position of the fourth least indebted Union economy.</w:t>
                  </w:r>
                </w:p>
              </w:tc>
            </w:tr>
          </w:tbl>
          <w:p w14:paraId="0FE03365" w14:textId="77777777" w:rsidR="00C2211E" w:rsidRPr="00D970F7" w:rsidRDefault="00C2211E" w:rsidP="00C2211E">
            <w:pPr>
              <w:pStyle w:val="Nadpis11"/>
              <w:spacing w:after="0"/>
              <w:rPr>
                <w:b w:val="0"/>
                <w:sz w:val="2"/>
                <w:szCs w:val="2"/>
                <w:lang w:val="en-GB"/>
              </w:rPr>
            </w:pPr>
          </w:p>
          <w:p w14:paraId="2BA02236" w14:textId="2493F3E8" w:rsidR="00E42054" w:rsidRPr="00D970F7" w:rsidRDefault="00E42054" w:rsidP="00CF6F9C">
            <w:pPr>
              <w:pStyle w:val="Marginlie"/>
              <w:rPr>
                <w:lang w:val="en-GB"/>
              </w:rPr>
            </w:pPr>
          </w:p>
        </w:tc>
        <w:tc>
          <w:tcPr>
            <w:tcW w:w="217" w:type="dxa"/>
            <w:shd w:val="clear" w:color="auto" w:fill="auto"/>
            <w:tcMar>
              <w:left w:w="0" w:type="dxa"/>
            </w:tcMar>
          </w:tcPr>
          <w:p w14:paraId="394D2F49" w14:textId="77777777" w:rsidR="00E42054" w:rsidRPr="00D970F7" w:rsidRDefault="00E42054" w:rsidP="00CF6F9C">
            <w:pPr>
              <w:pStyle w:val="Textpoznpodarou"/>
              <w:jc w:val="both"/>
              <w:rPr>
                <w:spacing w:val="-4"/>
                <w:lang w:val="en-GB"/>
              </w:rPr>
            </w:pPr>
          </w:p>
        </w:tc>
        <w:tc>
          <w:tcPr>
            <w:tcW w:w="7720" w:type="dxa"/>
            <w:shd w:val="clear" w:color="auto" w:fill="auto"/>
            <w:tcMar>
              <w:left w:w="0" w:type="dxa"/>
            </w:tcMar>
          </w:tcPr>
          <w:p w14:paraId="611BC9CD" w14:textId="48209228" w:rsidR="00E42054" w:rsidRPr="00D970F7" w:rsidRDefault="00E42054" w:rsidP="00CF6F9C">
            <w:pPr>
              <w:spacing w:after="200"/>
              <w:rPr>
                <w:spacing w:val="-2"/>
                <w:lang w:val="en-GB"/>
              </w:rPr>
            </w:pPr>
          </w:p>
        </w:tc>
      </w:tr>
      <w:bookmarkEnd w:id="1"/>
    </w:tbl>
    <w:p w14:paraId="5BCF3DC5" w14:textId="004356BF" w:rsidR="00E42054" w:rsidRPr="00D970F7" w:rsidRDefault="00E42054" w:rsidP="00E42054">
      <w:pPr>
        <w:pStyle w:val="Nadpis11"/>
        <w:spacing w:after="0"/>
        <w:rPr>
          <w:b w:val="0"/>
          <w:sz w:val="2"/>
          <w:szCs w:val="2"/>
          <w:lang w:val="en-GB"/>
        </w:rPr>
      </w:pPr>
    </w:p>
    <w:sectPr w:rsidR="00E42054" w:rsidRPr="00D970F7" w:rsidSect="00BD3CEE">
      <w:headerReference w:type="even" r:id="rId11"/>
      <w:headerReference w:type="default" r:id="rId12"/>
      <w:footerReference w:type="even" r:id="rId13"/>
      <w:footerReference w:type="default" r:id="rId14"/>
      <w:pgSz w:w="11906" w:h="16838" w:code="9"/>
      <w:pgMar w:top="1134" w:right="1134" w:bottom="1418" w:left="1134" w:header="680" w:footer="737"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D0A8" w14:textId="77777777" w:rsidR="00227F77" w:rsidRDefault="00227F77" w:rsidP="00E71A58">
      <w:r>
        <w:separator/>
      </w:r>
    </w:p>
  </w:endnote>
  <w:endnote w:type="continuationSeparator" w:id="0">
    <w:p w14:paraId="28335520" w14:textId="77777777" w:rsidR="00227F77" w:rsidRDefault="00227F7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20DA7212" w:rsidR="00C2211E" w:rsidRPr="00932443" w:rsidRDefault="00C2211E"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D3CEE">
      <w:rPr>
        <w:szCs w:val="16"/>
      </w:rPr>
      <w:t>36</w:t>
    </w:r>
    <w:r w:rsidRPr="00932443">
      <w:rPr>
        <w:szCs w:val="16"/>
      </w:rPr>
      <w:fldChar w:fldCharType="end"/>
    </w:r>
    <w:r w:rsidRPr="00932443">
      <w:rPr>
        <w:szCs w:val="16"/>
      </w:rPr>
      <w:tab/>
    </w:r>
    <w:r>
      <w:rPr>
        <w:szCs w:val="16"/>
      </w:rPr>
      <w:t>First half of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5D790172" w:rsidR="00C2211E" w:rsidRPr="00932443" w:rsidRDefault="00C2211E" w:rsidP="00FA6CB6">
    <w:pPr>
      <w:pStyle w:val="Zpat"/>
      <w:rPr>
        <w:szCs w:val="16"/>
      </w:rPr>
    </w:pPr>
    <w:r w:rsidRPr="00FA6CB6">
      <w:rPr>
        <w:szCs w:val="16"/>
      </w:rPr>
      <w:tab/>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First half of 2020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D3CEE">
      <w:rPr>
        <w:rStyle w:val="ZpatChar"/>
        <w:szCs w:val="16"/>
      </w:rPr>
      <w:t>37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A33E" w14:textId="77777777" w:rsidR="00227F77" w:rsidRDefault="00227F77" w:rsidP="00A21B4D">
      <w:pPr>
        <w:spacing w:after="0"/>
      </w:pPr>
      <w:r>
        <w:separator/>
      </w:r>
    </w:p>
  </w:footnote>
  <w:footnote w:type="continuationSeparator" w:id="0">
    <w:p w14:paraId="728FE20B" w14:textId="77777777" w:rsidR="00227F77" w:rsidRDefault="00227F77" w:rsidP="00E71A58">
      <w:r>
        <w:continuationSeparator/>
      </w:r>
    </w:p>
  </w:footnote>
  <w:footnote w:id="1">
    <w:p w14:paraId="69A81C08" w14:textId="77777777" w:rsidR="00C2211E" w:rsidRPr="00191468" w:rsidRDefault="00C2211E" w:rsidP="00C2211E">
      <w:pPr>
        <w:pStyle w:val="Textpoznpodarou"/>
        <w:jc w:val="both"/>
        <w:rPr>
          <w:spacing w:val="-2"/>
          <w:sz w:val="16"/>
          <w:szCs w:val="16"/>
          <w:lang w:val="en-GB"/>
        </w:rPr>
      </w:pPr>
      <w:r w:rsidRPr="006E08B8">
        <w:rPr>
          <w:rStyle w:val="Znakapoznpodarou"/>
          <w:spacing w:val="-2"/>
          <w:sz w:val="16"/>
          <w:szCs w:val="16"/>
        </w:rPr>
        <w:footnoteRef/>
      </w:r>
      <w:r w:rsidRPr="006E08B8">
        <w:rPr>
          <w:spacing w:val="-2"/>
          <w:sz w:val="16"/>
          <w:szCs w:val="16"/>
        </w:rPr>
        <w:t xml:space="preserve"> </w:t>
      </w:r>
      <w:r w:rsidRPr="00191468">
        <w:rPr>
          <w:sz w:val="16"/>
          <w:szCs w:val="16"/>
          <w:lang w:val="en-GB"/>
        </w:rPr>
        <w:t>Unless stated otherwise, all data related to the state budget stem from the data of the Ministry of Finance regarding the cash fulfilment.</w:t>
      </w:r>
      <w:r w:rsidRPr="00191468">
        <w:rPr>
          <w:color w:val="0D0D0D" w:themeColor="text1" w:themeTint="F2"/>
          <w:spacing w:val="-2"/>
          <w:sz w:val="16"/>
          <w:szCs w:val="16"/>
          <w:lang w:val="en-GB"/>
        </w:rPr>
        <w:t xml:space="preserve"> </w:t>
      </w:r>
    </w:p>
  </w:footnote>
  <w:footnote w:id="2">
    <w:p w14:paraId="71485178" w14:textId="77777777" w:rsidR="00C2211E" w:rsidRPr="00191468" w:rsidRDefault="00C2211E" w:rsidP="00C2211E">
      <w:pPr>
        <w:pStyle w:val="Textpoznpodarou"/>
        <w:jc w:val="both"/>
        <w:rPr>
          <w:spacing w:val="-2"/>
          <w:sz w:val="16"/>
          <w:szCs w:val="16"/>
          <w:lang w:val="en-GB"/>
        </w:rPr>
      </w:pPr>
      <w:r w:rsidRPr="00191468">
        <w:rPr>
          <w:rStyle w:val="Znakapoznpodarou"/>
          <w:spacing w:val="-2"/>
          <w:sz w:val="16"/>
          <w:szCs w:val="16"/>
          <w:lang w:val="en-GB"/>
        </w:rPr>
        <w:footnoteRef/>
      </w:r>
      <w:r w:rsidRPr="00191468">
        <w:rPr>
          <w:spacing w:val="-2"/>
          <w:sz w:val="16"/>
          <w:szCs w:val="16"/>
          <w:lang w:val="en-GB"/>
        </w:rPr>
        <w:t xml:space="preserve"> This deficit in the amount of 40 CZK bn stemmed from Act on the state budget of the CR (</w:t>
      </w:r>
      <w:r>
        <w:rPr>
          <w:spacing w:val="-2"/>
          <w:sz w:val="16"/>
          <w:szCs w:val="16"/>
          <w:lang w:val="en-GB"/>
        </w:rPr>
        <w:t xml:space="preserve">approved on </w:t>
      </w:r>
      <w:r w:rsidRPr="00191468">
        <w:rPr>
          <w:spacing w:val="-2"/>
          <w:sz w:val="16"/>
          <w:szCs w:val="16"/>
          <w:lang w:val="en-GB"/>
        </w:rPr>
        <w:t>4</w:t>
      </w:r>
      <w:r w:rsidRPr="00931F9B">
        <w:rPr>
          <w:spacing w:val="-2"/>
          <w:sz w:val="16"/>
          <w:szCs w:val="16"/>
          <w:vertAlign w:val="superscript"/>
          <w:lang w:val="en-GB"/>
        </w:rPr>
        <w:t>th</w:t>
      </w:r>
      <w:r>
        <w:rPr>
          <w:spacing w:val="-2"/>
          <w:sz w:val="16"/>
          <w:szCs w:val="16"/>
          <w:lang w:val="en-GB"/>
        </w:rPr>
        <w:t xml:space="preserve"> December </w:t>
      </w:r>
      <w:r w:rsidRPr="00191468">
        <w:rPr>
          <w:spacing w:val="-2"/>
          <w:sz w:val="16"/>
          <w:szCs w:val="16"/>
          <w:lang w:val="en-GB"/>
        </w:rPr>
        <w:t>2019).</w:t>
      </w:r>
      <w:r>
        <w:rPr>
          <w:spacing w:val="-2"/>
          <w:sz w:val="16"/>
          <w:szCs w:val="16"/>
          <w:lang w:val="en-GB"/>
        </w:rPr>
        <w:t xml:space="preserve"> Acts expecting deepening of the deficit to 200, resp. 300 bn were approved in the course of March and April </w:t>
      </w:r>
      <w:r w:rsidRPr="00191468">
        <w:rPr>
          <w:color w:val="0D0D0D" w:themeColor="text1" w:themeTint="F2"/>
          <w:spacing w:val="-2"/>
          <w:sz w:val="16"/>
          <w:szCs w:val="16"/>
          <w:lang w:val="en-GB"/>
        </w:rPr>
        <w:t>2020</w:t>
      </w:r>
      <w:r>
        <w:rPr>
          <w:color w:val="0D0D0D" w:themeColor="text1" w:themeTint="F2"/>
          <w:spacing w:val="-2"/>
          <w:sz w:val="16"/>
          <w:szCs w:val="16"/>
          <w:lang w:val="en-GB"/>
        </w:rPr>
        <w:t xml:space="preserve">, deficit 500 bn was approved at the beginning of July. </w:t>
      </w:r>
    </w:p>
  </w:footnote>
  <w:footnote w:id="3">
    <w:p w14:paraId="7E6A5E61" w14:textId="77777777" w:rsidR="00C2211E" w:rsidRPr="00C55FC5" w:rsidRDefault="00C2211E" w:rsidP="00C2211E">
      <w:pPr>
        <w:pStyle w:val="Textpoznpodarou"/>
        <w:jc w:val="both"/>
        <w:rPr>
          <w:spacing w:val="-2"/>
          <w:sz w:val="16"/>
          <w:szCs w:val="16"/>
          <w:lang w:val="en-GB"/>
        </w:rPr>
      </w:pPr>
      <w:r w:rsidRPr="00C55FC5">
        <w:rPr>
          <w:rStyle w:val="Znakapoznpodarou"/>
          <w:spacing w:val="-2"/>
          <w:sz w:val="16"/>
          <w:szCs w:val="16"/>
          <w:lang w:val="en-GB"/>
        </w:rPr>
        <w:footnoteRef/>
      </w:r>
      <w:r w:rsidRPr="00C55FC5">
        <w:rPr>
          <w:spacing w:val="-2"/>
          <w:sz w:val="16"/>
          <w:szCs w:val="16"/>
          <w:lang w:val="en-GB"/>
        </w:rPr>
        <w:t xml:space="preserve"> </w:t>
      </w:r>
      <w:r>
        <w:rPr>
          <w:spacing w:val="-2"/>
          <w:sz w:val="16"/>
          <w:szCs w:val="16"/>
          <w:lang w:val="en-GB"/>
        </w:rPr>
        <w:t xml:space="preserve">It was mainly the remission of the June advance payment for both the income tax of natural persons (NP) and legal persons (LP), possibility to lodge the tax returns of NP and LP for year </w:t>
      </w:r>
      <w:r w:rsidRPr="00C55FC5">
        <w:rPr>
          <w:spacing w:val="-2"/>
          <w:sz w:val="16"/>
          <w:szCs w:val="16"/>
          <w:lang w:val="en-GB"/>
        </w:rPr>
        <w:t>2019</w:t>
      </w:r>
      <w:r>
        <w:rPr>
          <w:spacing w:val="-2"/>
          <w:sz w:val="16"/>
          <w:szCs w:val="16"/>
          <w:lang w:val="en-GB"/>
        </w:rPr>
        <w:t xml:space="preserve"> and its payment only on </w:t>
      </w:r>
      <w:r w:rsidRPr="00C55FC5">
        <w:rPr>
          <w:spacing w:val="-2"/>
          <w:sz w:val="16"/>
          <w:szCs w:val="16"/>
          <w:lang w:val="en-GB"/>
        </w:rPr>
        <w:t>18</w:t>
      </w:r>
      <w:r w:rsidRPr="004B2BB0">
        <w:rPr>
          <w:spacing w:val="-2"/>
          <w:sz w:val="16"/>
          <w:szCs w:val="16"/>
          <w:vertAlign w:val="superscript"/>
          <w:lang w:val="en-GB"/>
        </w:rPr>
        <w:t>th</w:t>
      </w:r>
      <w:r>
        <w:rPr>
          <w:spacing w:val="-2"/>
          <w:sz w:val="16"/>
          <w:szCs w:val="16"/>
          <w:lang w:val="en-GB"/>
        </w:rPr>
        <w:t xml:space="preserve"> August</w:t>
      </w:r>
      <w:r w:rsidRPr="00C55FC5">
        <w:rPr>
          <w:spacing w:val="-2"/>
          <w:sz w:val="16"/>
          <w:szCs w:val="16"/>
          <w:lang w:val="en-GB"/>
        </w:rPr>
        <w:t xml:space="preserve">, </w:t>
      </w:r>
      <w:r>
        <w:rPr>
          <w:spacing w:val="-2"/>
          <w:sz w:val="16"/>
          <w:szCs w:val="16"/>
          <w:lang w:val="en-GB"/>
        </w:rPr>
        <w:t>paid out compensations bonuses (especially self-employed</w:t>
      </w:r>
      <w:r w:rsidRPr="00C55FC5">
        <w:rPr>
          <w:spacing w:val="-2"/>
          <w:sz w:val="16"/>
          <w:szCs w:val="16"/>
          <w:lang w:val="en-GB"/>
        </w:rPr>
        <w:t>) a</w:t>
      </w:r>
      <w:r>
        <w:rPr>
          <w:spacing w:val="-2"/>
          <w:sz w:val="16"/>
          <w:szCs w:val="16"/>
          <w:lang w:val="en-GB"/>
        </w:rPr>
        <w:t>nd also longer term for part of VAT payments.</w:t>
      </w:r>
      <w:r w:rsidRPr="00C55FC5">
        <w:rPr>
          <w:spacing w:val="-2"/>
          <w:sz w:val="16"/>
          <w:szCs w:val="16"/>
          <w:lang w:val="en-GB"/>
        </w:rPr>
        <w:t xml:space="preserve"> </w:t>
      </w:r>
      <w:r>
        <w:rPr>
          <w:spacing w:val="-2"/>
          <w:sz w:val="16"/>
          <w:szCs w:val="16"/>
          <w:lang w:val="en-GB"/>
        </w:rPr>
        <w:t>According to the MF estimation, the above-mentioned amendments led to decrease of the state-wide tax collection by 53 CZK bn in H1</w:t>
      </w:r>
      <w:r w:rsidRPr="00C55FC5">
        <w:rPr>
          <w:spacing w:val="-2"/>
          <w:sz w:val="16"/>
          <w:szCs w:val="16"/>
          <w:lang w:val="en-GB"/>
        </w:rPr>
        <w:t>.</w:t>
      </w:r>
    </w:p>
  </w:footnote>
  <w:footnote w:id="4">
    <w:p w14:paraId="51B39DC2" w14:textId="77777777" w:rsidR="00C2211E" w:rsidRPr="00C55FC5" w:rsidRDefault="00C2211E" w:rsidP="00C2211E">
      <w:pPr>
        <w:pStyle w:val="Textpoznpodarou"/>
        <w:jc w:val="both"/>
        <w:rPr>
          <w:spacing w:val="-2"/>
          <w:sz w:val="16"/>
          <w:szCs w:val="16"/>
          <w:lang w:val="en-GB"/>
        </w:rPr>
      </w:pPr>
      <w:r w:rsidRPr="00C55FC5">
        <w:rPr>
          <w:rStyle w:val="Znakapoznpodarou"/>
          <w:spacing w:val="-2"/>
          <w:sz w:val="16"/>
          <w:szCs w:val="16"/>
          <w:lang w:val="en-GB"/>
        </w:rPr>
        <w:footnoteRef/>
      </w:r>
      <w:r w:rsidRPr="00C55FC5">
        <w:rPr>
          <w:spacing w:val="-2"/>
          <w:sz w:val="16"/>
          <w:szCs w:val="16"/>
          <w:lang w:val="en-GB"/>
        </w:rPr>
        <w:t xml:space="preserve"> </w:t>
      </w:r>
      <w:r>
        <w:rPr>
          <w:spacing w:val="-2"/>
          <w:sz w:val="16"/>
          <w:szCs w:val="16"/>
          <w:lang w:val="en-GB"/>
        </w:rPr>
        <w:t xml:space="preserve">It concerned mainly the regular public transport, heat, air conditioning and also food services. </w:t>
      </w:r>
    </w:p>
  </w:footnote>
  <w:footnote w:id="5">
    <w:p w14:paraId="72B7F251" w14:textId="77777777" w:rsidR="00C2211E" w:rsidRPr="00C55FC5" w:rsidRDefault="00C2211E" w:rsidP="00C2211E">
      <w:pPr>
        <w:pStyle w:val="Textpoznpodarou"/>
        <w:jc w:val="both"/>
        <w:rPr>
          <w:spacing w:val="-2"/>
          <w:sz w:val="16"/>
          <w:szCs w:val="16"/>
          <w:lang w:val="en-GB"/>
        </w:rPr>
      </w:pPr>
      <w:r w:rsidRPr="00C55FC5">
        <w:rPr>
          <w:rStyle w:val="Znakapoznpodarou"/>
          <w:spacing w:val="-2"/>
          <w:sz w:val="16"/>
          <w:szCs w:val="16"/>
          <w:lang w:val="en-GB"/>
        </w:rPr>
        <w:footnoteRef/>
      </w:r>
      <w:r w:rsidRPr="00C55FC5">
        <w:rPr>
          <w:spacing w:val="-2"/>
          <w:sz w:val="16"/>
          <w:szCs w:val="16"/>
          <w:lang w:val="en-GB"/>
        </w:rPr>
        <w:t xml:space="preserve"> In April, the consumption of diesel decreased by one fifth year-on-year,</w:t>
      </w:r>
      <w:r w:rsidRPr="00C55FC5">
        <w:rPr>
          <w:color w:val="0D0D0D" w:themeColor="text1" w:themeTint="F2"/>
          <w:sz w:val="16"/>
          <w:szCs w:val="16"/>
          <w:lang w:val="en-GB"/>
        </w:rPr>
        <w:t xml:space="preserve"> for petrol even by one third. The May decrease moderated to 9%, resp. 19%, for kerosene however the unprecedented fall further deepened (from 73% to 89%). Even though the consumption of all main oil products grew for the first two months of year </w:t>
      </w:r>
      <w:r w:rsidRPr="00C55FC5">
        <w:rPr>
          <w:spacing w:val="-4"/>
          <w:sz w:val="16"/>
          <w:szCs w:val="16"/>
          <w:lang w:val="en-GB"/>
        </w:rPr>
        <w:t>2020 (e.g. diesel +1.8%, petrol +0.4%).</w:t>
      </w:r>
    </w:p>
  </w:footnote>
  <w:footnote w:id="6">
    <w:p w14:paraId="15D7FB46" w14:textId="77777777" w:rsidR="00C2211E" w:rsidRPr="00DC1E31" w:rsidRDefault="00C2211E" w:rsidP="00C2211E">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DC1E31">
        <w:rPr>
          <w:sz w:val="16"/>
          <w:szCs w:val="16"/>
          <w:lang w:val="en-GB"/>
        </w:rPr>
        <w:t xml:space="preserve">Within the first half year, the total budget outlays grew the most in the period after year </w:t>
      </w:r>
      <w:r w:rsidRPr="00DC1E31">
        <w:rPr>
          <w:color w:val="0D0D0D" w:themeColor="text1" w:themeTint="F2"/>
          <w:sz w:val="16"/>
          <w:szCs w:val="16"/>
          <w:lang w:val="en-GB"/>
        </w:rPr>
        <w:t>2000 in year 2008 (by 12.5% year-on-year), when they were however accompanied by high inflation (year-on-year growth of consumer prices was 6.3% for the whole year 2008).</w:t>
      </w:r>
    </w:p>
  </w:footnote>
  <w:footnote w:id="7">
    <w:p w14:paraId="19CF6AFF" w14:textId="77777777" w:rsidR="00C2211E" w:rsidRPr="00DC1E31" w:rsidRDefault="00C2211E" w:rsidP="00C2211E">
      <w:pPr>
        <w:pStyle w:val="Textpoznpodarou"/>
        <w:jc w:val="both"/>
        <w:rPr>
          <w:sz w:val="16"/>
          <w:szCs w:val="16"/>
          <w:lang w:val="en-GB"/>
        </w:rPr>
      </w:pPr>
      <w:r w:rsidRPr="00DC1E31">
        <w:rPr>
          <w:rStyle w:val="Znakapoznpodarou"/>
          <w:sz w:val="16"/>
          <w:szCs w:val="16"/>
          <w:lang w:val="en-GB"/>
        </w:rPr>
        <w:footnoteRef/>
      </w:r>
      <w:r w:rsidRPr="00DC1E31">
        <w:rPr>
          <w:sz w:val="16"/>
          <w:szCs w:val="16"/>
          <w:lang w:val="en-GB"/>
        </w:rPr>
        <w:t xml:space="preserve"> </w:t>
      </w:r>
      <w:r>
        <w:rPr>
          <w:sz w:val="16"/>
          <w:szCs w:val="16"/>
          <w:lang w:val="en-GB"/>
        </w:rPr>
        <w:t>For H</w:t>
      </w:r>
      <w:r w:rsidRPr="00DC1E31">
        <w:rPr>
          <w:sz w:val="16"/>
          <w:szCs w:val="16"/>
          <w:lang w:val="en-GB"/>
        </w:rPr>
        <w:t>1</w:t>
      </w:r>
      <w:r>
        <w:rPr>
          <w:sz w:val="16"/>
          <w:szCs w:val="16"/>
          <w:lang w:val="en-GB"/>
        </w:rPr>
        <w:t xml:space="preserve"> </w:t>
      </w:r>
      <w:r w:rsidRPr="00DC1E31">
        <w:rPr>
          <w:sz w:val="16"/>
          <w:szCs w:val="16"/>
          <w:lang w:val="en-GB"/>
        </w:rPr>
        <w:t>2020</w:t>
      </w:r>
      <w:r>
        <w:rPr>
          <w:sz w:val="16"/>
          <w:szCs w:val="16"/>
          <w:lang w:val="en-GB"/>
        </w:rPr>
        <w:t xml:space="preserve"> it was especially programme </w:t>
      </w:r>
      <w:r w:rsidRPr="00DC1E31">
        <w:rPr>
          <w:color w:val="0D0D0D" w:themeColor="text1" w:themeTint="F2"/>
          <w:sz w:val="16"/>
          <w:szCs w:val="16"/>
          <w:lang w:val="en-GB"/>
        </w:rPr>
        <w:t>Antivirus (13</w:t>
      </w:r>
      <w:r>
        <w:rPr>
          <w:color w:val="0D0D0D" w:themeColor="text1" w:themeTint="F2"/>
          <w:sz w:val="16"/>
          <w:szCs w:val="16"/>
          <w:lang w:val="en-GB"/>
        </w:rPr>
        <w:t>.</w:t>
      </w:r>
      <w:r w:rsidRPr="00DC1E31">
        <w:rPr>
          <w:color w:val="0D0D0D" w:themeColor="text1" w:themeTint="F2"/>
          <w:sz w:val="16"/>
          <w:szCs w:val="16"/>
          <w:lang w:val="en-GB"/>
        </w:rPr>
        <w:t>6 </w:t>
      </w:r>
      <w:r>
        <w:rPr>
          <w:color w:val="0D0D0D" w:themeColor="text1" w:themeTint="F2"/>
          <w:sz w:val="16"/>
          <w:szCs w:val="16"/>
          <w:lang w:val="en-GB"/>
        </w:rPr>
        <w:t>CZK bn</w:t>
      </w:r>
      <w:r w:rsidRPr="00DC1E31">
        <w:rPr>
          <w:color w:val="0D0D0D" w:themeColor="text1" w:themeTint="F2"/>
          <w:sz w:val="16"/>
          <w:szCs w:val="16"/>
          <w:lang w:val="en-GB"/>
        </w:rPr>
        <w:t xml:space="preserve">), </w:t>
      </w:r>
      <w:r>
        <w:rPr>
          <w:color w:val="0D0D0D" w:themeColor="text1" w:themeTint="F2"/>
          <w:sz w:val="16"/>
          <w:szCs w:val="16"/>
          <w:lang w:val="en-GB"/>
        </w:rPr>
        <w:t xml:space="preserve">care benefits for employees and self-employed </w:t>
      </w:r>
      <w:r w:rsidRPr="00DC1E31">
        <w:rPr>
          <w:color w:val="0D0D0D" w:themeColor="text1" w:themeTint="F2"/>
          <w:sz w:val="16"/>
          <w:szCs w:val="16"/>
          <w:lang w:val="en-GB"/>
        </w:rPr>
        <w:t>(7</w:t>
      </w:r>
      <w:r>
        <w:rPr>
          <w:color w:val="0D0D0D" w:themeColor="text1" w:themeTint="F2"/>
          <w:sz w:val="16"/>
          <w:szCs w:val="16"/>
          <w:lang w:val="en-GB"/>
        </w:rPr>
        <w:t>.</w:t>
      </w:r>
      <w:r w:rsidRPr="00DC1E31">
        <w:rPr>
          <w:color w:val="0D0D0D" w:themeColor="text1" w:themeTint="F2"/>
          <w:sz w:val="16"/>
          <w:szCs w:val="16"/>
          <w:lang w:val="en-GB"/>
        </w:rPr>
        <w:t>9</w:t>
      </w:r>
      <w:r>
        <w:rPr>
          <w:color w:val="0D0D0D" w:themeColor="text1" w:themeTint="F2"/>
          <w:sz w:val="16"/>
          <w:szCs w:val="16"/>
          <w:lang w:val="en-GB"/>
        </w:rPr>
        <w:t xml:space="preserve"> bn</w:t>
      </w:r>
      <w:r w:rsidRPr="00DC1E31">
        <w:rPr>
          <w:color w:val="0D0D0D" w:themeColor="text1" w:themeTint="F2"/>
          <w:sz w:val="16"/>
          <w:szCs w:val="16"/>
          <w:lang w:val="en-GB"/>
        </w:rPr>
        <w:t>),</w:t>
      </w:r>
      <w:r>
        <w:rPr>
          <w:color w:val="0D0D0D" w:themeColor="text1" w:themeTint="F2"/>
          <w:sz w:val="16"/>
          <w:szCs w:val="16"/>
          <w:lang w:val="en-GB"/>
        </w:rPr>
        <w:t xml:space="preserve"> purchase of protective aids and other outlays in connection to </w:t>
      </w:r>
      <w:r w:rsidRPr="00DC1E31">
        <w:rPr>
          <w:color w:val="0D0D0D" w:themeColor="text1" w:themeTint="F2"/>
          <w:sz w:val="16"/>
          <w:szCs w:val="16"/>
          <w:lang w:val="en-GB"/>
        </w:rPr>
        <w:t>covid-19 (9</w:t>
      </w:r>
      <w:r>
        <w:rPr>
          <w:color w:val="0D0D0D" w:themeColor="text1" w:themeTint="F2"/>
          <w:sz w:val="16"/>
          <w:szCs w:val="16"/>
          <w:lang w:val="en-GB"/>
        </w:rPr>
        <w:t>.</w:t>
      </w:r>
      <w:r w:rsidRPr="00DC1E31">
        <w:rPr>
          <w:color w:val="0D0D0D" w:themeColor="text1" w:themeTint="F2"/>
          <w:sz w:val="16"/>
          <w:szCs w:val="16"/>
          <w:lang w:val="en-GB"/>
        </w:rPr>
        <w:t>6</w:t>
      </w:r>
      <w:r>
        <w:rPr>
          <w:color w:val="0D0D0D" w:themeColor="text1" w:themeTint="F2"/>
          <w:sz w:val="16"/>
          <w:szCs w:val="16"/>
          <w:lang w:val="en-GB"/>
        </w:rPr>
        <w:t xml:space="preserve"> bn</w:t>
      </w:r>
      <w:r w:rsidRPr="00DC1E31">
        <w:rPr>
          <w:color w:val="0D0D0D" w:themeColor="text1" w:themeTint="F2"/>
          <w:sz w:val="16"/>
          <w:szCs w:val="16"/>
          <w:lang w:val="en-GB"/>
        </w:rPr>
        <w:t xml:space="preserve">), </w:t>
      </w:r>
      <w:r>
        <w:rPr>
          <w:color w:val="0D0D0D" w:themeColor="text1" w:themeTint="F2"/>
          <w:sz w:val="16"/>
          <w:szCs w:val="16"/>
          <w:lang w:val="en-GB"/>
        </w:rPr>
        <w:t xml:space="preserve">debt relief for selected hospitals </w:t>
      </w:r>
      <w:r w:rsidRPr="00DC1E31">
        <w:rPr>
          <w:color w:val="0D0D0D" w:themeColor="text1" w:themeTint="F2"/>
          <w:sz w:val="16"/>
          <w:szCs w:val="16"/>
          <w:lang w:val="en-GB"/>
        </w:rPr>
        <w:t>(6</w:t>
      </w:r>
      <w:r>
        <w:rPr>
          <w:color w:val="0D0D0D" w:themeColor="text1" w:themeTint="F2"/>
          <w:sz w:val="16"/>
          <w:szCs w:val="16"/>
          <w:lang w:val="en-GB"/>
        </w:rPr>
        <w:t>.</w:t>
      </w:r>
      <w:r w:rsidRPr="00DC1E31">
        <w:rPr>
          <w:color w:val="0D0D0D" w:themeColor="text1" w:themeTint="F2"/>
          <w:sz w:val="16"/>
          <w:szCs w:val="16"/>
          <w:lang w:val="en-GB"/>
        </w:rPr>
        <w:t>6</w:t>
      </w:r>
      <w:r>
        <w:rPr>
          <w:color w:val="0D0D0D" w:themeColor="text1" w:themeTint="F2"/>
          <w:sz w:val="16"/>
          <w:szCs w:val="16"/>
          <w:lang w:val="en-GB"/>
        </w:rPr>
        <w:t xml:space="preserve"> bn</w:t>
      </w:r>
      <w:r w:rsidRPr="00DC1E31">
        <w:rPr>
          <w:color w:val="0D0D0D" w:themeColor="text1" w:themeTint="F2"/>
          <w:sz w:val="16"/>
          <w:szCs w:val="16"/>
          <w:lang w:val="en-GB"/>
        </w:rPr>
        <w:t>) a</w:t>
      </w:r>
      <w:r>
        <w:rPr>
          <w:color w:val="0D0D0D" w:themeColor="text1" w:themeTint="F2"/>
          <w:sz w:val="16"/>
          <w:szCs w:val="16"/>
          <w:lang w:val="en-GB"/>
        </w:rPr>
        <w:t xml:space="preserve">nd increase of the state payment per insured person </w:t>
      </w:r>
      <w:r w:rsidRPr="00DC1E31">
        <w:rPr>
          <w:color w:val="0D0D0D" w:themeColor="text1" w:themeTint="F2"/>
          <w:sz w:val="16"/>
          <w:szCs w:val="16"/>
          <w:lang w:val="en-GB"/>
        </w:rPr>
        <w:t>(3</w:t>
      </w:r>
      <w:r>
        <w:rPr>
          <w:color w:val="0D0D0D" w:themeColor="text1" w:themeTint="F2"/>
          <w:sz w:val="16"/>
          <w:szCs w:val="16"/>
          <w:lang w:val="en-GB"/>
        </w:rPr>
        <w:t>.</w:t>
      </w:r>
      <w:r w:rsidRPr="00DC1E31">
        <w:rPr>
          <w:color w:val="0D0D0D" w:themeColor="text1" w:themeTint="F2"/>
          <w:sz w:val="16"/>
          <w:szCs w:val="16"/>
          <w:lang w:val="en-GB"/>
        </w:rPr>
        <w:t>0 </w:t>
      </w:r>
      <w:r>
        <w:rPr>
          <w:color w:val="0D0D0D" w:themeColor="text1" w:themeTint="F2"/>
          <w:sz w:val="16"/>
          <w:szCs w:val="16"/>
          <w:lang w:val="en-GB"/>
        </w:rPr>
        <w:t>bn</w:t>
      </w:r>
      <w:r w:rsidRPr="00DC1E31">
        <w:rPr>
          <w:color w:val="0D0D0D" w:themeColor="text1" w:themeTint="F2"/>
          <w:sz w:val="16"/>
          <w:szCs w:val="16"/>
          <w:lang w:val="en-GB"/>
        </w:rPr>
        <w:t>).</w:t>
      </w:r>
    </w:p>
  </w:footnote>
  <w:footnote w:id="8">
    <w:p w14:paraId="454885D0" w14:textId="77777777" w:rsidR="00C2211E" w:rsidRPr="007C3CFE" w:rsidRDefault="00C2211E" w:rsidP="00C2211E">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7C3CFE">
        <w:rPr>
          <w:sz w:val="16"/>
          <w:szCs w:val="16"/>
          <w:lang w:val="en-GB"/>
        </w:rPr>
        <w:t>It had adverse effect on the considerable year-on-year deepening of the sickness insurance deficit (from –1.5 CZK bn to –13.0 CZK bn). It was even larger than for pension insurance for H1 2020.</w:t>
      </w:r>
    </w:p>
  </w:footnote>
  <w:footnote w:id="9">
    <w:p w14:paraId="0A4259DA" w14:textId="77777777" w:rsidR="00C2211E" w:rsidRPr="007C3CFE" w:rsidRDefault="00C2211E" w:rsidP="00C2211E">
      <w:pPr>
        <w:pStyle w:val="Textpoznpodarou"/>
        <w:jc w:val="both"/>
        <w:rPr>
          <w:sz w:val="16"/>
          <w:szCs w:val="16"/>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 xml:space="preserve">The ratio of unemployed applicants (on population in the productive age) was </w:t>
      </w:r>
      <w:r w:rsidRPr="007C3CFE">
        <w:rPr>
          <w:color w:val="0D0D0D" w:themeColor="text1" w:themeTint="F2"/>
          <w:spacing w:val="-2"/>
          <w:sz w:val="16"/>
          <w:szCs w:val="16"/>
          <w:lang w:val="en-GB"/>
        </w:rPr>
        <w:t>3</w:t>
      </w:r>
      <w:r>
        <w:rPr>
          <w:color w:val="0D0D0D" w:themeColor="text1" w:themeTint="F2"/>
          <w:spacing w:val="-2"/>
          <w:sz w:val="16"/>
          <w:szCs w:val="16"/>
          <w:lang w:val="en-GB"/>
        </w:rPr>
        <w:t>.</w:t>
      </w:r>
      <w:r w:rsidRPr="007C3CFE">
        <w:rPr>
          <w:color w:val="0D0D0D" w:themeColor="text1" w:themeTint="F2"/>
          <w:spacing w:val="-2"/>
          <w:sz w:val="16"/>
          <w:szCs w:val="16"/>
          <w:lang w:val="en-GB"/>
        </w:rPr>
        <w:t>7%</w:t>
      </w:r>
      <w:r>
        <w:rPr>
          <w:color w:val="0D0D0D" w:themeColor="text1" w:themeTint="F2"/>
          <w:spacing w:val="-2"/>
          <w:sz w:val="16"/>
          <w:szCs w:val="16"/>
          <w:lang w:val="en-GB"/>
        </w:rPr>
        <w:t xml:space="preserve"> at the end of June and it rose by </w:t>
      </w:r>
      <w:r w:rsidRPr="007C3CFE">
        <w:rPr>
          <w:color w:val="0D0D0D" w:themeColor="text1" w:themeTint="F2"/>
          <w:spacing w:val="-2"/>
          <w:sz w:val="16"/>
          <w:szCs w:val="16"/>
          <w:lang w:val="en-GB"/>
        </w:rPr>
        <w:t>1</w:t>
      </w:r>
      <w:r>
        <w:rPr>
          <w:color w:val="0D0D0D" w:themeColor="text1" w:themeTint="F2"/>
          <w:spacing w:val="-2"/>
          <w:sz w:val="16"/>
          <w:szCs w:val="16"/>
          <w:lang w:val="en-GB"/>
        </w:rPr>
        <w:t>.</w:t>
      </w:r>
      <w:r w:rsidRPr="007C3CFE">
        <w:rPr>
          <w:color w:val="0D0D0D" w:themeColor="text1" w:themeTint="F2"/>
          <w:spacing w:val="-2"/>
          <w:sz w:val="16"/>
          <w:szCs w:val="16"/>
          <w:lang w:val="en-GB"/>
        </w:rPr>
        <w:t>1</w:t>
      </w:r>
      <w:r>
        <w:rPr>
          <w:color w:val="0D0D0D" w:themeColor="text1" w:themeTint="F2"/>
          <w:spacing w:val="-2"/>
          <w:sz w:val="16"/>
          <w:szCs w:val="16"/>
          <w:lang w:val="en-GB"/>
        </w:rPr>
        <w:t xml:space="preserve"> </w:t>
      </w:r>
      <w:r w:rsidRPr="007C3CFE">
        <w:rPr>
          <w:color w:val="0D0D0D" w:themeColor="text1" w:themeTint="F2"/>
          <w:spacing w:val="-2"/>
          <w:sz w:val="16"/>
          <w:szCs w:val="16"/>
          <w:lang w:val="en-GB"/>
        </w:rPr>
        <w:t>p.</w:t>
      </w:r>
      <w:r>
        <w:rPr>
          <w:color w:val="0D0D0D" w:themeColor="text1" w:themeTint="F2"/>
          <w:spacing w:val="-2"/>
          <w:sz w:val="16"/>
          <w:szCs w:val="16"/>
          <w:lang w:val="en-GB"/>
        </w:rPr>
        <w:t xml:space="preserve">p. year-on-year. Number of applicants entitled to unemployment benefits expanded from </w:t>
      </w:r>
      <w:r w:rsidRPr="007C3CFE">
        <w:rPr>
          <w:color w:val="0D0D0D" w:themeColor="text1" w:themeTint="F2"/>
          <w:spacing w:val="-2"/>
          <w:sz w:val="16"/>
          <w:szCs w:val="16"/>
          <w:lang w:val="en-GB"/>
        </w:rPr>
        <w:t xml:space="preserve">68 </w:t>
      </w:r>
      <w:r>
        <w:rPr>
          <w:color w:val="0D0D0D" w:themeColor="text1" w:themeTint="F2"/>
          <w:spacing w:val="-2"/>
          <w:sz w:val="16"/>
          <w:szCs w:val="16"/>
          <w:lang w:val="en-GB"/>
        </w:rPr>
        <w:t>to</w:t>
      </w:r>
      <w:r w:rsidRPr="007C3CFE">
        <w:rPr>
          <w:color w:val="0D0D0D" w:themeColor="text1" w:themeTint="F2"/>
          <w:spacing w:val="-2"/>
          <w:sz w:val="16"/>
          <w:szCs w:val="16"/>
          <w:lang w:val="en-GB"/>
        </w:rPr>
        <w:t xml:space="preserve"> 93 t</w:t>
      </w:r>
      <w:r>
        <w:rPr>
          <w:color w:val="0D0D0D" w:themeColor="text1" w:themeTint="F2"/>
          <w:spacing w:val="-2"/>
          <w:sz w:val="16"/>
          <w:szCs w:val="16"/>
          <w:lang w:val="en-GB"/>
        </w:rPr>
        <w:t xml:space="preserve">housand, their proportion on all unemployed remained the same for the last two years </w:t>
      </w:r>
      <w:r w:rsidRPr="007C3CFE">
        <w:rPr>
          <w:color w:val="0D0D0D" w:themeColor="text1" w:themeTint="F2"/>
          <w:spacing w:val="-2"/>
          <w:sz w:val="16"/>
          <w:szCs w:val="16"/>
          <w:lang w:val="en-GB"/>
        </w:rPr>
        <w:t>(35%).</w:t>
      </w:r>
    </w:p>
  </w:footnote>
  <w:footnote w:id="10">
    <w:p w14:paraId="2E7DB924" w14:textId="77777777" w:rsidR="00C2211E" w:rsidRPr="007C3CFE" w:rsidRDefault="00C2211E" w:rsidP="00C2211E">
      <w:pPr>
        <w:pStyle w:val="Textpoznpodarou"/>
        <w:jc w:val="both"/>
        <w:rPr>
          <w:sz w:val="16"/>
          <w:szCs w:val="16"/>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 xml:space="preserve">It was the effect of development mainly in May and June </w:t>
      </w:r>
      <w:r w:rsidRPr="007C3CFE">
        <w:rPr>
          <w:color w:val="0D0D0D" w:themeColor="text1" w:themeTint="F2"/>
          <w:sz w:val="16"/>
          <w:szCs w:val="16"/>
          <w:lang w:val="en-GB"/>
        </w:rPr>
        <w:t xml:space="preserve">2020, </w:t>
      </w:r>
      <w:r>
        <w:rPr>
          <w:color w:val="0D0D0D" w:themeColor="text1" w:themeTint="F2"/>
          <w:sz w:val="16"/>
          <w:szCs w:val="16"/>
          <w:lang w:val="en-GB"/>
        </w:rPr>
        <w:t xml:space="preserve">when the volume of unemployment benefits enlarged by </w:t>
      </w:r>
      <w:r w:rsidRPr="007C3CFE">
        <w:rPr>
          <w:color w:val="0D0D0D" w:themeColor="text1" w:themeTint="F2"/>
          <w:sz w:val="16"/>
          <w:szCs w:val="16"/>
          <w:lang w:val="en-GB"/>
        </w:rPr>
        <w:t>47%, resp. 71%</w:t>
      </w:r>
      <w:r>
        <w:rPr>
          <w:color w:val="0D0D0D" w:themeColor="text1" w:themeTint="F2"/>
          <w:sz w:val="16"/>
          <w:szCs w:val="16"/>
          <w:lang w:val="en-GB"/>
        </w:rPr>
        <w:t xml:space="preserve"> year-on-year</w:t>
      </w:r>
      <w:r w:rsidRPr="007C3CFE">
        <w:rPr>
          <w:color w:val="0D0D0D" w:themeColor="text1" w:themeTint="F2"/>
          <w:sz w:val="16"/>
          <w:szCs w:val="16"/>
          <w:lang w:val="en-GB"/>
        </w:rPr>
        <w:t>.</w:t>
      </w:r>
    </w:p>
  </w:footnote>
  <w:footnote w:id="11">
    <w:p w14:paraId="283475B8" w14:textId="77777777" w:rsidR="00C2211E" w:rsidRPr="007C3CFE" w:rsidRDefault="00C2211E" w:rsidP="00C2211E">
      <w:pPr>
        <w:pStyle w:val="Textpoznpodarou"/>
        <w:jc w:val="both"/>
        <w:rPr>
          <w:sz w:val="16"/>
          <w:szCs w:val="16"/>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 xml:space="preserve">The development in Q1 2020 stood behind the favourable result </w:t>
      </w:r>
      <w:r w:rsidRPr="007C3CFE">
        <w:rPr>
          <w:color w:val="0D0D0D" w:themeColor="text1" w:themeTint="F2"/>
          <w:sz w:val="16"/>
          <w:szCs w:val="16"/>
          <w:lang w:val="en-GB"/>
        </w:rPr>
        <w:t xml:space="preserve">(–11%), </w:t>
      </w:r>
      <w:r>
        <w:rPr>
          <w:color w:val="0D0D0D" w:themeColor="text1" w:themeTint="F2"/>
          <w:sz w:val="16"/>
          <w:szCs w:val="16"/>
          <w:lang w:val="en-GB"/>
        </w:rPr>
        <w:t xml:space="preserve">the volume of claimed benefits already increased year-on-year in Q2 </w:t>
      </w:r>
      <w:r w:rsidRPr="007C3CFE">
        <w:rPr>
          <w:color w:val="0D0D0D" w:themeColor="text1" w:themeTint="F2"/>
          <w:sz w:val="16"/>
          <w:szCs w:val="16"/>
          <w:lang w:val="en-GB"/>
        </w:rPr>
        <w:t>(+7%).</w:t>
      </w:r>
    </w:p>
  </w:footnote>
  <w:footnote w:id="12">
    <w:p w14:paraId="7F94CCF0" w14:textId="77777777" w:rsidR="00C2211E" w:rsidRPr="007C3CFE" w:rsidRDefault="00C2211E" w:rsidP="00C2211E">
      <w:pPr>
        <w:pStyle w:val="Textpoznpodarou"/>
        <w:jc w:val="both"/>
        <w:rPr>
          <w:sz w:val="16"/>
          <w:szCs w:val="16"/>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 xml:space="preserve">Basic pension assessment increased by </w:t>
      </w:r>
      <w:r w:rsidRPr="007C3CFE">
        <w:rPr>
          <w:color w:val="0D0D0D" w:themeColor="text1" w:themeTint="F2"/>
          <w:spacing w:val="-2"/>
          <w:sz w:val="16"/>
          <w:szCs w:val="16"/>
          <w:lang w:val="en-GB"/>
        </w:rPr>
        <w:t>220 </w:t>
      </w:r>
      <w:r>
        <w:rPr>
          <w:color w:val="0D0D0D" w:themeColor="text1" w:themeTint="F2"/>
          <w:spacing w:val="-2"/>
          <w:sz w:val="16"/>
          <w:szCs w:val="16"/>
          <w:lang w:val="en-GB"/>
        </w:rPr>
        <w:t xml:space="preserve">CZK </w:t>
      </w:r>
      <w:r w:rsidRPr="007C3CFE">
        <w:rPr>
          <w:color w:val="0D0D0D" w:themeColor="text1" w:themeTint="F2"/>
          <w:spacing w:val="-2"/>
          <w:sz w:val="16"/>
          <w:szCs w:val="16"/>
          <w:lang w:val="en-GB"/>
        </w:rPr>
        <w:t>(3 490 </w:t>
      </w:r>
      <w:r>
        <w:rPr>
          <w:color w:val="0D0D0D" w:themeColor="text1" w:themeTint="F2"/>
          <w:spacing w:val="-2"/>
          <w:sz w:val="16"/>
          <w:szCs w:val="16"/>
          <w:lang w:val="en-GB"/>
        </w:rPr>
        <w:t>CZK</w:t>
      </w:r>
      <w:r w:rsidRPr="007C3CFE">
        <w:rPr>
          <w:color w:val="0D0D0D" w:themeColor="text1" w:themeTint="F2"/>
          <w:spacing w:val="-2"/>
          <w:sz w:val="16"/>
          <w:szCs w:val="16"/>
          <w:lang w:val="en-GB"/>
        </w:rPr>
        <w:t xml:space="preserve">), </w:t>
      </w:r>
      <w:r>
        <w:rPr>
          <w:color w:val="0D0D0D" w:themeColor="text1" w:themeTint="F2"/>
          <w:spacing w:val="-2"/>
          <w:sz w:val="16"/>
          <w:szCs w:val="16"/>
          <w:lang w:val="en-GB"/>
        </w:rPr>
        <w:t xml:space="preserve">percentage assessment increased by </w:t>
      </w:r>
      <w:r w:rsidRPr="007C3CFE">
        <w:rPr>
          <w:color w:val="0D0D0D" w:themeColor="text1" w:themeTint="F2"/>
          <w:spacing w:val="-2"/>
          <w:sz w:val="16"/>
          <w:szCs w:val="16"/>
          <w:lang w:val="en-GB"/>
        </w:rPr>
        <w:t>5</w:t>
      </w:r>
      <w:r>
        <w:rPr>
          <w:color w:val="0D0D0D" w:themeColor="text1" w:themeTint="F2"/>
          <w:spacing w:val="-2"/>
          <w:sz w:val="16"/>
          <w:szCs w:val="16"/>
          <w:lang w:val="en-GB"/>
        </w:rPr>
        <w:t>.</w:t>
      </w:r>
      <w:r w:rsidRPr="007C3CFE">
        <w:rPr>
          <w:color w:val="0D0D0D" w:themeColor="text1" w:themeTint="F2"/>
          <w:spacing w:val="-2"/>
          <w:sz w:val="16"/>
          <w:szCs w:val="16"/>
          <w:lang w:val="en-GB"/>
        </w:rPr>
        <w:t>2%</w:t>
      </w:r>
      <w:r>
        <w:rPr>
          <w:color w:val="0D0D0D" w:themeColor="text1" w:themeTint="F2"/>
          <w:spacing w:val="-2"/>
          <w:sz w:val="16"/>
          <w:szCs w:val="16"/>
          <w:lang w:val="en-GB"/>
        </w:rPr>
        <w:t xml:space="preserve"> and an additional amount of </w:t>
      </w:r>
      <w:r w:rsidRPr="007C3CFE">
        <w:rPr>
          <w:color w:val="0D0D0D" w:themeColor="text1" w:themeTint="F2"/>
          <w:spacing w:val="-2"/>
          <w:sz w:val="16"/>
          <w:szCs w:val="16"/>
          <w:lang w:val="en-GB"/>
        </w:rPr>
        <w:t>151 </w:t>
      </w:r>
      <w:r>
        <w:rPr>
          <w:color w:val="0D0D0D" w:themeColor="text1" w:themeTint="F2"/>
          <w:spacing w:val="-2"/>
          <w:sz w:val="16"/>
          <w:szCs w:val="16"/>
          <w:lang w:val="en-GB"/>
        </w:rPr>
        <w:t>CZK</w:t>
      </w:r>
      <w:r w:rsidRPr="007C3CFE">
        <w:rPr>
          <w:color w:val="0D0D0D" w:themeColor="text1" w:themeTint="F2"/>
          <w:spacing w:val="-2"/>
          <w:sz w:val="16"/>
          <w:szCs w:val="16"/>
          <w:lang w:val="en-GB"/>
        </w:rPr>
        <w:t xml:space="preserve">. </w:t>
      </w:r>
      <w:r>
        <w:rPr>
          <w:color w:val="0D0D0D" w:themeColor="text1" w:themeTint="F2"/>
          <w:spacing w:val="-2"/>
          <w:sz w:val="16"/>
          <w:szCs w:val="16"/>
          <w:lang w:val="en-GB"/>
        </w:rPr>
        <w:t>Based on the CSSA data, the average monthly old age pension (alone) was</w:t>
      </w:r>
      <w:r w:rsidRPr="007C3CFE">
        <w:rPr>
          <w:color w:val="0D0D0D" w:themeColor="text1" w:themeTint="F2"/>
          <w:spacing w:val="-2"/>
          <w:sz w:val="16"/>
          <w:szCs w:val="16"/>
          <w:lang w:val="en-GB"/>
        </w:rPr>
        <w:t xml:space="preserve"> 14 427 </w:t>
      </w:r>
      <w:r>
        <w:rPr>
          <w:color w:val="0D0D0D" w:themeColor="text1" w:themeTint="F2"/>
          <w:spacing w:val="-2"/>
          <w:sz w:val="16"/>
          <w:szCs w:val="16"/>
          <w:lang w:val="en-GB"/>
        </w:rPr>
        <w:t>CZK in Q2</w:t>
      </w:r>
      <w:r w:rsidRPr="007C3CFE">
        <w:rPr>
          <w:color w:val="0D0D0D" w:themeColor="text1" w:themeTint="F2"/>
          <w:spacing w:val="-2"/>
          <w:sz w:val="16"/>
          <w:szCs w:val="16"/>
          <w:lang w:val="en-GB"/>
        </w:rPr>
        <w:t xml:space="preserve">, </w:t>
      </w:r>
      <w:r>
        <w:rPr>
          <w:color w:val="0D0D0D" w:themeColor="text1" w:themeTint="F2"/>
          <w:spacing w:val="-2"/>
          <w:sz w:val="16"/>
          <w:szCs w:val="16"/>
          <w:lang w:val="en-GB"/>
        </w:rPr>
        <w:t xml:space="preserve">by </w:t>
      </w:r>
      <w:r w:rsidRPr="007C3CFE">
        <w:rPr>
          <w:color w:val="0D0D0D" w:themeColor="text1" w:themeTint="F2"/>
          <w:spacing w:val="-2"/>
          <w:sz w:val="16"/>
          <w:szCs w:val="16"/>
          <w:lang w:val="en-GB"/>
        </w:rPr>
        <w:t>1 019 </w:t>
      </w:r>
      <w:r>
        <w:rPr>
          <w:color w:val="0D0D0D" w:themeColor="text1" w:themeTint="F2"/>
          <w:spacing w:val="-2"/>
          <w:sz w:val="16"/>
          <w:szCs w:val="16"/>
          <w:lang w:val="en-GB"/>
        </w:rPr>
        <w:t>more year-on-year</w:t>
      </w:r>
      <w:r w:rsidRPr="007C3CFE">
        <w:rPr>
          <w:color w:val="0D0D0D" w:themeColor="text1" w:themeTint="F2"/>
          <w:spacing w:val="-2"/>
          <w:sz w:val="16"/>
          <w:szCs w:val="16"/>
          <w:lang w:val="en-GB"/>
        </w:rPr>
        <w:t>.</w:t>
      </w:r>
    </w:p>
  </w:footnote>
  <w:footnote w:id="13">
    <w:p w14:paraId="0A86FCC4" w14:textId="77777777" w:rsidR="00C2211E" w:rsidRPr="007C3CFE" w:rsidRDefault="00C2211E" w:rsidP="00C2211E">
      <w:pPr>
        <w:pStyle w:val="Textpoznpodarou"/>
        <w:jc w:val="both"/>
        <w:rPr>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 xml:space="preserve">It was related to the cancellation of minimal advance deposit for self-employed on social security insurance with the estimated budget impact in the amount of </w:t>
      </w:r>
      <w:r w:rsidRPr="007C3CFE">
        <w:rPr>
          <w:color w:val="0D0D0D" w:themeColor="text1" w:themeTint="F2"/>
          <w:spacing w:val="-2"/>
          <w:sz w:val="16"/>
          <w:szCs w:val="16"/>
          <w:lang w:val="en-GB"/>
        </w:rPr>
        <w:t>4</w:t>
      </w:r>
      <w:r>
        <w:rPr>
          <w:color w:val="0D0D0D" w:themeColor="text1" w:themeTint="F2"/>
          <w:spacing w:val="-2"/>
          <w:sz w:val="16"/>
          <w:szCs w:val="16"/>
          <w:lang w:val="en-GB"/>
        </w:rPr>
        <w:t>.</w:t>
      </w:r>
      <w:r w:rsidRPr="007C3CFE">
        <w:rPr>
          <w:color w:val="0D0D0D" w:themeColor="text1" w:themeTint="F2"/>
          <w:spacing w:val="-2"/>
          <w:sz w:val="16"/>
          <w:szCs w:val="16"/>
          <w:lang w:val="en-GB"/>
        </w:rPr>
        <w:t>8</w:t>
      </w:r>
      <w:r>
        <w:rPr>
          <w:color w:val="0D0D0D" w:themeColor="text1" w:themeTint="F2"/>
          <w:spacing w:val="-2"/>
          <w:sz w:val="16"/>
          <w:szCs w:val="16"/>
          <w:lang w:val="en-GB"/>
        </w:rPr>
        <w:t xml:space="preserve"> CZK bn </w:t>
      </w:r>
      <w:r w:rsidRPr="007C3CFE">
        <w:rPr>
          <w:color w:val="0D0D0D" w:themeColor="text1" w:themeTint="F2"/>
          <w:spacing w:val="-2"/>
          <w:sz w:val="16"/>
          <w:szCs w:val="16"/>
          <w:lang w:val="en-GB"/>
        </w:rPr>
        <w:t>(</w:t>
      </w:r>
      <w:r>
        <w:rPr>
          <w:color w:val="0D0D0D" w:themeColor="text1" w:themeTint="F2"/>
          <w:spacing w:val="-2"/>
          <w:sz w:val="16"/>
          <w:szCs w:val="16"/>
          <w:lang w:val="en-GB"/>
        </w:rPr>
        <w:t xml:space="preserve">based on the </w:t>
      </w:r>
      <w:r w:rsidRPr="007C3CFE">
        <w:rPr>
          <w:color w:val="0D0D0D" w:themeColor="text1" w:themeTint="F2"/>
          <w:spacing w:val="-2"/>
          <w:sz w:val="16"/>
          <w:szCs w:val="16"/>
          <w:lang w:val="en-GB"/>
        </w:rPr>
        <w:t>MF).</w:t>
      </w:r>
    </w:p>
  </w:footnote>
  <w:footnote w:id="14">
    <w:p w14:paraId="779B9C21" w14:textId="77777777" w:rsidR="00C2211E" w:rsidRPr="007C3CFE" w:rsidRDefault="00C2211E" w:rsidP="00C2211E">
      <w:pPr>
        <w:pStyle w:val="Textpoznpodarou"/>
        <w:jc w:val="both"/>
        <w:rPr>
          <w:lang w:val="en-GB"/>
        </w:rPr>
      </w:pPr>
      <w:r w:rsidRPr="007C3CFE">
        <w:rPr>
          <w:rStyle w:val="Znakapoznpodarou"/>
          <w:sz w:val="16"/>
          <w:szCs w:val="16"/>
          <w:lang w:val="en-GB"/>
        </w:rPr>
        <w:footnoteRef/>
      </w:r>
      <w:r w:rsidRPr="007C3CFE">
        <w:rPr>
          <w:sz w:val="16"/>
          <w:szCs w:val="16"/>
          <w:lang w:val="en-GB"/>
        </w:rPr>
        <w:t xml:space="preserve"> </w:t>
      </w:r>
      <w:r>
        <w:rPr>
          <w:sz w:val="16"/>
          <w:szCs w:val="16"/>
          <w:lang w:val="en-GB"/>
        </w:rPr>
        <w:t>It is expressed as the difference between revenues and expenditures on pensions from the SB. Expenditures on administration of the pension insurance system are not included in the expenditures (they arrived at 6.3 CZK bn based on the MF data in 2019).</w:t>
      </w:r>
    </w:p>
  </w:footnote>
  <w:footnote w:id="15">
    <w:p w14:paraId="27C18F48" w14:textId="77777777" w:rsidR="00C2211E" w:rsidRPr="00AE1C48" w:rsidRDefault="00C2211E" w:rsidP="00C2211E">
      <w:pPr>
        <w:pStyle w:val="Textpoznpodarou"/>
        <w:jc w:val="both"/>
        <w:rPr>
          <w:sz w:val="16"/>
          <w:szCs w:val="16"/>
          <w:lang w:val="en-GB"/>
        </w:rPr>
      </w:pPr>
      <w:r w:rsidRPr="007B46E1">
        <w:rPr>
          <w:rStyle w:val="Znakapoznpodarou"/>
          <w:sz w:val="16"/>
          <w:szCs w:val="16"/>
        </w:rPr>
        <w:footnoteRef/>
      </w:r>
      <w:r w:rsidRPr="007B46E1">
        <w:rPr>
          <w:sz w:val="16"/>
          <w:szCs w:val="16"/>
        </w:rPr>
        <w:t xml:space="preserve"> </w:t>
      </w:r>
      <w:r w:rsidRPr="00AE1C48">
        <w:rPr>
          <w:color w:val="0D0D0D" w:themeColor="text1" w:themeTint="F2"/>
          <w:sz w:val="16"/>
          <w:szCs w:val="16"/>
          <w:lang w:val="en-GB"/>
        </w:rPr>
        <w:t>Their average annual yield was 1.15%, average maturity then 5.5 years.</w:t>
      </w:r>
    </w:p>
  </w:footnote>
  <w:footnote w:id="16">
    <w:p w14:paraId="47A28935" w14:textId="77777777" w:rsidR="00C2211E" w:rsidRPr="00AE1C48" w:rsidRDefault="00C2211E" w:rsidP="00C2211E">
      <w:pPr>
        <w:pStyle w:val="Textpoznpodarou"/>
        <w:jc w:val="both"/>
        <w:rPr>
          <w:sz w:val="16"/>
          <w:szCs w:val="16"/>
          <w:lang w:val="en-GB"/>
        </w:rPr>
      </w:pPr>
      <w:r w:rsidRPr="00AE1C48">
        <w:rPr>
          <w:rStyle w:val="Znakapoznpodarou"/>
          <w:sz w:val="16"/>
          <w:szCs w:val="16"/>
          <w:lang w:val="en-GB"/>
        </w:rPr>
        <w:footnoteRef/>
      </w:r>
      <w:r w:rsidRPr="00AE1C48">
        <w:rPr>
          <w:sz w:val="16"/>
          <w:szCs w:val="16"/>
          <w:lang w:val="en-GB"/>
        </w:rPr>
        <w:t xml:space="preserve"> </w:t>
      </w:r>
      <w:r>
        <w:rPr>
          <w:sz w:val="16"/>
          <w:szCs w:val="16"/>
          <w:lang w:val="en-GB"/>
        </w:rPr>
        <w:t xml:space="preserve">Corresponds to the balance of the budget chapter State debt </w:t>
      </w:r>
      <w:r w:rsidRPr="00AE1C48">
        <w:rPr>
          <w:color w:val="0D0D0D" w:themeColor="text1" w:themeTint="F2"/>
          <w:sz w:val="16"/>
          <w:szCs w:val="16"/>
          <w:lang w:val="en-GB"/>
        </w:rPr>
        <w:t>(</w:t>
      </w:r>
      <w:r>
        <w:rPr>
          <w:color w:val="0D0D0D" w:themeColor="text1" w:themeTint="F2"/>
          <w:sz w:val="16"/>
          <w:szCs w:val="16"/>
          <w:lang w:val="en-GB"/>
        </w:rPr>
        <w:t>no.</w:t>
      </w:r>
      <w:r w:rsidRPr="00AE1C48">
        <w:rPr>
          <w:color w:val="0D0D0D" w:themeColor="text1" w:themeTint="F2"/>
          <w:sz w:val="16"/>
          <w:szCs w:val="16"/>
          <w:lang w:val="en-GB"/>
        </w:rPr>
        <w:t xml:space="preserve">396). </w:t>
      </w:r>
      <w:r>
        <w:rPr>
          <w:color w:val="0D0D0D" w:themeColor="text1" w:themeTint="F2"/>
          <w:sz w:val="16"/>
          <w:szCs w:val="16"/>
          <w:lang w:val="en-GB"/>
        </w:rPr>
        <w:t xml:space="preserve">It consists of net interest outlays and also fees. </w:t>
      </w:r>
    </w:p>
  </w:footnote>
  <w:footnote w:id="17">
    <w:p w14:paraId="41769E1B" w14:textId="77777777" w:rsidR="00C2211E" w:rsidRPr="00E67EDD" w:rsidRDefault="00C2211E" w:rsidP="00C2211E">
      <w:pPr>
        <w:pStyle w:val="Textpoznpodarou"/>
        <w:jc w:val="both"/>
        <w:rPr>
          <w:color w:val="0D0D0D" w:themeColor="text1" w:themeTint="F2"/>
          <w:spacing w:val="-4"/>
          <w:sz w:val="16"/>
          <w:szCs w:val="16"/>
          <w:lang w:val="en-GB"/>
        </w:rPr>
      </w:pPr>
      <w:r w:rsidRPr="00D815C6">
        <w:rPr>
          <w:rStyle w:val="Znakapoznpodarou"/>
          <w:color w:val="0D0D0D" w:themeColor="text1" w:themeTint="F2"/>
          <w:spacing w:val="-4"/>
          <w:sz w:val="16"/>
          <w:szCs w:val="16"/>
        </w:rPr>
        <w:footnoteRef/>
      </w:r>
      <w:r w:rsidRPr="00D815C6">
        <w:rPr>
          <w:color w:val="0D0D0D" w:themeColor="text1" w:themeTint="F2"/>
          <w:spacing w:val="-4"/>
          <w:sz w:val="16"/>
          <w:szCs w:val="16"/>
        </w:rPr>
        <w:t xml:space="preserve"> </w:t>
      </w:r>
      <w:r w:rsidRPr="00E67EDD">
        <w:rPr>
          <w:color w:val="0D0D0D" w:themeColor="text1" w:themeTint="F2"/>
          <w:spacing w:val="-2"/>
          <w:sz w:val="16"/>
          <w:szCs w:val="16"/>
          <w:lang w:val="en-GB"/>
        </w:rPr>
        <w:t>Preliminary data regarding the debt and deficit of the sector of government institutions for Q2 2020 will be published by CZSO on 5</w:t>
      </w:r>
      <w:r w:rsidRPr="00E67EDD">
        <w:rPr>
          <w:color w:val="0D0D0D" w:themeColor="text1" w:themeTint="F2"/>
          <w:spacing w:val="-2"/>
          <w:sz w:val="16"/>
          <w:szCs w:val="16"/>
          <w:vertAlign w:val="superscript"/>
          <w:lang w:val="en-GB"/>
        </w:rPr>
        <w:t>th</w:t>
      </w:r>
      <w:r w:rsidRPr="00E67EDD">
        <w:rPr>
          <w:color w:val="0D0D0D" w:themeColor="text1" w:themeTint="F2"/>
          <w:spacing w:val="-2"/>
          <w:sz w:val="16"/>
          <w:szCs w:val="16"/>
          <w:lang w:val="en-GB"/>
        </w:rPr>
        <w:t xml:space="preserve"> October, by Eurostat at the end of October 2020.</w:t>
      </w:r>
    </w:p>
  </w:footnote>
  <w:footnote w:id="18">
    <w:p w14:paraId="7E9C4234" w14:textId="77777777" w:rsidR="00C2211E" w:rsidRPr="00E67EDD" w:rsidRDefault="00C2211E" w:rsidP="00C2211E">
      <w:pPr>
        <w:pStyle w:val="Textpoznpodarou"/>
        <w:jc w:val="both"/>
        <w:rPr>
          <w:color w:val="0D0D0D" w:themeColor="text1" w:themeTint="F2"/>
          <w:spacing w:val="-4"/>
          <w:sz w:val="16"/>
          <w:szCs w:val="16"/>
          <w:lang w:val="en-GB"/>
        </w:rPr>
      </w:pPr>
      <w:r w:rsidRPr="00E67EDD">
        <w:rPr>
          <w:rStyle w:val="Znakapoznpodarou"/>
          <w:color w:val="0D0D0D" w:themeColor="text1" w:themeTint="F2"/>
          <w:spacing w:val="-4"/>
          <w:sz w:val="16"/>
          <w:szCs w:val="16"/>
          <w:lang w:val="en-GB"/>
        </w:rPr>
        <w:footnoteRef/>
      </w:r>
      <w:r w:rsidRPr="00E67EDD">
        <w:rPr>
          <w:color w:val="0D0D0D" w:themeColor="text1" w:themeTint="F2"/>
          <w:spacing w:val="-4"/>
          <w:sz w:val="16"/>
          <w:szCs w:val="16"/>
          <w:lang w:val="en-GB"/>
        </w:rPr>
        <w:t xml:space="preserve"> </w:t>
      </w:r>
      <w:r>
        <w:rPr>
          <w:color w:val="0D0D0D" w:themeColor="text1" w:themeTint="F2"/>
          <w:spacing w:val="-4"/>
          <w:sz w:val="16"/>
          <w:szCs w:val="16"/>
          <w:lang w:val="en-GB"/>
        </w:rPr>
        <w:t xml:space="preserve">It concerns </w:t>
      </w:r>
      <w:r w:rsidRPr="00E67EDD">
        <w:rPr>
          <w:color w:val="0D0D0D" w:themeColor="text1" w:themeTint="F2"/>
          <w:spacing w:val="-4"/>
          <w:sz w:val="16"/>
          <w:szCs w:val="16"/>
          <w:lang w:val="en-GB"/>
        </w:rPr>
        <w:t>21 </w:t>
      </w:r>
      <w:r>
        <w:rPr>
          <w:color w:val="0D0D0D" w:themeColor="text1" w:themeTint="F2"/>
          <w:spacing w:val="-4"/>
          <w:sz w:val="16"/>
          <w:szCs w:val="16"/>
          <w:lang w:val="en-GB"/>
        </w:rPr>
        <w:t xml:space="preserve">countries providing seasonally adjusted data. Non adjusted data suggest that only four states achieved surplus. The balance worsened in the whole </w:t>
      </w:r>
      <w:r w:rsidRPr="00E67EDD">
        <w:rPr>
          <w:color w:val="0D0D0D" w:themeColor="text1" w:themeTint="F2"/>
          <w:spacing w:val="-4"/>
          <w:sz w:val="16"/>
          <w:szCs w:val="16"/>
          <w:lang w:val="en-GB"/>
        </w:rPr>
        <w:t>EU (</w:t>
      </w:r>
      <w:r>
        <w:rPr>
          <w:color w:val="0D0D0D" w:themeColor="text1" w:themeTint="F2"/>
          <w:spacing w:val="-4"/>
          <w:sz w:val="16"/>
          <w:szCs w:val="16"/>
          <w:lang w:val="en-GB"/>
        </w:rPr>
        <w:t>apart from Cyprus</w:t>
      </w:r>
      <w:r w:rsidRPr="00E67EDD">
        <w:rPr>
          <w:color w:val="0D0D0D" w:themeColor="text1" w:themeTint="F2"/>
          <w:spacing w:val="-4"/>
          <w:sz w:val="16"/>
          <w:szCs w:val="16"/>
          <w:lang w:val="en-GB"/>
        </w:rPr>
        <w:t>)</w:t>
      </w:r>
      <w:r>
        <w:rPr>
          <w:color w:val="0D0D0D" w:themeColor="text1" w:themeTint="F2"/>
          <w:spacing w:val="-4"/>
          <w:sz w:val="16"/>
          <w:szCs w:val="16"/>
          <w:lang w:val="en-GB"/>
        </w:rPr>
        <w:t xml:space="preserve"> compared to Q1 2019. Belgium, Italy, Malta, Romania and France had the deepest deficit </w:t>
      </w:r>
      <w:r w:rsidRPr="00E67EDD">
        <w:rPr>
          <w:color w:val="0D0D0D" w:themeColor="text1" w:themeTint="F2"/>
          <w:spacing w:val="-4"/>
          <w:sz w:val="16"/>
          <w:szCs w:val="16"/>
          <w:lang w:val="en-GB"/>
        </w:rPr>
        <w:t>(</w:t>
      </w:r>
      <w:r>
        <w:rPr>
          <w:color w:val="0D0D0D" w:themeColor="text1" w:themeTint="F2"/>
          <w:spacing w:val="-4"/>
          <w:sz w:val="16"/>
          <w:szCs w:val="16"/>
          <w:lang w:val="en-GB"/>
        </w:rPr>
        <w:t xml:space="preserve">over </w:t>
      </w:r>
      <w:r w:rsidRPr="00E67EDD">
        <w:rPr>
          <w:color w:val="0D0D0D" w:themeColor="text1" w:themeTint="F2"/>
          <w:spacing w:val="-4"/>
          <w:sz w:val="16"/>
          <w:szCs w:val="16"/>
          <w:lang w:val="en-GB"/>
        </w:rPr>
        <w:t>9%</w:t>
      </w:r>
      <w:r>
        <w:rPr>
          <w:color w:val="0D0D0D" w:themeColor="text1" w:themeTint="F2"/>
          <w:spacing w:val="-4"/>
          <w:sz w:val="16"/>
          <w:szCs w:val="16"/>
          <w:lang w:val="en-GB"/>
        </w:rPr>
        <w:t xml:space="preserve"> of GDP</w:t>
      </w:r>
      <w:r w:rsidRPr="00E67EDD">
        <w:rPr>
          <w:color w:val="0D0D0D" w:themeColor="text1" w:themeTint="F2"/>
          <w:spacing w:val="-4"/>
          <w:sz w:val="16"/>
          <w:szCs w:val="16"/>
          <w:lang w:val="en-GB"/>
        </w:rPr>
        <w:t>)</w:t>
      </w:r>
      <w:r>
        <w:rPr>
          <w:color w:val="0D0D0D" w:themeColor="text1" w:themeTint="F2"/>
          <w:spacing w:val="-4"/>
          <w:sz w:val="16"/>
          <w:szCs w:val="16"/>
          <w:lang w:val="en-GB"/>
        </w:rPr>
        <w:t xml:space="preserve"> this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2868C48F" w:rsidR="00C2211E" w:rsidRPr="00BB50E6" w:rsidRDefault="00C2211E" w:rsidP="00937AE2">
    <w:pPr>
      <w:pStyle w:val="Zhlav"/>
      <w:rPr>
        <w:lang w:val="en-GB"/>
      </w:rPr>
    </w:pPr>
    <w:r w:rsidRPr="00BB50E6">
      <w:rPr>
        <w:lang w:val="en-GB"/>
      </w:rPr>
      <w:t>The Czech Economy Development</w:t>
    </w:r>
  </w:p>
  <w:p w14:paraId="675E4C41" w14:textId="77777777" w:rsidR="00C2211E" w:rsidRPr="006F5416" w:rsidRDefault="00C2211E"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15FBD22A" w:rsidR="00C2211E" w:rsidRPr="00BB50E6" w:rsidRDefault="00C2211E" w:rsidP="00937AE2">
    <w:pPr>
      <w:pStyle w:val="Zhlav"/>
      <w:rPr>
        <w:lang w:val="en-GB"/>
      </w:rPr>
    </w:pPr>
    <w:r w:rsidRPr="00BB50E6">
      <w:rPr>
        <w:lang w:val="en-GB"/>
      </w:rPr>
      <w:t>The Czech Economy Development</w:t>
    </w:r>
  </w:p>
  <w:p w14:paraId="0CDCFD48" w14:textId="77777777" w:rsidR="00C2211E" w:rsidRPr="006F5416" w:rsidRDefault="00C2211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0DC2"/>
    <w:rsid w:val="0000130A"/>
    <w:rsid w:val="00001B6E"/>
    <w:rsid w:val="0000209D"/>
    <w:rsid w:val="00002566"/>
    <w:rsid w:val="00002664"/>
    <w:rsid w:val="000029B2"/>
    <w:rsid w:val="00002B7E"/>
    <w:rsid w:val="00003849"/>
    <w:rsid w:val="00003F5C"/>
    <w:rsid w:val="000047D1"/>
    <w:rsid w:val="00004D5A"/>
    <w:rsid w:val="000056D5"/>
    <w:rsid w:val="00005D9E"/>
    <w:rsid w:val="000063D5"/>
    <w:rsid w:val="00006625"/>
    <w:rsid w:val="00006ABD"/>
    <w:rsid w:val="00006B67"/>
    <w:rsid w:val="00006C0B"/>
    <w:rsid w:val="000070EA"/>
    <w:rsid w:val="000073A0"/>
    <w:rsid w:val="0000767A"/>
    <w:rsid w:val="00007ABE"/>
    <w:rsid w:val="00010256"/>
    <w:rsid w:val="00010702"/>
    <w:rsid w:val="0001128E"/>
    <w:rsid w:val="00011912"/>
    <w:rsid w:val="00011B7F"/>
    <w:rsid w:val="0001250C"/>
    <w:rsid w:val="000129C2"/>
    <w:rsid w:val="00012DD5"/>
    <w:rsid w:val="0001387D"/>
    <w:rsid w:val="000144A2"/>
    <w:rsid w:val="00014ED0"/>
    <w:rsid w:val="00016269"/>
    <w:rsid w:val="00016420"/>
    <w:rsid w:val="00017B01"/>
    <w:rsid w:val="00017CD1"/>
    <w:rsid w:val="000205D1"/>
    <w:rsid w:val="00020F22"/>
    <w:rsid w:val="0002195D"/>
    <w:rsid w:val="000228AE"/>
    <w:rsid w:val="000233D1"/>
    <w:rsid w:val="000234D6"/>
    <w:rsid w:val="00023D29"/>
    <w:rsid w:val="00024348"/>
    <w:rsid w:val="00024394"/>
    <w:rsid w:val="00026389"/>
    <w:rsid w:val="0002669F"/>
    <w:rsid w:val="00027644"/>
    <w:rsid w:val="000279E5"/>
    <w:rsid w:val="000304B6"/>
    <w:rsid w:val="00030EB6"/>
    <w:rsid w:val="00031AE0"/>
    <w:rsid w:val="00031BB2"/>
    <w:rsid w:val="000322EF"/>
    <w:rsid w:val="00033FCD"/>
    <w:rsid w:val="00034DF7"/>
    <w:rsid w:val="00034E68"/>
    <w:rsid w:val="000350C8"/>
    <w:rsid w:val="00036195"/>
    <w:rsid w:val="000374B2"/>
    <w:rsid w:val="000376C0"/>
    <w:rsid w:val="000403A7"/>
    <w:rsid w:val="00040632"/>
    <w:rsid w:val="0004166D"/>
    <w:rsid w:val="00041AFC"/>
    <w:rsid w:val="00041CEC"/>
    <w:rsid w:val="000421A8"/>
    <w:rsid w:val="00042596"/>
    <w:rsid w:val="00044183"/>
    <w:rsid w:val="0004431D"/>
    <w:rsid w:val="0004694F"/>
    <w:rsid w:val="00046F2F"/>
    <w:rsid w:val="00047AD4"/>
    <w:rsid w:val="00047D54"/>
    <w:rsid w:val="0005054A"/>
    <w:rsid w:val="00050708"/>
    <w:rsid w:val="00051506"/>
    <w:rsid w:val="000522E4"/>
    <w:rsid w:val="00053713"/>
    <w:rsid w:val="0005434E"/>
    <w:rsid w:val="00054F86"/>
    <w:rsid w:val="00055CB6"/>
    <w:rsid w:val="000572DD"/>
    <w:rsid w:val="00057B1E"/>
    <w:rsid w:val="00057DC9"/>
    <w:rsid w:val="00060ED3"/>
    <w:rsid w:val="000610E1"/>
    <w:rsid w:val="000616AD"/>
    <w:rsid w:val="000622A6"/>
    <w:rsid w:val="00062EC5"/>
    <w:rsid w:val="00062F22"/>
    <w:rsid w:val="00063975"/>
    <w:rsid w:val="00063CEA"/>
    <w:rsid w:val="0006444D"/>
    <w:rsid w:val="000645FC"/>
    <w:rsid w:val="0006533F"/>
    <w:rsid w:val="00065348"/>
    <w:rsid w:val="00065A75"/>
    <w:rsid w:val="00066558"/>
    <w:rsid w:val="000665D7"/>
    <w:rsid w:val="00066A8F"/>
    <w:rsid w:val="00070A87"/>
    <w:rsid w:val="000712B3"/>
    <w:rsid w:val="00071A7C"/>
    <w:rsid w:val="0007200B"/>
    <w:rsid w:val="000727C7"/>
    <w:rsid w:val="00072FF5"/>
    <w:rsid w:val="00073BA3"/>
    <w:rsid w:val="0007462F"/>
    <w:rsid w:val="0007474E"/>
    <w:rsid w:val="00074988"/>
    <w:rsid w:val="0007512B"/>
    <w:rsid w:val="00075551"/>
    <w:rsid w:val="000767F5"/>
    <w:rsid w:val="0007683E"/>
    <w:rsid w:val="00076D90"/>
    <w:rsid w:val="00077DEE"/>
    <w:rsid w:val="00077FF0"/>
    <w:rsid w:val="000812D3"/>
    <w:rsid w:val="00081A55"/>
    <w:rsid w:val="0008263E"/>
    <w:rsid w:val="00082C19"/>
    <w:rsid w:val="00082F89"/>
    <w:rsid w:val="000837CD"/>
    <w:rsid w:val="000848CA"/>
    <w:rsid w:val="00084BFF"/>
    <w:rsid w:val="00085395"/>
    <w:rsid w:val="00086896"/>
    <w:rsid w:val="00086AC1"/>
    <w:rsid w:val="00086C6F"/>
    <w:rsid w:val="00086D19"/>
    <w:rsid w:val="00087634"/>
    <w:rsid w:val="00087F2B"/>
    <w:rsid w:val="00090694"/>
    <w:rsid w:val="00090EE2"/>
    <w:rsid w:val="00090FC6"/>
    <w:rsid w:val="0009100B"/>
    <w:rsid w:val="000913B1"/>
    <w:rsid w:val="000924B7"/>
    <w:rsid w:val="00092513"/>
    <w:rsid w:val="00092D77"/>
    <w:rsid w:val="00093241"/>
    <w:rsid w:val="00093868"/>
    <w:rsid w:val="00094A84"/>
    <w:rsid w:val="00095025"/>
    <w:rsid w:val="00095135"/>
    <w:rsid w:val="0009626E"/>
    <w:rsid w:val="00097191"/>
    <w:rsid w:val="000972D4"/>
    <w:rsid w:val="000974D1"/>
    <w:rsid w:val="00097784"/>
    <w:rsid w:val="0009799E"/>
    <w:rsid w:val="000A07CB"/>
    <w:rsid w:val="000A0BC0"/>
    <w:rsid w:val="000A1183"/>
    <w:rsid w:val="000A12ED"/>
    <w:rsid w:val="000A1B03"/>
    <w:rsid w:val="000A212B"/>
    <w:rsid w:val="000A242D"/>
    <w:rsid w:val="000A256D"/>
    <w:rsid w:val="000A2D86"/>
    <w:rsid w:val="000A37EF"/>
    <w:rsid w:val="000A3A2C"/>
    <w:rsid w:val="000A3D9E"/>
    <w:rsid w:val="000A4A54"/>
    <w:rsid w:val="000A4ED9"/>
    <w:rsid w:val="000A517B"/>
    <w:rsid w:val="000A54B8"/>
    <w:rsid w:val="000A5DB7"/>
    <w:rsid w:val="000A6D94"/>
    <w:rsid w:val="000A7355"/>
    <w:rsid w:val="000A7377"/>
    <w:rsid w:val="000A7FF4"/>
    <w:rsid w:val="000B03CC"/>
    <w:rsid w:val="000B4212"/>
    <w:rsid w:val="000B4733"/>
    <w:rsid w:val="000B4994"/>
    <w:rsid w:val="000B4EBA"/>
    <w:rsid w:val="000B683E"/>
    <w:rsid w:val="000C0EA8"/>
    <w:rsid w:val="000C12A7"/>
    <w:rsid w:val="000C13A2"/>
    <w:rsid w:val="000C21E7"/>
    <w:rsid w:val="000C23EC"/>
    <w:rsid w:val="000C30C3"/>
    <w:rsid w:val="000C3408"/>
    <w:rsid w:val="000C35AB"/>
    <w:rsid w:val="000C3F7B"/>
    <w:rsid w:val="000C41D9"/>
    <w:rsid w:val="000C4769"/>
    <w:rsid w:val="000C48C0"/>
    <w:rsid w:val="000C4D56"/>
    <w:rsid w:val="000C5DFA"/>
    <w:rsid w:val="000C6AFD"/>
    <w:rsid w:val="000C6C90"/>
    <w:rsid w:val="000D0A26"/>
    <w:rsid w:val="000D3058"/>
    <w:rsid w:val="000D310A"/>
    <w:rsid w:val="000D3EF4"/>
    <w:rsid w:val="000D4DC0"/>
    <w:rsid w:val="000D5637"/>
    <w:rsid w:val="000D6F4E"/>
    <w:rsid w:val="000D73BB"/>
    <w:rsid w:val="000E01D9"/>
    <w:rsid w:val="000E0E32"/>
    <w:rsid w:val="000E0E96"/>
    <w:rsid w:val="000E22FC"/>
    <w:rsid w:val="000E298B"/>
    <w:rsid w:val="000E2C7D"/>
    <w:rsid w:val="000E3CB5"/>
    <w:rsid w:val="000E3E28"/>
    <w:rsid w:val="000E440D"/>
    <w:rsid w:val="000E4AC5"/>
    <w:rsid w:val="000E535F"/>
    <w:rsid w:val="000E6253"/>
    <w:rsid w:val="000E6322"/>
    <w:rsid w:val="000E6E4D"/>
    <w:rsid w:val="000E6FBD"/>
    <w:rsid w:val="000E6FCB"/>
    <w:rsid w:val="000E70F3"/>
    <w:rsid w:val="000F090B"/>
    <w:rsid w:val="000F1041"/>
    <w:rsid w:val="000F3F3B"/>
    <w:rsid w:val="000F4098"/>
    <w:rsid w:val="000F4251"/>
    <w:rsid w:val="000F47E8"/>
    <w:rsid w:val="000F6B24"/>
    <w:rsid w:val="000F70E4"/>
    <w:rsid w:val="000F76EA"/>
    <w:rsid w:val="000F78C3"/>
    <w:rsid w:val="000F7B70"/>
    <w:rsid w:val="00100F5C"/>
    <w:rsid w:val="00101BBE"/>
    <w:rsid w:val="00101CDA"/>
    <w:rsid w:val="00102037"/>
    <w:rsid w:val="00103DCB"/>
    <w:rsid w:val="00104C4C"/>
    <w:rsid w:val="00105015"/>
    <w:rsid w:val="001055D2"/>
    <w:rsid w:val="001057C2"/>
    <w:rsid w:val="00107C96"/>
    <w:rsid w:val="0011038E"/>
    <w:rsid w:val="00110C18"/>
    <w:rsid w:val="001125EF"/>
    <w:rsid w:val="001127EE"/>
    <w:rsid w:val="00112CAB"/>
    <w:rsid w:val="00116A49"/>
    <w:rsid w:val="00116D3F"/>
    <w:rsid w:val="00117474"/>
    <w:rsid w:val="00117623"/>
    <w:rsid w:val="00117FEA"/>
    <w:rsid w:val="001200CF"/>
    <w:rsid w:val="001208E3"/>
    <w:rsid w:val="0012192F"/>
    <w:rsid w:val="00122504"/>
    <w:rsid w:val="00122994"/>
    <w:rsid w:val="00124B46"/>
    <w:rsid w:val="0012530D"/>
    <w:rsid w:val="001257E0"/>
    <w:rsid w:val="00125D69"/>
    <w:rsid w:val="0012799C"/>
    <w:rsid w:val="00127BC2"/>
    <w:rsid w:val="00127E15"/>
    <w:rsid w:val="00130ADC"/>
    <w:rsid w:val="00130D9F"/>
    <w:rsid w:val="00131138"/>
    <w:rsid w:val="00132C4D"/>
    <w:rsid w:val="00133FC1"/>
    <w:rsid w:val="001345B6"/>
    <w:rsid w:val="00134659"/>
    <w:rsid w:val="00136696"/>
    <w:rsid w:val="001405FA"/>
    <w:rsid w:val="00140D1A"/>
    <w:rsid w:val="00141184"/>
    <w:rsid w:val="00141258"/>
    <w:rsid w:val="00141315"/>
    <w:rsid w:val="00141AA0"/>
    <w:rsid w:val="00141ACD"/>
    <w:rsid w:val="001425C3"/>
    <w:rsid w:val="0014262D"/>
    <w:rsid w:val="00143BB2"/>
    <w:rsid w:val="00144588"/>
    <w:rsid w:val="001447DD"/>
    <w:rsid w:val="001459BC"/>
    <w:rsid w:val="001510A2"/>
    <w:rsid w:val="001523D1"/>
    <w:rsid w:val="00152F4F"/>
    <w:rsid w:val="00153E4A"/>
    <w:rsid w:val="001544A1"/>
    <w:rsid w:val="0015495D"/>
    <w:rsid w:val="00155158"/>
    <w:rsid w:val="001553B8"/>
    <w:rsid w:val="001554C2"/>
    <w:rsid w:val="0015573B"/>
    <w:rsid w:val="001571C0"/>
    <w:rsid w:val="0015753D"/>
    <w:rsid w:val="00157CC9"/>
    <w:rsid w:val="00160C21"/>
    <w:rsid w:val="001612F4"/>
    <w:rsid w:val="00161553"/>
    <w:rsid w:val="00161A82"/>
    <w:rsid w:val="0016256B"/>
    <w:rsid w:val="00162F81"/>
    <w:rsid w:val="00163793"/>
    <w:rsid w:val="001639E9"/>
    <w:rsid w:val="00165313"/>
    <w:rsid w:val="00166239"/>
    <w:rsid w:val="00167485"/>
    <w:rsid w:val="001679F5"/>
    <w:rsid w:val="00167B92"/>
    <w:rsid w:val="00167CB9"/>
    <w:rsid w:val="00167DD8"/>
    <w:rsid w:val="001705AD"/>
    <w:rsid w:val="001706D6"/>
    <w:rsid w:val="0017129C"/>
    <w:rsid w:val="001714DD"/>
    <w:rsid w:val="001714F2"/>
    <w:rsid w:val="00171FEA"/>
    <w:rsid w:val="00175B9F"/>
    <w:rsid w:val="001762F4"/>
    <w:rsid w:val="001764E2"/>
    <w:rsid w:val="00176DDF"/>
    <w:rsid w:val="00177536"/>
    <w:rsid w:val="00181BBC"/>
    <w:rsid w:val="001832B5"/>
    <w:rsid w:val="0018385F"/>
    <w:rsid w:val="00184017"/>
    <w:rsid w:val="001847BB"/>
    <w:rsid w:val="00184B08"/>
    <w:rsid w:val="00184EC1"/>
    <w:rsid w:val="00185010"/>
    <w:rsid w:val="00185C22"/>
    <w:rsid w:val="00186BA9"/>
    <w:rsid w:val="00190FCE"/>
    <w:rsid w:val="00191468"/>
    <w:rsid w:val="0019196C"/>
    <w:rsid w:val="00192F05"/>
    <w:rsid w:val="00194729"/>
    <w:rsid w:val="00194850"/>
    <w:rsid w:val="00195234"/>
    <w:rsid w:val="00195475"/>
    <w:rsid w:val="00195FA3"/>
    <w:rsid w:val="00196016"/>
    <w:rsid w:val="00196117"/>
    <w:rsid w:val="00196A04"/>
    <w:rsid w:val="001975DD"/>
    <w:rsid w:val="00197A70"/>
    <w:rsid w:val="00197C0F"/>
    <w:rsid w:val="001A0487"/>
    <w:rsid w:val="001A1F68"/>
    <w:rsid w:val="001A21FA"/>
    <w:rsid w:val="001A4CCD"/>
    <w:rsid w:val="001A4EF0"/>
    <w:rsid w:val="001A552F"/>
    <w:rsid w:val="001A70B1"/>
    <w:rsid w:val="001B0606"/>
    <w:rsid w:val="001B0738"/>
    <w:rsid w:val="001B185C"/>
    <w:rsid w:val="001B2822"/>
    <w:rsid w:val="001B2CA9"/>
    <w:rsid w:val="001B3110"/>
    <w:rsid w:val="001B3E38"/>
    <w:rsid w:val="001B40F5"/>
    <w:rsid w:val="001B4729"/>
    <w:rsid w:val="001B4F0E"/>
    <w:rsid w:val="001B626C"/>
    <w:rsid w:val="001B6310"/>
    <w:rsid w:val="001B6C09"/>
    <w:rsid w:val="001B6E12"/>
    <w:rsid w:val="001C05CD"/>
    <w:rsid w:val="001C0F17"/>
    <w:rsid w:val="001C0FB1"/>
    <w:rsid w:val="001C1B24"/>
    <w:rsid w:val="001C1B66"/>
    <w:rsid w:val="001C1BA4"/>
    <w:rsid w:val="001C31A2"/>
    <w:rsid w:val="001C351D"/>
    <w:rsid w:val="001C4BB8"/>
    <w:rsid w:val="001C4FD0"/>
    <w:rsid w:val="001C583D"/>
    <w:rsid w:val="001C5E46"/>
    <w:rsid w:val="001C6AB9"/>
    <w:rsid w:val="001C6B3B"/>
    <w:rsid w:val="001C7E3F"/>
    <w:rsid w:val="001D0EF1"/>
    <w:rsid w:val="001D1240"/>
    <w:rsid w:val="001D22C2"/>
    <w:rsid w:val="001D2C99"/>
    <w:rsid w:val="001D452E"/>
    <w:rsid w:val="001D54C1"/>
    <w:rsid w:val="001D556E"/>
    <w:rsid w:val="001D5DF2"/>
    <w:rsid w:val="001D6464"/>
    <w:rsid w:val="001D68B2"/>
    <w:rsid w:val="001D6F25"/>
    <w:rsid w:val="001D704B"/>
    <w:rsid w:val="001D7EFD"/>
    <w:rsid w:val="001D7F60"/>
    <w:rsid w:val="001E08A7"/>
    <w:rsid w:val="001E1F50"/>
    <w:rsid w:val="001E3306"/>
    <w:rsid w:val="001E504C"/>
    <w:rsid w:val="001E5A17"/>
    <w:rsid w:val="001E74C5"/>
    <w:rsid w:val="001F0AE4"/>
    <w:rsid w:val="001F1236"/>
    <w:rsid w:val="001F2F90"/>
    <w:rsid w:val="001F4597"/>
    <w:rsid w:val="001F4826"/>
    <w:rsid w:val="001F486B"/>
    <w:rsid w:val="001F6CD3"/>
    <w:rsid w:val="001F7CE0"/>
    <w:rsid w:val="00200085"/>
    <w:rsid w:val="002032BE"/>
    <w:rsid w:val="00203332"/>
    <w:rsid w:val="00203CD5"/>
    <w:rsid w:val="00203D8F"/>
    <w:rsid w:val="00203DA4"/>
    <w:rsid w:val="00204EA6"/>
    <w:rsid w:val="00205186"/>
    <w:rsid w:val="00206516"/>
    <w:rsid w:val="002071D5"/>
    <w:rsid w:val="002111E5"/>
    <w:rsid w:val="002118B9"/>
    <w:rsid w:val="002142C0"/>
    <w:rsid w:val="002150B8"/>
    <w:rsid w:val="00217C5B"/>
    <w:rsid w:val="002208AD"/>
    <w:rsid w:val="00220A43"/>
    <w:rsid w:val="0022139E"/>
    <w:rsid w:val="00222729"/>
    <w:rsid w:val="00223185"/>
    <w:rsid w:val="00223214"/>
    <w:rsid w:val="002233D6"/>
    <w:rsid w:val="002238F3"/>
    <w:rsid w:val="0022441D"/>
    <w:rsid w:val="0022448C"/>
    <w:rsid w:val="00224574"/>
    <w:rsid w:val="00224E3F"/>
    <w:rsid w:val="002252E0"/>
    <w:rsid w:val="002255F6"/>
    <w:rsid w:val="00226032"/>
    <w:rsid w:val="00226B29"/>
    <w:rsid w:val="0022738D"/>
    <w:rsid w:val="00227605"/>
    <w:rsid w:val="00227850"/>
    <w:rsid w:val="00227A53"/>
    <w:rsid w:val="00227AB3"/>
    <w:rsid w:val="00227C96"/>
    <w:rsid w:val="00227E2E"/>
    <w:rsid w:val="00227F53"/>
    <w:rsid w:val="00227F77"/>
    <w:rsid w:val="00230C6E"/>
    <w:rsid w:val="00230E21"/>
    <w:rsid w:val="00230F48"/>
    <w:rsid w:val="00231066"/>
    <w:rsid w:val="002316A8"/>
    <w:rsid w:val="002320C9"/>
    <w:rsid w:val="0023288F"/>
    <w:rsid w:val="0023359B"/>
    <w:rsid w:val="00233603"/>
    <w:rsid w:val="002340EF"/>
    <w:rsid w:val="00234B82"/>
    <w:rsid w:val="00234C09"/>
    <w:rsid w:val="00236443"/>
    <w:rsid w:val="00236700"/>
    <w:rsid w:val="00236829"/>
    <w:rsid w:val="00240391"/>
    <w:rsid w:val="00240AF3"/>
    <w:rsid w:val="002418D5"/>
    <w:rsid w:val="00241B06"/>
    <w:rsid w:val="002429C8"/>
    <w:rsid w:val="002436BA"/>
    <w:rsid w:val="00244652"/>
    <w:rsid w:val="00244A15"/>
    <w:rsid w:val="002452D9"/>
    <w:rsid w:val="00247319"/>
    <w:rsid w:val="00247905"/>
    <w:rsid w:val="0024799E"/>
    <w:rsid w:val="00247A3D"/>
    <w:rsid w:val="00247A6A"/>
    <w:rsid w:val="00247E60"/>
    <w:rsid w:val="00251B08"/>
    <w:rsid w:val="00251C53"/>
    <w:rsid w:val="00252177"/>
    <w:rsid w:val="002525CC"/>
    <w:rsid w:val="00252AB9"/>
    <w:rsid w:val="00252BFC"/>
    <w:rsid w:val="00253A94"/>
    <w:rsid w:val="00253C0F"/>
    <w:rsid w:val="002558C1"/>
    <w:rsid w:val="00256207"/>
    <w:rsid w:val="002575F3"/>
    <w:rsid w:val="002603E1"/>
    <w:rsid w:val="0026120E"/>
    <w:rsid w:val="002623F0"/>
    <w:rsid w:val="00262582"/>
    <w:rsid w:val="0026291D"/>
    <w:rsid w:val="00262CF3"/>
    <w:rsid w:val="00264309"/>
    <w:rsid w:val="00264752"/>
    <w:rsid w:val="0026564B"/>
    <w:rsid w:val="00265C83"/>
    <w:rsid w:val="00265E85"/>
    <w:rsid w:val="0026736A"/>
    <w:rsid w:val="00267B49"/>
    <w:rsid w:val="002700D9"/>
    <w:rsid w:val="0027025F"/>
    <w:rsid w:val="002709CC"/>
    <w:rsid w:val="00270D25"/>
    <w:rsid w:val="00271022"/>
    <w:rsid w:val="00271465"/>
    <w:rsid w:val="00271C19"/>
    <w:rsid w:val="00271E47"/>
    <w:rsid w:val="002721F5"/>
    <w:rsid w:val="00272DF4"/>
    <w:rsid w:val="00275031"/>
    <w:rsid w:val="002751B5"/>
    <w:rsid w:val="0027583D"/>
    <w:rsid w:val="00275DEF"/>
    <w:rsid w:val="002763A2"/>
    <w:rsid w:val="002765C1"/>
    <w:rsid w:val="00276B33"/>
    <w:rsid w:val="002812E3"/>
    <w:rsid w:val="002828EE"/>
    <w:rsid w:val="0028341F"/>
    <w:rsid w:val="002837AE"/>
    <w:rsid w:val="00283C13"/>
    <w:rsid w:val="00283F7B"/>
    <w:rsid w:val="00283FEB"/>
    <w:rsid w:val="0028431A"/>
    <w:rsid w:val="002853FA"/>
    <w:rsid w:val="00285412"/>
    <w:rsid w:val="00286220"/>
    <w:rsid w:val="00291640"/>
    <w:rsid w:val="00291CFA"/>
    <w:rsid w:val="0029237E"/>
    <w:rsid w:val="00292997"/>
    <w:rsid w:val="00293274"/>
    <w:rsid w:val="00293D24"/>
    <w:rsid w:val="002942D3"/>
    <w:rsid w:val="00294C29"/>
    <w:rsid w:val="0029509B"/>
    <w:rsid w:val="002950EA"/>
    <w:rsid w:val="0029588F"/>
    <w:rsid w:val="00295E96"/>
    <w:rsid w:val="00297256"/>
    <w:rsid w:val="00297A5C"/>
    <w:rsid w:val="00297D51"/>
    <w:rsid w:val="002A0122"/>
    <w:rsid w:val="002A016B"/>
    <w:rsid w:val="002A16D4"/>
    <w:rsid w:val="002A1E4F"/>
    <w:rsid w:val="002A230C"/>
    <w:rsid w:val="002A2AF7"/>
    <w:rsid w:val="002A2D46"/>
    <w:rsid w:val="002A3209"/>
    <w:rsid w:val="002A3EA2"/>
    <w:rsid w:val="002A507C"/>
    <w:rsid w:val="002A51AC"/>
    <w:rsid w:val="002A532A"/>
    <w:rsid w:val="002A5846"/>
    <w:rsid w:val="002A5D97"/>
    <w:rsid w:val="002A603E"/>
    <w:rsid w:val="002A622B"/>
    <w:rsid w:val="002A63B9"/>
    <w:rsid w:val="002A6D77"/>
    <w:rsid w:val="002A7089"/>
    <w:rsid w:val="002B13EE"/>
    <w:rsid w:val="002B1619"/>
    <w:rsid w:val="002B2B8A"/>
    <w:rsid w:val="002B3EF4"/>
    <w:rsid w:val="002B43B3"/>
    <w:rsid w:val="002B4845"/>
    <w:rsid w:val="002B53C9"/>
    <w:rsid w:val="002B5567"/>
    <w:rsid w:val="002B5812"/>
    <w:rsid w:val="002B72AA"/>
    <w:rsid w:val="002B7366"/>
    <w:rsid w:val="002B7678"/>
    <w:rsid w:val="002B7AFA"/>
    <w:rsid w:val="002C1110"/>
    <w:rsid w:val="002C1BC2"/>
    <w:rsid w:val="002C1F09"/>
    <w:rsid w:val="002C22A4"/>
    <w:rsid w:val="002C260B"/>
    <w:rsid w:val="002C27A6"/>
    <w:rsid w:val="002C398D"/>
    <w:rsid w:val="002C40D2"/>
    <w:rsid w:val="002C40DC"/>
    <w:rsid w:val="002C43BD"/>
    <w:rsid w:val="002C51EF"/>
    <w:rsid w:val="002C5245"/>
    <w:rsid w:val="002C59D8"/>
    <w:rsid w:val="002D05CB"/>
    <w:rsid w:val="002D0E59"/>
    <w:rsid w:val="002D2C4F"/>
    <w:rsid w:val="002D3EBB"/>
    <w:rsid w:val="002D455C"/>
    <w:rsid w:val="002D488A"/>
    <w:rsid w:val="002D596E"/>
    <w:rsid w:val="002D6066"/>
    <w:rsid w:val="002D60F6"/>
    <w:rsid w:val="002D6137"/>
    <w:rsid w:val="002E02A1"/>
    <w:rsid w:val="002E196A"/>
    <w:rsid w:val="002E20C7"/>
    <w:rsid w:val="002E20CD"/>
    <w:rsid w:val="002E222E"/>
    <w:rsid w:val="002E28D8"/>
    <w:rsid w:val="002E37D1"/>
    <w:rsid w:val="002E3834"/>
    <w:rsid w:val="002E3BEE"/>
    <w:rsid w:val="002E4E4C"/>
    <w:rsid w:val="002E4EA7"/>
    <w:rsid w:val="002E5846"/>
    <w:rsid w:val="002E792B"/>
    <w:rsid w:val="002F0DA5"/>
    <w:rsid w:val="002F1B09"/>
    <w:rsid w:val="002F1D56"/>
    <w:rsid w:val="002F1DCB"/>
    <w:rsid w:val="002F1DE4"/>
    <w:rsid w:val="002F333D"/>
    <w:rsid w:val="002F351A"/>
    <w:rsid w:val="002F468F"/>
    <w:rsid w:val="002F46D6"/>
    <w:rsid w:val="002F498A"/>
    <w:rsid w:val="002F4AD8"/>
    <w:rsid w:val="002F5285"/>
    <w:rsid w:val="002F5820"/>
    <w:rsid w:val="002F5880"/>
    <w:rsid w:val="002F64BB"/>
    <w:rsid w:val="002F6EEB"/>
    <w:rsid w:val="00300C31"/>
    <w:rsid w:val="003017EC"/>
    <w:rsid w:val="00301F37"/>
    <w:rsid w:val="00302165"/>
    <w:rsid w:val="00304771"/>
    <w:rsid w:val="003050FD"/>
    <w:rsid w:val="003052D4"/>
    <w:rsid w:val="003060E9"/>
    <w:rsid w:val="00306C5B"/>
    <w:rsid w:val="00307529"/>
    <w:rsid w:val="00307DB3"/>
    <w:rsid w:val="00307ED2"/>
    <w:rsid w:val="0031076D"/>
    <w:rsid w:val="00311AA6"/>
    <w:rsid w:val="00311C4D"/>
    <w:rsid w:val="003121AB"/>
    <w:rsid w:val="00312A9B"/>
    <w:rsid w:val="00315169"/>
    <w:rsid w:val="003153C8"/>
    <w:rsid w:val="00315524"/>
    <w:rsid w:val="0032018B"/>
    <w:rsid w:val="0032058C"/>
    <w:rsid w:val="003208D0"/>
    <w:rsid w:val="003209D6"/>
    <w:rsid w:val="003217B9"/>
    <w:rsid w:val="00321924"/>
    <w:rsid w:val="00321EB6"/>
    <w:rsid w:val="003220A5"/>
    <w:rsid w:val="00323A1C"/>
    <w:rsid w:val="00324B59"/>
    <w:rsid w:val="003261F3"/>
    <w:rsid w:val="0032656E"/>
    <w:rsid w:val="003268A0"/>
    <w:rsid w:val="0032788F"/>
    <w:rsid w:val="003306B5"/>
    <w:rsid w:val="00331E46"/>
    <w:rsid w:val="00332190"/>
    <w:rsid w:val="00332A98"/>
    <w:rsid w:val="00333973"/>
    <w:rsid w:val="00333CD0"/>
    <w:rsid w:val="0033448D"/>
    <w:rsid w:val="00334821"/>
    <w:rsid w:val="00334AD2"/>
    <w:rsid w:val="00334CB6"/>
    <w:rsid w:val="0033709C"/>
    <w:rsid w:val="003370C5"/>
    <w:rsid w:val="003373C6"/>
    <w:rsid w:val="00340BF3"/>
    <w:rsid w:val="00341D26"/>
    <w:rsid w:val="00341F05"/>
    <w:rsid w:val="0034335E"/>
    <w:rsid w:val="00344668"/>
    <w:rsid w:val="00344940"/>
    <w:rsid w:val="003458DF"/>
    <w:rsid w:val="00345943"/>
    <w:rsid w:val="00346234"/>
    <w:rsid w:val="003462D9"/>
    <w:rsid w:val="0034723F"/>
    <w:rsid w:val="00347247"/>
    <w:rsid w:val="003473C9"/>
    <w:rsid w:val="003474B6"/>
    <w:rsid w:val="00347DD4"/>
    <w:rsid w:val="00351006"/>
    <w:rsid w:val="00352560"/>
    <w:rsid w:val="00352854"/>
    <w:rsid w:val="00352B43"/>
    <w:rsid w:val="00352C28"/>
    <w:rsid w:val="0035716C"/>
    <w:rsid w:val="0036077F"/>
    <w:rsid w:val="00360C86"/>
    <w:rsid w:val="00360F7A"/>
    <w:rsid w:val="00360FBC"/>
    <w:rsid w:val="00361537"/>
    <w:rsid w:val="0036242A"/>
    <w:rsid w:val="00362C23"/>
    <w:rsid w:val="00362E90"/>
    <w:rsid w:val="003632F0"/>
    <w:rsid w:val="00364FA0"/>
    <w:rsid w:val="003657F3"/>
    <w:rsid w:val="00365844"/>
    <w:rsid w:val="00366692"/>
    <w:rsid w:val="003668CF"/>
    <w:rsid w:val="00367638"/>
    <w:rsid w:val="00367F84"/>
    <w:rsid w:val="003712BC"/>
    <w:rsid w:val="003715FE"/>
    <w:rsid w:val="00372164"/>
    <w:rsid w:val="00372A4C"/>
    <w:rsid w:val="0037323C"/>
    <w:rsid w:val="003738BD"/>
    <w:rsid w:val="00374263"/>
    <w:rsid w:val="00374428"/>
    <w:rsid w:val="003746F0"/>
    <w:rsid w:val="00374A20"/>
    <w:rsid w:val="00374E21"/>
    <w:rsid w:val="00377A50"/>
    <w:rsid w:val="00377B2E"/>
    <w:rsid w:val="0038103D"/>
    <w:rsid w:val="003810F0"/>
    <w:rsid w:val="003818DC"/>
    <w:rsid w:val="00382513"/>
    <w:rsid w:val="00382F3A"/>
    <w:rsid w:val="00383388"/>
    <w:rsid w:val="003834F8"/>
    <w:rsid w:val="003838D0"/>
    <w:rsid w:val="003840C2"/>
    <w:rsid w:val="00384327"/>
    <w:rsid w:val="00384861"/>
    <w:rsid w:val="00384A89"/>
    <w:rsid w:val="00385086"/>
    <w:rsid w:val="00385D98"/>
    <w:rsid w:val="00390306"/>
    <w:rsid w:val="003908A6"/>
    <w:rsid w:val="00390951"/>
    <w:rsid w:val="0039109D"/>
    <w:rsid w:val="00391175"/>
    <w:rsid w:val="00391989"/>
    <w:rsid w:val="00391A6C"/>
    <w:rsid w:val="00392696"/>
    <w:rsid w:val="003927F6"/>
    <w:rsid w:val="0039602D"/>
    <w:rsid w:val="00396739"/>
    <w:rsid w:val="003A04F6"/>
    <w:rsid w:val="003A0837"/>
    <w:rsid w:val="003A2B49"/>
    <w:rsid w:val="003A2B4D"/>
    <w:rsid w:val="003A2D12"/>
    <w:rsid w:val="003A2D68"/>
    <w:rsid w:val="003A2EBA"/>
    <w:rsid w:val="003A4080"/>
    <w:rsid w:val="003A45E3"/>
    <w:rsid w:val="003A478C"/>
    <w:rsid w:val="003A4A38"/>
    <w:rsid w:val="003A5525"/>
    <w:rsid w:val="003A5889"/>
    <w:rsid w:val="003A5949"/>
    <w:rsid w:val="003A6B38"/>
    <w:rsid w:val="003A6B83"/>
    <w:rsid w:val="003A6C97"/>
    <w:rsid w:val="003A722F"/>
    <w:rsid w:val="003A7373"/>
    <w:rsid w:val="003A7D09"/>
    <w:rsid w:val="003B0197"/>
    <w:rsid w:val="003B039F"/>
    <w:rsid w:val="003B05B9"/>
    <w:rsid w:val="003B09BC"/>
    <w:rsid w:val="003B0DF4"/>
    <w:rsid w:val="003B1F9D"/>
    <w:rsid w:val="003B2A8D"/>
    <w:rsid w:val="003B2AD1"/>
    <w:rsid w:val="003B2D2E"/>
    <w:rsid w:val="003B461F"/>
    <w:rsid w:val="003B483F"/>
    <w:rsid w:val="003B4998"/>
    <w:rsid w:val="003B5A32"/>
    <w:rsid w:val="003B6B91"/>
    <w:rsid w:val="003B7B50"/>
    <w:rsid w:val="003C0810"/>
    <w:rsid w:val="003C0B07"/>
    <w:rsid w:val="003C27A5"/>
    <w:rsid w:val="003C2CE7"/>
    <w:rsid w:val="003C3490"/>
    <w:rsid w:val="003C3608"/>
    <w:rsid w:val="003C38C4"/>
    <w:rsid w:val="003C3AE8"/>
    <w:rsid w:val="003C3D2C"/>
    <w:rsid w:val="003C4E13"/>
    <w:rsid w:val="003C6221"/>
    <w:rsid w:val="003C63D7"/>
    <w:rsid w:val="003C68CC"/>
    <w:rsid w:val="003C6D24"/>
    <w:rsid w:val="003C7E62"/>
    <w:rsid w:val="003D12B9"/>
    <w:rsid w:val="003D1E7A"/>
    <w:rsid w:val="003D242B"/>
    <w:rsid w:val="003D2492"/>
    <w:rsid w:val="003D29AA"/>
    <w:rsid w:val="003D2A99"/>
    <w:rsid w:val="003D6920"/>
    <w:rsid w:val="003E0249"/>
    <w:rsid w:val="003E182F"/>
    <w:rsid w:val="003E1EF8"/>
    <w:rsid w:val="003E2089"/>
    <w:rsid w:val="003E2DFB"/>
    <w:rsid w:val="003E3A1D"/>
    <w:rsid w:val="003E4C91"/>
    <w:rsid w:val="003E52D8"/>
    <w:rsid w:val="003E62F1"/>
    <w:rsid w:val="003E6CA1"/>
    <w:rsid w:val="003F04B0"/>
    <w:rsid w:val="003F313C"/>
    <w:rsid w:val="003F3320"/>
    <w:rsid w:val="003F37FC"/>
    <w:rsid w:val="003F416F"/>
    <w:rsid w:val="003F4318"/>
    <w:rsid w:val="003F4B2C"/>
    <w:rsid w:val="003F551C"/>
    <w:rsid w:val="003F6093"/>
    <w:rsid w:val="003F626D"/>
    <w:rsid w:val="003F72ED"/>
    <w:rsid w:val="003F7D23"/>
    <w:rsid w:val="00400050"/>
    <w:rsid w:val="004002C8"/>
    <w:rsid w:val="00400468"/>
    <w:rsid w:val="0040099D"/>
    <w:rsid w:val="004016CB"/>
    <w:rsid w:val="00401B23"/>
    <w:rsid w:val="00402357"/>
    <w:rsid w:val="00402ADB"/>
    <w:rsid w:val="0040368D"/>
    <w:rsid w:val="00403D1D"/>
    <w:rsid w:val="00403F57"/>
    <w:rsid w:val="00405318"/>
    <w:rsid w:val="004053B2"/>
    <w:rsid w:val="004059D2"/>
    <w:rsid w:val="004066D0"/>
    <w:rsid w:val="004068D9"/>
    <w:rsid w:val="00406C2E"/>
    <w:rsid w:val="00406CDA"/>
    <w:rsid w:val="00406EB0"/>
    <w:rsid w:val="00407093"/>
    <w:rsid w:val="00407711"/>
    <w:rsid w:val="00407C13"/>
    <w:rsid w:val="004103F6"/>
    <w:rsid w:val="00410638"/>
    <w:rsid w:val="00411999"/>
    <w:rsid w:val="00412511"/>
    <w:rsid w:val="004125C2"/>
    <w:rsid w:val="00412DFA"/>
    <w:rsid w:val="00413465"/>
    <w:rsid w:val="00413876"/>
    <w:rsid w:val="004149AC"/>
    <w:rsid w:val="0041501E"/>
    <w:rsid w:val="00415452"/>
    <w:rsid w:val="00415489"/>
    <w:rsid w:val="004159C3"/>
    <w:rsid w:val="00415A57"/>
    <w:rsid w:val="00416DAC"/>
    <w:rsid w:val="00417F7D"/>
    <w:rsid w:val="00420880"/>
    <w:rsid w:val="00421179"/>
    <w:rsid w:val="004224C7"/>
    <w:rsid w:val="00423EAD"/>
    <w:rsid w:val="004255B1"/>
    <w:rsid w:val="00430810"/>
    <w:rsid w:val="00430C96"/>
    <w:rsid w:val="00431859"/>
    <w:rsid w:val="00431BFF"/>
    <w:rsid w:val="00432043"/>
    <w:rsid w:val="00432199"/>
    <w:rsid w:val="00432A58"/>
    <w:rsid w:val="004331C3"/>
    <w:rsid w:val="00433C17"/>
    <w:rsid w:val="00434459"/>
    <w:rsid w:val="00434617"/>
    <w:rsid w:val="00435051"/>
    <w:rsid w:val="00435C69"/>
    <w:rsid w:val="004360FB"/>
    <w:rsid w:val="00437CED"/>
    <w:rsid w:val="004407BF"/>
    <w:rsid w:val="00440900"/>
    <w:rsid w:val="0044121D"/>
    <w:rsid w:val="00441A7F"/>
    <w:rsid w:val="00441BF6"/>
    <w:rsid w:val="00441D2B"/>
    <w:rsid w:val="00441F8B"/>
    <w:rsid w:val="0044201B"/>
    <w:rsid w:val="00442085"/>
    <w:rsid w:val="0044279E"/>
    <w:rsid w:val="004441A0"/>
    <w:rsid w:val="0044465B"/>
    <w:rsid w:val="00445861"/>
    <w:rsid w:val="00445A8E"/>
    <w:rsid w:val="00445FBE"/>
    <w:rsid w:val="00446D44"/>
    <w:rsid w:val="0045078A"/>
    <w:rsid w:val="0045086D"/>
    <w:rsid w:val="00450DAB"/>
    <w:rsid w:val="004511F3"/>
    <w:rsid w:val="0045125B"/>
    <w:rsid w:val="00451EF1"/>
    <w:rsid w:val="00452E60"/>
    <w:rsid w:val="0045321B"/>
    <w:rsid w:val="00454515"/>
    <w:rsid w:val="004563A7"/>
    <w:rsid w:val="00456FE5"/>
    <w:rsid w:val="00457490"/>
    <w:rsid w:val="00457953"/>
    <w:rsid w:val="004604D8"/>
    <w:rsid w:val="00460656"/>
    <w:rsid w:val="00460FB3"/>
    <w:rsid w:val="00461549"/>
    <w:rsid w:val="004626A4"/>
    <w:rsid w:val="00463D3C"/>
    <w:rsid w:val="00464851"/>
    <w:rsid w:val="0046746A"/>
    <w:rsid w:val="0046782D"/>
    <w:rsid w:val="00467B14"/>
    <w:rsid w:val="004707FE"/>
    <w:rsid w:val="00470EDC"/>
    <w:rsid w:val="004719DF"/>
    <w:rsid w:val="00471B1B"/>
    <w:rsid w:val="0047276D"/>
    <w:rsid w:val="00472AF6"/>
    <w:rsid w:val="00473482"/>
    <w:rsid w:val="00474A04"/>
    <w:rsid w:val="00475A43"/>
    <w:rsid w:val="00476240"/>
    <w:rsid w:val="00476439"/>
    <w:rsid w:val="00476450"/>
    <w:rsid w:val="004769E1"/>
    <w:rsid w:val="0047735C"/>
    <w:rsid w:val="004776BC"/>
    <w:rsid w:val="00477820"/>
    <w:rsid w:val="00477B96"/>
    <w:rsid w:val="004806E2"/>
    <w:rsid w:val="00480BAE"/>
    <w:rsid w:val="00480D16"/>
    <w:rsid w:val="0048139F"/>
    <w:rsid w:val="00481E40"/>
    <w:rsid w:val="00482405"/>
    <w:rsid w:val="004826A7"/>
    <w:rsid w:val="0048368C"/>
    <w:rsid w:val="0048372F"/>
    <w:rsid w:val="00484ECE"/>
    <w:rsid w:val="00485BF2"/>
    <w:rsid w:val="00485E82"/>
    <w:rsid w:val="00486132"/>
    <w:rsid w:val="0048686D"/>
    <w:rsid w:val="00486A4D"/>
    <w:rsid w:val="00486CF6"/>
    <w:rsid w:val="00491466"/>
    <w:rsid w:val="004915CB"/>
    <w:rsid w:val="004924DC"/>
    <w:rsid w:val="00492879"/>
    <w:rsid w:val="00493D59"/>
    <w:rsid w:val="00493E85"/>
    <w:rsid w:val="00494A49"/>
    <w:rsid w:val="00495145"/>
    <w:rsid w:val="0049620B"/>
    <w:rsid w:val="004973CD"/>
    <w:rsid w:val="004979A5"/>
    <w:rsid w:val="004A0144"/>
    <w:rsid w:val="004A036E"/>
    <w:rsid w:val="004A0498"/>
    <w:rsid w:val="004A0D0E"/>
    <w:rsid w:val="004A14E4"/>
    <w:rsid w:val="004A204E"/>
    <w:rsid w:val="004A26A5"/>
    <w:rsid w:val="004A2794"/>
    <w:rsid w:val="004A27F0"/>
    <w:rsid w:val="004A3212"/>
    <w:rsid w:val="004A37CD"/>
    <w:rsid w:val="004A40D9"/>
    <w:rsid w:val="004A49A5"/>
    <w:rsid w:val="004A4F8A"/>
    <w:rsid w:val="004A5494"/>
    <w:rsid w:val="004A5991"/>
    <w:rsid w:val="004A5D4E"/>
    <w:rsid w:val="004A61C5"/>
    <w:rsid w:val="004A62A0"/>
    <w:rsid w:val="004A6558"/>
    <w:rsid w:val="004A7447"/>
    <w:rsid w:val="004A77DF"/>
    <w:rsid w:val="004B12DD"/>
    <w:rsid w:val="004B1417"/>
    <w:rsid w:val="004B15BA"/>
    <w:rsid w:val="004B17C0"/>
    <w:rsid w:val="004B2BB0"/>
    <w:rsid w:val="004B305C"/>
    <w:rsid w:val="004B31B8"/>
    <w:rsid w:val="004B339A"/>
    <w:rsid w:val="004B473B"/>
    <w:rsid w:val="004B49CB"/>
    <w:rsid w:val="004B4C83"/>
    <w:rsid w:val="004B4DE3"/>
    <w:rsid w:val="004B5570"/>
    <w:rsid w:val="004B55B7"/>
    <w:rsid w:val="004B5BFA"/>
    <w:rsid w:val="004B6468"/>
    <w:rsid w:val="004B6EF8"/>
    <w:rsid w:val="004B7121"/>
    <w:rsid w:val="004B7125"/>
    <w:rsid w:val="004B756A"/>
    <w:rsid w:val="004B7D6D"/>
    <w:rsid w:val="004B7FB1"/>
    <w:rsid w:val="004C0B3F"/>
    <w:rsid w:val="004C218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69"/>
    <w:rsid w:val="004D0794"/>
    <w:rsid w:val="004D2E03"/>
    <w:rsid w:val="004D3296"/>
    <w:rsid w:val="004D4056"/>
    <w:rsid w:val="004D4CB0"/>
    <w:rsid w:val="004D5B0F"/>
    <w:rsid w:val="004D7626"/>
    <w:rsid w:val="004E00D2"/>
    <w:rsid w:val="004E186A"/>
    <w:rsid w:val="004E1A40"/>
    <w:rsid w:val="004E200A"/>
    <w:rsid w:val="004E23FC"/>
    <w:rsid w:val="004E2409"/>
    <w:rsid w:val="004E261D"/>
    <w:rsid w:val="004E5763"/>
    <w:rsid w:val="004E57BF"/>
    <w:rsid w:val="004E5F41"/>
    <w:rsid w:val="004E6DE6"/>
    <w:rsid w:val="004E6E07"/>
    <w:rsid w:val="004E73AE"/>
    <w:rsid w:val="004E765E"/>
    <w:rsid w:val="004E7815"/>
    <w:rsid w:val="004F06F5"/>
    <w:rsid w:val="004F12A4"/>
    <w:rsid w:val="004F253F"/>
    <w:rsid w:val="004F33A0"/>
    <w:rsid w:val="004F3BD2"/>
    <w:rsid w:val="004F46ED"/>
    <w:rsid w:val="004F4C99"/>
    <w:rsid w:val="004F5358"/>
    <w:rsid w:val="004F6484"/>
    <w:rsid w:val="004F6539"/>
    <w:rsid w:val="00503784"/>
    <w:rsid w:val="00503D54"/>
    <w:rsid w:val="005048E2"/>
    <w:rsid w:val="00505FC8"/>
    <w:rsid w:val="00506603"/>
    <w:rsid w:val="0050689D"/>
    <w:rsid w:val="005077F5"/>
    <w:rsid w:val="005108C0"/>
    <w:rsid w:val="0051094F"/>
    <w:rsid w:val="005109BD"/>
    <w:rsid w:val="00511217"/>
    <w:rsid w:val="00511873"/>
    <w:rsid w:val="00511DFB"/>
    <w:rsid w:val="00512461"/>
    <w:rsid w:val="00512585"/>
    <w:rsid w:val="00512A2F"/>
    <w:rsid w:val="00513B7C"/>
    <w:rsid w:val="00513B7E"/>
    <w:rsid w:val="00513E9D"/>
    <w:rsid w:val="0051475D"/>
    <w:rsid w:val="00514B11"/>
    <w:rsid w:val="00515485"/>
    <w:rsid w:val="00515BE9"/>
    <w:rsid w:val="00515C74"/>
    <w:rsid w:val="0051630F"/>
    <w:rsid w:val="00517113"/>
    <w:rsid w:val="0052007E"/>
    <w:rsid w:val="005215A9"/>
    <w:rsid w:val="00521CAD"/>
    <w:rsid w:val="0052200D"/>
    <w:rsid w:val="00522E01"/>
    <w:rsid w:val="0052337A"/>
    <w:rsid w:val="00524385"/>
    <w:rsid w:val="005246BE"/>
    <w:rsid w:val="00525137"/>
    <w:rsid w:val="005251DD"/>
    <w:rsid w:val="005251E7"/>
    <w:rsid w:val="00526691"/>
    <w:rsid w:val="0053012B"/>
    <w:rsid w:val="005301A6"/>
    <w:rsid w:val="005308A4"/>
    <w:rsid w:val="00530A68"/>
    <w:rsid w:val="00530AD4"/>
    <w:rsid w:val="00530BF8"/>
    <w:rsid w:val="00531859"/>
    <w:rsid w:val="00531BC0"/>
    <w:rsid w:val="00531C5A"/>
    <w:rsid w:val="005320DD"/>
    <w:rsid w:val="00532CE7"/>
    <w:rsid w:val="00532D8B"/>
    <w:rsid w:val="0053324C"/>
    <w:rsid w:val="00533A8D"/>
    <w:rsid w:val="00534A28"/>
    <w:rsid w:val="00534FC7"/>
    <w:rsid w:val="00535018"/>
    <w:rsid w:val="0053595E"/>
    <w:rsid w:val="00536D6F"/>
    <w:rsid w:val="00537571"/>
    <w:rsid w:val="00540056"/>
    <w:rsid w:val="005410E2"/>
    <w:rsid w:val="00541508"/>
    <w:rsid w:val="00541AE3"/>
    <w:rsid w:val="0054347E"/>
    <w:rsid w:val="00543498"/>
    <w:rsid w:val="00543771"/>
    <w:rsid w:val="00544011"/>
    <w:rsid w:val="00544889"/>
    <w:rsid w:val="00544BE5"/>
    <w:rsid w:val="005455F6"/>
    <w:rsid w:val="0054582F"/>
    <w:rsid w:val="00546B17"/>
    <w:rsid w:val="005500F9"/>
    <w:rsid w:val="00550160"/>
    <w:rsid w:val="005514EA"/>
    <w:rsid w:val="00552306"/>
    <w:rsid w:val="005523A8"/>
    <w:rsid w:val="00552F2C"/>
    <w:rsid w:val="0055305F"/>
    <w:rsid w:val="00553A25"/>
    <w:rsid w:val="005547EB"/>
    <w:rsid w:val="005552D3"/>
    <w:rsid w:val="005555E0"/>
    <w:rsid w:val="0055599F"/>
    <w:rsid w:val="00556D68"/>
    <w:rsid w:val="005570D6"/>
    <w:rsid w:val="00557954"/>
    <w:rsid w:val="00557E0E"/>
    <w:rsid w:val="00557E45"/>
    <w:rsid w:val="00560C41"/>
    <w:rsid w:val="00561F44"/>
    <w:rsid w:val="00562699"/>
    <w:rsid w:val="00562B4D"/>
    <w:rsid w:val="00563EB8"/>
    <w:rsid w:val="00564178"/>
    <w:rsid w:val="005647BF"/>
    <w:rsid w:val="00564AF1"/>
    <w:rsid w:val="005655DB"/>
    <w:rsid w:val="00565E88"/>
    <w:rsid w:val="00566CE9"/>
    <w:rsid w:val="00566EFA"/>
    <w:rsid w:val="005678EE"/>
    <w:rsid w:val="00570270"/>
    <w:rsid w:val="00570464"/>
    <w:rsid w:val="00570BC3"/>
    <w:rsid w:val="0057182A"/>
    <w:rsid w:val="00571E59"/>
    <w:rsid w:val="00572079"/>
    <w:rsid w:val="00572900"/>
    <w:rsid w:val="00573602"/>
    <w:rsid w:val="0057364B"/>
    <w:rsid w:val="00573878"/>
    <w:rsid w:val="00574773"/>
    <w:rsid w:val="00575EF7"/>
    <w:rsid w:val="005761EC"/>
    <w:rsid w:val="00576542"/>
    <w:rsid w:val="00577C07"/>
    <w:rsid w:val="00577DB1"/>
    <w:rsid w:val="00580AD3"/>
    <w:rsid w:val="00580DE7"/>
    <w:rsid w:val="005810E1"/>
    <w:rsid w:val="005839C8"/>
    <w:rsid w:val="00583E52"/>
    <w:rsid w:val="00583FFD"/>
    <w:rsid w:val="00584252"/>
    <w:rsid w:val="00584269"/>
    <w:rsid w:val="0058519A"/>
    <w:rsid w:val="005856BD"/>
    <w:rsid w:val="00586BCA"/>
    <w:rsid w:val="00587038"/>
    <w:rsid w:val="00590B28"/>
    <w:rsid w:val="005911BE"/>
    <w:rsid w:val="00591273"/>
    <w:rsid w:val="00591E9E"/>
    <w:rsid w:val="005927A4"/>
    <w:rsid w:val="00593152"/>
    <w:rsid w:val="00593357"/>
    <w:rsid w:val="005956A3"/>
    <w:rsid w:val="00595958"/>
    <w:rsid w:val="00595CAB"/>
    <w:rsid w:val="0059622E"/>
    <w:rsid w:val="00597671"/>
    <w:rsid w:val="00597BBF"/>
    <w:rsid w:val="005A0948"/>
    <w:rsid w:val="005A0A03"/>
    <w:rsid w:val="005A10F2"/>
    <w:rsid w:val="005A14E1"/>
    <w:rsid w:val="005A21E0"/>
    <w:rsid w:val="005A28FF"/>
    <w:rsid w:val="005A2C09"/>
    <w:rsid w:val="005A357B"/>
    <w:rsid w:val="005A3778"/>
    <w:rsid w:val="005A3DF8"/>
    <w:rsid w:val="005A5549"/>
    <w:rsid w:val="005A55E8"/>
    <w:rsid w:val="005A58F7"/>
    <w:rsid w:val="005A7CF8"/>
    <w:rsid w:val="005A7F67"/>
    <w:rsid w:val="005B0EDA"/>
    <w:rsid w:val="005B121D"/>
    <w:rsid w:val="005B26B0"/>
    <w:rsid w:val="005B41C9"/>
    <w:rsid w:val="005B44E6"/>
    <w:rsid w:val="005B4853"/>
    <w:rsid w:val="005B5054"/>
    <w:rsid w:val="005B5F82"/>
    <w:rsid w:val="005B6CA1"/>
    <w:rsid w:val="005B770C"/>
    <w:rsid w:val="005C06ED"/>
    <w:rsid w:val="005C11B8"/>
    <w:rsid w:val="005C216C"/>
    <w:rsid w:val="005C2319"/>
    <w:rsid w:val="005C2609"/>
    <w:rsid w:val="005C263A"/>
    <w:rsid w:val="005C2B30"/>
    <w:rsid w:val="005C401C"/>
    <w:rsid w:val="005C412B"/>
    <w:rsid w:val="005C43EC"/>
    <w:rsid w:val="005C45DD"/>
    <w:rsid w:val="005C4CB1"/>
    <w:rsid w:val="005D3F06"/>
    <w:rsid w:val="005D4AC7"/>
    <w:rsid w:val="005D4B73"/>
    <w:rsid w:val="005D5645"/>
    <w:rsid w:val="005D5802"/>
    <w:rsid w:val="005D5AA9"/>
    <w:rsid w:val="005D66E6"/>
    <w:rsid w:val="005D7119"/>
    <w:rsid w:val="005D76C8"/>
    <w:rsid w:val="005D7890"/>
    <w:rsid w:val="005E0204"/>
    <w:rsid w:val="005E0790"/>
    <w:rsid w:val="005E19C1"/>
    <w:rsid w:val="005E2194"/>
    <w:rsid w:val="005E24F0"/>
    <w:rsid w:val="005E36FE"/>
    <w:rsid w:val="005E391F"/>
    <w:rsid w:val="005E3F66"/>
    <w:rsid w:val="005E490F"/>
    <w:rsid w:val="005E4BC9"/>
    <w:rsid w:val="005E5314"/>
    <w:rsid w:val="005E60E1"/>
    <w:rsid w:val="005E7C78"/>
    <w:rsid w:val="005F04A7"/>
    <w:rsid w:val="005F08F0"/>
    <w:rsid w:val="005F114F"/>
    <w:rsid w:val="005F18C5"/>
    <w:rsid w:val="005F2A08"/>
    <w:rsid w:val="005F2D91"/>
    <w:rsid w:val="005F36CC"/>
    <w:rsid w:val="005F3EB1"/>
    <w:rsid w:val="005F413E"/>
    <w:rsid w:val="005F466B"/>
    <w:rsid w:val="005F46D8"/>
    <w:rsid w:val="005F480F"/>
    <w:rsid w:val="005F4FC3"/>
    <w:rsid w:val="005F5469"/>
    <w:rsid w:val="005F63F3"/>
    <w:rsid w:val="005F66F0"/>
    <w:rsid w:val="005F6D7F"/>
    <w:rsid w:val="005F7174"/>
    <w:rsid w:val="005F7E79"/>
    <w:rsid w:val="00601AA5"/>
    <w:rsid w:val="00601ADE"/>
    <w:rsid w:val="00601EA4"/>
    <w:rsid w:val="00601EEF"/>
    <w:rsid w:val="0060255A"/>
    <w:rsid w:val="00602EB3"/>
    <w:rsid w:val="00603F18"/>
    <w:rsid w:val="00604307"/>
    <w:rsid w:val="0060487F"/>
    <w:rsid w:val="00604EAD"/>
    <w:rsid w:val="0060513F"/>
    <w:rsid w:val="0060694B"/>
    <w:rsid w:val="006104FB"/>
    <w:rsid w:val="00610E7F"/>
    <w:rsid w:val="00611113"/>
    <w:rsid w:val="0061176D"/>
    <w:rsid w:val="0061200F"/>
    <w:rsid w:val="00612756"/>
    <w:rsid w:val="00612A2F"/>
    <w:rsid w:val="00612AAE"/>
    <w:rsid w:val="00612BB0"/>
    <w:rsid w:val="00612FD9"/>
    <w:rsid w:val="006139E0"/>
    <w:rsid w:val="00614D35"/>
    <w:rsid w:val="00614FD6"/>
    <w:rsid w:val="0061541C"/>
    <w:rsid w:val="006156B4"/>
    <w:rsid w:val="00615DAF"/>
    <w:rsid w:val="00616E05"/>
    <w:rsid w:val="00616F73"/>
    <w:rsid w:val="00617985"/>
    <w:rsid w:val="00620B77"/>
    <w:rsid w:val="0062131B"/>
    <w:rsid w:val="00621E26"/>
    <w:rsid w:val="0062263A"/>
    <w:rsid w:val="006227DF"/>
    <w:rsid w:val="006236C8"/>
    <w:rsid w:val="00624093"/>
    <w:rsid w:val="006254AE"/>
    <w:rsid w:val="00625A84"/>
    <w:rsid w:val="00626079"/>
    <w:rsid w:val="00630346"/>
    <w:rsid w:val="00631698"/>
    <w:rsid w:val="00631989"/>
    <w:rsid w:val="00631E44"/>
    <w:rsid w:val="00634C57"/>
    <w:rsid w:val="00634CE7"/>
    <w:rsid w:val="006350D5"/>
    <w:rsid w:val="0063642C"/>
    <w:rsid w:val="00637858"/>
    <w:rsid w:val="006404A7"/>
    <w:rsid w:val="00640A38"/>
    <w:rsid w:val="00640E6B"/>
    <w:rsid w:val="00641787"/>
    <w:rsid w:val="0064179B"/>
    <w:rsid w:val="006417C0"/>
    <w:rsid w:val="00642489"/>
    <w:rsid w:val="00644055"/>
    <w:rsid w:val="00644137"/>
    <w:rsid w:val="0064478C"/>
    <w:rsid w:val="00645160"/>
    <w:rsid w:val="006451E4"/>
    <w:rsid w:val="00645B33"/>
    <w:rsid w:val="006479A4"/>
    <w:rsid w:val="00647BC3"/>
    <w:rsid w:val="006516CB"/>
    <w:rsid w:val="006539DD"/>
    <w:rsid w:val="00653BD0"/>
    <w:rsid w:val="00654110"/>
    <w:rsid w:val="006542AF"/>
    <w:rsid w:val="00656C5D"/>
    <w:rsid w:val="00656CFB"/>
    <w:rsid w:val="00657E87"/>
    <w:rsid w:val="00660B4C"/>
    <w:rsid w:val="00660D2D"/>
    <w:rsid w:val="00661C41"/>
    <w:rsid w:val="00661EC9"/>
    <w:rsid w:val="00662198"/>
    <w:rsid w:val="00662469"/>
    <w:rsid w:val="00662BBA"/>
    <w:rsid w:val="006632F5"/>
    <w:rsid w:val="0066411C"/>
    <w:rsid w:val="00664205"/>
    <w:rsid w:val="00664647"/>
    <w:rsid w:val="00664803"/>
    <w:rsid w:val="006653CC"/>
    <w:rsid w:val="00665678"/>
    <w:rsid w:val="00665982"/>
    <w:rsid w:val="00665BA4"/>
    <w:rsid w:val="00666BF3"/>
    <w:rsid w:val="00667856"/>
    <w:rsid w:val="00667AF2"/>
    <w:rsid w:val="00670489"/>
    <w:rsid w:val="006710C9"/>
    <w:rsid w:val="00672586"/>
    <w:rsid w:val="0067262A"/>
    <w:rsid w:val="006741CD"/>
    <w:rsid w:val="0067483A"/>
    <w:rsid w:val="00674D89"/>
    <w:rsid w:val="00674E3E"/>
    <w:rsid w:val="0067514E"/>
    <w:rsid w:val="00675B3D"/>
    <w:rsid w:val="00675E37"/>
    <w:rsid w:val="00676736"/>
    <w:rsid w:val="006769A4"/>
    <w:rsid w:val="006769C6"/>
    <w:rsid w:val="00676D76"/>
    <w:rsid w:val="00676F9F"/>
    <w:rsid w:val="00677591"/>
    <w:rsid w:val="00677594"/>
    <w:rsid w:val="0068032F"/>
    <w:rsid w:val="00680D37"/>
    <w:rsid w:val="0068135D"/>
    <w:rsid w:val="0068174E"/>
    <w:rsid w:val="00681DCE"/>
    <w:rsid w:val="00682519"/>
    <w:rsid w:val="0068260E"/>
    <w:rsid w:val="006831EE"/>
    <w:rsid w:val="006846B3"/>
    <w:rsid w:val="00684D59"/>
    <w:rsid w:val="00684E25"/>
    <w:rsid w:val="006850E9"/>
    <w:rsid w:val="006858A4"/>
    <w:rsid w:val="00686718"/>
    <w:rsid w:val="00686BFA"/>
    <w:rsid w:val="00686DED"/>
    <w:rsid w:val="006875A0"/>
    <w:rsid w:val="006878C6"/>
    <w:rsid w:val="00687D27"/>
    <w:rsid w:val="00691943"/>
    <w:rsid w:val="00693550"/>
    <w:rsid w:val="0069430A"/>
    <w:rsid w:val="00695065"/>
    <w:rsid w:val="00695BEF"/>
    <w:rsid w:val="00696251"/>
    <w:rsid w:val="006963A7"/>
    <w:rsid w:val="006966C7"/>
    <w:rsid w:val="006968C1"/>
    <w:rsid w:val="006977F6"/>
    <w:rsid w:val="00697A13"/>
    <w:rsid w:val="00697A57"/>
    <w:rsid w:val="006A0A71"/>
    <w:rsid w:val="006A0DD4"/>
    <w:rsid w:val="006A109C"/>
    <w:rsid w:val="006A3C12"/>
    <w:rsid w:val="006A3C29"/>
    <w:rsid w:val="006A48E8"/>
    <w:rsid w:val="006A5F4B"/>
    <w:rsid w:val="006A6565"/>
    <w:rsid w:val="006A7691"/>
    <w:rsid w:val="006A7EE2"/>
    <w:rsid w:val="006B0514"/>
    <w:rsid w:val="006B0F92"/>
    <w:rsid w:val="006B2785"/>
    <w:rsid w:val="006B27C7"/>
    <w:rsid w:val="006B344A"/>
    <w:rsid w:val="006B4197"/>
    <w:rsid w:val="006B4F43"/>
    <w:rsid w:val="006B58C9"/>
    <w:rsid w:val="006B60ED"/>
    <w:rsid w:val="006B6CC5"/>
    <w:rsid w:val="006B74AC"/>
    <w:rsid w:val="006B78D8"/>
    <w:rsid w:val="006B79EA"/>
    <w:rsid w:val="006C0221"/>
    <w:rsid w:val="006C0C5D"/>
    <w:rsid w:val="006C113F"/>
    <w:rsid w:val="006C123E"/>
    <w:rsid w:val="006C12B6"/>
    <w:rsid w:val="006C15A1"/>
    <w:rsid w:val="006C1752"/>
    <w:rsid w:val="006C1DDC"/>
    <w:rsid w:val="006C24F9"/>
    <w:rsid w:val="006C28CA"/>
    <w:rsid w:val="006C2BBF"/>
    <w:rsid w:val="006C2FBD"/>
    <w:rsid w:val="006C358B"/>
    <w:rsid w:val="006C4355"/>
    <w:rsid w:val="006C469D"/>
    <w:rsid w:val="006C46B5"/>
    <w:rsid w:val="006C46F7"/>
    <w:rsid w:val="006C484F"/>
    <w:rsid w:val="006C52EC"/>
    <w:rsid w:val="006C56D4"/>
    <w:rsid w:val="006C6681"/>
    <w:rsid w:val="006C67EC"/>
    <w:rsid w:val="006C683C"/>
    <w:rsid w:val="006C6924"/>
    <w:rsid w:val="006C69D4"/>
    <w:rsid w:val="006C6C1E"/>
    <w:rsid w:val="006C7076"/>
    <w:rsid w:val="006C73D7"/>
    <w:rsid w:val="006C7AEC"/>
    <w:rsid w:val="006C7CA6"/>
    <w:rsid w:val="006D15FC"/>
    <w:rsid w:val="006D18B3"/>
    <w:rsid w:val="006D190F"/>
    <w:rsid w:val="006D1E89"/>
    <w:rsid w:val="006D1F0B"/>
    <w:rsid w:val="006D317E"/>
    <w:rsid w:val="006D3D6B"/>
    <w:rsid w:val="006D3E8A"/>
    <w:rsid w:val="006D5925"/>
    <w:rsid w:val="006D61F6"/>
    <w:rsid w:val="006D6ED0"/>
    <w:rsid w:val="006D7837"/>
    <w:rsid w:val="006E1332"/>
    <w:rsid w:val="006E279A"/>
    <w:rsid w:val="006E313B"/>
    <w:rsid w:val="006E34B2"/>
    <w:rsid w:val="006E3A45"/>
    <w:rsid w:val="006E4078"/>
    <w:rsid w:val="006E53AD"/>
    <w:rsid w:val="006E58CB"/>
    <w:rsid w:val="006E6195"/>
    <w:rsid w:val="006E7227"/>
    <w:rsid w:val="006E761A"/>
    <w:rsid w:val="006F0741"/>
    <w:rsid w:val="006F1C27"/>
    <w:rsid w:val="006F2882"/>
    <w:rsid w:val="006F2A65"/>
    <w:rsid w:val="006F3DD6"/>
    <w:rsid w:val="006F40DF"/>
    <w:rsid w:val="006F42BB"/>
    <w:rsid w:val="006F438E"/>
    <w:rsid w:val="006F440B"/>
    <w:rsid w:val="006F48A3"/>
    <w:rsid w:val="006F5416"/>
    <w:rsid w:val="006F624B"/>
    <w:rsid w:val="006F6D87"/>
    <w:rsid w:val="006F77B7"/>
    <w:rsid w:val="007004F2"/>
    <w:rsid w:val="0070398A"/>
    <w:rsid w:val="00705242"/>
    <w:rsid w:val="007055E0"/>
    <w:rsid w:val="007056ED"/>
    <w:rsid w:val="00705F4E"/>
    <w:rsid w:val="007065C5"/>
    <w:rsid w:val="007068E1"/>
    <w:rsid w:val="00706AA0"/>
    <w:rsid w:val="00706AD4"/>
    <w:rsid w:val="00707150"/>
    <w:rsid w:val="00710AF0"/>
    <w:rsid w:val="007119CB"/>
    <w:rsid w:val="007124D7"/>
    <w:rsid w:val="00712C20"/>
    <w:rsid w:val="00713549"/>
    <w:rsid w:val="007140BE"/>
    <w:rsid w:val="007147AB"/>
    <w:rsid w:val="00715502"/>
    <w:rsid w:val="00715B9E"/>
    <w:rsid w:val="00715E4D"/>
    <w:rsid w:val="0071677A"/>
    <w:rsid w:val="00716F48"/>
    <w:rsid w:val="00717096"/>
    <w:rsid w:val="00717114"/>
    <w:rsid w:val="0071779F"/>
    <w:rsid w:val="00720CB6"/>
    <w:rsid w:val="007211F5"/>
    <w:rsid w:val="00721601"/>
    <w:rsid w:val="00722777"/>
    <w:rsid w:val="007230C9"/>
    <w:rsid w:val="00723435"/>
    <w:rsid w:val="00723436"/>
    <w:rsid w:val="007235C9"/>
    <w:rsid w:val="007240E2"/>
    <w:rsid w:val="0072454C"/>
    <w:rsid w:val="0072531B"/>
    <w:rsid w:val="0072583E"/>
    <w:rsid w:val="00725BB5"/>
    <w:rsid w:val="00727C02"/>
    <w:rsid w:val="0073008E"/>
    <w:rsid w:val="00730AE8"/>
    <w:rsid w:val="00730F1B"/>
    <w:rsid w:val="00731616"/>
    <w:rsid w:val="0073186D"/>
    <w:rsid w:val="00731C73"/>
    <w:rsid w:val="007325BA"/>
    <w:rsid w:val="0073333D"/>
    <w:rsid w:val="007343D9"/>
    <w:rsid w:val="00734451"/>
    <w:rsid w:val="00734E87"/>
    <w:rsid w:val="00734F71"/>
    <w:rsid w:val="00735448"/>
    <w:rsid w:val="00736F07"/>
    <w:rsid w:val="007377BD"/>
    <w:rsid w:val="0073789B"/>
    <w:rsid w:val="00737DEC"/>
    <w:rsid w:val="0074004D"/>
    <w:rsid w:val="00741493"/>
    <w:rsid w:val="0074297B"/>
    <w:rsid w:val="007434E5"/>
    <w:rsid w:val="0074499B"/>
    <w:rsid w:val="007450BF"/>
    <w:rsid w:val="00745E3F"/>
    <w:rsid w:val="007471A1"/>
    <w:rsid w:val="007471EF"/>
    <w:rsid w:val="007477BD"/>
    <w:rsid w:val="00747EE9"/>
    <w:rsid w:val="00752126"/>
    <w:rsid w:val="00752180"/>
    <w:rsid w:val="00752323"/>
    <w:rsid w:val="007532B7"/>
    <w:rsid w:val="00753CAB"/>
    <w:rsid w:val="00754A70"/>
    <w:rsid w:val="00754BC9"/>
    <w:rsid w:val="00755202"/>
    <w:rsid w:val="007558AE"/>
    <w:rsid w:val="00755D3A"/>
    <w:rsid w:val="00757241"/>
    <w:rsid w:val="0075751D"/>
    <w:rsid w:val="0075763E"/>
    <w:rsid w:val="007578D3"/>
    <w:rsid w:val="00757C31"/>
    <w:rsid w:val="00757F49"/>
    <w:rsid w:val="007602CF"/>
    <w:rsid w:val="00760391"/>
    <w:rsid w:val="007609C6"/>
    <w:rsid w:val="007615F3"/>
    <w:rsid w:val="0076175D"/>
    <w:rsid w:val="00761CB5"/>
    <w:rsid w:val="007629D5"/>
    <w:rsid w:val="007635F8"/>
    <w:rsid w:val="00763B85"/>
    <w:rsid w:val="00763C9F"/>
    <w:rsid w:val="0076421A"/>
    <w:rsid w:val="00764974"/>
    <w:rsid w:val="00764D18"/>
    <w:rsid w:val="0076521E"/>
    <w:rsid w:val="00765BCC"/>
    <w:rsid w:val="0076600D"/>
    <w:rsid w:val="007661E9"/>
    <w:rsid w:val="00766460"/>
    <w:rsid w:val="00767062"/>
    <w:rsid w:val="00767777"/>
    <w:rsid w:val="00770CFC"/>
    <w:rsid w:val="00771274"/>
    <w:rsid w:val="0077130E"/>
    <w:rsid w:val="007715EE"/>
    <w:rsid w:val="00771972"/>
    <w:rsid w:val="00772279"/>
    <w:rsid w:val="00772DAB"/>
    <w:rsid w:val="00772FF9"/>
    <w:rsid w:val="00774CEF"/>
    <w:rsid w:val="00774D2C"/>
    <w:rsid w:val="00775204"/>
    <w:rsid w:val="007754B9"/>
    <w:rsid w:val="0077605B"/>
    <w:rsid w:val="00776169"/>
    <w:rsid w:val="00776527"/>
    <w:rsid w:val="00776DD8"/>
    <w:rsid w:val="00777040"/>
    <w:rsid w:val="00777CE6"/>
    <w:rsid w:val="00777D2D"/>
    <w:rsid w:val="00780EF1"/>
    <w:rsid w:val="00781A91"/>
    <w:rsid w:val="00781F36"/>
    <w:rsid w:val="0078236A"/>
    <w:rsid w:val="00785778"/>
    <w:rsid w:val="00785BE1"/>
    <w:rsid w:val="00786C87"/>
    <w:rsid w:val="0078755E"/>
    <w:rsid w:val="007877C9"/>
    <w:rsid w:val="00790764"/>
    <w:rsid w:val="0079085F"/>
    <w:rsid w:val="00790E96"/>
    <w:rsid w:val="00791005"/>
    <w:rsid w:val="0079117A"/>
    <w:rsid w:val="00792E9C"/>
    <w:rsid w:val="00793D78"/>
    <w:rsid w:val="0079420B"/>
    <w:rsid w:val="0079453C"/>
    <w:rsid w:val="00794677"/>
    <w:rsid w:val="00795759"/>
    <w:rsid w:val="00797A76"/>
    <w:rsid w:val="007A170B"/>
    <w:rsid w:val="007A20EB"/>
    <w:rsid w:val="007A282C"/>
    <w:rsid w:val="007A293C"/>
    <w:rsid w:val="007A2A3A"/>
    <w:rsid w:val="007A33E2"/>
    <w:rsid w:val="007A3CAF"/>
    <w:rsid w:val="007A4782"/>
    <w:rsid w:val="007A4CE6"/>
    <w:rsid w:val="007A516D"/>
    <w:rsid w:val="007A5E65"/>
    <w:rsid w:val="007A65E1"/>
    <w:rsid w:val="007A6AAA"/>
    <w:rsid w:val="007A6AC6"/>
    <w:rsid w:val="007A7033"/>
    <w:rsid w:val="007A775D"/>
    <w:rsid w:val="007B0834"/>
    <w:rsid w:val="007B0E83"/>
    <w:rsid w:val="007B11FA"/>
    <w:rsid w:val="007B1396"/>
    <w:rsid w:val="007B16D6"/>
    <w:rsid w:val="007B2011"/>
    <w:rsid w:val="007B2CFE"/>
    <w:rsid w:val="007B309B"/>
    <w:rsid w:val="007B3172"/>
    <w:rsid w:val="007B3D5E"/>
    <w:rsid w:val="007B3DCB"/>
    <w:rsid w:val="007B5725"/>
    <w:rsid w:val="007B5C1F"/>
    <w:rsid w:val="007B5E46"/>
    <w:rsid w:val="007B6689"/>
    <w:rsid w:val="007B6747"/>
    <w:rsid w:val="007B6F72"/>
    <w:rsid w:val="007C05A5"/>
    <w:rsid w:val="007C10BD"/>
    <w:rsid w:val="007C1F0C"/>
    <w:rsid w:val="007C1FFB"/>
    <w:rsid w:val="007C2D94"/>
    <w:rsid w:val="007C3423"/>
    <w:rsid w:val="007C3CFE"/>
    <w:rsid w:val="007C3FBC"/>
    <w:rsid w:val="007C54F1"/>
    <w:rsid w:val="007C5F92"/>
    <w:rsid w:val="007C6227"/>
    <w:rsid w:val="007C6BBD"/>
    <w:rsid w:val="007C6D89"/>
    <w:rsid w:val="007C6F5E"/>
    <w:rsid w:val="007D0382"/>
    <w:rsid w:val="007D0E63"/>
    <w:rsid w:val="007D14FE"/>
    <w:rsid w:val="007D1A1F"/>
    <w:rsid w:val="007D2869"/>
    <w:rsid w:val="007D2E18"/>
    <w:rsid w:val="007D34AE"/>
    <w:rsid w:val="007D40DF"/>
    <w:rsid w:val="007D42E5"/>
    <w:rsid w:val="007D4458"/>
    <w:rsid w:val="007D6AF9"/>
    <w:rsid w:val="007D77FB"/>
    <w:rsid w:val="007E0535"/>
    <w:rsid w:val="007E0D4A"/>
    <w:rsid w:val="007E0F75"/>
    <w:rsid w:val="007E1590"/>
    <w:rsid w:val="007E1788"/>
    <w:rsid w:val="007E1EC5"/>
    <w:rsid w:val="007E1EE3"/>
    <w:rsid w:val="007E29B4"/>
    <w:rsid w:val="007E2F12"/>
    <w:rsid w:val="007E3D86"/>
    <w:rsid w:val="007E435A"/>
    <w:rsid w:val="007E445C"/>
    <w:rsid w:val="007E49F7"/>
    <w:rsid w:val="007E4C70"/>
    <w:rsid w:val="007E580F"/>
    <w:rsid w:val="007E5B5F"/>
    <w:rsid w:val="007E5BA1"/>
    <w:rsid w:val="007E7242"/>
    <w:rsid w:val="007E78B6"/>
    <w:rsid w:val="007E7E61"/>
    <w:rsid w:val="007F0845"/>
    <w:rsid w:val="007F0873"/>
    <w:rsid w:val="007F17D4"/>
    <w:rsid w:val="007F208B"/>
    <w:rsid w:val="007F20F3"/>
    <w:rsid w:val="007F2353"/>
    <w:rsid w:val="007F2390"/>
    <w:rsid w:val="007F2CAC"/>
    <w:rsid w:val="007F4740"/>
    <w:rsid w:val="007F595A"/>
    <w:rsid w:val="007F5C38"/>
    <w:rsid w:val="007F708D"/>
    <w:rsid w:val="008006B3"/>
    <w:rsid w:val="00800B63"/>
    <w:rsid w:val="0080158A"/>
    <w:rsid w:val="00801E13"/>
    <w:rsid w:val="00803008"/>
    <w:rsid w:val="00803069"/>
    <w:rsid w:val="0080346B"/>
    <w:rsid w:val="00804155"/>
    <w:rsid w:val="0080559E"/>
    <w:rsid w:val="00805AF3"/>
    <w:rsid w:val="00807104"/>
    <w:rsid w:val="0080734C"/>
    <w:rsid w:val="00807C82"/>
    <w:rsid w:val="00810E62"/>
    <w:rsid w:val="008117CC"/>
    <w:rsid w:val="00811CEC"/>
    <w:rsid w:val="008128B2"/>
    <w:rsid w:val="00813B27"/>
    <w:rsid w:val="00813D58"/>
    <w:rsid w:val="00813DCA"/>
    <w:rsid w:val="008146F7"/>
    <w:rsid w:val="008161A6"/>
    <w:rsid w:val="008165B8"/>
    <w:rsid w:val="00816905"/>
    <w:rsid w:val="00816BCA"/>
    <w:rsid w:val="00816D98"/>
    <w:rsid w:val="00816E42"/>
    <w:rsid w:val="00817040"/>
    <w:rsid w:val="00817A17"/>
    <w:rsid w:val="00817DF8"/>
    <w:rsid w:val="00817EC1"/>
    <w:rsid w:val="0082112D"/>
    <w:rsid w:val="00821FF6"/>
    <w:rsid w:val="00822574"/>
    <w:rsid w:val="00822980"/>
    <w:rsid w:val="00822E58"/>
    <w:rsid w:val="00822F08"/>
    <w:rsid w:val="00825623"/>
    <w:rsid w:val="00825C4D"/>
    <w:rsid w:val="00826A08"/>
    <w:rsid w:val="00826AC0"/>
    <w:rsid w:val="00827186"/>
    <w:rsid w:val="00827C8E"/>
    <w:rsid w:val="00830569"/>
    <w:rsid w:val="00830AEA"/>
    <w:rsid w:val="00830E86"/>
    <w:rsid w:val="0083143E"/>
    <w:rsid w:val="008315B8"/>
    <w:rsid w:val="008315D5"/>
    <w:rsid w:val="00831793"/>
    <w:rsid w:val="00831CDE"/>
    <w:rsid w:val="00831E88"/>
    <w:rsid w:val="00831F2B"/>
    <w:rsid w:val="00831F7B"/>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2D20"/>
    <w:rsid w:val="008430FD"/>
    <w:rsid w:val="008458BD"/>
    <w:rsid w:val="00846121"/>
    <w:rsid w:val="008461C2"/>
    <w:rsid w:val="008462F1"/>
    <w:rsid w:val="008466C6"/>
    <w:rsid w:val="0084708F"/>
    <w:rsid w:val="008477C8"/>
    <w:rsid w:val="008478A6"/>
    <w:rsid w:val="008502F6"/>
    <w:rsid w:val="0085114D"/>
    <w:rsid w:val="00851A1F"/>
    <w:rsid w:val="00851B1C"/>
    <w:rsid w:val="008520A8"/>
    <w:rsid w:val="00852217"/>
    <w:rsid w:val="00853282"/>
    <w:rsid w:val="0085334C"/>
    <w:rsid w:val="00853FD1"/>
    <w:rsid w:val="008543DC"/>
    <w:rsid w:val="0085533F"/>
    <w:rsid w:val="00855408"/>
    <w:rsid w:val="00855D03"/>
    <w:rsid w:val="00856D65"/>
    <w:rsid w:val="008575AC"/>
    <w:rsid w:val="00860903"/>
    <w:rsid w:val="008611E0"/>
    <w:rsid w:val="00861B41"/>
    <w:rsid w:val="00861B9F"/>
    <w:rsid w:val="00861BE3"/>
    <w:rsid w:val="008625D3"/>
    <w:rsid w:val="00863434"/>
    <w:rsid w:val="0086344F"/>
    <w:rsid w:val="008641AC"/>
    <w:rsid w:val="00864E1F"/>
    <w:rsid w:val="00865E4C"/>
    <w:rsid w:val="00866413"/>
    <w:rsid w:val="00866494"/>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3859"/>
    <w:rsid w:val="00884E02"/>
    <w:rsid w:val="00885451"/>
    <w:rsid w:val="00885D40"/>
    <w:rsid w:val="00886293"/>
    <w:rsid w:val="00886D47"/>
    <w:rsid w:val="00887337"/>
    <w:rsid w:val="008873D4"/>
    <w:rsid w:val="00887780"/>
    <w:rsid w:val="00887E06"/>
    <w:rsid w:val="00891EDF"/>
    <w:rsid w:val="00892872"/>
    <w:rsid w:val="0089296D"/>
    <w:rsid w:val="00892D9E"/>
    <w:rsid w:val="00893E85"/>
    <w:rsid w:val="00893EBE"/>
    <w:rsid w:val="00894031"/>
    <w:rsid w:val="00894C5D"/>
    <w:rsid w:val="00895508"/>
    <w:rsid w:val="008967E9"/>
    <w:rsid w:val="00896A5C"/>
    <w:rsid w:val="008972D2"/>
    <w:rsid w:val="0089754C"/>
    <w:rsid w:val="008A0995"/>
    <w:rsid w:val="008A0ADD"/>
    <w:rsid w:val="008A0D27"/>
    <w:rsid w:val="008A1C59"/>
    <w:rsid w:val="008A37E2"/>
    <w:rsid w:val="008A388E"/>
    <w:rsid w:val="008A394E"/>
    <w:rsid w:val="008A3CBA"/>
    <w:rsid w:val="008A412A"/>
    <w:rsid w:val="008A4B59"/>
    <w:rsid w:val="008A63E1"/>
    <w:rsid w:val="008A66B7"/>
    <w:rsid w:val="008A68BB"/>
    <w:rsid w:val="008A6AA5"/>
    <w:rsid w:val="008A7127"/>
    <w:rsid w:val="008A71DF"/>
    <w:rsid w:val="008B042B"/>
    <w:rsid w:val="008B3537"/>
    <w:rsid w:val="008B3690"/>
    <w:rsid w:val="008B3701"/>
    <w:rsid w:val="008B3A80"/>
    <w:rsid w:val="008B3AEC"/>
    <w:rsid w:val="008B3C07"/>
    <w:rsid w:val="008B3F7B"/>
    <w:rsid w:val="008B5324"/>
    <w:rsid w:val="008B5F78"/>
    <w:rsid w:val="008B6106"/>
    <w:rsid w:val="008B64CC"/>
    <w:rsid w:val="008B7C02"/>
    <w:rsid w:val="008B7D2B"/>
    <w:rsid w:val="008B7EF9"/>
    <w:rsid w:val="008C0049"/>
    <w:rsid w:val="008C0314"/>
    <w:rsid w:val="008C0E88"/>
    <w:rsid w:val="008C1717"/>
    <w:rsid w:val="008C3F3D"/>
    <w:rsid w:val="008C4B50"/>
    <w:rsid w:val="008C5A37"/>
    <w:rsid w:val="008C7569"/>
    <w:rsid w:val="008C79C3"/>
    <w:rsid w:val="008D018F"/>
    <w:rsid w:val="008D033D"/>
    <w:rsid w:val="008D0DBD"/>
    <w:rsid w:val="008D117E"/>
    <w:rsid w:val="008D127E"/>
    <w:rsid w:val="008D18EF"/>
    <w:rsid w:val="008D1CA8"/>
    <w:rsid w:val="008D1E0A"/>
    <w:rsid w:val="008D1E6A"/>
    <w:rsid w:val="008D2A16"/>
    <w:rsid w:val="008D30AF"/>
    <w:rsid w:val="008D33F5"/>
    <w:rsid w:val="008D35E4"/>
    <w:rsid w:val="008D37BF"/>
    <w:rsid w:val="008D6C3A"/>
    <w:rsid w:val="008D6C5F"/>
    <w:rsid w:val="008E0001"/>
    <w:rsid w:val="008E292B"/>
    <w:rsid w:val="008E2C57"/>
    <w:rsid w:val="008E31FF"/>
    <w:rsid w:val="008E3287"/>
    <w:rsid w:val="008E6DCB"/>
    <w:rsid w:val="008E6F06"/>
    <w:rsid w:val="008E7B8E"/>
    <w:rsid w:val="008E7FC9"/>
    <w:rsid w:val="008F0107"/>
    <w:rsid w:val="008F029B"/>
    <w:rsid w:val="008F0589"/>
    <w:rsid w:val="008F26DB"/>
    <w:rsid w:val="008F2A5D"/>
    <w:rsid w:val="008F3636"/>
    <w:rsid w:val="008F3FC9"/>
    <w:rsid w:val="008F509F"/>
    <w:rsid w:val="008F5383"/>
    <w:rsid w:val="008F585B"/>
    <w:rsid w:val="008F7FB0"/>
    <w:rsid w:val="009003A8"/>
    <w:rsid w:val="009005E4"/>
    <w:rsid w:val="00900977"/>
    <w:rsid w:val="009021DA"/>
    <w:rsid w:val="00902500"/>
    <w:rsid w:val="009027F4"/>
    <w:rsid w:val="00902E73"/>
    <w:rsid w:val="00902EFF"/>
    <w:rsid w:val="00903A8E"/>
    <w:rsid w:val="00904010"/>
    <w:rsid w:val="0090432C"/>
    <w:rsid w:val="0090465F"/>
    <w:rsid w:val="00904F96"/>
    <w:rsid w:val="009052A3"/>
    <w:rsid w:val="00905314"/>
    <w:rsid w:val="009053B0"/>
    <w:rsid w:val="009056D7"/>
    <w:rsid w:val="00905B4D"/>
    <w:rsid w:val="00905B8D"/>
    <w:rsid w:val="00906401"/>
    <w:rsid w:val="009065CB"/>
    <w:rsid w:val="009067EA"/>
    <w:rsid w:val="00906B79"/>
    <w:rsid w:val="0090786F"/>
    <w:rsid w:val="0091001E"/>
    <w:rsid w:val="00910C18"/>
    <w:rsid w:val="009110F7"/>
    <w:rsid w:val="0091155E"/>
    <w:rsid w:val="0091239D"/>
    <w:rsid w:val="00912437"/>
    <w:rsid w:val="00912A92"/>
    <w:rsid w:val="00915D07"/>
    <w:rsid w:val="009162AE"/>
    <w:rsid w:val="00917251"/>
    <w:rsid w:val="0091728D"/>
    <w:rsid w:val="009203CC"/>
    <w:rsid w:val="00920EC4"/>
    <w:rsid w:val="0092180B"/>
    <w:rsid w:val="00921F14"/>
    <w:rsid w:val="0092292F"/>
    <w:rsid w:val="00922FF3"/>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1F9B"/>
    <w:rsid w:val="00932443"/>
    <w:rsid w:val="00932B32"/>
    <w:rsid w:val="00933F4A"/>
    <w:rsid w:val="009341F1"/>
    <w:rsid w:val="00934B30"/>
    <w:rsid w:val="00934FF2"/>
    <w:rsid w:val="009358D7"/>
    <w:rsid w:val="00935BD4"/>
    <w:rsid w:val="00935DFE"/>
    <w:rsid w:val="00935F70"/>
    <w:rsid w:val="00936388"/>
    <w:rsid w:val="009373B2"/>
    <w:rsid w:val="00937AE2"/>
    <w:rsid w:val="00937FCA"/>
    <w:rsid w:val="0094061F"/>
    <w:rsid w:val="009407C6"/>
    <w:rsid w:val="00940F0F"/>
    <w:rsid w:val="009428F2"/>
    <w:rsid w:val="00943D5D"/>
    <w:rsid w:val="0094416B"/>
    <w:rsid w:val="0094427A"/>
    <w:rsid w:val="00944C7C"/>
    <w:rsid w:val="00945245"/>
    <w:rsid w:val="00945523"/>
    <w:rsid w:val="009461B1"/>
    <w:rsid w:val="00946431"/>
    <w:rsid w:val="00946CBE"/>
    <w:rsid w:val="009470C6"/>
    <w:rsid w:val="00950921"/>
    <w:rsid w:val="00951D68"/>
    <w:rsid w:val="00951E5B"/>
    <w:rsid w:val="00952B7B"/>
    <w:rsid w:val="00953171"/>
    <w:rsid w:val="00954F39"/>
    <w:rsid w:val="0095510D"/>
    <w:rsid w:val="009555FD"/>
    <w:rsid w:val="0095664B"/>
    <w:rsid w:val="009568DC"/>
    <w:rsid w:val="00957445"/>
    <w:rsid w:val="00957525"/>
    <w:rsid w:val="0095759C"/>
    <w:rsid w:val="009618EE"/>
    <w:rsid w:val="00961DDD"/>
    <w:rsid w:val="009624D2"/>
    <w:rsid w:val="009625B5"/>
    <w:rsid w:val="009628D9"/>
    <w:rsid w:val="009637AE"/>
    <w:rsid w:val="00963A06"/>
    <w:rsid w:val="00964068"/>
    <w:rsid w:val="009640F6"/>
    <w:rsid w:val="0096433C"/>
    <w:rsid w:val="0096469D"/>
    <w:rsid w:val="00964776"/>
    <w:rsid w:val="00964A4E"/>
    <w:rsid w:val="00964B35"/>
    <w:rsid w:val="009651C7"/>
    <w:rsid w:val="00965797"/>
    <w:rsid w:val="00965A10"/>
    <w:rsid w:val="00965E30"/>
    <w:rsid w:val="009670A3"/>
    <w:rsid w:val="009674BE"/>
    <w:rsid w:val="00970026"/>
    <w:rsid w:val="00970FB5"/>
    <w:rsid w:val="00971710"/>
    <w:rsid w:val="00971B87"/>
    <w:rsid w:val="00971C77"/>
    <w:rsid w:val="00972FCD"/>
    <w:rsid w:val="00973324"/>
    <w:rsid w:val="009736DF"/>
    <w:rsid w:val="00973964"/>
    <w:rsid w:val="009741AE"/>
    <w:rsid w:val="009741FC"/>
    <w:rsid w:val="00974782"/>
    <w:rsid w:val="00974923"/>
    <w:rsid w:val="00975909"/>
    <w:rsid w:val="00975E98"/>
    <w:rsid w:val="00977C3D"/>
    <w:rsid w:val="009802F7"/>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3910"/>
    <w:rsid w:val="00994868"/>
    <w:rsid w:val="00994D28"/>
    <w:rsid w:val="00994F2C"/>
    <w:rsid w:val="009957CC"/>
    <w:rsid w:val="009968D6"/>
    <w:rsid w:val="00997953"/>
    <w:rsid w:val="009A0229"/>
    <w:rsid w:val="009A04D0"/>
    <w:rsid w:val="009A0BFF"/>
    <w:rsid w:val="009A10A0"/>
    <w:rsid w:val="009A1CAB"/>
    <w:rsid w:val="009A2359"/>
    <w:rsid w:val="009A24F1"/>
    <w:rsid w:val="009A27E0"/>
    <w:rsid w:val="009A3851"/>
    <w:rsid w:val="009A405F"/>
    <w:rsid w:val="009A4D57"/>
    <w:rsid w:val="009A51A5"/>
    <w:rsid w:val="009A60D1"/>
    <w:rsid w:val="009A6225"/>
    <w:rsid w:val="009A6395"/>
    <w:rsid w:val="009A64F5"/>
    <w:rsid w:val="009A78D3"/>
    <w:rsid w:val="009B00D2"/>
    <w:rsid w:val="009B05B3"/>
    <w:rsid w:val="009B172F"/>
    <w:rsid w:val="009B196A"/>
    <w:rsid w:val="009B284F"/>
    <w:rsid w:val="009B3764"/>
    <w:rsid w:val="009B47AC"/>
    <w:rsid w:val="009B52AC"/>
    <w:rsid w:val="009B59EA"/>
    <w:rsid w:val="009B66CE"/>
    <w:rsid w:val="009B6FD3"/>
    <w:rsid w:val="009B72BE"/>
    <w:rsid w:val="009B78A4"/>
    <w:rsid w:val="009B7DB2"/>
    <w:rsid w:val="009C01E8"/>
    <w:rsid w:val="009C03DB"/>
    <w:rsid w:val="009C0987"/>
    <w:rsid w:val="009C1750"/>
    <w:rsid w:val="009C175C"/>
    <w:rsid w:val="009C1ACD"/>
    <w:rsid w:val="009C2E29"/>
    <w:rsid w:val="009C3E8F"/>
    <w:rsid w:val="009C554B"/>
    <w:rsid w:val="009C5E83"/>
    <w:rsid w:val="009C7126"/>
    <w:rsid w:val="009C719E"/>
    <w:rsid w:val="009C7799"/>
    <w:rsid w:val="009D07A9"/>
    <w:rsid w:val="009D0AE2"/>
    <w:rsid w:val="009D0D9F"/>
    <w:rsid w:val="009D0EBB"/>
    <w:rsid w:val="009D1108"/>
    <w:rsid w:val="009D15D8"/>
    <w:rsid w:val="009D2C46"/>
    <w:rsid w:val="009D3ACD"/>
    <w:rsid w:val="009D4254"/>
    <w:rsid w:val="009D4738"/>
    <w:rsid w:val="009D4F21"/>
    <w:rsid w:val="009D587D"/>
    <w:rsid w:val="009D7731"/>
    <w:rsid w:val="009E1120"/>
    <w:rsid w:val="009E1393"/>
    <w:rsid w:val="009E1922"/>
    <w:rsid w:val="009E1A3D"/>
    <w:rsid w:val="009E4715"/>
    <w:rsid w:val="009E4A58"/>
    <w:rsid w:val="009E5273"/>
    <w:rsid w:val="009E52F5"/>
    <w:rsid w:val="009E57A8"/>
    <w:rsid w:val="009E5B85"/>
    <w:rsid w:val="009E5DDB"/>
    <w:rsid w:val="009E66E1"/>
    <w:rsid w:val="009E78AC"/>
    <w:rsid w:val="009F2921"/>
    <w:rsid w:val="009F4982"/>
    <w:rsid w:val="009F4CA7"/>
    <w:rsid w:val="009F4F6A"/>
    <w:rsid w:val="009F55BA"/>
    <w:rsid w:val="009F7D36"/>
    <w:rsid w:val="009F7D61"/>
    <w:rsid w:val="00A00686"/>
    <w:rsid w:val="00A00E71"/>
    <w:rsid w:val="00A0306F"/>
    <w:rsid w:val="00A03244"/>
    <w:rsid w:val="00A03545"/>
    <w:rsid w:val="00A03B10"/>
    <w:rsid w:val="00A03E2E"/>
    <w:rsid w:val="00A04616"/>
    <w:rsid w:val="00A04717"/>
    <w:rsid w:val="00A05D8F"/>
    <w:rsid w:val="00A05EE4"/>
    <w:rsid w:val="00A06212"/>
    <w:rsid w:val="00A06F99"/>
    <w:rsid w:val="00A073CB"/>
    <w:rsid w:val="00A07EB8"/>
    <w:rsid w:val="00A1053B"/>
    <w:rsid w:val="00A1092E"/>
    <w:rsid w:val="00A10D66"/>
    <w:rsid w:val="00A113A4"/>
    <w:rsid w:val="00A11891"/>
    <w:rsid w:val="00A11DD4"/>
    <w:rsid w:val="00A11E3F"/>
    <w:rsid w:val="00A14114"/>
    <w:rsid w:val="00A16413"/>
    <w:rsid w:val="00A16545"/>
    <w:rsid w:val="00A16AED"/>
    <w:rsid w:val="00A16C37"/>
    <w:rsid w:val="00A16CA8"/>
    <w:rsid w:val="00A16E1D"/>
    <w:rsid w:val="00A171D5"/>
    <w:rsid w:val="00A17A15"/>
    <w:rsid w:val="00A17D5B"/>
    <w:rsid w:val="00A20127"/>
    <w:rsid w:val="00A201E1"/>
    <w:rsid w:val="00A20AE3"/>
    <w:rsid w:val="00A20FE1"/>
    <w:rsid w:val="00A21B4D"/>
    <w:rsid w:val="00A22073"/>
    <w:rsid w:val="00A223E0"/>
    <w:rsid w:val="00A22B49"/>
    <w:rsid w:val="00A23158"/>
    <w:rsid w:val="00A23E43"/>
    <w:rsid w:val="00A24726"/>
    <w:rsid w:val="00A24DEB"/>
    <w:rsid w:val="00A24ED9"/>
    <w:rsid w:val="00A25216"/>
    <w:rsid w:val="00A2597D"/>
    <w:rsid w:val="00A2628E"/>
    <w:rsid w:val="00A266BF"/>
    <w:rsid w:val="00A26ADF"/>
    <w:rsid w:val="00A26F45"/>
    <w:rsid w:val="00A2731E"/>
    <w:rsid w:val="00A27DA0"/>
    <w:rsid w:val="00A309AC"/>
    <w:rsid w:val="00A30F65"/>
    <w:rsid w:val="00A312F6"/>
    <w:rsid w:val="00A3279E"/>
    <w:rsid w:val="00A3403F"/>
    <w:rsid w:val="00A34818"/>
    <w:rsid w:val="00A35900"/>
    <w:rsid w:val="00A40EAC"/>
    <w:rsid w:val="00A418BC"/>
    <w:rsid w:val="00A41AA8"/>
    <w:rsid w:val="00A41CF6"/>
    <w:rsid w:val="00A41FCF"/>
    <w:rsid w:val="00A42936"/>
    <w:rsid w:val="00A42C38"/>
    <w:rsid w:val="00A43494"/>
    <w:rsid w:val="00A434EB"/>
    <w:rsid w:val="00A438C7"/>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580"/>
    <w:rsid w:val="00A566A0"/>
    <w:rsid w:val="00A601E7"/>
    <w:rsid w:val="00A60AC1"/>
    <w:rsid w:val="00A60ED1"/>
    <w:rsid w:val="00A61163"/>
    <w:rsid w:val="00A61806"/>
    <w:rsid w:val="00A618EC"/>
    <w:rsid w:val="00A626FF"/>
    <w:rsid w:val="00A62CE1"/>
    <w:rsid w:val="00A6334E"/>
    <w:rsid w:val="00A651FD"/>
    <w:rsid w:val="00A65469"/>
    <w:rsid w:val="00A65528"/>
    <w:rsid w:val="00A655D3"/>
    <w:rsid w:val="00A65A80"/>
    <w:rsid w:val="00A662D9"/>
    <w:rsid w:val="00A6741E"/>
    <w:rsid w:val="00A67E29"/>
    <w:rsid w:val="00A7016A"/>
    <w:rsid w:val="00A7018D"/>
    <w:rsid w:val="00A71462"/>
    <w:rsid w:val="00A7191D"/>
    <w:rsid w:val="00A71EEF"/>
    <w:rsid w:val="00A722F9"/>
    <w:rsid w:val="00A72D42"/>
    <w:rsid w:val="00A746C9"/>
    <w:rsid w:val="00A74C2A"/>
    <w:rsid w:val="00A75E40"/>
    <w:rsid w:val="00A76818"/>
    <w:rsid w:val="00A77D1D"/>
    <w:rsid w:val="00A80466"/>
    <w:rsid w:val="00A81652"/>
    <w:rsid w:val="00A82C91"/>
    <w:rsid w:val="00A83150"/>
    <w:rsid w:val="00A83398"/>
    <w:rsid w:val="00A83D6E"/>
    <w:rsid w:val="00A83FD5"/>
    <w:rsid w:val="00A8521A"/>
    <w:rsid w:val="00A857C0"/>
    <w:rsid w:val="00A8583B"/>
    <w:rsid w:val="00A85ACB"/>
    <w:rsid w:val="00A87253"/>
    <w:rsid w:val="00A874B0"/>
    <w:rsid w:val="00A90F2C"/>
    <w:rsid w:val="00A90FED"/>
    <w:rsid w:val="00A91482"/>
    <w:rsid w:val="00A91500"/>
    <w:rsid w:val="00A9189D"/>
    <w:rsid w:val="00A91B74"/>
    <w:rsid w:val="00A91E71"/>
    <w:rsid w:val="00A925B1"/>
    <w:rsid w:val="00A92921"/>
    <w:rsid w:val="00A92A3E"/>
    <w:rsid w:val="00A934F9"/>
    <w:rsid w:val="00A940E3"/>
    <w:rsid w:val="00A94983"/>
    <w:rsid w:val="00A94A2D"/>
    <w:rsid w:val="00A95F1A"/>
    <w:rsid w:val="00A96116"/>
    <w:rsid w:val="00A9614E"/>
    <w:rsid w:val="00A96422"/>
    <w:rsid w:val="00A96C0F"/>
    <w:rsid w:val="00A974A6"/>
    <w:rsid w:val="00A97B50"/>
    <w:rsid w:val="00AA0E80"/>
    <w:rsid w:val="00AA17CD"/>
    <w:rsid w:val="00AA1D85"/>
    <w:rsid w:val="00AA212F"/>
    <w:rsid w:val="00AA26A9"/>
    <w:rsid w:val="00AA2996"/>
    <w:rsid w:val="00AA2AF4"/>
    <w:rsid w:val="00AA4282"/>
    <w:rsid w:val="00AA4790"/>
    <w:rsid w:val="00AA51F5"/>
    <w:rsid w:val="00AA52BF"/>
    <w:rsid w:val="00AA559A"/>
    <w:rsid w:val="00AA5D84"/>
    <w:rsid w:val="00AA6C31"/>
    <w:rsid w:val="00AA7046"/>
    <w:rsid w:val="00AA7752"/>
    <w:rsid w:val="00AA7CE8"/>
    <w:rsid w:val="00AB1457"/>
    <w:rsid w:val="00AB2AF1"/>
    <w:rsid w:val="00AB32AF"/>
    <w:rsid w:val="00AB3B20"/>
    <w:rsid w:val="00AB3EC7"/>
    <w:rsid w:val="00AB5A64"/>
    <w:rsid w:val="00AB5CA1"/>
    <w:rsid w:val="00AB5DBC"/>
    <w:rsid w:val="00AB6456"/>
    <w:rsid w:val="00AB75C5"/>
    <w:rsid w:val="00AB7D4B"/>
    <w:rsid w:val="00AC044E"/>
    <w:rsid w:val="00AC0913"/>
    <w:rsid w:val="00AC0B28"/>
    <w:rsid w:val="00AC2118"/>
    <w:rsid w:val="00AC2395"/>
    <w:rsid w:val="00AC2960"/>
    <w:rsid w:val="00AC2AC4"/>
    <w:rsid w:val="00AC4284"/>
    <w:rsid w:val="00AC445B"/>
    <w:rsid w:val="00AC4499"/>
    <w:rsid w:val="00AC45BD"/>
    <w:rsid w:val="00AC50BB"/>
    <w:rsid w:val="00AC5663"/>
    <w:rsid w:val="00AC6FFE"/>
    <w:rsid w:val="00AD0B22"/>
    <w:rsid w:val="00AD0EE7"/>
    <w:rsid w:val="00AD168E"/>
    <w:rsid w:val="00AD1900"/>
    <w:rsid w:val="00AD306C"/>
    <w:rsid w:val="00AD44CD"/>
    <w:rsid w:val="00AD5AD2"/>
    <w:rsid w:val="00AD6462"/>
    <w:rsid w:val="00AD66C5"/>
    <w:rsid w:val="00AD68C4"/>
    <w:rsid w:val="00AD71F9"/>
    <w:rsid w:val="00AE09B3"/>
    <w:rsid w:val="00AE16CB"/>
    <w:rsid w:val="00AE1A83"/>
    <w:rsid w:val="00AE1C48"/>
    <w:rsid w:val="00AE1EA7"/>
    <w:rsid w:val="00AE30BE"/>
    <w:rsid w:val="00AE3E6A"/>
    <w:rsid w:val="00AE3EC2"/>
    <w:rsid w:val="00AE52F6"/>
    <w:rsid w:val="00AE5625"/>
    <w:rsid w:val="00AE6414"/>
    <w:rsid w:val="00AE7269"/>
    <w:rsid w:val="00AE797C"/>
    <w:rsid w:val="00AE7CE7"/>
    <w:rsid w:val="00AE7FAB"/>
    <w:rsid w:val="00AF086A"/>
    <w:rsid w:val="00AF0DE4"/>
    <w:rsid w:val="00AF136B"/>
    <w:rsid w:val="00AF1475"/>
    <w:rsid w:val="00AF1E87"/>
    <w:rsid w:val="00AF2A55"/>
    <w:rsid w:val="00AF436B"/>
    <w:rsid w:val="00AF5179"/>
    <w:rsid w:val="00AF5CC2"/>
    <w:rsid w:val="00AF6776"/>
    <w:rsid w:val="00AF6F98"/>
    <w:rsid w:val="00B00913"/>
    <w:rsid w:val="00B01593"/>
    <w:rsid w:val="00B01FF9"/>
    <w:rsid w:val="00B023F2"/>
    <w:rsid w:val="00B038CA"/>
    <w:rsid w:val="00B0656A"/>
    <w:rsid w:val="00B06DB4"/>
    <w:rsid w:val="00B0750D"/>
    <w:rsid w:val="00B0799C"/>
    <w:rsid w:val="00B07EF7"/>
    <w:rsid w:val="00B102CE"/>
    <w:rsid w:val="00B10A4D"/>
    <w:rsid w:val="00B10C90"/>
    <w:rsid w:val="00B11002"/>
    <w:rsid w:val="00B1114F"/>
    <w:rsid w:val="00B121B2"/>
    <w:rsid w:val="00B141B6"/>
    <w:rsid w:val="00B14BC1"/>
    <w:rsid w:val="00B15104"/>
    <w:rsid w:val="00B1576B"/>
    <w:rsid w:val="00B16DD1"/>
    <w:rsid w:val="00B16EB8"/>
    <w:rsid w:val="00B17E71"/>
    <w:rsid w:val="00B17FDE"/>
    <w:rsid w:val="00B20632"/>
    <w:rsid w:val="00B2379C"/>
    <w:rsid w:val="00B23D5D"/>
    <w:rsid w:val="00B250B5"/>
    <w:rsid w:val="00B2687D"/>
    <w:rsid w:val="00B27789"/>
    <w:rsid w:val="00B27BF6"/>
    <w:rsid w:val="00B3045A"/>
    <w:rsid w:val="00B3108D"/>
    <w:rsid w:val="00B32DDB"/>
    <w:rsid w:val="00B32F57"/>
    <w:rsid w:val="00B3345C"/>
    <w:rsid w:val="00B34528"/>
    <w:rsid w:val="00B34CC9"/>
    <w:rsid w:val="00B3563B"/>
    <w:rsid w:val="00B36295"/>
    <w:rsid w:val="00B36BDC"/>
    <w:rsid w:val="00B37D3A"/>
    <w:rsid w:val="00B37D96"/>
    <w:rsid w:val="00B402FC"/>
    <w:rsid w:val="00B41ACD"/>
    <w:rsid w:val="00B422E2"/>
    <w:rsid w:val="00B42BA9"/>
    <w:rsid w:val="00B42D5F"/>
    <w:rsid w:val="00B43216"/>
    <w:rsid w:val="00B439DA"/>
    <w:rsid w:val="00B4411A"/>
    <w:rsid w:val="00B449BE"/>
    <w:rsid w:val="00B454C0"/>
    <w:rsid w:val="00B45FE8"/>
    <w:rsid w:val="00B46604"/>
    <w:rsid w:val="00B47089"/>
    <w:rsid w:val="00B471A7"/>
    <w:rsid w:val="00B47587"/>
    <w:rsid w:val="00B47EE4"/>
    <w:rsid w:val="00B51BF7"/>
    <w:rsid w:val="00B51E3B"/>
    <w:rsid w:val="00B52151"/>
    <w:rsid w:val="00B521D9"/>
    <w:rsid w:val="00B530CD"/>
    <w:rsid w:val="00B53C7D"/>
    <w:rsid w:val="00B53E56"/>
    <w:rsid w:val="00B55489"/>
    <w:rsid w:val="00B55A97"/>
    <w:rsid w:val="00B55F5E"/>
    <w:rsid w:val="00B5642C"/>
    <w:rsid w:val="00B5658D"/>
    <w:rsid w:val="00B56634"/>
    <w:rsid w:val="00B56B6F"/>
    <w:rsid w:val="00B5752E"/>
    <w:rsid w:val="00B60AC1"/>
    <w:rsid w:val="00B61C7A"/>
    <w:rsid w:val="00B61FF6"/>
    <w:rsid w:val="00B62316"/>
    <w:rsid w:val="00B63A11"/>
    <w:rsid w:val="00B64425"/>
    <w:rsid w:val="00B64C24"/>
    <w:rsid w:val="00B65CEF"/>
    <w:rsid w:val="00B6608F"/>
    <w:rsid w:val="00B67749"/>
    <w:rsid w:val="00B679FB"/>
    <w:rsid w:val="00B707CD"/>
    <w:rsid w:val="00B70BC0"/>
    <w:rsid w:val="00B71FBF"/>
    <w:rsid w:val="00B734A0"/>
    <w:rsid w:val="00B73A14"/>
    <w:rsid w:val="00B748BD"/>
    <w:rsid w:val="00B75D32"/>
    <w:rsid w:val="00B75E68"/>
    <w:rsid w:val="00B7680F"/>
    <w:rsid w:val="00B76B48"/>
    <w:rsid w:val="00B76D1E"/>
    <w:rsid w:val="00B77543"/>
    <w:rsid w:val="00B77584"/>
    <w:rsid w:val="00B77EE9"/>
    <w:rsid w:val="00B80EC6"/>
    <w:rsid w:val="00B81288"/>
    <w:rsid w:val="00B81D70"/>
    <w:rsid w:val="00B833B9"/>
    <w:rsid w:val="00B83E07"/>
    <w:rsid w:val="00B84CF6"/>
    <w:rsid w:val="00B85016"/>
    <w:rsid w:val="00B8561A"/>
    <w:rsid w:val="00B86643"/>
    <w:rsid w:val="00B868F7"/>
    <w:rsid w:val="00B87CD4"/>
    <w:rsid w:val="00B90131"/>
    <w:rsid w:val="00B92951"/>
    <w:rsid w:val="00B92D1D"/>
    <w:rsid w:val="00B92D7E"/>
    <w:rsid w:val="00B930CE"/>
    <w:rsid w:val="00B936FD"/>
    <w:rsid w:val="00B938C5"/>
    <w:rsid w:val="00B940A8"/>
    <w:rsid w:val="00B9554A"/>
    <w:rsid w:val="00B95940"/>
    <w:rsid w:val="00B95ACA"/>
    <w:rsid w:val="00B96C06"/>
    <w:rsid w:val="00B97281"/>
    <w:rsid w:val="00B97ACC"/>
    <w:rsid w:val="00B97FE2"/>
    <w:rsid w:val="00BA0E0B"/>
    <w:rsid w:val="00BA201A"/>
    <w:rsid w:val="00BA3787"/>
    <w:rsid w:val="00BA4633"/>
    <w:rsid w:val="00BA46E8"/>
    <w:rsid w:val="00BA4E19"/>
    <w:rsid w:val="00BA6436"/>
    <w:rsid w:val="00BA64F2"/>
    <w:rsid w:val="00BA684E"/>
    <w:rsid w:val="00BA6C2B"/>
    <w:rsid w:val="00BA7B64"/>
    <w:rsid w:val="00BB02A3"/>
    <w:rsid w:val="00BB0351"/>
    <w:rsid w:val="00BB15C3"/>
    <w:rsid w:val="00BB1AF4"/>
    <w:rsid w:val="00BB2202"/>
    <w:rsid w:val="00BB366D"/>
    <w:rsid w:val="00BB3C6B"/>
    <w:rsid w:val="00BB3FD6"/>
    <w:rsid w:val="00BB453F"/>
    <w:rsid w:val="00BB46F3"/>
    <w:rsid w:val="00BB4A71"/>
    <w:rsid w:val="00BB4CB1"/>
    <w:rsid w:val="00BB4F98"/>
    <w:rsid w:val="00BB50E6"/>
    <w:rsid w:val="00BB5AB2"/>
    <w:rsid w:val="00BB5ABF"/>
    <w:rsid w:val="00BB6EA2"/>
    <w:rsid w:val="00BB7B5B"/>
    <w:rsid w:val="00BB7C58"/>
    <w:rsid w:val="00BB7EB1"/>
    <w:rsid w:val="00BC003F"/>
    <w:rsid w:val="00BC01C6"/>
    <w:rsid w:val="00BC0930"/>
    <w:rsid w:val="00BC327F"/>
    <w:rsid w:val="00BC3512"/>
    <w:rsid w:val="00BC50BE"/>
    <w:rsid w:val="00BC5332"/>
    <w:rsid w:val="00BC5715"/>
    <w:rsid w:val="00BC5C12"/>
    <w:rsid w:val="00BC66E7"/>
    <w:rsid w:val="00BC7154"/>
    <w:rsid w:val="00BC731E"/>
    <w:rsid w:val="00BC7614"/>
    <w:rsid w:val="00BC7675"/>
    <w:rsid w:val="00BD25BB"/>
    <w:rsid w:val="00BD2AF8"/>
    <w:rsid w:val="00BD366B"/>
    <w:rsid w:val="00BD3C09"/>
    <w:rsid w:val="00BD3CEE"/>
    <w:rsid w:val="00BD3F9C"/>
    <w:rsid w:val="00BD410B"/>
    <w:rsid w:val="00BD4A73"/>
    <w:rsid w:val="00BD690C"/>
    <w:rsid w:val="00BD6C75"/>
    <w:rsid w:val="00BD6D50"/>
    <w:rsid w:val="00BD6EF4"/>
    <w:rsid w:val="00BD73D2"/>
    <w:rsid w:val="00BD7D42"/>
    <w:rsid w:val="00BE0AD1"/>
    <w:rsid w:val="00BE0EF9"/>
    <w:rsid w:val="00BE10A1"/>
    <w:rsid w:val="00BE18B9"/>
    <w:rsid w:val="00BE190A"/>
    <w:rsid w:val="00BE1E6C"/>
    <w:rsid w:val="00BE2495"/>
    <w:rsid w:val="00BE24DD"/>
    <w:rsid w:val="00BE386D"/>
    <w:rsid w:val="00BE49D8"/>
    <w:rsid w:val="00BE557B"/>
    <w:rsid w:val="00BE7305"/>
    <w:rsid w:val="00BE74D1"/>
    <w:rsid w:val="00BE7F5F"/>
    <w:rsid w:val="00BF02C8"/>
    <w:rsid w:val="00BF1578"/>
    <w:rsid w:val="00BF15CA"/>
    <w:rsid w:val="00BF1D12"/>
    <w:rsid w:val="00BF1D3A"/>
    <w:rsid w:val="00BF26AA"/>
    <w:rsid w:val="00BF2B5B"/>
    <w:rsid w:val="00BF2D41"/>
    <w:rsid w:val="00BF3274"/>
    <w:rsid w:val="00BF32DC"/>
    <w:rsid w:val="00BF4329"/>
    <w:rsid w:val="00BF4870"/>
    <w:rsid w:val="00BF4E43"/>
    <w:rsid w:val="00BF5C4C"/>
    <w:rsid w:val="00BF72AC"/>
    <w:rsid w:val="00BF77FC"/>
    <w:rsid w:val="00C0015C"/>
    <w:rsid w:val="00C006D6"/>
    <w:rsid w:val="00C00BD7"/>
    <w:rsid w:val="00C00C4D"/>
    <w:rsid w:val="00C01410"/>
    <w:rsid w:val="00C0171C"/>
    <w:rsid w:val="00C037B3"/>
    <w:rsid w:val="00C0475A"/>
    <w:rsid w:val="00C04B78"/>
    <w:rsid w:val="00C052AA"/>
    <w:rsid w:val="00C06EE3"/>
    <w:rsid w:val="00C07749"/>
    <w:rsid w:val="00C111AE"/>
    <w:rsid w:val="00C11244"/>
    <w:rsid w:val="00C11D48"/>
    <w:rsid w:val="00C1229A"/>
    <w:rsid w:val="00C1493E"/>
    <w:rsid w:val="00C158AD"/>
    <w:rsid w:val="00C15DBD"/>
    <w:rsid w:val="00C17F7D"/>
    <w:rsid w:val="00C2010D"/>
    <w:rsid w:val="00C20CB5"/>
    <w:rsid w:val="00C21430"/>
    <w:rsid w:val="00C216DF"/>
    <w:rsid w:val="00C21E61"/>
    <w:rsid w:val="00C21F94"/>
    <w:rsid w:val="00C2211E"/>
    <w:rsid w:val="00C22389"/>
    <w:rsid w:val="00C227D7"/>
    <w:rsid w:val="00C234DB"/>
    <w:rsid w:val="00C24348"/>
    <w:rsid w:val="00C2479A"/>
    <w:rsid w:val="00C24903"/>
    <w:rsid w:val="00C2590D"/>
    <w:rsid w:val="00C25C47"/>
    <w:rsid w:val="00C25D9C"/>
    <w:rsid w:val="00C27913"/>
    <w:rsid w:val="00C300E2"/>
    <w:rsid w:val="00C31F21"/>
    <w:rsid w:val="00C32631"/>
    <w:rsid w:val="00C33301"/>
    <w:rsid w:val="00C33311"/>
    <w:rsid w:val="00C33B68"/>
    <w:rsid w:val="00C33E38"/>
    <w:rsid w:val="00C33F11"/>
    <w:rsid w:val="00C3526D"/>
    <w:rsid w:val="00C35570"/>
    <w:rsid w:val="00C35A2A"/>
    <w:rsid w:val="00C36A79"/>
    <w:rsid w:val="00C401A9"/>
    <w:rsid w:val="00C401D2"/>
    <w:rsid w:val="00C4031A"/>
    <w:rsid w:val="00C405D4"/>
    <w:rsid w:val="00C41285"/>
    <w:rsid w:val="00C41843"/>
    <w:rsid w:val="00C419D5"/>
    <w:rsid w:val="00C41D54"/>
    <w:rsid w:val="00C42EBB"/>
    <w:rsid w:val="00C4513B"/>
    <w:rsid w:val="00C459C6"/>
    <w:rsid w:val="00C46B65"/>
    <w:rsid w:val="00C4738E"/>
    <w:rsid w:val="00C475E8"/>
    <w:rsid w:val="00C50E79"/>
    <w:rsid w:val="00C5197D"/>
    <w:rsid w:val="00C525FB"/>
    <w:rsid w:val="00C52A14"/>
    <w:rsid w:val="00C52F21"/>
    <w:rsid w:val="00C5390B"/>
    <w:rsid w:val="00C54257"/>
    <w:rsid w:val="00C54697"/>
    <w:rsid w:val="00C550CE"/>
    <w:rsid w:val="00C553A5"/>
    <w:rsid w:val="00C55402"/>
    <w:rsid w:val="00C55FC5"/>
    <w:rsid w:val="00C5603B"/>
    <w:rsid w:val="00C600F0"/>
    <w:rsid w:val="00C61D09"/>
    <w:rsid w:val="00C61F47"/>
    <w:rsid w:val="00C62423"/>
    <w:rsid w:val="00C62828"/>
    <w:rsid w:val="00C642DC"/>
    <w:rsid w:val="00C670E5"/>
    <w:rsid w:val="00C715CC"/>
    <w:rsid w:val="00C719A3"/>
    <w:rsid w:val="00C71D2F"/>
    <w:rsid w:val="00C72984"/>
    <w:rsid w:val="00C72FA6"/>
    <w:rsid w:val="00C73885"/>
    <w:rsid w:val="00C73C93"/>
    <w:rsid w:val="00C73CA9"/>
    <w:rsid w:val="00C7435A"/>
    <w:rsid w:val="00C747B1"/>
    <w:rsid w:val="00C74A57"/>
    <w:rsid w:val="00C75510"/>
    <w:rsid w:val="00C755F9"/>
    <w:rsid w:val="00C75752"/>
    <w:rsid w:val="00C770C9"/>
    <w:rsid w:val="00C77B27"/>
    <w:rsid w:val="00C81070"/>
    <w:rsid w:val="00C8174E"/>
    <w:rsid w:val="00C82191"/>
    <w:rsid w:val="00C82E69"/>
    <w:rsid w:val="00C83134"/>
    <w:rsid w:val="00C831E7"/>
    <w:rsid w:val="00C832F3"/>
    <w:rsid w:val="00C845A4"/>
    <w:rsid w:val="00C85545"/>
    <w:rsid w:val="00C855B5"/>
    <w:rsid w:val="00C85F0E"/>
    <w:rsid w:val="00C8753B"/>
    <w:rsid w:val="00C90570"/>
    <w:rsid w:val="00C90CF4"/>
    <w:rsid w:val="00C91C20"/>
    <w:rsid w:val="00C922DE"/>
    <w:rsid w:val="00C92843"/>
    <w:rsid w:val="00C92EB6"/>
    <w:rsid w:val="00C93389"/>
    <w:rsid w:val="00C948E6"/>
    <w:rsid w:val="00C94CDD"/>
    <w:rsid w:val="00C96268"/>
    <w:rsid w:val="00C97588"/>
    <w:rsid w:val="00CA0346"/>
    <w:rsid w:val="00CA1BD6"/>
    <w:rsid w:val="00CA240C"/>
    <w:rsid w:val="00CA2A97"/>
    <w:rsid w:val="00CA37FF"/>
    <w:rsid w:val="00CA4008"/>
    <w:rsid w:val="00CA423A"/>
    <w:rsid w:val="00CA47BC"/>
    <w:rsid w:val="00CA561A"/>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57E"/>
    <w:rsid w:val="00CC0834"/>
    <w:rsid w:val="00CC0F4E"/>
    <w:rsid w:val="00CC20FE"/>
    <w:rsid w:val="00CC2E7D"/>
    <w:rsid w:val="00CC4FD0"/>
    <w:rsid w:val="00CC612B"/>
    <w:rsid w:val="00CC655F"/>
    <w:rsid w:val="00CC66F9"/>
    <w:rsid w:val="00CC6C2A"/>
    <w:rsid w:val="00CC6F0F"/>
    <w:rsid w:val="00CC6FE5"/>
    <w:rsid w:val="00CC7458"/>
    <w:rsid w:val="00CC76BD"/>
    <w:rsid w:val="00CC7A87"/>
    <w:rsid w:val="00CD074C"/>
    <w:rsid w:val="00CD10A5"/>
    <w:rsid w:val="00CD1129"/>
    <w:rsid w:val="00CD1A80"/>
    <w:rsid w:val="00CD1CB5"/>
    <w:rsid w:val="00CD2076"/>
    <w:rsid w:val="00CD24CE"/>
    <w:rsid w:val="00CD29B5"/>
    <w:rsid w:val="00CD2B78"/>
    <w:rsid w:val="00CD3FAB"/>
    <w:rsid w:val="00CD5456"/>
    <w:rsid w:val="00CD5C3E"/>
    <w:rsid w:val="00CD6331"/>
    <w:rsid w:val="00CE06B5"/>
    <w:rsid w:val="00CE14BE"/>
    <w:rsid w:val="00CE17A4"/>
    <w:rsid w:val="00CE1BA9"/>
    <w:rsid w:val="00CE2D8F"/>
    <w:rsid w:val="00CE3E48"/>
    <w:rsid w:val="00CE470E"/>
    <w:rsid w:val="00CE47B8"/>
    <w:rsid w:val="00CE54C3"/>
    <w:rsid w:val="00CE62FA"/>
    <w:rsid w:val="00CE670B"/>
    <w:rsid w:val="00CE6833"/>
    <w:rsid w:val="00CE6AAA"/>
    <w:rsid w:val="00CE739F"/>
    <w:rsid w:val="00CF020B"/>
    <w:rsid w:val="00CF16CF"/>
    <w:rsid w:val="00CF2E4D"/>
    <w:rsid w:val="00CF4205"/>
    <w:rsid w:val="00CF4908"/>
    <w:rsid w:val="00CF51EC"/>
    <w:rsid w:val="00CF545D"/>
    <w:rsid w:val="00CF5873"/>
    <w:rsid w:val="00CF6F9C"/>
    <w:rsid w:val="00CF73AE"/>
    <w:rsid w:val="00CF7777"/>
    <w:rsid w:val="00D00052"/>
    <w:rsid w:val="00D0085A"/>
    <w:rsid w:val="00D0197F"/>
    <w:rsid w:val="00D01B31"/>
    <w:rsid w:val="00D0242D"/>
    <w:rsid w:val="00D02716"/>
    <w:rsid w:val="00D03A72"/>
    <w:rsid w:val="00D040DD"/>
    <w:rsid w:val="00D04134"/>
    <w:rsid w:val="00D05C65"/>
    <w:rsid w:val="00D0639F"/>
    <w:rsid w:val="00D063BE"/>
    <w:rsid w:val="00D06B56"/>
    <w:rsid w:val="00D06D68"/>
    <w:rsid w:val="00D075BE"/>
    <w:rsid w:val="00D07AFF"/>
    <w:rsid w:val="00D10A75"/>
    <w:rsid w:val="00D10C15"/>
    <w:rsid w:val="00D10F2A"/>
    <w:rsid w:val="00D11476"/>
    <w:rsid w:val="00D12949"/>
    <w:rsid w:val="00D12C25"/>
    <w:rsid w:val="00D133B4"/>
    <w:rsid w:val="00D13986"/>
    <w:rsid w:val="00D14C12"/>
    <w:rsid w:val="00D14C5B"/>
    <w:rsid w:val="00D15B29"/>
    <w:rsid w:val="00D15FED"/>
    <w:rsid w:val="00D16712"/>
    <w:rsid w:val="00D20078"/>
    <w:rsid w:val="00D20A3B"/>
    <w:rsid w:val="00D214EF"/>
    <w:rsid w:val="00D215B0"/>
    <w:rsid w:val="00D21D6D"/>
    <w:rsid w:val="00D21D83"/>
    <w:rsid w:val="00D2223F"/>
    <w:rsid w:val="00D235B7"/>
    <w:rsid w:val="00D23B76"/>
    <w:rsid w:val="00D23FAE"/>
    <w:rsid w:val="00D25F28"/>
    <w:rsid w:val="00D26071"/>
    <w:rsid w:val="00D269B9"/>
    <w:rsid w:val="00D27973"/>
    <w:rsid w:val="00D27F3A"/>
    <w:rsid w:val="00D31537"/>
    <w:rsid w:val="00D31E1E"/>
    <w:rsid w:val="00D322A0"/>
    <w:rsid w:val="00D32377"/>
    <w:rsid w:val="00D32824"/>
    <w:rsid w:val="00D33478"/>
    <w:rsid w:val="00D334E2"/>
    <w:rsid w:val="00D350B1"/>
    <w:rsid w:val="00D35AD6"/>
    <w:rsid w:val="00D35BBB"/>
    <w:rsid w:val="00D35E1A"/>
    <w:rsid w:val="00D36308"/>
    <w:rsid w:val="00D368ED"/>
    <w:rsid w:val="00D36B0A"/>
    <w:rsid w:val="00D36DFB"/>
    <w:rsid w:val="00D36E1C"/>
    <w:rsid w:val="00D37149"/>
    <w:rsid w:val="00D373AF"/>
    <w:rsid w:val="00D40556"/>
    <w:rsid w:val="00D41F74"/>
    <w:rsid w:val="00D428C8"/>
    <w:rsid w:val="00D43034"/>
    <w:rsid w:val="00D43ED2"/>
    <w:rsid w:val="00D50F46"/>
    <w:rsid w:val="00D51518"/>
    <w:rsid w:val="00D5384E"/>
    <w:rsid w:val="00D53DCB"/>
    <w:rsid w:val="00D544E7"/>
    <w:rsid w:val="00D5499F"/>
    <w:rsid w:val="00D5560A"/>
    <w:rsid w:val="00D569AA"/>
    <w:rsid w:val="00D56FBF"/>
    <w:rsid w:val="00D57677"/>
    <w:rsid w:val="00D5781F"/>
    <w:rsid w:val="00D57CF3"/>
    <w:rsid w:val="00D60415"/>
    <w:rsid w:val="00D60DDA"/>
    <w:rsid w:val="00D60E3C"/>
    <w:rsid w:val="00D60E76"/>
    <w:rsid w:val="00D61FAB"/>
    <w:rsid w:val="00D63BE5"/>
    <w:rsid w:val="00D6475F"/>
    <w:rsid w:val="00D661F3"/>
    <w:rsid w:val="00D66223"/>
    <w:rsid w:val="00D667B8"/>
    <w:rsid w:val="00D70289"/>
    <w:rsid w:val="00D70822"/>
    <w:rsid w:val="00D709DF"/>
    <w:rsid w:val="00D72076"/>
    <w:rsid w:val="00D726A9"/>
    <w:rsid w:val="00D72DBA"/>
    <w:rsid w:val="00D73307"/>
    <w:rsid w:val="00D743E0"/>
    <w:rsid w:val="00D74560"/>
    <w:rsid w:val="00D7490C"/>
    <w:rsid w:val="00D75AC1"/>
    <w:rsid w:val="00D76F0E"/>
    <w:rsid w:val="00D77252"/>
    <w:rsid w:val="00D8084C"/>
    <w:rsid w:val="00D81809"/>
    <w:rsid w:val="00D82D14"/>
    <w:rsid w:val="00D82EF1"/>
    <w:rsid w:val="00D84F43"/>
    <w:rsid w:val="00D85114"/>
    <w:rsid w:val="00D85196"/>
    <w:rsid w:val="00D85821"/>
    <w:rsid w:val="00D8598C"/>
    <w:rsid w:val="00D87C06"/>
    <w:rsid w:val="00D9149C"/>
    <w:rsid w:val="00D915EA"/>
    <w:rsid w:val="00D919ED"/>
    <w:rsid w:val="00D922A1"/>
    <w:rsid w:val="00D923EA"/>
    <w:rsid w:val="00D927D2"/>
    <w:rsid w:val="00D928BE"/>
    <w:rsid w:val="00D93D3C"/>
    <w:rsid w:val="00D94CA2"/>
    <w:rsid w:val="00D95302"/>
    <w:rsid w:val="00D953A3"/>
    <w:rsid w:val="00D95C5D"/>
    <w:rsid w:val="00D970F7"/>
    <w:rsid w:val="00D97D00"/>
    <w:rsid w:val="00DA0385"/>
    <w:rsid w:val="00DA096C"/>
    <w:rsid w:val="00DA1AB6"/>
    <w:rsid w:val="00DA232D"/>
    <w:rsid w:val="00DA2E65"/>
    <w:rsid w:val="00DA3ADF"/>
    <w:rsid w:val="00DA4174"/>
    <w:rsid w:val="00DA544C"/>
    <w:rsid w:val="00DA5F8E"/>
    <w:rsid w:val="00DA6364"/>
    <w:rsid w:val="00DA7114"/>
    <w:rsid w:val="00DA74F0"/>
    <w:rsid w:val="00DA7C0C"/>
    <w:rsid w:val="00DB03DD"/>
    <w:rsid w:val="00DB08A9"/>
    <w:rsid w:val="00DB0B87"/>
    <w:rsid w:val="00DB20A1"/>
    <w:rsid w:val="00DB2DFA"/>
    <w:rsid w:val="00DB2EC8"/>
    <w:rsid w:val="00DB321D"/>
    <w:rsid w:val="00DB459B"/>
    <w:rsid w:val="00DB47FD"/>
    <w:rsid w:val="00DB5E3A"/>
    <w:rsid w:val="00DB5E9A"/>
    <w:rsid w:val="00DB613B"/>
    <w:rsid w:val="00DB657E"/>
    <w:rsid w:val="00DB7342"/>
    <w:rsid w:val="00DB7489"/>
    <w:rsid w:val="00DC17D0"/>
    <w:rsid w:val="00DC1E31"/>
    <w:rsid w:val="00DC2B41"/>
    <w:rsid w:val="00DC3128"/>
    <w:rsid w:val="00DC435B"/>
    <w:rsid w:val="00DC4BE9"/>
    <w:rsid w:val="00DC53D8"/>
    <w:rsid w:val="00DC56FE"/>
    <w:rsid w:val="00DC5B3B"/>
    <w:rsid w:val="00DC690D"/>
    <w:rsid w:val="00DC6C2D"/>
    <w:rsid w:val="00DC7B1A"/>
    <w:rsid w:val="00DD02F3"/>
    <w:rsid w:val="00DD04B0"/>
    <w:rsid w:val="00DD129F"/>
    <w:rsid w:val="00DD12E4"/>
    <w:rsid w:val="00DD13FC"/>
    <w:rsid w:val="00DD1A3F"/>
    <w:rsid w:val="00DD1CA2"/>
    <w:rsid w:val="00DD2984"/>
    <w:rsid w:val="00DD29B5"/>
    <w:rsid w:val="00DD2BC9"/>
    <w:rsid w:val="00DD32DD"/>
    <w:rsid w:val="00DD33E8"/>
    <w:rsid w:val="00DD48CB"/>
    <w:rsid w:val="00DD5287"/>
    <w:rsid w:val="00DD5B36"/>
    <w:rsid w:val="00DD6621"/>
    <w:rsid w:val="00DD7849"/>
    <w:rsid w:val="00DE0D8B"/>
    <w:rsid w:val="00DE1237"/>
    <w:rsid w:val="00DE140F"/>
    <w:rsid w:val="00DE2491"/>
    <w:rsid w:val="00DE3CA3"/>
    <w:rsid w:val="00DE4DEE"/>
    <w:rsid w:val="00DE5CA6"/>
    <w:rsid w:val="00DE7AC8"/>
    <w:rsid w:val="00DF2C5D"/>
    <w:rsid w:val="00DF3643"/>
    <w:rsid w:val="00DF3770"/>
    <w:rsid w:val="00DF3845"/>
    <w:rsid w:val="00DF42FF"/>
    <w:rsid w:val="00DF4369"/>
    <w:rsid w:val="00DF4423"/>
    <w:rsid w:val="00DF448E"/>
    <w:rsid w:val="00DF4ADF"/>
    <w:rsid w:val="00DF566E"/>
    <w:rsid w:val="00DF5D1E"/>
    <w:rsid w:val="00DF724C"/>
    <w:rsid w:val="00DF77E4"/>
    <w:rsid w:val="00DF7F88"/>
    <w:rsid w:val="00E01965"/>
    <w:rsid w:val="00E01C0E"/>
    <w:rsid w:val="00E02E1F"/>
    <w:rsid w:val="00E0368F"/>
    <w:rsid w:val="00E037E9"/>
    <w:rsid w:val="00E03D73"/>
    <w:rsid w:val="00E03F9A"/>
    <w:rsid w:val="00E040DA"/>
    <w:rsid w:val="00E04694"/>
    <w:rsid w:val="00E1168B"/>
    <w:rsid w:val="00E12191"/>
    <w:rsid w:val="00E129E7"/>
    <w:rsid w:val="00E12ABE"/>
    <w:rsid w:val="00E12B1E"/>
    <w:rsid w:val="00E1444C"/>
    <w:rsid w:val="00E15DEE"/>
    <w:rsid w:val="00E17262"/>
    <w:rsid w:val="00E20016"/>
    <w:rsid w:val="00E2009B"/>
    <w:rsid w:val="00E20BB9"/>
    <w:rsid w:val="00E20BCC"/>
    <w:rsid w:val="00E2251C"/>
    <w:rsid w:val="00E2363D"/>
    <w:rsid w:val="00E23C6A"/>
    <w:rsid w:val="00E24694"/>
    <w:rsid w:val="00E2484B"/>
    <w:rsid w:val="00E25124"/>
    <w:rsid w:val="00E253A2"/>
    <w:rsid w:val="00E260F6"/>
    <w:rsid w:val="00E27127"/>
    <w:rsid w:val="00E27233"/>
    <w:rsid w:val="00E30F15"/>
    <w:rsid w:val="00E31771"/>
    <w:rsid w:val="00E3186D"/>
    <w:rsid w:val="00E31A3E"/>
    <w:rsid w:val="00E32080"/>
    <w:rsid w:val="00E3309D"/>
    <w:rsid w:val="00E350B1"/>
    <w:rsid w:val="00E35576"/>
    <w:rsid w:val="00E35A53"/>
    <w:rsid w:val="00E35EFD"/>
    <w:rsid w:val="00E3656B"/>
    <w:rsid w:val="00E3724A"/>
    <w:rsid w:val="00E37460"/>
    <w:rsid w:val="00E378B1"/>
    <w:rsid w:val="00E41066"/>
    <w:rsid w:val="00E417BE"/>
    <w:rsid w:val="00E41CD5"/>
    <w:rsid w:val="00E42054"/>
    <w:rsid w:val="00E4372D"/>
    <w:rsid w:val="00E43A9E"/>
    <w:rsid w:val="00E44243"/>
    <w:rsid w:val="00E4483B"/>
    <w:rsid w:val="00E44BA7"/>
    <w:rsid w:val="00E453F9"/>
    <w:rsid w:val="00E45D7D"/>
    <w:rsid w:val="00E4623F"/>
    <w:rsid w:val="00E4665D"/>
    <w:rsid w:val="00E47854"/>
    <w:rsid w:val="00E47EBA"/>
    <w:rsid w:val="00E50156"/>
    <w:rsid w:val="00E504EB"/>
    <w:rsid w:val="00E5076C"/>
    <w:rsid w:val="00E50D2E"/>
    <w:rsid w:val="00E50D7D"/>
    <w:rsid w:val="00E533F2"/>
    <w:rsid w:val="00E53470"/>
    <w:rsid w:val="00E539F6"/>
    <w:rsid w:val="00E545E3"/>
    <w:rsid w:val="00E54698"/>
    <w:rsid w:val="00E54FB4"/>
    <w:rsid w:val="00E5539A"/>
    <w:rsid w:val="00E55791"/>
    <w:rsid w:val="00E55E1A"/>
    <w:rsid w:val="00E574D2"/>
    <w:rsid w:val="00E575F9"/>
    <w:rsid w:val="00E578A2"/>
    <w:rsid w:val="00E60043"/>
    <w:rsid w:val="00E60BB1"/>
    <w:rsid w:val="00E6130F"/>
    <w:rsid w:val="00E61740"/>
    <w:rsid w:val="00E61EB5"/>
    <w:rsid w:val="00E6324D"/>
    <w:rsid w:val="00E65084"/>
    <w:rsid w:val="00E6519D"/>
    <w:rsid w:val="00E66062"/>
    <w:rsid w:val="00E6660E"/>
    <w:rsid w:val="00E66768"/>
    <w:rsid w:val="00E67305"/>
    <w:rsid w:val="00E67696"/>
    <w:rsid w:val="00E67EDD"/>
    <w:rsid w:val="00E70C5F"/>
    <w:rsid w:val="00E71A58"/>
    <w:rsid w:val="00E72A26"/>
    <w:rsid w:val="00E72A7A"/>
    <w:rsid w:val="00E7335A"/>
    <w:rsid w:val="00E7467D"/>
    <w:rsid w:val="00E747DC"/>
    <w:rsid w:val="00E74A2D"/>
    <w:rsid w:val="00E74ACE"/>
    <w:rsid w:val="00E74C39"/>
    <w:rsid w:val="00E75C94"/>
    <w:rsid w:val="00E75EC8"/>
    <w:rsid w:val="00E76A08"/>
    <w:rsid w:val="00E76B9B"/>
    <w:rsid w:val="00E76E61"/>
    <w:rsid w:val="00E77CC0"/>
    <w:rsid w:val="00E8086E"/>
    <w:rsid w:val="00E80B3D"/>
    <w:rsid w:val="00E80CA3"/>
    <w:rsid w:val="00E82618"/>
    <w:rsid w:val="00E84DD0"/>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12A"/>
    <w:rsid w:val="00EA32BC"/>
    <w:rsid w:val="00EA33F0"/>
    <w:rsid w:val="00EA35A7"/>
    <w:rsid w:val="00EA3B32"/>
    <w:rsid w:val="00EA3D05"/>
    <w:rsid w:val="00EA4402"/>
    <w:rsid w:val="00EA4B8D"/>
    <w:rsid w:val="00EA513E"/>
    <w:rsid w:val="00EA53D8"/>
    <w:rsid w:val="00EA7419"/>
    <w:rsid w:val="00EA77F1"/>
    <w:rsid w:val="00EB0E32"/>
    <w:rsid w:val="00EB1F3E"/>
    <w:rsid w:val="00EB2F3C"/>
    <w:rsid w:val="00EB2F55"/>
    <w:rsid w:val="00EB3B7B"/>
    <w:rsid w:val="00EB3E60"/>
    <w:rsid w:val="00EB4511"/>
    <w:rsid w:val="00EB48D7"/>
    <w:rsid w:val="00EB4A8E"/>
    <w:rsid w:val="00EB4BC5"/>
    <w:rsid w:val="00EB5BF7"/>
    <w:rsid w:val="00EB5E79"/>
    <w:rsid w:val="00EB6FAC"/>
    <w:rsid w:val="00EB7BAC"/>
    <w:rsid w:val="00EC03D7"/>
    <w:rsid w:val="00EC13A7"/>
    <w:rsid w:val="00EC2B75"/>
    <w:rsid w:val="00EC2EB6"/>
    <w:rsid w:val="00EC3C95"/>
    <w:rsid w:val="00EC5028"/>
    <w:rsid w:val="00EC6232"/>
    <w:rsid w:val="00ED0AB7"/>
    <w:rsid w:val="00ED0EF0"/>
    <w:rsid w:val="00ED12B9"/>
    <w:rsid w:val="00ED142F"/>
    <w:rsid w:val="00ED16B8"/>
    <w:rsid w:val="00ED1DF0"/>
    <w:rsid w:val="00ED2386"/>
    <w:rsid w:val="00ED2EA1"/>
    <w:rsid w:val="00ED3851"/>
    <w:rsid w:val="00ED3F10"/>
    <w:rsid w:val="00ED462A"/>
    <w:rsid w:val="00ED4D04"/>
    <w:rsid w:val="00ED566D"/>
    <w:rsid w:val="00ED5907"/>
    <w:rsid w:val="00ED5F5B"/>
    <w:rsid w:val="00ED62C6"/>
    <w:rsid w:val="00ED64C1"/>
    <w:rsid w:val="00ED6967"/>
    <w:rsid w:val="00ED7705"/>
    <w:rsid w:val="00ED781F"/>
    <w:rsid w:val="00EE2EB4"/>
    <w:rsid w:val="00EE3446"/>
    <w:rsid w:val="00EE3E78"/>
    <w:rsid w:val="00EE41FD"/>
    <w:rsid w:val="00EE460E"/>
    <w:rsid w:val="00EE4B1B"/>
    <w:rsid w:val="00EE5FBA"/>
    <w:rsid w:val="00EE6E06"/>
    <w:rsid w:val="00EE7179"/>
    <w:rsid w:val="00EE7A0B"/>
    <w:rsid w:val="00EF0B27"/>
    <w:rsid w:val="00EF0D90"/>
    <w:rsid w:val="00EF150D"/>
    <w:rsid w:val="00EF1F5A"/>
    <w:rsid w:val="00EF23B5"/>
    <w:rsid w:val="00EF25AD"/>
    <w:rsid w:val="00EF35EC"/>
    <w:rsid w:val="00EF3FCF"/>
    <w:rsid w:val="00EF406A"/>
    <w:rsid w:val="00EF47BF"/>
    <w:rsid w:val="00EF59B1"/>
    <w:rsid w:val="00EF5A13"/>
    <w:rsid w:val="00EF5FF9"/>
    <w:rsid w:val="00EF77D4"/>
    <w:rsid w:val="00EF7CC7"/>
    <w:rsid w:val="00F00853"/>
    <w:rsid w:val="00F00866"/>
    <w:rsid w:val="00F00EC8"/>
    <w:rsid w:val="00F013F0"/>
    <w:rsid w:val="00F0160B"/>
    <w:rsid w:val="00F0193E"/>
    <w:rsid w:val="00F03904"/>
    <w:rsid w:val="00F03E2F"/>
    <w:rsid w:val="00F03F8D"/>
    <w:rsid w:val="00F04181"/>
    <w:rsid w:val="00F04811"/>
    <w:rsid w:val="00F0488C"/>
    <w:rsid w:val="00F055B0"/>
    <w:rsid w:val="00F073ED"/>
    <w:rsid w:val="00F07C4C"/>
    <w:rsid w:val="00F10F11"/>
    <w:rsid w:val="00F11159"/>
    <w:rsid w:val="00F11574"/>
    <w:rsid w:val="00F115E4"/>
    <w:rsid w:val="00F12CFB"/>
    <w:rsid w:val="00F13E60"/>
    <w:rsid w:val="00F13FDB"/>
    <w:rsid w:val="00F15AAA"/>
    <w:rsid w:val="00F15BEF"/>
    <w:rsid w:val="00F17898"/>
    <w:rsid w:val="00F207C2"/>
    <w:rsid w:val="00F21337"/>
    <w:rsid w:val="00F219A1"/>
    <w:rsid w:val="00F23E20"/>
    <w:rsid w:val="00F24407"/>
    <w:rsid w:val="00F246B8"/>
    <w:rsid w:val="00F24FAA"/>
    <w:rsid w:val="00F25040"/>
    <w:rsid w:val="00F27071"/>
    <w:rsid w:val="00F27331"/>
    <w:rsid w:val="00F27EE5"/>
    <w:rsid w:val="00F27FB1"/>
    <w:rsid w:val="00F27FD6"/>
    <w:rsid w:val="00F307CB"/>
    <w:rsid w:val="00F30C65"/>
    <w:rsid w:val="00F31A7E"/>
    <w:rsid w:val="00F321D2"/>
    <w:rsid w:val="00F32649"/>
    <w:rsid w:val="00F32BC4"/>
    <w:rsid w:val="00F33523"/>
    <w:rsid w:val="00F3364D"/>
    <w:rsid w:val="00F33914"/>
    <w:rsid w:val="00F3394D"/>
    <w:rsid w:val="00F349BF"/>
    <w:rsid w:val="00F34DDC"/>
    <w:rsid w:val="00F35DD3"/>
    <w:rsid w:val="00F36191"/>
    <w:rsid w:val="00F3629F"/>
    <w:rsid w:val="00F36DF3"/>
    <w:rsid w:val="00F3729C"/>
    <w:rsid w:val="00F37C85"/>
    <w:rsid w:val="00F37EDC"/>
    <w:rsid w:val="00F405FD"/>
    <w:rsid w:val="00F437CC"/>
    <w:rsid w:val="00F44537"/>
    <w:rsid w:val="00F46185"/>
    <w:rsid w:val="00F46423"/>
    <w:rsid w:val="00F4696A"/>
    <w:rsid w:val="00F47067"/>
    <w:rsid w:val="00F47234"/>
    <w:rsid w:val="00F525AB"/>
    <w:rsid w:val="00F525EB"/>
    <w:rsid w:val="00F52CB5"/>
    <w:rsid w:val="00F53378"/>
    <w:rsid w:val="00F53A68"/>
    <w:rsid w:val="00F53ADD"/>
    <w:rsid w:val="00F54934"/>
    <w:rsid w:val="00F55A92"/>
    <w:rsid w:val="00F55E8F"/>
    <w:rsid w:val="00F609E0"/>
    <w:rsid w:val="00F6200A"/>
    <w:rsid w:val="00F623D6"/>
    <w:rsid w:val="00F62BFF"/>
    <w:rsid w:val="00F63AAE"/>
    <w:rsid w:val="00F63DDE"/>
    <w:rsid w:val="00F63FB7"/>
    <w:rsid w:val="00F6421B"/>
    <w:rsid w:val="00F647F1"/>
    <w:rsid w:val="00F649D2"/>
    <w:rsid w:val="00F64E62"/>
    <w:rsid w:val="00F6503C"/>
    <w:rsid w:val="00F6602B"/>
    <w:rsid w:val="00F7150B"/>
    <w:rsid w:val="00F717E4"/>
    <w:rsid w:val="00F71DE6"/>
    <w:rsid w:val="00F727F1"/>
    <w:rsid w:val="00F72D71"/>
    <w:rsid w:val="00F7381C"/>
    <w:rsid w:val="00F73A0C"/>
    <w:rsid w:val="00F7549F"/>
    <w:rsid w:val="00F756DB"/>
    <w:rsid w:val="00F75922"/>
    <w:rsid w:val="00F75CFE"/>
    <w:rsid w:val="00F767A8"/>
    <w:rsid w:val="00F82D14"/>
    <w:rsid w:val="00F83681"/>
    <w:rsid w:val="00F84E7D"/>
    <w:rsid w:val="00F85066"/>
    <w:rsid w:val="00F8508F"/>
    <w:rsid w:val="00F8628A"/>
    <w:rsid w:val="00F87A4D"/>
    <w:rsid w:val="00F93688"/>
    <w:rsid w:val="00F939F3"/>
    <w:rsid w:val="00F93C6E"/>
    <w:rsid w:val="00F93F2C"/>
    <w:rsid w:val="00F94F43"/>
    <w:rsid w:val="00F9644E"/>
    <w:rsid w:val="00F96FBA"/>
    <w:rsid w:val="00FA0105"/>
    <w:rsid w:val="00FA028A"/>
    <w:rsid w:val="00FA05A0"/>
    <w:rsid w:val="00FA08CD"/>
    <w:rsid w:val="00FA0AEF"/>
    <w:rsid w:val="00FA17CC"/>
    <w:rsid w:val="00FA1F01"/>
    <w:rsid w:val="00FA26DF"/>
    <w:rsid w:val="00FA2F80"/>
    <w:rsid w:val="00FA32BC"/>
    <w:rsid w:val="00FA4533"/>
    <w:rsid w:val="00FA48A4"/>
    <w:rsid w:val="00FA4CB7"/>
    <w:rsid w:val="00FA5112"/>
    <w:rsid w:val="00FA5526"/>
    <w:rsid w:val="00FA5D4D"/>
    <w:rsid w:val="00FA5F40"/>
    <w:rsid w:val="00FA6C9B"/>
    <w:rsid w:val="00FA6CB6"/>
    <w:rsid w:val="00FA70D3"/>
    <w:rsid w:val="00FA7AEC"/>
    <w:rsid w:val="00FB0AEA"/>
    <w:rsid w:val="00FB0EE2"/>
    <w:rsid w:val="00FB1A79"/>
    <w:rsid w:val="00FB1E86"/>
    <w:rsid w:val="00FB208B"/>
    <w:rsid w:val="00FB2B2D"/>
    <w:rsid w:val="00FB45E3"/>
    <w:rsid w:val="00FB4F7E"/>
    <w:rsid w:val="00FB542E"/>
    <w:rsid w:val="00FB564F"/>
    <w:rsid w:val="00FB5686"/>
    <w:rsid w:val="00FB7DBB"/>
    <w:rsid w:val="00FC05F8"/>
    <w:rsid w:val="00FC0E5F"/>
    <w:rsid w:val="00FC1266"/>
    <w:rsid w:val="00FC1A95"/>
    <w:rsid w:val="00FC1ED4"/>
    <w:rsid w:val="00FC2B38"/>
    <w:rsid w:val="00FC3BEC"/>
    <w:rsid w:val="00FC3E69"/>
    <w:rsid w:val="00FC4213"/>
    <w:rsid w:val="00FC440B"/>
    <w:rsid w:val="00FC56DE"/>
    <w:rsid w:val="00FC63D9"/>
    <w:rsid w:val="00FC64DE"/>
    <w:rsid w:val="00FC684B"/>
    <w:rsid w:val="00FC7D98"/>
    <w:rsid w:val="00FD1013"/>
    <w:rsid w:val="00FD1135"/>
    <w:rsid w:val="00FD1173"/>
    <w:rsid w:val="00FD3265"/>
    <w:rsid w:val="00FD3CF7"/>
    <w:rsid w:val="00FD4916"/>
    <w:rsid w:val="00FD4D12"/>
    <w:rsid w:val="00FD4F73"/>
    <w:rsid w:val="00FD595E"/>
    <w:rsid w:val="00FD6B56"/>
    <w:rsid w:val="00FD7802"/>
    <w:rsid w:val="00FE0A8A"/>
    <w:rsid w:val="00FE1F4B"/>
    <w:rsid w:val="00FE2537"/>
    <w:rsid w:val="00FE27C7"/>
    <w:rsid w:val="00FE2C7E"/>
    <w:rsid w:val="00FE2F78"/>
    <w:rsid w:val="00FE3137"/>
    <w:rsid w:val="00FE346B"/>
    <w:rsid w:val="00FE346F"/>
    <w:rsid w:val="00FE48E4"/>
    <w:rsid w:val="00FE5EC0"/>
    <w:rsid w:val="00FE634C"/>
    <w:rsid w:val="00FE6E69"/>
    <w:rsid w:val="00FE6F59"/>
    <w:rsid w:val="00FE7473"/>
    <w:rsid w:val="00FF01B6"/>
    <w:rsid w:val="00FF1136"/>
    <w:rsid w:val="00FF1532"/>
    <w:rsid w:val="00FF23BA"/>
    <w:rsid w:val="00FF29D8"/>
    <w:rsid w:val="00FF2C2C"/>
    <w:rsid w:val="00FF326A"/>
    <w:rsid w:val="00FF36E2"/>
    <w:rsid w:val="00FF3D76"/>
    <w:rsid w:val="00FF464B"/>
    <w:rsid w:val="00FF51B0"/>
    <w:rsid w:val="00FF5B8C"/>
    <w:rsid w:val="00FF63E6"/>
    <w:rsid w:val="00FF7632"/>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2A67D8E9-8FBF-4C12-89B2-1C890D6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20\Q-makro\ENGL-1.pololet&#237;\ENGL-Grafy-st&#225;tn&#237;%20rozpo&#269;et-rok-1-pol-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20\Q-makro\ENGL-1.pololet&#237;\ENGL-Grafy-st&#225;tn&#237;%20rozpo&#269;et-rok-1-pol-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249254434649833E-2"/>
          <c:y val="1.7107238390107405E-2"/>
          <c:w val="0.8384774170920607"/>
          <c:h val="0.76773300827841073"/>
        </c:manualLayout>
      </c:layout>
      <c:barChart>
        <c:barDir val="col"/>
        <c:grouping val="clustered"/>
        <c:varyColors val="0"/>
        <c:ser>
          <c:idx val="4"/>
          <c:order val="3"/>
          <c:tx>
            <c:strRef>
              <c:f>'G1-Státní rozpočet-příjmy'!$A$38</c:f>
              <c:strCache>
                <c:ptCount val="1"/>
                <c:pt idx="0">
                  <c:v>State budget balance (SB, right axis)</c:v>
                </c:pt>
              </c:strCache>
            </c:strRef>
          </c:tx>
          <c:spPr>
            <a:solidFill>
              <a:schemeClr val="bg1">
                <a:lumMod val="65000"/>
              </a:schemeClr>
            </a:solidFill>
          </c:spPr>
          <c:invertIfNegative val="0"/>
          <c:cat>
            <c:numRef>
              <c:f>'G1-Státní rozpočet-příjmy'!$B$34:$Q$34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rozpočet-příjmy'!$B$38:$Q$38</c:f>
              <c:numCache>
                <c:formatCode>#\ ##0.0</c:formatCode>
                <c:ptCount val="16"/>
                <c:pt idx="0">
                  <c:v>3.76</c:v>
                </c:pt>
                <c:pt idx="1">
                  <c:v>7.64</c:v>
                </c:pt>
                <c:pt idx="2">
                  <c:v>1.2749999999999999</c:v>
                </c:pt>
                <c:pt idx="3">
                  <c:v>-5.6520000000000001</c:v>
                </c:pt>
                <c:pt idx="4">
                  <c:v>-68.259</c:v>
                </c:pt>
                <c:pt idx="5">
                  <c:v>-75.662000000000006</c:v>
                </c:pt>
                <c:pt idx="6">
                  <c:v>-62.856000000000002</c:v>
                </c:pt>
                <c:pt idx="7">
                  <c:v>-71.721999999999994</c:v>
                </c:pt>
                <c:pt idx="8">
                  <c:v>-31.52</c:v>
                </c:pt>
                <c:pt idx="9">
                  <c:v>1.45</c:v>
                </c:pt>
                <c:pt idx="10">
                  <c:v>22.65</c:v>
                </c:pt>
                <c:pt idx="11">
                  <c:v>40.65</c:v>
                </c:pt>
                <c:pt idx="12">
                  <c:v>4.62</c:v>
                </c:pt>
                <c:pt idx="13">
                  <c:v>-5.88</c:v>
                </c:pt>
                <c:pt idx="14">
                  <c:v>-20.68</c:v>
                </c:pt>
                <c:pt idx="15">
                  <c:v>-195.24722774568022</c:v>
                </c:pt>
              </c:numCache>
            </c:numRef>
          </c:val>
          <c:extLst>
            <c:ext xmlns:c16="http://schemas.microsoft.com/office/drawing/2014/chart" uri="{C3380CC4-5D6E-409C-BE32-E72D297353CC}">
              <c16:uniqueId val="{00000000-5359-4460-A9DB-ED351C0BE53A}"/>
            </c:ext>
          </c:extLst>
        </c:ser>
        <c:ser>
          <c:idx val="2"/>
          <c:order val="4"/>
          <c:tx>
            <c:strRef>
              <c:f>'G1-Státní rozpočet-příjmy'!$A$39</c:f>
              <c:strCache>
                <c:ptCount val="1"/>
                <c:pt idx="0">
                  <c:v>SB balance adjusted for effect of EU and FM* (right axis)</c:v>
                </c:pt>
              </c:strCache>
            </c:strRef>
          </c:tx>
          <c:spPr>
            <a:solidFill>
              <a:schemeClr val="bg1">
                <a:lumMod val="85000"/>
              </a:schemeClr>
            </a:solidFill>
            <a:ln w="28575">
              <a:noFill/>
            </a:ln>
          </c:spPr>
          <c:invertIfNegative val="0"/>
          <c:cat>
            <c:numRef>
              <c:f>'G1-Státní rozpočet-příjmy'!$B$34:$Q$34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rozpočet-příjmy'!$B$39:$Q$39</c:f>
              <c:numCache>
                <c:formatCode>General</c:formatCode>
                <c:ptCount val="16"/>
                <c:pt idx="8" formatCode="#\ ##0.0">
                  <c:v>-69.3</c:v>
                </c:pt>
                <c:pt idx="9" formatCode="#\ ##0.0">
                  <c:v>-42.6</c:v>
                </c:pt>
                <c:pt idx="10" formatCode="#\ ##0.0">
                  <c:v>-47.7</c:v>
                </c:pt>
                <c:pt idx="11" formatCode="#\ ##0.0">
                  <c:v>-30.8</c:v>
                </c:pt>
                <c:pt idx="12" formatCode="#\ ##0.0">
                  <c:v>-13.2</c:v>
                </c:pt>
                <c:pt idx="13" formatCode="#\ ##0.0">
                  <c:v>-28.4</c:v>
                </c:pt>
                <c:pt idx="14" formatCode="#\ ##0.0">
                  <c:v>-22.810324545670142</c:v>
                </c:pt>
                <c:pt idx="15" formatCode="#\ ##0.0">
                  <c:v>-196.10355120125018</c:v>
                </c:pt>
              </c:numCache>
            </c:numRef>
          </c:val>
          <c:extLst>
            <c:ext xmlns:c16="http://schemas.microsoft.com/office/drawing/2014/chart" uri="{C3380CC4-5D6E-409C-BE32-E72D297353CC}">
              <c16:uniqueId val="{00000001-5359-4460-A9DB-ED351C0BE53A}"/>
            </c:ext>
          </c:extLst>
        </c:ser>
        <c:dLbls>
          <c:showLegendKey val="0"/>
          <c:showVal val="0"/>
          <c:showCatName val="0"/>
          <c:showSerName val="0"/>
          <c:showPercent val="0"/>
          <c:showBubbleSize val="0"/>
        </c:dLbls>
        <c:gapWidth val="150"/>
        <c:axId val="337259904"/>
        <c:axId val="337258656"/>
      </c:barChart>
      <c:lineChart>
        <c:grouping val="standard"/>
        <c:varyColors val="0"/>
        <c:ser>
          <c:idx val="0"/>
          <c:order val="0"/>
          <c:tx>
            <c:strRef>
              <c:f>'G1-Státní rozpočet-příjmy'!$A$35</c:f>
              <c:strCache>
                <c:ptCount val="1"/>
                <c:pt idx="0">
                  <c:v>Value added taxes and consumption taxes</c:v>
                </c:pt>
              </c:strCache>
            </c:strRef>
          </c:tx>
          <c:spPr>
            <a:ln w="19050">
              <a:noFill/>
            </a:ln>
          </c:spPr>
          <c:marker>
            <c:symbol val="diamond"/>
            <c:size val="6"/>
            <c:spPr>
              <a:solidFill>
                <a:srgbClr val="00B050"/>
              </a:solidFill>
              <a:ln>
                <a:noFill/>
              </a:ln>
            </c:spPr>
          </c:marker>
          <c:cat>
            <c:numRef>
              <c:f>'G1-Státní rozpočet-příjmy'!$B$34:$Q$34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rozpočet-příjmy'!$B$35:$Q$35</c:f>
              <c:numCache>
                <c:formatCode>#\ ##0.0</c:formatCode>
                <c:ptCount val="16"/>
                <c:pt idx="0">
                  <c:v>26.071458881439384</c:v>
                </c:pt>
                <c:pt idx="1">
                  <c:v>14.762706159542233</c:v>
                </c:pt>
                <c:pt idx="2">
                  <c:v>1.7362740497419082</c:v>
                </c:pt>
                <c:pt idx="3">
                  <c:v>4.3646217712176991</c:v>
                </c:pt>
                <c:pt idx="4">
                  <c:v>-2.5247223910281065</c:v>
                </c:pt>
                <c:pt idx="5">
                  <c:v>9.1022443890274189</c:v>
                </c:pt>
                <c:pt idx="6">
                  <c:v>6.7532467532467564</c:v>
                </c:pt>
                <c:pt idx="7">
                  <c:v>-4.4720194647201907</c:v>
                </c:pt>
                <c:pt idx="8">
                  <c:v>8.0077428556874395</c:v>
                </c:pt>
                <c:pt idx="9">
                  <c:v>8.055463849455279</c:v>
                </c:pt>
                <c:pt idx="10">
                  <c:v>-4.5087512548557385</c:v>
                </c:pt>
                <c:pt idx="11">
                  <c:v>6.5682420696590071</c:v>
                </c:pt>
                <c:pt idx="12">
                  <c:v>9.761955822431915</c:v>
                </c:pt>
                <c:pt idx="13">
                  <c:v>6.0607244734476922</c:v>
                </c:pt>
                <c:pt idx="14">
                  <c:v>3.1611524574460077</c:v>
                </c:pt>
                <c:pt idx="15">
                  <c:v>-6.2418802907821487</c:v>
                </c:pt>
              </c:numCache>
            </c:numRef>
          </c:val>
          <c:smooth val="0"/>
          <c:extLst>
            <c:ext xmlns:c16="http://schemas.microsoft.com/office/drawing/2014/chart" uri="{C3380CC4-5D6E-409C-BE32-E72D297353CC}">
              <c16:uniqueId val="{00000002-5359-4460-A9DB-ED351C0BE53A}"/>
            </c:ext>
          </c:extLst>
        </c:ser>
        <c:ser>
          <c:idx val="1"/>
          <c:order val="1"/>
          <c:tx>
            <c:strRef>
              <c:f>'G1-Státní rozpočet-příjmy'!$A$36</c:f>
              <c:strCache>
                <c:ptCount val="1"/>
                <c:pt idx="0">
                  <c:v>Income tax of natural persons from employment</c:v>
                </c:pt>
              </c:strCache>
            </c:strRef>
          </c:tx>
          <c:spPr>
            <a:ln w="19050">
              <a:solidFill>
                <a:srgbClr val="BD1B25"/>
              </a:solidFill>
              <a:prstDash val="solid"/>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5359-4460-A9DB-ED351C0BE53A}"/>
                </c:ext>
              </c:extLst>
            </c:dLbl>
            <c:dLbl>
              <c:idx val="1"/>
              <c:delete val="1"/>
              <c:extLst>
                <c:ext xmlns:c15="http://schemas.microsoft.com/office/drawing/2012/chart" uri="{CE6537A1-D6FC-4f65-9D91-7224C49458BB}"/>
                <c:ext xmlns:c16="http://schemas.microsoft.com/office/drawing/2014/chart" uri="{C3380CC4-5D6E-409C-BE32-E72D297353CC}">
                  <c16:uniqueId val="{00000004-5359-4460-A9DB-ED351C0BE53A}"/>
                </c:ext>
              </c:extLst>
            </c:dLbl>
            <c:dLbl>
              <c:idx val="2"/>
              <c:delete val="1"/>
              <c:extLst>
                <c:ext xmlns:c15="http://schemas.microsoft.com/office/drawing/2012/chart" uri="{CE6537A1-D6FC-4f65-9D91-7224C49458BB}"/>
                <c:ext xmlns:c16="http://schemas.microsoft.com/office/drawing/2014/chart" uri="{C3380CC4-5D6E-409C-BE32-E72D297353CC}">
                  <c16:uniqueId val="{00000005-5359-4460-A9DB-ED351C0BE53A}"/>
                </c:ext>
              </c:extLst>
            </c:dLbl>
            <c:dLbl>
              <c:idx val="3"/>
              <c:delete val="1"/>
              <c:extLst>
                <c:ext xmlns:c15="http://schemas.microsoft.com/office/drawing/2012/chart" uri="{CE6537A1-D6FC-4f65-9D91-7224C49458BB}"/>
                <c:ext xmlns:c16="http://schemas.microsoft.com/office/drawing/2014/chart" uri="{C3380CC4-5D6E-409C-BE32-E72D297353CC}">
                  <c16:uniqueId val="{00000006-5359-4460-A9DB-ED351C0BE53A}"/>
                </c:ext>
              </c:extLst>
            </c:dLbl>
            <c:dLbl>
              <c:idx val="4"/>
              <c:delete val="1"/>
              <c:extLst>
                <c:ext xmlns:c15="http://schemas.microsoft.com/office/drawing/2012/chart" uri="{CE6537A1-D6FC-4f65-9D91-7224C49458BB}"/>
                <c:ext xmlns:c16="http://schemas.microsoft.com/office/drawing/2014/chart" uri="{C3380CC4-5D6E-409C-BE32-E72D297353CC}">
                  <c16:uniqueId val="{00000007-5359-4460-A9DB-ED351C0BE53A}"/>
                </c:ext>
              </c:extLst>
            </c:dLbl>
            <c:dLbl>
              <c:idx val="5"/>
              <c:delete val="1"/>
              <c:extLst>
                <c:ext xmlns:c15="http://schemas.microsoft.com/office/drawing/2012/chart" uri="{CE6537A1-D6FC-4f65-9D91-7224C49458BB}"/>
                <c:ext xmlns:c16="http://schemas.microsoft.com/office/drawing/2014/chart" uri="{C3380CC4-5D6E-409C-BE32-E72D297353CC}">
                  <c16:uniqueId val="{00000008-5359-4460-A9DB-ED351C0BE53A}"/>
                </c:ext>
              </c:extLst>
            </c:dLbl>
            <c:dLbl>
              <c:idx val="6"/>
              <c:delete val="1"/>
              <c:extLst>
                <c:ext xmlns:c15="http://schemas.microsoft.com/office/drawing/2012/chart" uri="{CE6537A1-D6FC-4f65-9D91-7224C49458BB}"/>
                <c:ext xmlns:c16="http://schemas.microsoft.com/office/drawing/2014/chart" uri="{C3380CC4-5D6E-409C-BE32-E72D297353CC}">
                  <c16:uniqueId val="{00000009-5359-4460-A9DB-ED351C0BE53A}"/>
                </c:ext>
              </c:extLst>
            </c:dLbl>
            <c:dLbl>
              <c:idx val="7"/>
              <c:delete val="1"/>
              <c:extLst>
                <c:ext xmlns:c15="http://schemas.microsoft.com/office/drawing/2012/chart" uri="{CE6537A1-D6FC-4f65-9D91-7224C49458BB}"/>
                <c:ext xmlns:c16="http://schemas.microsoft.com/office/drawing/2014/chart" uri="{C3380CC4-5D6E-409C-BE32-E72D297353CC}">
                  <c16:uniqueId val="{0000000A-5359-4460-A9DB-ED351C0BE53A}"/>
                </c:ext>
              </c:extLst>
            </c:dLbl>
            <c:dLbl>
              <c:idx val="8"/>
              <c:delete val="1"/>
              <c:extLst>
                <c:ext xmlns:c15="http://schemas.microsoft.com/office/drawing/2012/chart" uri="{CE6537A1-D6FC-4f65-9D91-7224C49458BB}"/>
                <c:ext xmlns:c16="http://schemas.microsoft.com/office/drawing/2014/chart" uri="{C3380CC4-5D6E-409C-BE32-E72D297353CC}">
                  <c16:uniqueId val="{0000000B-5359-4460-A9DB-ED351C0BE53A}"/>
                </c:ext>
              </c:extLst>
            </c:dLbl>
            <c:dLbl>
              <c:idx val="9"/>
              <c:delete val="1"/>
              <c:extLst>
                <c:ext xmlns:c15="http://schemas.microsoft.com/office/drawing/2012/chart" uri="{CE6537A1-D6FC-4f65-9D91-7224C49458BB}"/>
                <c:ext xmlns:c16="http://schemas.microsoft.com/office/drawing/2014/chart" uri="{C3380CC4-5D6E-409C-BE32-E72D297353CC}">
                  <c16:uniqueId val="{0000000C-5359-4460-A9DB-ED351C0BE53A}"/>
                </c:ext>
              </c:extLst>
            </c:dLbl>
            <c:dLbl>
              <c:idx val="10"/>
              <c:delete val="1"/>
              <c:extLst>
                <c:ext xmlns:c15="http://schemas.microsoft.com/office/drawing/2012/chart" uri="{CE6537A1-D6FC-4f65-9D91-7224C49458BB}"/>
                <c:ext xmlns:c16="http://schemas.microsoft.com/office/drawing/2014/chart" uri="{C3380CC4-5D6E-409C-BE32-E72D297353CC}">
                  <c16:uniqueId val="{0000000D-5359-4460-A9DB-ED351C0BE53A}"/>
                </c:ext>
              </c:extLst>
            </c:dLbl>
            <c:dLbl>
              <c:idx val="11"/>
              <c:delete val="1"/>
              <c:extLst>
                <c:ext xmlns:c15="http://schemas.microsoft.com/office/drawing/2012/chart" uri="{CE6537A1-D6FC-4f65-9D91-7224C49458BB}"/>
                <c:ext xmlns:c16="http://schemas.microsoft.com/office/drawing/2014/chart" uri="{C3380CC4-5D6E-409C-BE32-E72D297353CC}">
                  <c16:uniqueId val="{0000000E-5359-4460-A9DB-ED351C0BE53A}"/>
                </c:ext>
              </c:extLst>
            </c:dLbl>
            <c:dLbl>
              <c:idx val="12"/>
              <c:delete val="1"/>
              <c:extLst>
                <c:ext xmlns:c15="http://schemas.microsoft.com/office/drawing/2012/chart" uri="{CE6537A1-D6FC-4f65-9D91-7224C49458BB}"/>
                <c:ext xmlns:c16="http://schemas.microsoft.com/office/drawing/2014/chart" uri="{C3380CC4-5D6E-409C-BE32-E72D297353CC}">
                  <c16:uniqueId val="{0000000F-5359-4460-A9DB-ED351C0BE53A}"/>
                </c:ext>
              </c:extLst>
            </c:dLbl>
            <c:dLbl>
              <c:idx val="13"/>
              <c:layout>
                <c:manualLayout>
                  <c:x val="5.0596335760102994E-3"/>
                  <c:y val="0.53197838245568341"/>
                </c:manualLayout>
              </c:layout>
              <c:tx>
                <c:rich>
                  <a:bodyPr/>
                  <a:lstStyle/>
                  <a:p>
                    <a:r>
                      <a:rPr lang="en-US"/>
                      <a:t>-195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359-4460-A9DB-ED351C0BE53A}"/>
                </c:ext>
              </c:extLst>
            </c:dLbl>
            <c:dLbl>
              <c:idx val="14"/>
              <c:layout>
                <c:manualLayout>
                  <c:x val="-4.6014983335943768E-2"/>
                  <c:y val="0.55175502061631188"/>
                </c:manualLayout>
              </c:layout>
              <c:tx>
                <c:rich>
                  <a:bodyPr/>
                  <a:lstStyle/>
                  <a:p>
                    <a:r>
                      <a:rPr lang="en-US"/>
                      <a:t>-196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59-4460-A9DB-ED351C0BE53A}"/>
                </c:ext>
              </c:extLst>
            </c:dLbl>
            <c:dLbl>
              <c:idx val="15"/>
              <c:delete val="1"/>
              <c:extLst>
                <c:ext xmlns:c15="http://schemas.microsoft.com/office/drawing/2012/chart" uri="{CE6537A1-D6FC-4f65-9D91-7224C49458BB}"/>
                <c:ext xmlns:c16="http://schemas.microsoft.com/office/drawing/2014/chart" uri="{C3380CC4-5D6E-409C-BE32-E72D297353CC}">
                  <c16:uniqueId val="{00000012-5359-4460-A9DB-ED351C0BE53A}"/>
                </c:ext>
              </c:extLst>
            </c:dLbl>
            <c:spPr>
              <a:noFill/>
              <a:ln>
                <a:noFill/>
              </a:ln>
              <a:effectLst/>
            </c:spPr>
            <c:txPr>
              <a:bodyPr wrap="square" lIns="38100" tIns="19050" rIns="38100" bIns="19050" anchor="ctr">
                <a:spAutoFit/>
              </a:bodyPr>
              <a:lstStyle/>
              <a:p>
                <a:pPr>
                  <a:defRPr sz="7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'G1-Státní rozpočet-příjmy'!$B$34:$Q$34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rozpočet-příjmy'!$B$36:$Q$36</c:f>
              <c:numCache>
                <c:formatCode>#\ ##0.0</c:formatCode>
                <c:ptCount val="16"/>
                <c:pt idx="0">
                  <c:v>7.2278911564625901</c:v>
                </c:pt>
                <c:pt idx="1">
                  <c:v>2.2997620935765468</c:v>
                </c:pt>
                <c:pt idx="2">
                  <c:v>12.20930232558139</c:v>
                </c:pt>
                <c:pt idx="3">
                  <c:v>-5.4749568221070746</c:v>
                </c:pt>
                <c:pt idx="4">
                  <c:v>-6.0661428832450213</c:v>
                </c:pt>
                <c:pt idx="5">
                  <c:v>-0.11670881151526658</c:v>
                </c:pt>
                <c:pt idx="6">
                  <c:v>6.6601752677702137</c:v>
                </c:pt>
                <c:pt idx="7">
                  <c:v>2.2092386342888375</c:v>
                </c:pt>
                <c:pt idx="8">
                  <c:v>5.4841014648088731</c:v>
                </c:pt>
                <c:pt idx="9">
                  <c:v>4.7417442845046622</c:v>
                </c:pt>
                <c:pt idx="10">
                  <c:v>1.0509296685529534</c:v>
                </c:pt>
                <c:pt idx="11">
                  <c:v>10.704000000000008</c:v>
                </c:pt>
                <c:pt idx="12">
                  <c:v>12.559618441971381</c:v>
                </c:pt>
                <c:pt idx="13">
                  <c:v>15.382639958911156</c:v>
                </c:pt>
                <c:pt idx="14">
                  <c:v>13.265079011796118</c:v>
                </c:pt>
                <c:pt idx="15">
                  <c:v>-15.472154279151113</c:v>
                </c:pt>
              </c:numCache>
            </c:numRef>
          </c:val>
          <c:smooth val="0"/>
          <c:extLst>
            <c:ext xmlns:c16="http://schemas.microsoft.com/office/drawing/2014/chart" uri="{C3380CC4-5D6E-409C-BE32-E72D297353CC}">
              <c16:uniqueId val="{00000013-5359-4460-A9DB-ED351C0BE53A}"/>
            </c:ext>
          </c:extLst>
        </c:ser>
        <c:ser>
          <c:idx val="3"/>
          <c:order val="2"/>
          <c:tx>
            <c:strRef>
              <c:f>'G1-Státní rozpočet-příjmy'!$A$37</c:f>
              <c:strCache>
                <c:ptCount val="1"/>
                <c:pt idx="0">
                  <c:v>Income tax of legal persons (corporate tax)</c:v>
                </c:pt>
              </c:strCache>
            </c:strRef>
          </c:tx>
          <c:spPr>
            <a:ln w="19050">
              <a:solidFill>
                <a:srgbClr val="0071BC"/>
              </a:solidFill>
              <a:prstDash val="solid"/>
            </a:ln>
          </c:spPr>
          <c:marker>
            <c:symbol val="none"/>
          </c:marker>
          <c:cat>
            <c:numRef>
              <c:f>'G1-Státní rozpočet-příjmy'!$B$34:$Q$34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rozpočet-příjmy'!$B$37:$Q$37</c:f>
              <c:numCache>
                <c:formatCode>#\ ##0.0</c:formatCode>
                <c:ptCount val="16"/>
                <c:pt idx="0">
                  <c:v>26.596315507064944</c:v>
                </c:pt>
                <c:pt idx="1">
                  <c:v>5.9197513421870553</c:v>
                </c:pt>
                <c:pt idx="2">
                  <c:v>-1.3872215552887752</c:v>
                </c:pt>
                <c:pt idx="3">
                  <c:v>26.565670228594598</c:v>
                </c:pt>
                <c:pt idx="4">
                  <c:v>-22.293470129314954</c:v>
                </c:pt>
                <c:pt idx="5">
                  <c:v>10.16366387016916</c:v>
                </c:pt>
                <c:pt idx="6">
                  <c:v>-13.508114856429458</c:v>
                </c:pt>
                <c:pt idx="7">
                  <c:v>-1.8042725173210101</c:v>
                </c:pt>
                <c:pt idx="8">
                  <c:v>-2.6458915184477405</c:v>
                </c:pt>
                <c:pt idx="9">
                  <c:v>8.3949871659368966</c:v>
                </c:pt>
                <c:pt idx="10">
                  <c:v>8.3855690207549856</c:v>
                </c:pt>
                <c:pt idx="11">
                  <c:v>11.425266675234539</c:v>
                </c:pt>
                <c:pt idx="12">
                  <c:v>7.5778546712802779</c:v>
                </c:pt>
                <c:pt idx="13">
                  <c:v>-7.5050927415020396E-2</c:v>
                </c:pt>
                <c:pt idx="14">
                  <c:v>6.2982832618025668</c:v>
                </c:pt>
                <c:pt idx="15">
                  <c:v>-24.910920731765415</c:v>
                </c:pt>
              </c:numCache>
            </c:numRef>
          </c:val>
          <c:smooth val="0"/>
          <c:extLst>
            <c:ext xmlns:c16="http://schemas.microsoft.com/office/drawing/2014/chart" uri="{C3380CC4-5D6E-409C-BE32-E72D297353CC}">
              <c16:uniqueId val="{00000014-5359-4460-A9DB-ED351C0BE53A}"/>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0"/>
          <c:min val="-4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Individual types of income (change in %)</a:t>
                </a:r>
                <a:endParaRPr lang="cs-CZ" sz="700">
                  <a:effectLst/>
                </a:endParaRPr>
              </a:p>
            </c:rich>
          </c:tx>
          <c:overlay val="0"/>
        </c:title>
        <c:numFmt formatCode="0" sourceLinked="0"/>
        <c:majorTickMark val="out"/>
        <c:minorTickMark val="none"/>
        <c:tickLblPos val="nextTo"/>
        <c:spPr>
          <a:ln w="6350">
            <a:solidFill>
              <a:schemeClr val="tx1"/>
            </a:solidFill>
          </a:ln>
        </c:spPr>
        <c:crossAx val="79288576"/>
        <c:crosses val="autoZero"/>
        <c:crossBetween val="between"/>
        <c:majorUnit val="5"/>
      </c:valAx>
      <c:valAx>
        <c:axId val="337258656"/>
        <c:scaling>
          <c:orientation val="minMax"/>
          <c:max val="90"/>
          <c:min val="-1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State budget balance (in CZK bn)</a:t>
                </a:r>
                <a:endParaRPr lang="cs-CZ" sz="700">
                  <a:effectLst/>
                </a:endParaRPr>
              </a:p>
            </c:rich>
          </c:tx>
          <c:layout>
            <c:manualLayout>
              <c:xMode val="edge"/>
              <c:yMode val="edge"/>
              <c:x val="0.97027241952391585"/>
              <c:y val="0.19370288341385586"/>
            </c:manualLayout>
          </c:layout>
          <c:overlay val="0"/>
        </c:title>
        <c:numFmt formatCode="#,##0" sourceLinked="0"/>
        <c:majorTickMark val="out"/>
        <c:minorTickMark val="none"/>
        <c:tickLblPos val="nextTo"/>
        <c:spPr>
          <a:ln w="6350"/>
        </c:spPr>
        <c:crossAx val="337259904"/>
        <c:crosses val="max"/>
        <c:crossBetween val="between"/>
        <c:majorUnit val="15"/>
      </c:valAx>
      <c:catAx>
        <c:axId val="337259904"/>
        <c:scaling>
          <c:orientation val="minMax"/>
        </c:scaling>
        <c:delete val="1"/>
        <c:axPos val="b"/>
        <c:numFmt formatCode="General" sourceLinked="1"/>
        <c:majorTickMark val="out"/>
        <c:minorTickMark val="none"/>
        <c:tickLblPos val="nextTo"/>
        <c:crossAx val="337258656"/>
        <c:crosses val="autoZero"/>
        <c:auto val="1"/>
        <c:lblAlgn val="ctr"/>
        <c:lblOffset val="100"/>
        <c:noMultiLvlLbl val="0"/>
      </c:catAx>
      <c:spPr>
        <a:ln w="6350">
          <a:solidFill>
            <a:schemeClr val="tx1"/>
          </a:solidFill>
        </a:ln>
      </c:spPr>
    </c:plotArea>
    <c:legend>
      <c:legendPos val="b"/>
      <c:layout>
        <c:manualLayout>
          <c:xMode val="edge"/>
          <c:yMode val="edge"/>
          <c:x val="1.4383830153176014E-2"/>
          <c:y val="0.82946836330105023"/>
          <c:w val="0.96954720742731881"/>
          <c:h val="0.1561274161840774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61536239710156E-2"/>
          <c:y val="1.7112323287741892E-2"/>
          <c:w val="0.84586291999023488"/>
          <c:h val="0.74947716015410026"/>
        </c:manualLayout>
      </c:layout>
      <c:barChart>
        <c:barDir val="col"/>
        <c:grouping val="clustered"/>
        <c:varyColors val="0"/>
        <c:ser>
          <c:idx val="0"/>
          <c:order val="0"/>
          <c:tx>
            <c:strRef>
              <c:f>'G2-Stání rozpočet-výdaje'!$B$31</c:f>
              <c:strCache>
                <c:ptCount val="1"/>
                <c:pt idx="0">
                  <c:v>Current expenditures, in total (right axis)</c:v>
                </c:pt>
              </c:strCache>
            </c:strRef>
          </c:tx>
          <c:spPr>
            <a:solidFill>
              <a:schemeClr val="bg1">
                <a:lumMod val="85000"/>
              </a:schemeClr>
            </a:solidFill>
            <a:ln>
              <a:noFill/>
            </a:ln>
          </c:spPr>
          <c:invertIfNegative val="0"/>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rozpočet-výdaje'!$B$32:$B$47</c:f>
              <c:numCache>
                <c:formatCode>0.0</c:formatCode>
                <c:ptCount val="16"/>
                <c:pt idx="0">
                  <c:v>402.04</c:v>
                </c:pt>
                <c:pt idx="1">
                  <c:v>437.53300000000002</c:v>
                </c:pt>
                <c:pt idx="2">
                  <c:v>455.274</c:v>
                </c:pt>
                <c:pt idx="3">
                  <c:v>488.71899999999999</c:v>
                </c:pt>
                <c:pt idx="4">
                  <c:v>523.79999999999995</c:v>
                </c:pt>
                <c:pt idx="5">
                  <c:v>527.73400000000004</c:v>
                </c:pt>
                <c:pt idx="6">
                  <c:v>523.22</c:v>
                </c:pt>
                <c:pt idx="7">
                  <c:v>534.42999999999995</c:v>
                </c:pt>
                <c:pt idx="8">
                  <c:v>544.65</c:v>
                </c:pt>
                <c:pt idx="9">
                  <c:v>552.71100000000001</c:v>
                </c:pt>
                <c:pt idx="10">
                  <c:v>564.13</c:v>
                </c:pt>
                <c:pt idx="11">
                  <c:v>575.57000000000005</c:v>
                </c:pt>
                <c:pt idx="12">
                  <c:v>609.53</c:v>
                </c:pt>
                <c:pt idx="13">
                  <c:v>660.76</c:v>
                </c:pt>
                <c:pt idx="14">
                  <c:v>718.74153402592015</c:v>
                </c:pt>
                <c:pt idx="15">
                  <c:v>830.41205201672994</c:v>
                </c:pt>
              </c:numCache>
            </c:numRef>
          </c:val>
          <c:extLst>
            <c:ext xmlns:c16="http://schemas.microsoft.com/office/drawing/2014/chart" uri="{C3380CC4-5D6E-409C-BE32-E72D297353CC}">
              <c16:uniqueId val="{00000000-3EB3-48D6-B643-9C94F82029EC}"/>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rozpočet-výdaje'!$C$31</c:f>
              <c:strCache>
                <c:ptCount val="1"/>
                <c:pt idx="0">
                  <c:v>Wages of employees in publ. admin.*</c:v>
                </c:pt>
              </c:strCache>
            </c:strRef>
          </c:tx>
          <c:spPr>
            <a:ln w="15875">
              <a:solidFill>
                <a:srgbClr val="984807"/>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rozpočet-výdaje'!$C$32:$C$47</c:f>
              <c:numCache>
                <c:formatCode>0.0</c:formatCode>
                <c:ptCount val="16"/>
                <c:pt idx="0">
                  <c:v>34.159999999999997</c:v>
                </c:pt>
                <c:pt idx="1">
                  <c:v>35.65</c:v>
                </c:pt>
                <c:pt idx="2">
                  <c:v>37.92</c:v>
                </c:pt>
                <c:pt idx="3">
                  <c:v>37.729999999999997</c:v>
                </c:pt>
                <c:pt idx="4">
                  <c:v>38.979999999999997</c:v>
                </c:pt>
                <c:pt idx="5">
                  <c:v>39.36</c:v>
                </c:pt>
                <c:pt idx="6">
                  <c:v>35.700000000000003</c:v>
                </c:pt>
                <c:pt idx="7">
                  <c:v>36.299999999999997</c:v>
                </c:pt>
                <c:pt idx="8">
                  <c:v>36.880000000000003</c:v>
                </c:pt>
                <c:pt idx="9">
                  <c:v>38.090000000000003</c:v>
                </c:pt>
                <c:pt idx="10">
                  <c:v>41.88</c:v>
                </c:pt>
                <c:pt idx="11">
                  <c:v>43.22</c:v>
                </c:pt>
                <c:pt idx="12">
                  <c:v>46.52</c:v>
                </c:pt>
                <c:pt idx="13">
                  <c:v>53.13</c:v>
                </c:pt>
                <c:pt idx="14">
                  <c:v>57.572759809109989</c:v>
                </c:pt>
                <c:pt idx="15">
                  <c:v>59.911420432</c:v>
                </c:pt>
              </c:numCache>
            </c:numRef>
          </c:val>
          <c:smooth val="0"/>
          <c:extLst>
            <c:ext xmlns:c16="http://schemas.microsoft.com/office/drawing/2014/chart" uri="{C3380CC4-5D6E-409C-BE32-E72D297353CC}">
              <c16:uniqueId val="{00000001-3EB3-48D6-B643-9C94F82029EC}"/>
            </c:ext>
          </c:extLst>
        </c:ser>
        <c:ser>
          <c:idx val="6"/>
          <c:order val="2"/>
          <c:tx>
            <c:strRef>
              <c:f>'G2-Stání rozpočet-výdaje'!$D$31</c:f>
              <c:strCache>
                <c:ptCount val="1"/>
                <c:pt idx="0">
                  <c:v>Unemployment benefits</c:v>
                </c:pt>
              </c:strCache>
            </c:strRef>
          </c:tx>
          <c:spPr>
            <a:ln w="15875">
              <a:solidFill>
                <a:srgbClr val="48AEE7"/>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rozpočet-výdaje'!$D$32:$D$47</c:f>
              <c:numCache>
                <c:formatCode>0.0</c:formatCode>
                <c:ptCount val="16"/>
                <c:pt idx="0">
                  <c:v>3.69</c:v>
                </c:pt>
                <c:pt idx="1">
                  <c:v>3.8959999999999999</c:v>
                </c:pt>
                <c:pt idx="2">
                  <c:v>3.78</c:v>
                </c:pt>
                <c:pt idx="3">
                  <c:v>3.56</c:v>
                </c:pt>
                <c:pt idx="4">
                  <c:v>7.3049999999999997</c:v>
                </c:pt>
                <c:pt idx="5">
                  <c:v>7.77</c:v>
                </c:pt>
                <c:pt idx="6">
                  <c:v>6.2279999999999998</c:v>
                </c:pt>
                <c:pt idx="7">
                  <c:v>4.8410000000000002</c:v>
                </c:pt>
                <c:pt idx="8">
                  <c:v>5.3579999999999997</c:v>
                </c:pt>
                <c:pt idx="9">
                  <c:v>5.2690000000000001</c:v>
                </c:pt>
                <c:pt idx="10">
                  <c:v>4.6150000000000002</c:v>
                </c:pt>
                <c:pt idx="11">
                  <c:v>4.4829999999999997</c:v>
                </c:pt>
                <c:pt idx="12">
                  <c:v>4.3310000000000004</c:v>
                </c:pt>
                <c:pt idx="13">
                  <c:v>3.98</c:v>
                </c:pt>
                <c:pt idx="14">
                  <c:v>4.2361097359899995</c:v>
                </c:pt>
                <c:pt idx="15">
                  <c:v>5.1431777073900005</c:v>
                </c:pt>
              </c:numCache>
            </c:numRef>
          </c:val>
          <c:smooth val="0"/>
          <c:extLst>
            <c:ext xmlns:c16="http://schemas.microsoft.com/office/drawing/2014/chart" uri="{C3380CC4-5D6E-409C-BE32-E72D297353CC}">
              <c16:uniqueId val="{00000002-3EB3-48D6-B643-9C94F82029EC}"/>
            </c:ext>
          </c:extLst>
        </c:ser>
        <c:ser>
          <c:idx val="7"/>
          <c:order val="3"/>
          <c:tx>
            <c:strRef>
              <c:f>'G2-Stání rozpočet-výdaje'!$E$31</c:f>
              <c:strCache>
                <c:ptCount val="1"/>
                <c:pt idx="0">
                  <c:v>State social support**</c:v>
                </c:pt>
              </c:strCache>
            </c:strRef>
          </c:tx>
          <c:spPr>
            <a:ln w="15875">
              <a:solidFill>
                <a:srgbClr val="00B05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rozpočet-výdaje'!$E$32:$E$47</c:f>
              <c:numCache>
                <c:formatCode>0.0</c:formatCode>
                <c:ptCount val="16"/>
                <c:pt idx="0">
                  <c:v>16.649999999999999</c:v>
                </c:pt>
                <c:pt idx="1">
                  <c:v>17.04</c:v>
                </c:pt>
                <c:pt idx="2">
                  <c:v>23.83</c:v>
                </c:pt>
                <c:pt idx="3">
                  <c:v>21.52</c:v>
                </c:pt>
                <c:pt idx="4">
                  <c:v>20.594999999999999</c:v>
                </c:pt>
                <c:pt idx="5">
                  <c:v>20.64</c:v>
                </c:pt>
                <c:pt idx="6">
                  <c:v>18.405999999999999</c:v>
                </c:pt>
                <c:pt idx="7">
                  <c:v>17.881</c:v>
                </c:pt>
                <c:pt idx="8">
                  <c:v>18.681999999999999</c:v>
                </c:pt>
                <c:pt idx="9">
                  <c:v>18.91</c:v>
                </c:pt>
                <c:pt idx="10">
                  <c:v>18.873999999999999</c:v>
                </c:pt>
                <c:pt idx="11">
                  <c:v>18.963999999999999</c:v>
                </c:pt>
                <c:pt idx="12">
                  <c:v>18.742000000000001</c:v>
                </c:pt>
                <c:pt idx="13">
                  <c:v>19.53</c:v>
                </c:pt>
                <c:pt idx="14">
                  <c:v>19.01942501061</c:v>
                </c:pt>
                <c:pt idx="15">
                  <c:v>25.66026027677</c:v>
                </c:pt>
              </c:numCache>
            </c:numRef>
          </c:val>
          <c:smooth val="0"/>
          <c:extLst>
            <c:ext xmlns:c16="http://schemas.microsoft.com/office/drawing/2014/chart" uri="{C3380CC4-5D6E-409C-BE32-E72D297353CC}">
              <c16:uniqueId val="{00000003-3EB3-48D6-B643-9C94F82029EC}"/>
            </c:ext>
          </c:extLst>
        </c:ser>
        <c:ser>
          <c:idx val="2"/>
          <c:order val="4"/>
          <c:tx>
            <c:strRef>
              <c:f>'G2-Stání rozpočet-výdaje'!$F$31</c:f>
              <c:strCache>
                <c:ptCount val="1"/>
                <c:pt idx="0">
                  <c:v>Sickness benefits</c:v>
                </c:pt>
              </c:strCache>
            </c:strRef>
          </c:tx>
          <c:spPr>
            <a:ln w="15875">
              <a:solidFill>
                <a:srgbClr val="0071BC"/>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rozpočet-výdaje'!$F$32:$F$47</c:f>
              <c:numCache>
                <c:formatCode>0.00</c:formatCode>
                <c:ptCount val="16"/>
                <c:pt idx="0">
                  <c:v>17.497</c:v>
                </c:pt>
                <c:pt idx="1">
                  <c:v>17.936</c:v>
                </c:pt>
                <c:pt idx="2">
                  <c:v>18.398</c:v>
                </c:pt>
                <c:pt idx="3">
                  <c:v>16.734000000000002</c:v>
                </c:pt>
                <c:pt idx="4">
                  <c:v>14.089</c:v>
                </c:pt>
                <c:pt idx="5">
                  <c:v>11.56</c:v>
                </c:pt>
                <c:pt idx="6">
                  <c:v>11.773</c:v>
                </c:pt>
                <c:pt idx="7">
                  <c:v>10.244</c:v>
                </c:pt>
                <c:pt idx="8">
                  <c:v>10.609</c:v>
                </c:pt>
                <c:pt idx="9">
                  <c:v>11.201000000000001</c:v>
                </c:pt>
                <c:pt idx="10">
                  <c:v>12.429</c:v>
                </c:pt>
                <c:pt idx="11">
                  <c:v>13.566000000000001</c:v>
                </c:pt>
                <c:pt idx="12">
                  <c:v>14.757999999999999</c:v>
                </c:pt>
                <c:pt idx="13">
                  <c:v>17.3</c:v>
                </c:pt>
                <c:pt idx="14">
                  <c:v>19.93</c:v>
                </c:pt>
                <c:pt idx="15">
                  <c:v>30.15</c:v>
                </c:pt>
              </c:numCache>
            </c:numRef>
          </c:val>
          <c:smooth val="0"/>
          <c:extLst>
            <c:ext xmlns:c16="http://schemas.microsoft.com/office/drawing/2014/chart" uri="{C3380CC4-5D6E-409C-BE32-E72D297353CC}">
              <c16:uniqueId val="{00000004-3EB3-48D6-B643-9C94F82029EC}"/>
            </c:ext>
          </c:extLst>
        </c:ser>
        <c:ser>
          <c:idx val="3"/>
          <c:order val="5"/>
          <c:tx>
            <c:strRef>
              <c:f>'G2-Stání rozpočet-výdaje'!$G$31</c:f>
              <c:strCache>
                <c:ptCount val="1"/>
                <c:pt idx="0">
                  <c:v>Social care benefits***</c:v>
                </c:pt>
              </c:strCache>
            </c:strRef>
          </c:tx>
          <c:spPr>
            <a:ln w="15875">
              <a:solidFill>
                <a:srgbClr val="7030A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rozpočet-výdaje'!$G$32:$G$47</c:f>
              <c:numCache>
                <c:formatCode>General</c:formatCode>
                <c:ptCount val="16"/>
                <c:pt idx="2" formatCode="0.00">
                  <c:v>11.690999999999999</c:v>
                </c:pt>
                <c:pt idx="3" formatCode="0.00">
                  <c:v>13.247</c:v>
                </c:pt>
                <c:pt idx="4" formatCode="0.00">
                  <c:v>13.003</c:v>
                </c:pt>
                <c:pt idx="5" formatCode="0.00">
                  <c:v>13.486000000000001</c:v>
                </c:pt>
                <c:pt idx="6" formatCode="0.00">
                  <c:v>12.911000000000001</c:v>
                </c:pt>
                <c:pt idx="7" formatCode="0.00">
                  <c:v>13.282</c:v>
                </c:pt>
                <c:pt idx="8" formatCode="0.00">
                  <c:v>15.668000000000001</c:v>
                </c:pt>
                <c:pt idx="9" formatCode="0.00">
                  <c:v>16.734999999999999</c:v>
                </c:pt>
                <c:pt idx="10" formatCode="0.00">
                  <c:v>16.93</c:v>
                </c:pt>
                <c:pt idx="11" formatCode="0.00">
                  <c:v>16.78</c:v>
                </c:pt>
                <c:pt idx="12" formatCode="0.00">
                  <c:v>17.489999999999998</c:v>
                </c:pt>
                <c:pt idx="13" formatCode="0.00">
                  <c:v>17.100000000000001</c:v>
                </c:pt>
                <c:pt idx="14" formatCode="0.00">
                  <c:v>17.32</c:v>
                </c:pt>
                <c:pt idx="15" formatCode="0.00">
                  <c:v>20.09</c:v>
                </c:pt>
              </c:numCache>
            </c:numRef>
          </c:val>
          <c:smooth val="0"/>
          <c:extLst>
            <c:ext xmlns:c16="http://schemas.microsoft.com/office/drawing/2014/chart" uri="{C3380CC4-5D6E-409C-BE32-E72D297353CC}">
              <c16:uniqueId val="{00000005-3EB3-48D6-B643-9C94F82029EC}"/>
            </c:ext>
          </c:extLst>
        </c:ser>
        <c:ser>
          <c:idx val="4"/>
          <c:order val="6"/>
          <c:tx>
            <c:strRef>
              <c:f>'G2-Stání rozpočet-výdaje'!$H$31</c:f>
              <c:strCache>
                <c:ptCount val="1"/>
                <c:pt idx="0">
                  <c:v>Non-investment purchases****</c:v>
                </c:pt>
              </c:strCache>
            </c:strRef>
          </c:tx>
          <c:spPr>
            <a:ln w="15875">
              <a:solidFill>
                <a:srgbClr val="F8A124"/>
              </a:solidFill>
              <a:prstDash val="solid"/>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rozpočet-výdaje'!$H$32:$H$47</c:f>
              <c:numCache>
                <c:formatCode>0.0</c:formatCode>
                <c:ptCount val="16"/>
                <c:pt idx="0">
                  <c:v>29.280999999999999</c:v>
                </c:pt>
                <c:pt idx="1">
                  <c:v>31.251000000000005</c:v>
                </c:pt>
                <c:pt idx="2">
                  <c:v>33.647000000000006</c:v>
                </c:pt>
                <c:pt idx="3">
                  <c:v>31.934000000000005</c:v>
                </c:pt>
                <c:pt idx="4">
                  <c:v>32.001999999999995</c:v>
                </c:pt>
                <c:pt idx="5">
                  <c:v>31.84</c:v>
                </c:pt>
                <c:pt idx="6">
                  <c:v>29.076999999999998</c:v>
                </c:pt>
                <c:pt idx="7">
                  <c:v>26.950000000000003</c:v>
                </c:pt>
                <c:pt idx="8">
                  <c:v>23.5</c:v>
                </c:pt>
                <c:pt idx="9">
                  <c:v>22.14</c:v>
                </c:pt>
                <c:pt idx="10">
                  <c:v>25.509999999999998</c:v>
                </c:pt>
                <c:pt idx="11">
                  <c:v>25.499999999999996</c:v>
                </c:pt>
                <c:pt idx="12">
                  <c:v>29.889999999999997</c:v>
                </c:pt>
                <c:pt idx="13">
                  <c:v>30.75</c:v>
                </c:pt>
                <c:pt idx="14">
                  <c:v>27.947201055630007</c:v>
                </c:pt>
                <c:pt idx="15">
                  <c:v>35.609426507660004</c:v>
                </c:pt>
              </c:numCache>
            </c:numRef>
          </c:val>
          <c:smooth val="0"/>
          <c:extLst>
            <c:ext xmlns:c16="http://schemas.microsoft.com/office/drawing/2014/chart" uri="{C3380CC4-5D6E-409C-BE32-E72D297353CC}">
              <c16:uniqueId val="{00000006-3EB3-48D6-B643-9C94F82029EC}"/>
            </c:ext>
          </c:extLst>
        </c:ser>
        <c:ser>
          <c:idx val="5"/>
          <c:order val="7"/>
          <c:tx>
            <c:strRef>
              <c:f>'G2-Stání rozpočet-výdaje'!$I$31</c:f>
              <c:strCache>
                <c:ptCount val="1"/>
                <c:pt idx="0">
                  <c:v>State debt (net expenditures) ****</c:v>
                </c:pt>
              </c:strCache>
            </c:strRef>
          </c:tx>
          <c:spPr>
            <a:ln w="15875">
              <a:solidFill>
                <a:srgbClr val="BD1B25"/>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rozpočet-výdaje'!$I$32:$I$47</c:f>
              <c:numCache>
                <c:formatCode>0.0</c:formatCode>
                <c:ptCount val="16"/>
                <c:pt idx="0">
                  <c:v>14.81</c:v>
                </c:pt>
                <c:pt idx="1">
                  <c:v>17.16</c:v>
                </c:pt>
                <c:pt idx="2">
                  <c:v>17.05</c:v>
                </c:pt>
                <c:pt idx="3">
                  <c:v>16.5</c:v>
                </c:pt>
                <c:pt idx="4">
                  <c:v>25.770000000000003</c:v>
                </c:pt>
                <c:pt idx="5">
                  <c:v>21.27</c:v>
                </c:pt>
                <c:pt idx="6">
                  <c:v>25.81</c:v>
                </c:pt>
                <c:pt idx="7">
                  <c:v>26.419999999999998</c:v>
                </c:pt>
                <c:pt idx="8">
                  <c:v>30.400000000000002</c:v>
                </c:pt>
                <c:pt idx="9">
                  <c:v>26.86</c:v>
                </c:pt>
                <c:pt idx="10">
                  <c:v>23.55</c:v>
                </c:pt>
                <c:pt idx="11">
                  <c:v>23.76</c:v>
                </c:pt>
                <c:pt idx="12">
                  <c:v>18.739999999999998</c:v>
                </c:pt>
                <c:pt idx="13">
                  <c:v>20.11</c:v>
                </c:pt>
                <c:pt idx="14">
                  <c:v>16.91954772339</c:v>
                </c:pt>
                <c:pt idx="15">
                  <c:v>12.518656263610001</c:v>
                </c:pt>
              </c:numCache>
            </c:numRef>
          </c:val>
          <c:smooth val="0"/>
          <c:extLst>
            <c:ext xmlns:c16="http://schemas.microsoft.com/office/drawing/2014/chart" uri="{C3380CC4-5D6E-409C-BE32-E72D297353CC}">
              <c16:uniqueId val="{00000007-3EB3-48D6-B643-9C94F82029EC}"/>
            </c:ext>
          </c:extLst>
        </c:ser>
        <c:ser>
          <c:idx val="8"/>
          <c:order val="8"/>
          <c:tx>
            <c:strRef>
              <c:f>'G2-Stání rozpočet-výdaje'!$J$31</c:f>
              <c:strCache>
                <c:ptCount val="1"/>
                <c:pt idx="0">
                  <c:v>Capital expenditures, in total</c:v>
                </c:pt>
              </c:strCache>
            </c:strRef>
          </c:tx>
          <c:spPr>
            <a:ln w="15875">
              <a:solidFill>
                <a:schemeClr val="tx1">
                  <a:lumMod val="95000"/>
                  <a:lumOff val="5000"/>
                </a:schemeClr>
              </a:solidFill>
              <a:prstDash val="sysDash"/>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rozpočet-výdaje'!$J$32:$J$47</c:f>
              <c:numCache>
                <c:formatCode>0.0</c:formatCode>
                <c:ptCount val="16"/>
                <c:pt idx="0">
                  <c:v>20.45</c:v>
                </c:pt>
                <c:pt idx="1">
                  <c:v>23.643000000000001</c:v>
                </c:pt>
                <c:pt idx="2">
                  <c:v>26.771000000000001</c:v>
                </c:pt>
                <c:pt idx="3">
                  <c:v>53.505000000000003</c:v>
                </c:pt>
                <c:pt idx="4">
                  <c:v>51.149000000000001</c:v>
                </c:pt>
                <c:pt idx="5">
                  <c:v>55.872999999999998</c:v>
                </c:pt>
                <c:pt idx="6">
                  <c:v>47.277000000000001</c:v>
                </c:pt>
                <c:pt idx="7">
                  <c:v>41.93</c:v>
                </c:pt>
                <c:pt idx="8">
                  <c:v>36.779000000000003</c:v>
                </c:pt>
                <c:pt idx="9">
                  <c:v>34.893999999999998</c:v>
                </c:pt>
                <c:pt idx="10">
                  <c:v>54.02</c:v>
                </c:pt>
                <c:pt idx="11">
                  <c:v>39.090000000000003</c:v>
                </c:pt>
                <c:pt idx="12">
                  <c:v>20.309999999999999</c:v>
                </c:pt>
                <c:pt idx="13">
                  <c:v>33.25</c:v>
                </c:pt>
                <c:pt idx="14">
                  <c:v>45.820505926130004</c:v>
                </c:pt>
                <c:pt idx="15">
                  <c:v>64.502125553789995</c:v>
                </c:pt>
              </c:numCache>
            </c:numRef>
          </c:val>
          <c:smooth val="0"/>
          <c:extLst>
            <c:ext xmlns:c16="http://schemas.microsoft.com/office/drawing/2014/chart" uri="{C3380CC4-5D6E-409C-BE32-E72D297353CC}">
              <c16:uniqueId val="{00000008-3EB3-48D6-B643-9C94F82029EC}"/>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85"/>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Other expenditures (in CZK bn)</a:t>
                </a:r>
                <a:endParaRPr lang="cs-CZ" sz="700" b="0">
                  <a:effectLst/>
                </a:endParaRPr>
              </a:p>
            </c:rich>
          </c:tx>
          <c:layout>
            <c:manualLayout>
              <c:xMode val="edge"/>
              <c:yMode val="edge"/>
              <c:x val="0"/>
              <c:y val="0.22613499913827934"/>
            </c:manualLayout>
          </c:layout>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85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a:effectLst/>
                  </a:rPr>
                  <a:t>Current expenditures </a:t>
                </a:r>
                <a:r>
                  <a:rPr lang="cs-CZ" sz="700" b="0" i="1">
                    <a:effectLst/>
                  </a:rPr>
                  <a:t>, total</a:t>
                </a:r>
                <a:r>
                  <a:rPr lang="cs-CZ" sz="700" b="0" i="1" baseline="0">
                    <a:effectLst/>
                  </a:rPr>
                  <a:t> </a:t>
                </a:r>
                <a:r>
                  <a:rPr lang="en-GB" sz="700" b="0" i="1">
                    <a:effectLst/>
                  </a:rPr>
                  <a:t>(in CZK bn)</a:t>
                </a:r>
                <a:endParaRPr lang="cs-CZ" sz="700" b="0">
                  <a:effectLst/>
                </a:endParaRPr>
              </a:p>
            </c:rich>
          </c:tx>
          <c:layout>
            <c:manualLayout>
              <c:xMode val="edge"/>
              <c:yMode val="edge"/>
              <c:x val="0.97053250319037876"/>
              <c:y val="0.18723657086670256"/>
            </c:manualLayout>
          </c:layout>
          <c:overlay val="0"/>
        </c:title>
        <c:numFmt formatCode="0" sourceLinked="0"/>
        <c:majorTickMark val="out"/>
        <c:minorTickMark val="none"/>
        <c:tickLblPos val="nextTo"/>
        <c:spPr>
          <a:ln w="6350">
            <a:solidFill>
              <a:schemeClr val="tx1"/>
            </a:solidFill>
          </a:ln>
        </c:spPr>
        <c:crossAx val="72836608"/>
        <c:crosses val="max"/>
        <c:crossBetween val="between"/>
        <c:majorUnit val="5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3.9731107349700291E-2"/>
          <c:y val="0.81923680838739421"/>
          <c:w val="0.93147250427561701"/>
          <c:h val="0.17717936606300658"/>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0.84956</cdr:x>
      <cdr:y>0.66448</cdr:y>
    </cdr:from>
    <cdr:to>
      <cdr:x>0.91536</cdr:x>
      <cdr:y>0.69507</cdr:y>
    </cdr:to>
    <cdr:sp macro="" textlink="">
      <cdr:nvSpPr>
        <cdr:cNvPr id="2" name="Kosoúhelník 1"/>
        <cdr:cNvSpPr/>
      </cdr:nvSpPr>
      <cdr:spPr bwMode="auto">
        <a:xfrm xmlns:a="http://schemas.openxmlformats.org/drawingml/2006/main" rot="19738280">
          <a:off x="4035720" y="2459530"/>
          <a:ext cx="312572" cy="113227"/>
        </a:xfrm>
        <a:prstGeom xmlns:a="http://schemas.openxmlformats.org/drawingml/2006/main" prst="parallelogram">
          <a:avLst/>
        </a:prstGeom>
        <a:solidFill xmlns:a="http://schemas.openxmlformats.org/drawingml/2006/main">
          <a:srgbClr val="FFFFFF"/>
        </a:solidFill>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0.8524</cdr:x>
      <cdr:y>0.70815</cdr:y>
    </cdr:from>
    <cdr:to>
      <cdr:x>0.88659</cdr:x>
      <cdr:y>0.72726</cdr:y>
    </cdr:to>
    <cdr:cxnSp macro="">
      <cdr:nvCxnSpPr>
        <cdr:cNvPr id="4" name="Přímá spojnice se šipkou 3"/>
        <cdr:cNvCxnSpPr/>
      </cdr:nvCxnSpPr>
      <cdr:spPr bwMode="auto">
        <a:xfrm xmlns:a="http://schemas.openxmlformats.org/drawingml/2006/main">
          <a:off x="4049206" y="2621168"/>
          <a:ext cx="162409" cy="70747"/>
        </a:xfrm>
        <a:prstGeom xmlns:a="http://schemas.openxmlformats.org/drawingml/2006/main" prst="straightConnector1">
          <a:avLst/>
        </a:prstGeom>
        <a:solidFill xmlns:a="http://schemas.openxmlformats.org/drawingml/2006/main">
          <a:srgbClr val="FFFFFF"/>
        </a:solidFill>
        <a:ln xmlns:a="http://schemas.openxmlformats.org/drawingml/2006/main" w="6350" cap="flat" cmpd="sng" algn="ctr">
          <a:solidFill>
            <a:schemeClr val="bg1">
              <a:lumMod val="50000"/>
            </a:schemeClr>
          </a:solidFill>
          <a:prstDash val="solid"/>
          <a:round/>
          <a:headEnd type="none" w="med" len="med"/>
          <a:tailEnd type="triangle" w="sm" len="med"/>
        </a:ln>
        <a:effectLst xmlns:a="http://schemas.openxmlformats.org/drawingml/2006/main"/>
      </cdr:spPr>
    </cdr:cxnSp>
  </cdr:relSizeAnchor>
  <cdr:relSizeAnchor xmlns:cdr="http://schemas.openxmlformats.org/drawingml/2006/chartDrawing">
    <cdr:from>
      <cdr:x>0.85725</cdr:x>
      <cdr:y>0.75632</cdr:y>
    </cdr:from>
    <cdr:to>
      <cdr:x>0.89947</cdr:x>
      <cdr:y>0.76078</cdr:y>
    </cdr:to>
    <cdr:cxnSp macro="">
      <cdr:nvCxnSpPr>
        <cdr:cNvPr id="5" name="Přímá spojnice se šipkou 4"/>
        <cdr:cNvCxnSpPr/>
      </cdr:nvCxnSpPr>
      <cdr:spPr bwMode="auto">
        <a:xfrm xmlns:a="http://schemas.openxmlformats.org/drawingml/2006/main">
          <a:off x="4072219" y="2799486"/>
          <a:ext cx="200560" cy="16509"/>
        </a:xfrm>
        <a:prstGeom xmlns:a="http://schemas.openxmlformats.org/drawingml/2006/main" prst="straightConnector1">
          <a:avLst/>
        </a:prstGeom>
        <a:solidFill xmlns:a="http://schemas.openxmlformats.org/drawingml/2006/main">
          <a:srgbClr val="FFFFFF"/>
        </a:solidFill>
        <a:ln xmlns:a="http://schemas.openxmlformats.org/drawingml/2006/main" w="6350" cap="flat" cmpd="sng" algn="ctr">
          <a:solidFill>
            <a:schemeClr val="bg1">
              <a:lumMod val="50000"/>
            </a:schemeClr>
          </a:solidFill>
          <a:prstDash val="solid"/>
          <a:round/>
          <a:headEnd type="none" w="med" len="med"/>
          <a:tailEnd type="triangle" w="sm" len="med"/>
        </a:ln>
        <a:effectLst xmlns:a="http://schemas.openxmlformats.org/drawingml/2006/main"/>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3532-40F5-421A-A500-7913907F1A76}">
  <ds:schemaRefs>
    <ds:schemaRef ds:uri="http://schemas.openxmlformats.org/officeDocument/2006/bibliography"/>
  </ds:schemaRefs>
</ds:datastoreItem>
</file>

<file path=customXml/itemProps2.xml><?xml version="1.0" encoding="utf-8"?>
<ds:datastoreItem xmlns:ds="http://schemas.openxmlformats.org/officeDocument/2006/customXml" ds:itemID="{439D564E-BC8D-4332-917F-5226834C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5</Pages>
  <Words>2324</Words>
  <Characters>13716</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16008</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Mgr. Karolína Zábojníková</cp:lastModifiedBy>
  <cp:revision>3</cp:revision>
  <cp:lastPrinted>2019-04-08T10:52:00Z</cp:lastPrinted>
  <dcterms:created xsi:type="dcterms:W3CDTF">2020-10-13T05:41:00Z</dcterms:created>
  <dcterms:modified xsi:type="dcterms:W3CDTF">2020-10-13T05:55:00Z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a92781-1fcb-4da3-a1a2-e534c28a25f3_Enabled">
    <vt:lpwstr>true</vt:lpwstr>
  </property>
  <property fmtid="{D5CDD505-2E9C-101B-9397-08002B2CF9AE}" pid="3" name="MSIP_Label_faa92781-1fcb-4da3-a1a2-e534c28a25f3_SetDate">
    <vt:lpwstr>2020-09-18T12:31:27Z</vt:lpwstr>
  </property>
  <property fmtid="{D5CDD505-2E9C-101B-9397-08002B2CF9AE}" pid="4" name="MSIP_Label_faa92781-1fcb-4da3-a1a2-e534c28a25f3_Method">
    <vt:lpwstr>Standard</vt:lpwstr>
  </property>
  <property fmtid="{D5CDD505-2E9C-101B-9397-08002B2CF9AE}" pid="5" name="MSIP_Label_faa92781-1fcb-4da3-a1a2-e534c28a25f3_Name">
    <vt:lpwstr>in UniCredit Group - no visual markings2</vt:lpwstr>
  </property>
  <property fmtid="{D5CDD505-2E9C-101B-9397-08002B2CF9AE}" pid="6" name="MSIP_Label_faa92781-1fcb-4da3-a1a2-e534c28a25f3_SiteId">
    <vt:lpwstr>2cc49ce9-66a1-41ac-a96b-bdc54247696a</vt:lpwstr>
  </property>
  <property fmtid="{D5CDD505-2E9C-101B-9397-08002B2CF9AE}" pid="7" name="MSIP_Label_faa92781-1fcb-4da3-a1a2-e534c28a25f3_ActionId">
    <vt:lpwstr>54eb53c3-c85e-4f75-ab17-f26ab2ee0a14</vt:lpwstr>
  </property>
  <property fmtid="{D5CDD505-2E9C-101B-9397-08002B2CF9AE}" pid="8" name="MSIP_Label_faa92781-1fcb-4da3-a1a2-e534c28a25f3_ContentBits">
    <vt:lpwstr>0</vt:lpwstr>
  </property>
</Properties>
</file>