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B68CB" w:rsidRDefault="003B68CB" w:rsidP="0051354C">
      <w:pPr>
        <w:rPr>
          <w:rFonts w:cs="Arial"/>
          <w:sz w:val="20"/>
          <w:szCs w:val="20"/>
        </w:rPr>
      </w:pPr>
    </w:p>
    <w:p w:rsidR="0051354C" w:rsidRPr="00FE2C46" w:rsidRDefault="0051354C" w:rsidP="003C5316">
      <w:pPr>
        <w:pStyle w:val="Normln-web"/>
        <w:numPr>
          <w:ilvl w:val="0"/>
          <w:numId w:val="12"/>
        </w:numPr>
        <w:spacing w:line="276" w:lineRule="auto"/>
        <w:ind w:left="851" w:hanging="851"/>
        <w:jc w:val="left"/>
        <w:rPr>
          <w:b/>
        </w:rPr>
      </w:pPr>
      <w:bookmarkStart w:id="0" w:name="_Toc188932502"/>
      <w:r w:rsidRPr="00FE2C46">
        <w:rPr>
          <w:b/>
        </w:rPr>
        <w:t>Osoby bydlící v bytech</w:t>
      </w:r>
    </w:p>
    <w:p w:rsidR="001C15A1" w:rsidRDefault="0051354C" w:rsidP="00171994">
      <w:pPr>
        <w:pStyle w:val="Nadpis1a"/>
        <w:tabs>
          <w:tab w:val="left" w:pos="3119"/>
        </w:tabs>
        <w:spacing w:line="276" w:lineRule="auto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V bytech bydlelo k </w:t>
      </w:r>
      <w:r w:rsidR="008463AC">
        <w:rPr>
          <w:b w:val="0"/>
          <w:i w:val="0"/>
          <w:sz w:val="20"/>
          <w:szCs w:val="20"/>
        </w:rPr>
        <w:t>26. 3. 2011</w:t>
      </w:r>
      <w:r>
        <w:rPr>
          <w:b w:val="0"/>
          <w:i w:val="0"/>
          <w:sz w:val="20"/>
          <w:szCs w:val="20"/>
        </w:rPr>
        <w:t xml:space="preserve"> celkem 10 144 961 osob, tedy 97,2 % obyvatel</w:t>
      </w:r>
      <w:r w:rsidR="00C16D7E">
        <w:rPr>
          <w:b w:val="0"/>
          <w:i w:val="0"/>
          <w:sz w:val="20"/>
          <w:szCs w:val="20"/>
        </w:rPr>
        <w:t xml:space="preserve"> s obvyklým pobytem</w:t>
      </w:r>
      <w:r>
        <w:rPr>
          <w:b w:val="0"/>
          <w:i w:val="0"/>
          <w:sz w:val="20"/>
          <w:szCs w:val="20"/>
        </w:rPr>
        <w:t>. Z porovnání se sčítáním 2001 v absolutním vyjádření počet osob v bytech vzrostl o necelých 44 tisíc osob, v relativním vyjádření (podíl na celkovém počtu obyvatel) poklesl o 1,5 procentního bodu. </w:t>
      </w:r>
      <w:r w:rsidR="001C15A1">
        <w:rPr>
          <w:b w:val="0"/>
          <w:i w:val="0"/>
          <w:sz w:val="20"/>
          <w:szCs w:val="20"/>
        </w:rPr>
        <w:t xml:space="preserve"> Zvýšení absolutních počtů osob bydlících v bytě je logické, protože jde o hlavní způsob bydlení</w:t>
      </w:r>
      <w:r w:rsidR="008A4180">
        <w:rPr>
          <w:b w:val="0"/>
          <w:i w:val="0"/>
          <w:sz w:val="20"/>
          <w:szCs w:val="20"/>
        </w:rPr>
        <w:t xml:space="preserve"> a </w:t>
      </w:r>
      <w:r w:rsidR="00DB2853">
        <w:rPr>
          <w:b w:val="0"/>
          <w:i w:val="0"/>
          <w:sz w:val="20"/>
          <w:szCs w:val="20"/>
        </w:rPr>
        <w:t>je v souladu</w:t>
      </w:r>
      <w:r w:rsidR="008A4180">
        <w:rPr>
          <w:b w:val="0"/>
          <w:i w:val="0"/>
          <w:sz w:val="20"/>
          <w:szCs w:val="20"/>
        </w:rPr>
        <w:t xml:space="preserve"> se zvýšením počtu obydlených bytů</w:t>
      </w:r>
      <w:r w:rsidR="001C15A1">
        <w:rPr>
          <w:b w:val="0"/>
          <w:i w:val="0"/>
          <w:sz w:val="20"/>
          <w:szCs w:val="20"/>
        </w:rPr>
        <w:t xml:space="preserve">. Pokles podílu osob bydlících v bytech byl na úkor růstu podílu osob v zařízeních. Z hlediska </w:t>
      </w:r>
      <w:r w:rsidR="002D3629">
        <w:rPr>
          <w:b w:val="0"/>
          <w:i w:val="0"/>
          <w:sz w:val="20"/>
          <w:szCs w:val="20"/>
        </w:rPr>
        <w:t xml:space="preserve">celkových </w:t>
      </w:r>
      <w:r w:rsidR="001C15A1">
        <w:rPr>
          <w:b w:val="0"/>
          <w:i w:val="0"/>
          <w:sz w:val="20"/>
          <w:szCs w:val="20"/>
        </w:rPr>
        <w:t xml:space="preserve">proporcí nebyl ale tento vývoj pro </w:t>
      </w:r>
      <w:r w:rsidR="002D3629">
        <w:rPr>
          <w:b w:val="0"/>
          <w:i w:val="0"/>
          <w:sz w:val="20"/>
          <w:szCs w:val="20"/>
        </w:rPr>
        <w:t>úhrnné</w:t>
      </w:r>
      <w:r w:rsidR="001C15A1">
        <w:rPr>
          <w:b w:val="0"/>
          <w:i w:val="0"/>
          <w:sz w:val="20"/>
          <w:szCs w:val="20"/>
        </w:rPr>
        <w:t xml:space="preserve"> hodnoty způsobu bydlení osob </w:t>
      </w:r>
      <w:r w:rsidR="00C16D7E">
        <w:rPr>
          <w:b w:val="0"/>
          <w:i w:val="0"/>
          <w:sz w:val="20"/>
          <w:szCs w:val="20"/>
        </w:rPr>
        <w:t xml:space="preserve">nikterak </w:t>
      </w:r>
      <w:r w:rsidR="001C15A1">
        <w:rPr>
          <w:b w:val="0"/>
          <w:i w:val="0"/>
          <w:sz w:val="20"/>
          <w:szCs w:val="20"/>
        </w:rPr>
        <w:t xml:space="preserve">zásadní. </w:t>
      </w:r>
    </w:p>
    <w:tbl>
      <w:tblPr>
        <w:tblW w:w="8670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3260"/>
        <w:gridCol w:w="1134"/>
        <w:gridCol w:w="591"/>
        <w:gridCol w:w="1134"/>
        <w:gridCol w:w="708"/>
        <w:gridCol w:w="1134"/>
        <w:gridCol w:w="316"/>
        <w:gridCol w:w="393"/>
      </w:tblGrid>
      <w:tr w:rsidR="00760C72" w:rsidRPr="00515740" w:rsidTr="00760C72">
        <w:trPr>
          <w:trHeight w:val="300"/>
        </w:trPr>
        <w:tc>
          <w:tcPr>
            <w:tcW w:w="8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0C72" w:rsidRPr="00515740" w:rsidRDefault="00760C72" w:rsidP="00397E72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Tab. č. 5 </w:t>
            </w:r>
            <w:r w:rsidRPr="00515740"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>Osoby bydlící v bytech podle druhu domu v letech 1991 - 2011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C72" w:rsidRPr="00515740" w:rsidRDefault="00760C7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Druh domu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Osoby v bytech celkem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10 238 057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10 101 302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10 144 961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rodinné domy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4 450 763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4 670 854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46,2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5 033 359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49,1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bytové domy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5 708 289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55,8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5 341 975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4 999 727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48,7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ostatní budovy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79 005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88 473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111 875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2,2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v tom: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zařízení pro seniory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1 620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2 678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12 907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0,1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ubytovny a svobodárny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6 684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2 075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4 585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provozní budovy s byty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56 974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74 292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82 498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0,8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obecní úřady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C570F4" w:rsidP="00C570F4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zařízení pro krátkodobé </w:t>
            </w:r>
            <w:r w:rsidR="002D2B6E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ubytování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3 762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4 466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5 478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0,1</w:t>
            </w:r>
          </w:p>
        </w:tc>
      </w:tr>
      <w:tr w:rsidR="00A13732" w:rsidRPr="00515740" w:rsidTr="00760C72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9 965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4 962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3 994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732" w:rsidRPr="00515740" w:rsidRDefault="00A13732" w:rsidP="007962B8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515740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1,1</w:t>
            </w:r>
          </w:p>
        </w:tc>
      </w:tr>
    </w:tbl>
    <w:p w:rsidR="00E955B5" w:rsidRDefault="00E955B5" w:rsidP="0001649E">
      <w:pPr>
        <w:pStyle w:val="Normln-web"/>
        <w:spacing w:after="120" w:line="276" w:lineRule="auto"/>
        <w:rPr>
          <w:sz w:val="20"/>
          <w:szCs w:val="20"/>
        </w:rPr>
      </w:pPr>
    </w:p>
    <w:p w:rsidR="0001649E" w:rsidRDefault="0051354C" w:rsidP="0001649E">
      <w:pPr>
        <w:pStyle w:val="Normln-web"/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Z údajů sčítání </w:t>
      </w:r>
      <w:r w:rsidR="00957985">
        <w:rPr>
          <w:sz w:val="20"/>
          <w:szCs w:val="20"/>
        </w:rPr>
        <w:t>z období 1991 - 2011</w:t>
      </w:r>
      <w:r>
        <w:rPr>
          <w:sz w:val="20"/>
          <w:szCs w:val="20"/>
        </w:rPr>
        <w:t xml:space="preserve"> vyplývá, že se postupně</w:t>
      </w:r>
      <w:r w:rsidRPr="005324B0">
        <w:rPr>
          <w:sz w:val="20"/>
          <w:szCs w:val="20"/>
        </w:rPr>
        <w:t xml:space="preserve"> měnila struktura osob v bytech podle </w:t>
      </w:r>
      <w:r w:rsidRPr="00840075">
        <w:rPr>
          <w:b/>
          <w:sz w:val="20"/>
          <w:szCs w:val="20"/>
        </w:rPr>
        <w:t>druhu domu,</w:t>
      </w:r>
      <w:r>
        <w:rPr>
          <w:sz w:val="20"/>
          <w:szCs w:val="20"/>
        </w:rPr>
        <w:t xml:space="preserve"> a to v</w:t>
      </w:r>
      <w:r w:rsidR="00957985">
        <w:rPr>
          <w:sz w:val="20"/>
          <w:szCs w:val="20"/>
        </w:rPr>
        <w:t xml:space="preserve"> přímé </w:t>
      </w:r>
      <w:r>
        <w:rPr>
          <w:sz w:val="20"/>
          <w:szCs w:val="20"/>
        </w:rPr>
        <w:t>závislosti na vývoji domovního fondu</w:t>
      </w:r>
      <w:r w:rsidRPr="005324B0">
        <w:rPr>
          <w:sz w:val="20"/>
          <w:szCs w:val="20"/>
        </w:rPr>
        <w:t>.</w:t>
      </w:r>
      <w:r>
        <w:rPr>
          <w:sz w:val="20"/>
          <w:szCs w:val="20"/>
        </w:rPr>
        <w:t xml:space="preserve"> Dlouhodobě se zvyšoval podíl osob bydlících v rodinných domech</w:t>
      </w:r>
      <w:r w:rsidR="00957985">
        <w:rPr>
          <w:sz w:val="20"/>
          <w:szCs w:val="20"/>
        </w:rPr>
        <w:t>; z</w:t>
      </w:r>
      <w:r>
        <w:rPr>
          <w:sz w:val="20"/>
          <w:szCs w:val="20"/>
        </w:rPr>
        <w:t xml:space="preserve">a dvacet let posílil o 5,6 bodu na 49 %. Vyrovnaly se tak téměř podíly osob v bytech v rodinných a bytových domech (v roce 1991 byl mezi těmito podíly rozdíl více než 12 bodů ve prospěch bytových domů). </w:t>
      </w:r>
      <w:r w:rsidR="0001649E">
        <w:rPr>
          <w:sz w:val="20"/>
          <w:szCs w:val="20"/>
        </w:rPr>
        <w:tab/>
      </w:r>
      <w:r w:rsidR="0001649E">
        <w:rPr>
          <w:sz w:val="20"/>
          <w:szCs w:val="20"/>
        </w:rPr>
        <w:tab/>
      </w:r>
    </w:p>
    <w:p w:rsidR="0001649E" w:rsidRDefault="00AB46F5" w:rsidP="0001649E">
      <w:pPr>
        <w:pStyle w:val="Normln-web"/>
        <w:spacing w:before="0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>Graf</w:t>
      </w:r>
      <w:r w:rsidR="0001649E" w:rsidRPr="0001649E">
        <w:rPr>
          <w:b/>
          <w:sz w:val="20"/>
          <w:szCs w:val="20"/>
        </w:rPr>
        <w:t xml:space="preserve"> č. 2 </w:t>
      </w:r>
      <w:r w:rsidR="0001649E" w:rsidRPr="0001649E">
        <w:rPr>
          <w:b/>
          <w:bCs/>
          <w:sz w:val="20"/>
          <w:szCs w:val="20"/>
        </w:rPr>
        <w:t xml:space="preserve">Průměrný počet osob na 1 byt podle druhu </w:t>
      </w:r>
    </w:p>
    <w:p w:rsidR="0001649E" w:rsidRPr="0001649E" w:rsidRDefault="0001649E" w:rsidP="0001649E">
      <w:pPr>
        <w:pStyle w:val="Normln-web"/>
        <w:spacing w:before="0"/>
        <w:rPr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Pr="0001649E">
        <w:rPr>
          <w:b/>
          <w:bCs/>
          <w:sz w:val="20"/>
          <w:szCs w:val="20"/>
        </w:rPr>
        <w:t>omu</w:t>
      </w:r>
      <w:r>
        <w:rPr>
          <w:b/>
          <w:bCs/>
          <w:sz w:val="20"/>
          <w:szCs w:val="20"/>
        </w:rPr>
        <w:t xml:space="preserve"> v letech 1991 - 2011</w:t>
      </w:r>
    </w:p>
    <w:p w:rsidR="0051354C" w:rsidRDefault="00E955B5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drawing>
          <wp:anchor distT="0" distB="71755" distL="114300" distR="114300" simplePos="0" relativeHeight="25165824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52705</wp:posOffset>
            </wp:positionV>
            <wp:extent cx="3347085" cy="2124075"/>
            <wp:effectExtent l="19050" t="0" r="24765" b="0"/>
            <wp:wrapSquare wrapText="bothSides"/>
            <wp:docPr id="14" name="obrázek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51354C">
        <w:rPr>
          <w:sz w:val="20"/>
          <w:szCs w:val="20"/>
        </w:rPr>
        <w:t>Zatímco počty osob v rodinných domech dlouhodobě rostly a tempa růstu se zrychlovala, v případě bytových domů se počty osob v nich bydlících dlouhodobě snižovaly. Tento trend nebyl v souladu s vývojem počtu bytů, který ve stejném období zaznamenal růst jak u rodinných tak u bytových domů, byť s odlišným tempem</w:t>
      </w:r>
      <w:r w:rsidR="00CD63ED">
        <w:rPr>
          <w:sz w:val="20"/>
          <w:szCs w:val="20"/>
        </w:rPr>
        <w:t xml:space="preserve">. </w:t>
      </w:r>
      <w:r w:rsidR="0051354C">
        <w:rPr>
          <w:sz w:val="20"/>
          <w:szCs w:val="20"/>
        </w:rPr>
        <w:t xml:space="preserve"> </w:t>
      </w:r>
      <w:r w:rsidR="00CD63ED">
        <w:rPr>
          <w:sz w:val="20"/>
          <w:szCs w:val="20"/>
        </w:rPr>
        <w:t>N</w:t>
      </w:r>
      <w:r w:rsidR="0051354C">
        <w:rPr>
          <w:sz w:val="20"/>
          <w:szCs w:val="20"/>
        </w:rPr>
        <w:t>árůst počtu bytů v rodinných domech byl několikanásobně</w:t>
      </w:r>
      <w:r w:rsidR="00CD63ED">
        <w:rPr>
          <w:sz w:val="20"/>
          <w:szCs w:val="20"/>
        </w:rPr>
        <w:t xml:space="preserve"> </w:t>
      </w:r>
      <w:r w:rsidR="0051354C">
        <w:rPr>
          <w:sz w:val="20"/>
          <w:szCs w:val="20"/>
        </w:rPr>
        <w:t>rychlejší.</w:t>
      </w:r>
      <w:r w:rsidR="008A4180">
        <w:rPr>
          <w:sz w:val="20"/>
          <w:szCs w:val="20"/>
        </w:rPr>
        <w:t xml:space="preserve"> </w:t>
      </w:r>
      <w:r w:rsidR="009D0018">
        <w:rPr>
          <w:sz w:val="20"/>
          <w:szCs w:val="20"/>
        </w:rPr>
        <w:t xml:space="preserve">Protikladné trendy vývoje počtu bytů a osob v nich bydlících znamenaly v případě bytových </w:t>
      </w:r>
      <w:r w:rsidR="009D0018">
        <w:rPr>
          <w:sz w:val="20"/>
          <w:szCs w:val="20"/>
        </w:rPr>
        <w:lastRenderedPageBreak/>
        <w:t xml:space="preserve">domů snižování </w:t>
      </w:r>
      <w:r w:rsidR="008A4180">
        <w:rPr>
          <w:sz w:val="20"/>
          <w:szCs w:val="20"/>
        </w:rPr>
        <w:t>průměrn</w:t>
      </w:r>
      <w:r w:rsidR="009D0018">
        <w:rPr>
          <w:sz w:val="20"/>
          <w:szCs w:val="20"/>
        </w:rPr>
        <w:t>ého</w:t>
      </w:r>
      <w:r w:rsidR="008A4180">
        <w:rPr>
          <w:sz w:val="20"/>
          <w:szCs w:val="20"/>
        </w:rPr>
        <w:t xml:space="preserve"> počt</w:t>
      </w:r>
      <w:r w:rsidR="009D0018">
        <w:rPr>
          <w:sz w:val="20"/>
          <w:szCs w:val="20"/>
        </w:rPr>
        <w:t>u</w:t>
      </w:r>
      <w:r w:rsidR="008A4180">
        <w:rPr>
          <w:sz w:val="20"/>
          <w:szCs w:val="20"/>
        </w:rPr>
        <w:t xml:space="preserve"> osob na jeden byt</w:t>
      </w:r>
      <w:r w:rsidR="009D0018">
        <w:rPr>
          <w:sz w:val="20"/>
          <w:szCs w:val="20"/>
        </w:rPr>
        <w:t xml:space="preserve"> </w:t>
      </w:r>
      <w:r w:rsidR="00DC1985">
        <w:rPr>
          <w:sz w:val="20"/>
          <w:szCs w:val="20"/>
        </w:rPr>
        <w:t>významněji než u rodinných domů, kde bylo toto snížení mírnější.</w:t>
      </w:r>
      <w:r w:rsidR="00171994">
        <w:rPr>
          <w:sz w:val="20"/>
          <w:szCs w:val="20"/>
        </w:rPr>
        <w:t xml:space="preserve"> </w:t>
      </w:r>
    </w:p>
    <w:p w:rsidR="00AC2069" w:rsidRDefault="00AC2069" w:rsidP="00AC2069">
      <w:pPr>
        <w:pStyle w:val="Normln-web"/>
        <w:spacing w:before="0" w:line="276" w:lineRule="auto"/>
        <w:rPr>
          <w:sz w:val="20"/>
          <w:szCs w:val="20"/>
        </w:rPr>
      </w:pPr>
    </w:p>
    <w:p w:rsidR="0051354C" w:rsidRDefault="00171994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Z pohledu </w:t>
      </w:r>
      <w:r w:rsidRPr="00840075">
        <w:rPr>
          <w:sz w:val="20"/>
          <w:szCs w:val="20"/>
        </w:rPr>
        <w:t>druhu domu</w:t>
      </w:r>
      <w:r>
        <w:rPr>
          <w:sz w:val="20"/>
          <w:szCs w:val="20"/>
        </w:rPr>
        <w:t xml:space="preserve"> nejvíce vzrostly</w:t>
      </w:r>
      <w:r w:rsidR="0051354C">
        <w:rPr>
          <w:sz w:val="20"/>
          <w:szCs w:val="20"/>
        </w:rPr>
        <w:t xml:space="preserve"> </w:t>
      </w:r>
      <w:r w:rsidR="001D5A67">
        <w:rPr>
          <w:sz w:val="20"/>
          <w:szCs w:val="20"/>
        </w:rPr>
        <w:t>počty osob bydlících v bytech v</w:t>
      </w:r>
      <w:r w:rsidR="0051354C">
        <w:rPr>
          <w:sz w:val="20"/>
          <w:szCs w:val="20"/>
        </w:rPr>
        <w:t xml:space="preserve"> ostatní</w:t>
      </w:r>
      <w:r w:rsidR="001D5A67">
        <w:rPr>
          <w:sz w:val="20"/>
          <w:szCs w:val="20"/>
        </w:rPr>
        <w:t>ch</w:t>
      </w:r>
      <w:r w:rsidR="0051354C">
        <w:rPr>
          <w:sz w:val="20"/>
          <w:szCs w:val="20"/>
        </w:rPr>
        <w:t xml:space="preserve"> budov</w:t>
      </w:r>
      <w:r w:rsidR="001D5A67">
        <w:rPr>
          <w:sz w:val="20"/>
          <w:szCs w:val="20"/>
        </w:rPr>
        <w:t>ách</w:t>
      </w:r>
      <w:r w:rsidR="0051354C">
        <w:rPr>
          <w:sz w:val="20"/>
          <w:szCs w:val="20"/>
        </w:rPr>
        <w:t xml:space="preserve"> s byty – </w:t>
      </w:r>
      <w:r w:rsidR="001D5A67">
        <w:rPr>
          <w:sz w:val="20"/>
          <w:szCs w:val="20"/>
        </w:rPr>
        <w:t>což  byly</w:t>
      </w:r>
      <w:r w:rsidR="0051354C">
        <w:rPr>
          <w:sz w:val="20"/>
          <w:szCs w:val="20"/>
        </w:rPr>
        <w:t xml:space="preserve"> různé provozní budovy, zařízení pro dlouhodobé či krátkodobé ubytování, objekty sloužící k jiným účelům než bydlení apod., ve kterých byl alespoň jeden byt. </w:t>
      </w:r>
    </w:p>
    <w:p w:rsidR="001D5A67" w:rsidRDefault="001D5A67" w:rsidP="0051354C">
      <w:pPr>
        <w:pStyle w:val="Normln-web"/>
        <w:rPr>
          <w:sz w:val="20"/>
          <w:szCs w:val="20"/>
        </w:rPr>
      </w:pPr>
    </w:p>
    <w:tbl>
      <w:tblPr>
        <w:tblW w:w="6793" w:type="dxa"/>
        <w:jc w:val="center"/>
        <w:tblInd w:w="-344" w:type="dxa"/>
        <w:tblCellMar>
          <w:left w:w="70" w:type="dxa"/>
          <w:right w:w="70" w:type="dxa"/>
        </w:tblCellMar>
        <w:tblLook w:val="04A0"/>
      </w:tblPr>
      <w:tblGrid>
        <w:gridCol w:w="3391"/>
        <w:gridCol w:w="1134"/>
        <w:gridCol w:w="1134"/>
        <w:gridCol w:w="1134"/>
      </w:tblGrid>
      <w:tr w:rsidR="00957985" w:rsidRPr="001B557E" w:rsidTr="001B557E">
        <w:trPr>
          <w:trHeight w:val="300"/>
          <w:jc w:val="center"/>
        </w:trPr>
        <w:tc>
          <w:tcPr>
            <w:tcW w:w="6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985" w:rsidRPr="001B557E" w:rsidRDefault="00760C72" w:rsidP="00760C72">
            <w:pPr>
              <w:keepNext/>
              <w:keepLines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Tab. č. 6  </w:t>
            </w:r>
            <w:r w:rsidR="00957985" w:rsidRPr="001B557E">
              <w:rPr>
                <w:rFonts w:cs="Arial"/>
                <w:b/>
                <w:color w:val="000000"/>
                <w:sz w:val="20"/>
                <w:szCs w:val="20"/>
              </w:rPr>
              <w:t>Indexy růstu počtu osob bydlících v bytech podle druhu domu v letech 1991 – 2011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Druh domu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CD63ED">
            <w:pPr>
              <w:keepNext/>
              <w:keepLines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Indexy růstu v %</w:t>
            </w:r>
            <w:r w:rsidR="00AB094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2001/1991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2011/2001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2011/1991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Osoby v bytech celkem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98,7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99,1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rodinné domy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107,8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113,1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bytové domy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93,6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93,6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87,6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ostatní budovy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112,0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126,5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141,6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100" w:firstLine="18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v tom: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 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zařízení pro seniory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165,3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796,7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ubytovny a svobodárny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221,0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68,6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provozní budovy s byty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130,4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144,8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 xml:space="preserve">zařízení pro krátkodobé </w:t>
            </w:r>
            <w:r w:rsidR="001B557E" w:rsidRPr="001B557E">
              <w:rPr>
                <w:rFonts w:cs="Arial"/>
                <w:color w:val="000000"/>
                <w:sz w:val="18"/>
                <w:szCs w:val="18"/>
              </w:rPr>
              <w:t xml:space="preserve">  u</w:t>
            </w:r>
            <w:r w:rsidRPr="001B557E">
              <w:rPr>
                <w:rFonts w:cs="Arial"/>
                <w:color w:val="000000"/>
                <w:sz w:val="18"/>
                <w:szCs w:val="18"/>
              </w:rPr>
              <w:t>bytování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118,7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122,7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145,6</w:t>
            </w:r>
          </w:p>
        </w:tc>
      </w:tr>
      <w:tr w:rsidR="00957985" w:rsidRPr="001B557E" w:rsidTr="001B557E">
        <w:trPr>
          <w:trHeight w:val="300"/>
          <w:jc w:val="center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B557E">
            <w:pPr>
              <w:keepNext/>
              <w:keepLines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ostatní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85" w:rsidRPr="001B557E" w:rsidRDefault="00957985" w:rsidP="00171994">
            <w:pPr>
              <w:keepNext/>
              <w:keepLines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B557E">
              <w:rPr>
                <w:rFonts w:cs="Arial"/>
                <w:color w:val="000000"/>
                <w:sz w:val="18"/>
                <w:szCs w:val="18"/>
              </w:rPr>
              <w:t>40,1</w:t>
            </w:r>
          </w:p>
        </w:tc>
      </w:tr>
    </w:tbl>
    <w:p w:rsidR="00957985" w:rsidRDefault="00957985" w:rsidP="0051354C">
      <w:pPr>
        <w:pStyle w:val="Normln-web"/>
        <w:rPr>
          <w:sz w:val="20"/>
          <w:szCs w:val="20"/>
        </w:rPr>
      </w:pPr>
    </w:p>
    <w:p w:rsidR="00AC2069" w:rsidRDefault="00171994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V rámci skupiny ostatních budov n</w:t>
      </w:r>
      <w:r w:rsidR="0051354C">
        <w:rPr>
          <w:sz w:val="20"/>
          <w:szCs w:val="20"/>
        </w:rPr>
        <w:t xml:space="preserve">ejdynamičtější vývoj zaznamenalo bydlení </w:t>
      </w:r>
      <w:r w:rsidR="00397E72">
        <w:rPr>
          <w:sz w:val="20"/>
          <w:szCs w:val="20"/>
        </w:rPr>
        <w:t xml:space="preserve">v zařízeních pro </w:t>
      </w:r>
      <w:r w:rsidR="0051354C">
        <w:rPr>
          <w:sz w:val="20"/>
          <w:szCs w:val="20"/>
        </w:rPr>
        <w:t xml:space="preserve">seniory; </w:t>
      </w:r>
      <w:r w:rsidR="00515740">
        <w:rPr>
          <w:sz w:val="20"/>
          <w:szCs w:val="20"/>
        </w:rPr>
        <w:t>počet osob v bytech v těchto budovách se za deset let od roku 2001 téměř zpětinásobil.</w:t>
      </w:r>
      <w:r w:rsidR="0051354C">
        <w:rPr>
          <w:sz w:val="20"/>
          <w:szCs w:val="20"/>
        </w:rPr>
        <w:t xml:space="preserve"> Počet domů s byty určených k bydlení seniorů (</w:t>
      </w:r>
      <w:r w:rsidR="002D2B6E">
        <w:rPr>
          <w:sz w:val="20"/>
          <w:szCs w:val="20"/>
        </w:rPr>
        <w:t>tzn.</w:t>
      </w:r>
      <w:r w:rsidR="0051354C">
        <w:rPr>
          <w:sz w:val="20"/>
          <w:szCs w:val="20"/>
        </w:rPr>
        <w:t xml:space="preserve"> s příslušnými službami) se od roku 1991 zvýšil ze 183 na 603, počet bytů v nich z 1 477 na 14 865 (z toho obydlených bytů z 1 143 na 10 333). Zvýšila se tak i váha bydlení pro seniory v počtu osob bydlících v</w:t>
      </w:r>
      <w:r w:rsidR="00813644">
        <w:rPr>
          <w:sz w:val="20"/>
          <w:szCs w:val="20"/>
        </w:rPr>
        <w:t xml:space="preserve"> bytech v </w:t>
      </w:r>
      <w:r w:rsidR="0051354C">
        <w:rPr>
          <w:sz w:val="20"/>
          <w:szCs w:val="20"/>
        </w:rPr>
        <w:t>tzv. ostatních budovách (tj. mimo rodinné a bytové domy)</w:t>
      </w:r>
      <w:r w:rsidR="00813644">
        <w:rPr>
          <w:sz w:val="20"/>
          <w:szCs w:val="20"/>
        </w:rPr>
        <w:t>, kdy se bydlení v bytech v objektech pro seniory stalo - na rozdíl od předchozích cenzů - druhým nejčastějším bydlením v této kategorii budov</w:t>
      </w:r>
      <w:r w:rsidR="0051354C">
        <w:rPr>
          <w:sz w:val="20"/>
          <w:szCs w:val="20"/>
        </w:rPr>
        <w:t>. Důvodem byl nejen zvyšující se počet osob v poproduktivním věku v populaci,</w:t>
      </w:r>
      <w:r w:rsidR="00813644">
        <w:rPr>
          <w:sz w:val="20"/>
          <w:szCs w:val="20"/>
        </w:rPr>
        <w:t xml:space="preserve"> </w:t>
      </w:r>
      <w:r w:rsidR="00D05629">
        <w:rPr>
          <w:sz w:val="20"/>
          <w:szCs w:val="20"/>
        </w:rPr>
        <w:t xml:space="preserve">poptávka po takovém způsobu bydlení a tedy </w:t>
      </w:r>
      <w:r w:rsidR="00813644">
        <w:rPr>
          <w:sz w:val="20"/>
          <w:szCs w:val="20"/>
        </w:rPr>
        <w:t>zvýšení počtu objektů pro bydlení seniorů,</w:t>
      </w:r>
      <w:r w:rsidR="0051354C">
        <w:rPr>
          <w:sz w:val="20"/>
          <w:szCs w:val="20"/>
        </w:rPr>
        <w:t xml:space="preserve"> ale</w:t>
      </w:r>
      <w:r w:rsidR="00515740">
        <w:rPr>
          <w:sz w:val="20"/>
          <w:szCs w:val="20"/>
        </w:rPr>
        <w:t xml:space="preserve"> částečně</w:t>
      </w:r>
      <w:r w:rsidR="0051354C">
        <w:rPr>
          <w:sz w:val="20"/>
          <w:szCs w:val="20"/>
        </w:rPr>
        <w:t xml:space="preserve"> i vliv metodické změny - </w:t>
      </w:r>
      <w:r w:rsidR="00515740">
        <w:rPr>
          <w:sz w:val="20"/>
          <w:szCs w:val="20"/>
        </w:rPr>
        <w:t xml:space="preserve">konceptu </w:t>
      </w:r>
      <w:r w:rsidR="0051354C">
        <w:rPr>
          <w:sz w:val="20"/>
          <w:szCs w:val="20"/>
        </w:rPr>
        <w:t>obvyklého pobytu</w:t>
      </w:r>
      <w:r w:rsidR="00813644">
        <w:rPr>
          <w:sz w:val="20"/>
          <w:szCs w:val="20"/>
        </w:rPr>
        <w:t xml:space="preserve">. V bytech v zařízeních pro seniory žilo v roce 2011 </w:t>
      </w:r>
      <w:r w:rsidR="00072F99">
        <w:rPr>
          <w:sz w:val="20"/>
          <w:szCs w:val="20"/>
        </w:rPr>
        <w:t xml:space="preserve">zhruba </w:t>
      </w:r>
      <w:r w:rsidR="00813644">
        <w:rPr>
          <w:sz w:val="20"/>
          <w:szCs w:val="20"/>
        </w:rPr>
        <w:t>90 % osob se shodnou adresou obvyklého a trvalého pobytu na adrese. Při zohlednění</w:t>
      </w:r>
      <w:r w:rsidR="00981981">
        <w:rPr>
          <w:sz w:val="20"/>
          <w:szCs w:val="20"/>
        </w:rPr>
        <w:t xml:space="preserve"> 1</w:t>
      </w:r>
      <w:r w:rsidR="00515740">
        <w:rPr>
          <w:sz w:val="20"/>
          <w:szCs w:val="20"/>
        </w:rPr>
        <w:t xml:space="preserve"> </w:t>
      </w:r>
      <w:r w:rsidR="00981981">
        <w:rPr>
          <w:sz w:val="20"/>
          <w:szCs w:val="20"/>
        </w:rPr>
        <w:t>365 osob v bytech v těchto objektech, které měly trvalé bydliště jinde, se tempa růstu i podíly mírně snížily</w:t>
      </w:r>
      <w:r w:rsidR="00072F99">
        <w:rPr>
          <w:sz w:val="20"/>
          <w:szCs w:val="20"/>
        </w:rPr>
        <w:t xml:space="preserve">. Přesto </w:t>
      </w:r>
      <w:r w:rsidR="00981981">
        <w:rPr>
          <w:sz w:val="20"/>
          <w:szCs w:val="20"/>
        </w:rPr>
        <w:t xml:space="preserve">základní trendy ani proporce to ale </w:t>
      </w:r>
      <w:r w:rsidR="00813644">
        <w:rPr>
          <w:sz w:val="20"/>
          <w:szCs w:val="20"/>
        </w:rPr>
        <w:t xml:space="preserve"> </w:t>
      </w:r>
      <w:r w:rsidR="00981981">
        <w:rPr>
          <w:sz w:val="20"/>
          <w:szCs w:val="20"/>
        </w:rPr>
        <w:t>zásadním způsobem nezměnilo.</w:t>
      </w:r>
    </w:p>
    <w:p w:rsidR="00E955B5" w:rsidRDefault="00E955B5" w:rsidP="00AC2069">
      <w:pPr>
        <w:pStyle w:val="Normln-web"/>
        <w:spacing w:before="0" w:line="276" w:lineRule="auto"/>
        <w:rPr>
          <w:sz w:val="20"/>
          <w:szCs w:val="20"/>
        </w:rPr>
      </w:pPr>
    </w:p>
    <w:p w:rsidR="0051354C" w:rsidRDefault="0051354C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V absolutním vyjádření mělo </w:t>
      </w:r>
      <w:r w:rsidR="001B557E">
        <w:rPr>
          <w:sz w:val="20"/>
          <w:szCs w:val="20"/>
        </w:rPr>
        <w:t>nejvýznamnější</w:t>
      </w:r>
      <w:r>
        <w:rPr>
          <w:sz w:val="20"/>
          <w:szCs w:val="20"/>
        </w:rPr>
        <w:t xml:space="preserve"> zastoupení v rámci ostatních budov</w:t>
      </w:r>
      <w:r w:rsidRPr="00B8534A">
        <w:rPr>
          <w:sz w:val="20"/>
          <w:szCs w:val="20"/>
        </w:rPr>
        <w:t xml:space="preserve"> </w:t>
      </w:r>
      <w:r>
        <w:rPr>
          <w:sz w:val="20"/>
          <w:szCs w:val="20"/>
        </w:rPr>
        <w:t>bydlení v provozních budovách s</w:t>
      </w:r>
      <w:r w:rsidR="00B078AE">
        <w:rPr>
          <w:sz w:val="20"/>
          <w:szCs w:val="20"/>
        </w:rPr>
        <w:t> </w:t>
      </w:r>
      <w:r>
        <w:rPr>
          <w:sz w:val="20"/>
          <w:szCs w:val="20"/>
        </w:rPr>
        <w:t>bytem</w:t>
      </w:r>
      <w:r w:rsidR="00B078AE">
        <w:rPr>
          <w:sz w:val="20"/>
          <w:szCs w:val="20"/>
        </w:rPr>
        <w:t>, což byly budovy na sčítacím formuláři popsané jako „administrativní budovy“, „provozovny“, „výrobny“, „závody“ apod</w:t>
      </w:r>
      <w:r>
        <w:rPr>
          <w:sz w:val="20"/>
          <w:szCs w:val="20"/>
        </w:rPr>
        <w:t xml:space="preserve">. Celkem šlo o 34,5 tis. objektů, které byly určeny k jiným účelům než k bydlení a kde byl přesto byt (většinou pouze jeden, protože průměrný počet bytů na jednu provozní budovu s bytem činil 1,2). Zhruba čtyři pětiny bytů v provozních budovách s bytem bylo obydleno. </w:t>
      </w:r>
      <w:r w:rsidR="00B078AE">
        <w:rPr>
          <w:sz w:val="20"/>
          <w:szCs w:val="20"/>
        </w:rPr>
        <w:t>Celkem žilo v bytech v těchto objektech téměř 82,5 tisíc osob, v průměru na 1 byt to znamenalo</w:t>
      </w:r>
      <w:r>
        <w:rPr>
          <w:sz w:val="20"/>
          <w:szCs w:val="20"/>
        </w:rPr>
        <w:t xml:space="preserve"> 2,3 osoby</w:t>
      </w:r>
      <w:r w:rsidR="00A84380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1B557E">
        <w:rPr>
          <w:sz w:val="20"/>
          <w:szCs w:val="20"/>
        </w:rPr>
        <w:t xml:space="preserve">(pro srovnání: v rodinných domech </w:t>
      </w:r>
      <w:r>
        <w:rPr>
          <w:sz w:val="20"/>
          <w:szCs w:val="20"/>
        </w:rPr>
        <w:t> </w:t>
      </w:r>
      <w:r w:rsidR="001B557E">
        <w:rPr>
          <w:sz w:val="20"/>
          <w:szCs w:val="20"/>
        </w:rPr>
        <w:t xml:space="preserve">to bylo </w:t>
      </w:r>
      <w:r>
        <w:rPr>
          <w:sz w:val="20"/>
          <w:szCs w:val="20"/>
        </w:rPr>
        <w:t xml:space="preserve">2,8 </w:t>
      </w:r>
      <w:r w:rsidR="001B557E">
        <w:rPr>
          <w:sz w:val="20"/>
          <w:szCs w:val="20"/>
        </w:rPr>
        <w:t xml:space="preserve">a v bytových domech </w:t>
      </w:r>
      <w:r>
        <w:rPr>
          <w:sz w:val="20"/>
          <w:szCs w:val="20"/>
        </w:rPr>
        <w:t>2,2</w:t>
      </w:r>
      <w:r w:rsidR="001B557E" w:rsidRPr="001B557E">
        <w:rPr>
          <w:sz w:val="20"/>
          <w:szCs w:val="20"/>
        </w:rPr>
        <w:t xml:space="preserve"> </w:t>
      </w:r>
      <w:r w:rsidR="001B557E">
        <w:rPr>
          <w:sz w:val="20"/>
          <w:szCs w:val="20"/>
        </w:rPr>
        <w:t>osoby na byt).</w:t>
      </w:r>
      <w:r w:rsidR="00B078AE">
        <w:rPr>
          <w:sz w:val="20"/>
          <w:szCs w:val="20"/>
        </w:rPr>
        <w:t xml:space="preserve"> Za celou republiku představovalo bydlení v bytech v provozních budovách jen 0,8 % z počtu osob bydlících v bytech. V jednotlivých krajích se tento podíl pohyboval v intervalu 0,61 % (Moravskoslezský kraj) - 1,13 % (Liberecký kraj). Absolutně připadlo nejvíce osob bydlících v bytech v provozních budovách na </w:t>
      </w:r>
      <w:r w:rsidR="00813743">
        <w:rPr>
          <w:sz w:val="20"/>
          <w:szCs w:val="20"/>
        </w:rPr>
        <w:t xml:space="preserve">nejlidnatější kraje </w:t>
      </w:r>
      <w:r w:rsidR="00B078AE">
        <w:rPr>
          <w:sz w:val="20"/>
          <w:szCs w:val="20"/>
        </w:rPr>
        <w:t>Středočeský kraj</w:t>
      </w:r>
      <w:r w:rsidR="00813743">
        <w:rPr>
          <w:sz w:val="20"/>
          <w:szCs w:val="20"/>
        </w:rPr>
        <w:t xml:space="preserve"> (10 832 osob) a hl.m. Prahu (8 370 osob).</w:t>
      </w:r>
    </w:p>
    <w:p w:rsidR="007D35A0" w:rsidRDefault="00A84380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Bydlení v bytech z pohledu charakteristik domů bylo závislé na vývoji domovního fondu. </w:t>
      </w:r>
      <w:r w:rsidR="00F85C69">
        <w:rPr>
          <w:sz w:val="20"/>
          <w:szCs w:val="20"/>
        </w:rPr>
        <w:t>Z hlediska technických parametrů a vybavenosti domu (plyn, kanalizace, ústřední topení) se kvalita bydlení trvale zvyšovala. K nejvýznamnějším změnám ale došlo ve struktuře podle vlastnictví domu</w:t>
      </w:r>
      <w:r w:rsidR="0091209F">
        <w:rPr>
          <w:sz w:val="20"/>
          <w:szCs w:val="20"/>
        </w:rPr>
        <w:t xml:space="preserve"> postupným posilováním</w:t>
      </w:r>
      <w:r w:rsidR="00C12AF8">
        <w:rPr>
          <w:sz w:val="20"/>
          <w:szCs w:val="20"/>
        </w:rPr>
        <w:t xml:space="preserve"> soukromého vlastnictví</w:t>
      </w:r>
      <w:r w:rsidR="00F85C69">
        <w:rPr>
          <w:sz w:val="20"/>
          <w:szCs w:val="20"/>
        </w:rPr>
        <w:t>. Tento vývoj</w:t>
      </w:r>
      <w:r w:rsidR="00C12AF8">
        <w:rPr>
          <w:sz w:val="20"/>
          <w:szCs w:val="20"/>
        </w:rPr>
        <w:t xml:space="preserve"> souvisel s průběhem privatizace a restituce domovního resp. bytového fondu po roce 1989. V bytech ve státních nebo obecních domech bydlelo v roce 1991 </w:t>
      </w:r>
      <w:r w:rsidR="00240500">
        <w:rPr>
          <w:sz w:val="20"/>
          <w:szCs w:val="20"/>
        </w:rPr>
        <w:t>téměř 3,8 mil. osob (36,8 %), v roce 2001 to bylo</w:t>
      </w:r>
      <w:r w:rsidR="00775164">
        <w:rPr>
          <w:sz w:val="20"/>
          <w:szCs w:val="20"/>
        </w:rPr>
        <w:t xml:space="preserve"> 1,7 mil. a v roce 2011 jen 823 tis. osob (8,1 %). Na druhé straně s</w:t>
      </w:r>
      <w:r w:rsidR="00240500">
        <w:rPr>
          <w:sz w:val="20"/>
          <w:szCs w:val="20"/>
        </w:rPr>
        <w:t xml:space="preserve">oukromý sektor coby vlastníka domu v roce 1991 </w:t>
      </w:r>
      <w:r w:rsidR="00240500" w:rsidRPr="00576717">
        <w:rPr>
          <w:sz w:val="20"/>
          <w:szCs w:val="20"/>
        </w:rPr>
        <w:t>uvedlo 4,3 mil. osob (42,4 %)</w:t>
      </w:r>
      <w:r w:rsidR="00775164" w:rsidRPr="00576717">
        <w:rPr>
          <w:sz w:val="20"/>
          <w:szCs w:val="20"/>
        </w:rPr>
        <w:t xml:space="preserve">, v roce 2001 </w:t>
      </w:r>
      <w:r w:rsidR="001867B3" w:rsidRPr="00576717">
        <w:rPr>
          <w:sz w:val="20"/>
          <w:szCs w:val="20"/>
        </w:rPr>
        <w:t xml:space="preserve">to bylo 4,9 mil. osob a dalších necelých </w:t>
      </w:r>
      <w:r w:rsidR="00C570F4" w:rsidRPr="00576717">
        <w:rPr>
          <w:sz w:val="20"/>
          <w:szCs w:val="20"/>
        </w:rPr>
        <w:t>400</w:t>
      </w:r>
      <w:r w:rsidR="001867B3" w:rsidRPr="00576717">
        <w:rPr>
          <w:sz w:val="20"/>
          <w:szCs w:val="20"/>
        </w:rPr>
        <w:t xml:space="preserve"> tisíc osob k soukromému vlastnictví domu směřovalo </w:t>
      </w:r>
      <w:r w:rsidR="00F85C69" w:rsidRPr="00576717">
        <w:rPr>
          <w:sz w:val="20"/>
          <w:szCs w:val="20"/>
        </w:rPr>
        <w:t xml:space="preserve">(k datu sčítání probíhal </w:t>
      </w:r>
      <w:r w:rsidR="001867B3" w:rsidRPr="00576717">
        <w:rPr>
          <w:sz w:val="20"/>
          <w:szCs w:val="20"/>
        </w:rPr>
        <w:t xml:space="preserve"> privatizační proces jejich domu a vlastníkem byla dočasně vytvořená </w:t>
      </w:r>
      <w:r w:rsidR="00F85C69" w:rsidRPr="00576717">
        <w:rPr>
          <w:sz w:val="20"/>
          <w:szCs w:val="20"/>
        </w:rPr>
        <w:t>„</w:t>
      </w:r>
      <w:r w:rsidR="001867B3" w:rsidRPr="00576717">
        <w:rPr>
          <w:sz w:val="20"/>
          <w:szCs w:val="20"/>
        </w:rPr>
        <w:t>právnická osoba</w:t>
      </w:r>
      <w:r w:rsidR="00F85C69">
        <w:rPr>
          <w:sz w:val="20"/>
          <w:szCs w:val="20"/>
        </w:rPr>
        <w:t xml:space="preserve"> za účelem privatizace domu“). V roce 2011 již více než polovina (51,3 %) všech osob v bytech bydlela v domě, jehož vlastníkem byla fyzická osoba</w:t>
      </w:r>
      <w:r w:rsidR="007D35A0">
        <w:rPr>
          <w:sz w:val="20"/>
          <w:szCs w:val="20"/>
        </w:rPr>
        <w:t xml:space="preserve"> a</w:t>
      </w:r>
      <w:r w:rsidR="00F85C69">
        <w:rPr>
          <w:sz w:val="20"/>
          <w:szCs w:val="20"/>
        </w:rPr>
        <w:t xml:space="preserve"> pětina v domech ve spoluvlastnictví vlastníků bytů</w:t>
      </w:r>
      <w:r w:rsidR="007D35A0">
        <w:rPr>
          <w:sz w:val="20"/>
          <w:szCs w:val="20"/>
        </w:rPr>
        <w:t>.</w:t>
      </w:r>
    </w:p>
    <w:p w:rsidR="00AC2069" w:rsidRDefault="00AC2069" w:rsidP="00AC2069">
      <w:pPr>
        <w:pStyle w:val="Normln-web"/>
        <w:spacing w:before="0" w:line="276" w:lineRule="auto"/>
        <w:rPr>
          <w:sz w:val="20"/>
          <w:szCs w:val="20"/>
        </w:rPr>
      </w:pPr>
    </w:p>
    <w:p w:rsidR="00BB125D" w:rsidRDefault="00C570F4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Zhruba desetina osob (absolutně v</w:t>
      </w:r>
      <w:r w:rsidR="00C431EE" w:rsidRPr="00C431EE">
        <w:rPr>
          <w:sz w:val="20"/>
          <w:szCs w:val="20"/>
        </w:rPr>
        <w:t>íce než milion</w:t>
      </w:r>
      <w:r>
        <w:rPr>
          <w:sz w:val="20"/>
          <w:szCs w:val="20"/>
        </w:rPr>
        <w:t>)</w:t>
      </w:r>
      <w:r w:rsidR="00EA38CF">
        <w:rPr>
          <w:sz w:val="20"/>
          <w:szCs w:val="20"/>
        </w:rPr>
        <w:t xml:space="preserve"> bydlel</w:t>
      </w:r>
      <w:r>
        <w:rPr>
          <w:sz w:val="20"/>
          <w:szCs w:val="20"/>
        </w:rPr>
        <w:t>a</w:t>
      </w:r>
      <w:r w:rsidR="00C431EE">
        <w:rPr>
          <w:sz w:val="20"/>
          <w:szCs w:val="20"/>
        </w:rPr>
        <w:t xml:space="preserve"> v roce 2011 v domech postavených</w:t>
      </w:r>
      <w:r>
        <w:rPr>
          <w:sz w:val="20"/>
          <w:szCs w:val="20"/>
        </w:rPr>
        <w:t xml:space="preserve"> nebo zrekonstruovaných po roce 2001.</w:t>
      </w:r>
      <w:r w:rsidR="00C431EE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="00AE1338">
        <w:rPr>
          <w:sz w:val="20"/>
          <w:szCs w:val="20"/>
        </w:rPr>
        <w:t xml:space="preserve">řevážně </w:t>
      </w:r>
      <w:r>
        <w:rPr>
          <w:sz w:val="20"/>
          <w:szCs w:val="20"/>
        </w:rPr>
        <w:t xml:space="preserve">to bylo </w:t>
      </w:r>
      <w:r w:rsidR="00AE1338">
        <w:rPr>
          <w:sz w:val="20"/>
          <w:szCs w:val="20"/>
        </w:rPr>
        <w:t>v rodinných domech. Tento fakt souvisí s</w:t>
      </w:r>
      <w:r>
        <w:rPr>
          <w:sz w:val="20"/>
          <w:szCs w:val="20"/>
        </w:rPr>
        <w:t xml:space="preserve"> všeobecným </w:t>
      </w:r>
      <w:r w:rsidR="00AE1338">
        <w:rPr>
          <w:sz w:val="20"/>
          <w:szCs w:val="20"/>
        </w:rPr>
        <w:t xml:space="preserve">oživením výstavby resp. </w:t>
      </w:r>
      <w:r w:rsidR="00C444D7">
        <w:rPr>
          <w:sz w:val="20"/>
          <w:szCs w:val="20"/>
        </w:rPr>
        <w:t xml:space="preserve">s </w:t>
      </w:r>
      <w:r w:rsidR="00AE1338">
        <w:rPr>
          <w:sz w:val="20"/>
          <w:szCs w:val="20"/>
        </w:rPr>
        <w:t>rekonstrukcemi rodinných domů po roce 1989</w:t>
      </w:r>
      <w:r w:rsidR="00C444D7">
        <w:rPr>
          <w:sz w:val="20"/>
          <w:szCs w:val="20"/>
        </w:rPr>
        <w:t>, přičemž růst počtu bytů v rodinných domech</w:t>
      </w:r>
      <w:r>
        <w:rPr>
          <w:sz w:val="20"/>
          <w:szCs w:val="20"/>
        </w:rPr>
        <w:t xml:space="preserve"> právě</w:t>
      </w:r>
      <w:r w:rsidR="00C444D7">
        <w:rPr>
          <w:sz w:val="20"/>
          <w:szCs w:val="20"/>
        </w:rPr>
        <w:t xml:space="preserve"> mezi roky 2001 - 2011 byl rychlejší než v</w:t>
      </w:r>
      <w:r w:rsidR="00A07130">
        <w:rPr>
          <w:sz w:val="20"/>
          <w:szCs w:val="20"/>
        </w:rPr>
        <w:t> </w:t>
      </w:r>
      <w:r>
        <w:rPr>
          <w:sz w:val="20"/>
          <w:szCs w:val="20"/>
        </w:rPr>
        <w:t>desetiletí</w:t>
      </w:r>
      <w:r w:rsidR="00C444D7">
        <w:rPr>
          <w:sz w:val="20"/>
          <w:szCs w:val="20"/>
        </w:rPr>
        <w:t xml:space="preserve"> 1991 - 2001. </w:t>
      </w:r>
    </w:p>
    <w:p w:rsidR="00AC2069" w:rsidRPr="00C431EE" w:rsidRDefault="00AC2069" w:rsidP="00AC2069">
      <w:pPr>
        <w:pStyle w:val="Normln-web"/>
        <w:spacing w:before="0" w:line="276" w:lineRule="auto"/>
        <w:rPr>
          <w:sz w:val="20"/>
          <w:szCs w:val="20"/>
        </w:rPr>
      </w:pPr>
    </w:p>
    <w:p w:rsidR="00A84380" w:rsidRDefault="001133B5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V závislosti na </w:t>
      </w:r>
      <w:r w:rsidR="00BA0583">
        <w:rPr>
          <w:sz w:val="20"/>
          <w:szCs w:val="20"/>
        </w:rPr>
        <w:t>razantních</w:t>
      </w:r>
      <w:r>
        <w:rPr>
          <w:sz w:val="20"/>
          <w:szCs w:val="20"/>
        </w:rPr>
        <w:t xml:space="preserve"> změnách vlastnických vztahů domů i bytů se podstatnou měrou změnila i struktura bydlení v bytech podle jejich </w:t>
      </w:r>
      <w:r w:rsidRPr="00840075">
        <w:rPr>
          <w:b/>
          <w:sz w:val="20"/>
          <w:szCs w:val="20"/>
        </w:rPr>
        <w:t>právního</w:t>
      </w:r>
      <w:r w:rsidR="00A84380" w:rsidRPr="00840075">
        <w:rPr>
          <w:b/>
          <w:sz w:val="20"/>
          <w:szCs w:val="20"/>
        </w:rPr>
        <w:t xml:space="preserve"> důvod</w:t>
      </w:r>
      <w:r w:rsidR="00BA0583" w:rsidRPr="00840075">
        <w:rPr>
          <w:b/>
          <w:sz w:val="20"/>
          <w:szCs w:val="20"/>
        </w:rPr>
        <w:t>u</w:t>
      </w:r>
      <w:r w:rsidR="00A84380" w:rsidRPr="00840075">
        <w:rPr>
          <w:b/>
          <w:sz w:val="20"/>
          <w:szCs w:val="20"/>
        </w:rPr>
        <w:t xml:space="preserve"> užívání</w:t>
      </w:r>
      <w:r w:rsidR="00BA0583">
        <w:rPr>
          <w:sz w:val="20"/>
          <w:szCs w:val="20"/>
        </w:rPr>
        <w:t>.</w:t>
      </w:r>
      <w:r w:rsidR="00290472">
        <w:rPr>
          <w:sz w:val="20"/>
          <w:szCs w:val="20"/>
        </w:rPr>
        <w:t xml:space="preserve"> </w:t>
      </w:r>
    </w:p>
    <w:p w:rsidR="00AC2069" w:rsidRDefault="00AC2069" w:rsidP="006F3A7C">
      <w:pPr>
        <w:pStyle w:val="Normln-web"/>
        <w:spacing w:after="120"/>
        <w:ind w:firstLine="992"/>
        <w:rPr>
          <w:b/>
          <w:sz w:val="20"/>
          <w:szCs w:val="20"/>
        </w:rPr>
      </w:pPr>
    </w:p>
    <w:p w:rsidR="006F3A7C" w:rsidRDefault="006F3A7C" w:rsidP="006F3A7C">
      <w:pPr>
        <w:pStyle w:val="Normln-web"/>
        <w:spacing w:after="120"/>
        <w:ind w:firstLine="992"/>
        <w:rPr>
          <w:b/>
          <w:bCs/>
          <w:sz w:val="20"/>
          <w:szCs w:val="20"/>
        </w:rPr>
      </w:pPr>
      <w:r w:rsidRPr="006F3A7C">
        <w:rPr>
          <w:b/>
          <w:sz w:val="20"/>
          <w:szCs w:val="20"/>
        </w:rPr>
        <w:t xml:space="preserve">Graf č. 3 </w:t>
      </w:r>
      <w:r w:rsidRPr="006F3A7C">
        <w:rPr>
          <w:b/>
          <w:bCs/>
          <w:sz w:val="20"/>
          <w:szCs w:val="20"/>
        </w:rPr>
        <w:t>Osoby v</w:t>
      </w:r>
      <w:r>
        <w:rPr>
          <w:b/>
          <w:bCs/>
          <w:sz w:val="20"/>
          <w:szCs w:val="20"/>
        </w:rPr>
        <w:t> </w:t>
      </w:r>
      <w:r w:rsidRPr="006F3A7C">
        <w:rPr>
          <w:b/>
          <w:bCs/>
          <w:sz w:val="20"/>
          <w:szCs w:val="20"/>
        </w:rPr>
        <w:t>bytech</w:t>
      </w:r>
      <w:r>
        <w:rPr>
          <w:b/>
          <w:bCs/>
          <w:sz w:val="20"/>
          <w:szCs w:val="20"/>
        </w:rPr>
        <w:t xml:space="preserve"> </w:t>
      </w:r>
      <w:r w:rsidRPr="006F3A7C">
        <w:rPr>
          <w:b/>
          <w:bCs/>
          <w:sz w:val="20"/>
          <w:szCs w:val="20"/>
        </w:rPr>
        <w:t xml:space="preserve"> podle právního důvodu užívání v letech 1991 </w:t>
      </w:r>
      <w:r w:rsidR="00841A52">
        <w:rPr>
          <w:b/>
          <w:bCs/>
          <w:sz w:val="20"/>
          <w:szCs w:val="20"/>
        </w:rPr>
        <w:t>–</w:t>
      </w:r>
      <w:r>
        <w:rPr>
          <w:b/>
          <w:bCs/>
          <w:sz w:val="20"/>
          <w:szCs w:val="20"/>
        </w:rPr>
        <w:t xml:space="preserve"> </w:t>
      </w:r>
      <w:r w:rsidRPr="006F3A7C">
        <w:rPr>
          <w:b/>
          <w:bCs/>
          <w:sz w:val="20"/>
          <w:szCs w:val="20"/>
        </w:rPr>
        <w:t>2011</w:t>
      </w:r>
    </w:p>
    <w:p w:rsidR="00A30C16" w:rsidRDefault="00A30C16" w:rsidP="006F3A7C">
      <w:pPr>
        <w:pStyle w:val="Normln-web"/>
        <w:spacing w:after="120"/>
        <w:ind w:firstLine="992"/>
        <w:rPr>
          <w:b/>
          <w:bCs/>
          <w:sz w:val="20"/>
          <w:szCs w:val="20"/>
        </w:rPr>
      </w:pPr>
      <w:r w:rsidRPr="00A30C16">
        <w:rPr>
          <w:b/>
          <w:bCs/>
          <w:sz w:val="20"/>
          <w:szCs w:val="20"/>
        </w:rPr>
        <w:drawing>
          <wp:inline distT="0" distB="0" distL="0" distR="0">
            <wp:extent cx="4572000" cy="2743200"/>
            <wp:effectExtent l="19050" t="0" r="19050" b="0"/>
            <wp:docPr id="31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1A51" w:rsidRDefault="00D61A51" w:rsidP="00A84380">
      <w:pPr>
        <w:pStyle w:val="Normln-web"/>
        <w:rPr>
          <w:sz w:val="20"/>
          <w:szCs w:val="20"/>
        </w:rPr>
      </w:pPr>
    </w:p>
    <w:p w:rsidR="00AE1338" w:rsidRDefault="00FE1445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V bytě ve vlastním domě nebo v bytě v osobním vlastnictví bydlel</w:t>
      </w:r>
      <w:r w:rsidR="00C444D7">
        <w:rPr>
          <w:sz w:val="20"/>
          <w:szCs w:val="20"/>
        </w:rPr>
        <w:t>y</w:t>
      </w:r>
      <w:r>
        <w:rPr>
          <w:sz w:val="20"/>
          <w:szCs w:val="20"/>
        </w:rPr>
        <w:t xml:space="preserve"> v roce 1991 dvě pětiny všech osob bydlících v bytech; v roce 2011 to byly již tři pětiny osob. Současně se snižovalo zastoupení </w:t>
      </w:r>
      <w:r w:rsidR="00C444D7">
        <w:rPr>
          <w:sz w:val="20"/>
          <w:szCs w:val="20"/>
        </w:rPr>
        <w:t xml:space="preserve">bytů </w:t>
      </w:r>
      <w:r>
        <w:rPr>
          <w:sz w:val="20"/>
          <w:szCs w:val="20"/>
        </w:rPr>
        <w:t xml:space="preserve">nájemních (původně většinou ve vlastnictví státu a obcí) a </w:t>
      </w:r>
      <w:r w:rsidR="00C444D7">
        <w:rPr>
          <w:sz w:val="20"/>
          <w:szCs w:val="20"/>
        </w:rPr>
        <w:t>bytů</w:t>
      </w:r>
      <w:r>
        <w:rPr>
          <w:sz w:val="20"/>
          <w:szCs w:val="20"/>
        </w:rPr>
        <w:t xml:space="preserve"> družstevních, které byly v průběhu privatizace převáděny do vlastnictví nájemníků nebo byly prodávány. Nejdynamičtější vývoj zaznamenalo bydlení v bytech v osobním vlastnictví. Počet osob v těchto bytech se v období 1991 - 2011 více než zdvacetinásobil. </w:t>
      </w:r>
      <w:r w:rsidR="00AA40D3">
        <w:rPr>
          <w:sz w:val="20"/>
          <w:szCs w:val="20"/>
        </w:rPr>
        <w:t xml:space="preserve">Položka „jiný důvod vč. nezjištěno“ byla v roce 2011 z větší části tvořena právě </w:t>
      </w:r>
      <w:r w:rsidR="003F0458">
        <w:rPr>
          <w:sz w:val="20"/>
          <w:szCs w:val="20"/>
        </w:rPr>
        <w:t>nezjištěným právním důvodem užívání (6,6 % osob).</w:t>
      </w:r>
    </w:p>
    <w:p w:rsidR="00AC2069" w:rsidRDefault="00AC2069" w:rsidP="00AC2069">
      <w:pPr>
        <w:pStyle w:val="Normln-web"/>
        <w:spacing w:before="0" w:line="276" w:lineRule="auto"/>
        <w:rPr>
          <w:sz w:val="20"/>
          <w:szCs w:val="20"/>
        </w:rPr>
      </w:pPr>
    </w:p>
    <w:p w:rsidR="008220BB" w:rsidRDefault="003F0458" w:rsidP="00AC2069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Právní důvod užívání bytu</w:t>
      </w:r>
      <w:r w:rsidR="00AA40D3">
        <w:rPr>
          <w:sz w:val="20"/>
          <w:szCs w:val="20"/>
        </w:rPr>
        <w:t xml:space="preserve"> byl</w:t>
      </w:r>
      <w:r>
        <w:rPr>
          <w:sz w:val="20"/>
          <w:szCs w:val="20"/>
        </w:rPr>
        <w:t xml:space="preserve"> kromě dramatických změn struktury</w:t>
      </w:r>
      <w:r w:rsidR="003F627B">
        <w:rPr>
          <w:sz w:val="20"/>
          <w:szCs w:val="20"/>
        </w:rPr>
        <w:t xml:space="preserve"> v časové řadě</w:t>
      </w:r>
      <w:r w:rsidR="008220B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 </w:t>
      </w:r>
      <w:r w:rsidR="003F627B">
        <w:rPr>
          <w:sz w:val="20"/>
          <w:szCs w:val="20"/>
        </w:rPr>
        <w:t xml:space="preserve">jednou z </w:t>
      </w:r>
      <w:r>
        <w:rPr>
          <w:sz w:val="20"/>
          <w:szCs w:val="20"/>
        </w:rPr>
        <w:t>charakteristik bydlení v bytech, která byla výrazně diferencovaná územně.</w:t>
      </w:r>
      <w:r w:rsidR="008220BB">
        <w:rPr>
          <w:sz w:val="20"/>
          <w:szCs w:val="20"/>
        </w:rPr>
        <w:t xml:space="preserve"> </w:t>
      </w:r>
    </w:p>
    <w:p w:rsidR="003F627B" w:rsidRDefault="003F627B" w:rsidP="00994BF3">
      <w:pPr>
        <w:pStyle w:val="Normln-web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Podíly osob bydlících v bytech ve vlastním domě, v bytech v osobním vlastnictví nebo v bytech nájemních se lišily mezi maximální a minimální hodnotou v krajích o 20 - 30 bodů (při vynechání extrémně nízké, ale logické hodnoty podílu osob v bytech ve vlastním domě v hl. městě Praze). Např. podíly osob bydlících v bytech v osobním vlastnictví byly v intervalu od 12,1 % v Moravskoslezském kraji až po 32,5 % v Karlovarském kraji. Podíly osob v nájemních bytech pak od 12,5 % ve Zlínském kraji po 32,6 % v Praze. V této souvislosti je třeba připomenout, že právní důvod užívání bytu byl zjišťován na úrovni bytu a je shodný pro všechny osoby v bytě obvykle bydlící. Bydlí-li </w:t>
      </w:r>
      <w:r w:rsidRPr="0048109A">
        <w:rPr>
          <w:sz w:val="20"/>
          <w:szCs w:val="20"/>
        </w:rPr>
        <w:t>1</w:t>
      </w:r>
      <w:r>
        <w:rPr>
          <w:sz w:val="20"/>
          <w:szCs w:val="20"/>
        </w:rPr>
        <w:t>,</w:t>
      </w:r>
      <w:r w:rsidRPr="0048109A">
        <w:rPr>
          <w:sz w:val="20"/>
          <w:szCs w:val="20"/>
        </w:rPr>
        <w:t>8</w:t>
      </w:r>
      <w:r w:rsidR="00FE2C46">
        <w:rPr>
          <w:sz w:val="20"/>
          <w:szCs w:val="20"/>
        </w:rPr>
        <w:t xml:space="preserve"> </w:t>
      </w:r>
      <w:r>
        <w:rPr>
          <w:sz w:val="20"/>
          <w:szCs w:val="20"/>
        </w:rPr>
        <w:t>mil. osob v bytech v osobním vlastnictví, neznamená to, že je stejný počet vlastníků těchto bytů.</w:t>
      </w:r>
    </w:p>
    <w:p w:rsidR="00841A52" w:rsidRDefault="00841A52" w:rsidP="0036434D">
      <w:pPr>
        <w:pStyle w:val="Normln-web"/>
        <w:spacing w:after="120"/>
        <w:ind w:firstLine="720"/>
        <w:rPr>
          <w:b/>
          <w:sz w:val="20"/>
          <w:szCs w:val="20"/>
        </w:rPr>
      </w:pPr>
    </w:p>
    <w:p w:rsidR="006F3A7C" w:rsidRDefault="006F3A7C" w:rsidP="0036434D">
      <w:pPr>
        <w:pStyle w:val="Normln-web"/>
        <w:spacing w:after="120"/>
        <w:ind w:firstLine="720"/>
        <w:rPr>
          <w:b/>
          <w:bCs/>
          <w:sz w:val="20"/>
          <w:szCs w:val="20"/>
        </w:rPr>
      </w:pPr>
      <w:r w:rsidRPr="006F3A7C">
        <w:rPr>
          <w:b/>
          <w:sz w:val="20"/>
          <w:szCs w:val="20"/>
        </w:rPr>
        <w:t>Graf č. 4</w:t>
      </w:r>
      <w:r>
        <w:rPr>
          <w:sz w:val="20"/>
          <w:szCs w:val="20"/>
        </w:rPr>
        <w:t xml:space="preserve"> </w:t>
      </w:r>
      <w:r w:rsidRPr="006F3A7C">
        <w:rPr>
          <w:b/>
          <w:bCs/>
          <w:sz w:val="20"/>
          <w:szCs w:val="20"/>
        </w:rPr>
        <w:t>Osoby v bytech podle právního důvodu užívání k 26.</w:t>
      </w:r>
      <w:r>
        <w:rPr>
          <w:b/>
          <w:bCs/>
          <w:sz w:val="20"/>
          <w:szCs w:val="20"/>
        </w:rPr>
        <w:t xml:space="preserve"> </w:t>
      </w:r>
      <w:r w:rsidRPr="006F3A7C">
        <w:rPr>
          <w:b/>
          <w:bCs/>
          <w:sz w:val="20"/>
          <w:szCs w:val="20"/>
        </w:rPr>
        <w:t>3.</w:t>
      </w:r>
      <w:r>
        <w:rPr>
          <w:b/>
          <w:bCs/>
          <w:sz w:val="20"/>
          <w:szCs w:val="20"/>
        </w:rPr>
        <w:t xml:space="preserve"> </w:t>
      </w:r>
      <w:r w:rsidRPr="006F3A7C">
        <w:rPr>
          <w:b/>
          <w:bCs/>
          <w:sz w:val="20"/>
          <w:szCs w:val="20"/>
        </w:rPr>
        <w:t>2011</w:t>
      </w:r>
    </w:p>
    <w:p w:rsidR="00A30C16" w:rsidRDefault="00A30C16" w:rsidP="0036434D">
      <w:pPr>
        <w:pStyle w:val="Normln-web"/>
        <w:spacing w:after="120"/>
        <w:ind w:firstLine="720"/>
        <w:rPr>
          <w:b/>
          <w:bCs/>
          <w:sz w:val="20"/>
          <w:szCs w:val="20"/>
        </w:rPr>
      </w:pPr>
      <w:r w:rsidRPr="00A30C16">
        <w:rPr>
          <w:b/>
          <w:bCs/>
          <w:sz w:val="20"/>
          <w:szCs w:val="20"/>
        </w:rPr>
        <w:drawing>
          <wp:inline distT="0" distB="0" distL="0" distR="0">
            <wp:extent cx="5238751" cy="3362324"/>
            <wp:effectExtent l="19050" t="0" r="19049" b="0"/>
            <wp:docPr id="13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0C16" w:rsidRDefault="00A30C16" w:rsidP="0036434D">
      <w:pPr>
        <w:pStyle w:val="Normln-web"/>
        <w:spacing w:after="120"/>
        <w:ind w:firstLine="720"/>
        <w:rPr>
          <w:b/>
          <w:bCs/>
          <w:sz w:val="20"/>
          <w:szCs w:val="20"/>
        </w:rPr>
      </w:pPr>
    </w:p>
    <w:p w:rsidR="00F03DB2" w:rsidRDefault="005B7456" w:rsidP="0036434D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Struktura osob podle právního důvodu užívání bytu byla ovlivněna především strukturou domovního fondu v příslušném regionu. Oblasti s převahou rodinných domů měly významné zastoupení bydlení v bytech ve vlastním domě. </w:t>
      </w:r>
      <w:r w:rsidR="006E41A1">
        <w:rPr>
          <w:sz w:val="20"/>
          <w:szCs w:val="20"/>
        </w:rPr>
        <w:t>Z</w:t>
      </w:r>
      <w:r>
        <w:rPr>
          <w:sz w:val="20"/>
          <w:szCs w:val="20"/>
        </w:rPr>
        <w:t xml:space="preserve"> pohledu bytů v bytových domech, ve kterých žila téměř polovina obyvatel bydlících v bytech, byly územní diference ovlivněné </w:t>
      </w:r>
      <w:r w:rsidR="006E41A1">
        <w:rPr>
          <w:sz w:val="20"/>
          <w:szCs w:val="20"/>
        </w:rPr>
        <w:t xml:space="preserve">i </w:t>
      </w:r>
      <w:r>
        <w:rPr>
          <w:sz w:val="20"/>
          <w:szCs w:val="20"/>
        </w:rPr>
        <w:t>rozdíly v intenzitě privatizačních procesů</w:t>
      </w:r>
      <w:r w:rsidR="006E41A1">
        <w:rPr>
          <w:sz w:val="20"/>
          <w:szCs w:val="20"/>
        </w:rPr>
        <w:t>, které neprobíhaly ve všech regionech shodně.</w:t>
      </w:r>
      <w:r>
        <w:rPr>
          <w:sz w:val="20"/>
          <w:szCs w:val="20"/>
        </w:rPr>
        <w:t xml:space="preserve"> </w:t>
      </w:r>
    </w:p>
    <w:p w:rsidR="0036434D" w:rsidRDefault="0036434D" w:rsidP="0036434D">
      <w:pPr>
        <w:pStyle w:val="Normln-web"/>
        <w:spacing w:before="0" w:line="276" w:lineRule="auto"/>
        <w:rPr>
          <w:sz w:val="20"/>
          <w:szCs w:val="20"/>
        </w:rPr>
      </w:pPr>
    </w:p>
    <w:p w:rsidR="00D04D1D" w:rsidRDefault="00D04D1D" w:rsidP="0036434D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Nejvyšší podíl osob bydlících v bytech v osobním vlastnictví byl v Karlovarském kraji (téměř třetina všech osob v bytech). Ve třech obcích Karlovarského kraje - Nová Role, Údolí a Ostrov - byl podíl osob v těchto bytech vyšší než 50 %, v</w:t>
      </w:r>
      <w:r w:rsidR="00664601">
        <w:rPr>
          <w:sz w:val="20"/>
          <w:szCs w:val="20"/>
        </w:rPr>
        <w:t xml:space="preserve"> Karlových Varech a v Mariánských Lázních dosahoval 48 resp. 47 % a v dalších </w:t>
      </w:r>
      <w:r>
        <w:rPr>
          <w:sz w:val="20"/>
          <w:szCs w:val="20"/>
        </w:rPr>
        <w:t xml:space="preserve"> </w:t>
      </w:r>
      <w:r w:rsidR="00664601">
        <w:rPr>
          <w:sz w:val="20"/>
          <w:szCs w:val="20"/>
        </w:rPr>
        <w:t xml:space="preserve">4 </w:t>
      </w:r>
      <w:r>
        <w:rPr>
          <w:sz w:val="20"/>
          <w:szCs w:val="20"/>
        </w:rPr>
        <w:t>obcích</w:t>
      </w:r>
      <w:r w:rsidR="00664601">
        <w:rPr>
          <w:sz w:val="20"/>
          <w:szCs w:val="20"/>
        </w:rPr>
        <w:t xml:space="preserve"> (všechny z okresu Sokolov)</w:t>
      </w:r>
      <w:r>
        <w:rPr>
          <w:sz w:val="20"/>
          <w:szCs w:val="20"/>
        </w:rPr>
        <w:t xml:space="preserve"> se podíl pohyboval mezi 41 a 4</w:t>
      </w:r>
      <w:r w:rsidR="00664601">
        <w:rPr>
          <w:sz w:val="20"/>
          <w:szCs w:val="20"/>
        </w:rPr>
        <w:t>4</w:t>
      </w:r>
      <w:r>
        <w:rPr>
          <w:sz w:val="20"/>
          <w:szCs w:val="20"/>
        </w:rPr>
        <w:t xml:space="preserve"> %.</w:t>
      </w:r>
      <w:r w:rsidR="00664601">
        <w:rPr>
          <w:sz w:val="20"/>
          <w:szCs w:val="20"/>
        </w:rPr>
        <w:t xml:space="preserve"> Uvedených 9 obcí, kde byly podíly osob bydlících v bytech v osobním vlastnictví nejvyšší, </w:t>
      </w:r>
      <w:r w:rsidR="003F627B">
        <w:rPr>
          <w:sz w:val="20"/>
          <w:szCs w:val="20"/>
        </w:rPr>
        <w:t>tvořilo z</w:t>
      </w:r>
      <w:r w:rsidR="00664601">
        <w:rPr>
          <w:sz w:val="20"/>
          <w:szCs w:val="20"/>
        </w:rPr>
        <w:t xml:space="preserve"> počtu obyvatel Karlovarského kraje 43 %, </w:t>
      </w:r>
      <w:r w:rsidR="003F627B">
        <w:rPr>
          <w:sz w:val="20"/>
          <w:szCs w:val="20"/>
        </w:rPr>
        <w:t>z</w:t>
      </w:r>
      <w:r w:rsidR="00664601">
        <w:rPr>
          <w:sz w:val="20"/>
          <w:szCs w:val="20"/>
        </w:rPr>
        <w:t xml:space="preserve"> počtu osob bydlících v bytech v osobním vlastnictví ale 62 %.</w:t>
      </w:r>
    </w:p>
    <w:p w:rsidR="006F3A7C" w:rsidRDefault="00C72651" w:rsidP="00AC2069">
      <w:pPr>
        <w:pStyle w:val="Normln-web"/>
        <w:keepNext/>
        <w:keepLines/>
        <w:spacing w:before="0"/>
        <w:rPr>
          <w:b/>
          <w:sz w:val="20"/>
          <w:szCs w:val="20"/>
        </w:rPr>
      </w:pPr>
      <w:r w:rsidRPr="00C72651">
        <w:rPr>
          <w:b/>
          <w:sz w:val="20"/>
          <w:szCs w:val="20"/>
        </w:rPr>
        <w:lastRenderedPageBreak/>
        <w:t xml:space="preserve">Graf </w:t>
      </w:r>
      <w:r w:rsidR="006F3A7C">
        <w:rPr>
          <w:b/>
          <w:sz w:val="20"/>
          <w:szCs w:val="20"/>
        </w:rPr>
        <w:t xml:space="preserve">č. 5 </w:t>
      </w:r>
      <w:r w:rsidRPr="00C72651">
        <w:rPr>
          <w:b/>
          <w:sz w:val="20"/>
          <w:szCs w:val="20"/>
        </w:rPr>
        <w:t xml:space="preserve"> </w:t>
      </w:r>
      <w:r w:rsidR="006F3A7C">
        <w:rPr>
          <w:b/>
          <w:sz w:val="20"/>
          <w:szCs w:val="20"/>
        </w:rPr>
        <w:t>O</w:t>
      </w:r>
      <w:r w:rsidRPr="00C72651">
        <w:rPr>
          <w:b/>
          <w:sz w:val="20"/>
          <w:szCs w:val="20"/>
        </w:rPr>
        <w:t>soby v bytech v osobním vlastnictví (podíl z počtu osob v bytech v SO ORP</w:t>
      </w:r>
      <w:r w:rsidR="006F3A7C">
        <w:rPr>
          <w:b/>
          <w:sz w:val="20"/>
          <w:szCs w:val="20"/>
        </w:rPr>
        <w:t xml:space="preserve"> v %</w:t>
      </w:r>
      <w:r w:rsidRPr="00C72651">
        <w:rPr>
          <w:b/>
          <w:sz w:val="20"/>
          <w:szCs w:val="20"/>
        </w:rPr>
        <w:t xml:space="preserve">) </w:t>
      </w:r>
    </w:p>
    <w:p w:rsidR="004F4C67" w:rsidRPr="00C72651" w:rsidRDefault="00C72651" w:rsidP="00AC2069">
      <w:pPr>
        <w:pStyle w:val="Normln-web"/>
        <w:keepNext/>
        <w:keepLines/>
        <w:spacing w:before="0"/>
        <w:rPr>
          <w:b/>
          <w:sz w:val="20"/>
          <w:szCs w:val="20"/>
        </w:rPr>
      </w:pPr>
      <w:r w:rsidRPr="00C72651">
        <w:rPr>
          <w:b/>
          <w:sz w:val="20"/>
          <w:szCs w:val="20"/>
        </w:rPr>
        <w:t>k 26.</w:t>
      </w:r>
      <w:r w:rsidR="006F3A7C"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3.</w:t>
      </w:r>
      <w:r w:rsidR="006F3A7C"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 xml:space="preserve">2011  </w:t>
      </w:r>
    </w:p>
    <w:p w:rsidR="00844633" w:rsidRPr="00C72651" w:rsidRDefault="00B132B0" w:rsidP="00C72651">
      <w:pPr>
        <w:pStyle w:val="Normln-web"/>
        <w:keepNext/>
        <w:keepLines/>
        <w:spacing w:line="276" w:lineRule="auto"/>
        <w:jc w:val="center"/>
        <w:rPr>
          <w:b/>
          <w:sz w:val="20"/>
          <w:szCs w:val="20"/>
        </w:rPr>
      </w:pPr>
      <w:r w:rsidRPr="00710BF8">
        <w:rPr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14.5pt">
            <v:imagedata r:id="rId11" o:title="Osoby_v_byte_OV_stejneINTERV"/>
          </v:shape>
        </w:pict>
      </w:r>
    </w:p>
    <w:p w:rsidR="006E6AB4" w:rsidRDefault="007F7617" w:rsidP="00533EBF">
      <w:pPr>
        <w:pStyle w:val="Normln-web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Byty v osobním vlastnictví byly téměř vždy v bytových domech. Pro územní rozmístění byla proto zásadní i struktura domovního fondu v jednotlivých regionech. Při omezení hodnocení podílů bytů v osobním vlastnictví  pouze na bytové domy se v oblastech s nízkým zastoupením bytových domů podíly</w:t>
      </w:r>
      <w:r w:rsidR="00306C5A">
        <w:rPr>
          <w:sz w:val="20"/>
          <w:szCs w:val="20"/>
        </w:rPr>
        <w:t xml:space="preserve"> bytů</w:t>
      </w:r>
      <w:r>
        <w:rPr>
          <w:sz w:val="20"/>
          <w:szCs w:val="20"/>
        </w:rPr>
        <w:t xml:space="preserve"> v osobním vlastnictví významně zvýšily, protože se podstatnou měrou zmenšil základ, ke kterému byl</w:t>
      </w:r>
      <w:r w:rsidR="006E6AB4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 w:rsidR="006E6AB4">
        <w:rPr>
          <w:sz w:val="20"/>
          <w:szCs w:val="20"/>
        </w:rPr>
        <w:t>struktura</w:t>
      </w:r>
      <w:r>
        <w:rPr>
          <w:sz w:val="20"/>
          <w:szCs w:val="20"/>
        </w:rPr>
        <w:t xml:space="preserve"> počítán</w:t>
      </w:r>
      <w:r w:rsidR="006E6AB4">
        <w:rPr>
          <w:sz w:val="20"/>
          <w:szCs w:val="20"/>
        </w:rPr>
        <w:t>a</w:t>
      </w:r>
      <w:r>
        <w:rPr>
          <w:sz w:val="20"/>
          <w:szCs w:val="20"/>
        </w:rPr>
        <w:t xml:space="preserve">. </w:t>
      </w:r>
      <w:r w:rsidR="00FB4116">
        <w:rPr>
          <w:sz w:val="20"/>
          <w:szCs w:val="20"/>
        </w:rPr>
        <w:t xml:space="preserve">V některých mikroregionech ale ke změně nedošlo nebo došlo jen k minimálnímu posunu ve struktuře – např. území kolem Ostravy, šluknovský výběžek nebo Praha. </w:t>
      </w:r>
      <w:r w:rsidR="006E6AB4">
        <w:rPr>
          <w:sz w:val="20"/>
          <w:szCs w:val="20"/>
        </w:rPr>
        <w:t>Omezení na bytové domy</w:t>
      </w:r>
      <w:r>
        <w:rPr>
          <w:sz w:val="20"/>
          <w:szCs w:val="20"/>
        </w:rPr>
        <w:t xml:space="preserve"> </w:t>
      </w:r>
      <w:r w:rsidR="006C4926">
        <w:rPr>
          <w:sz w:val="20"/>
          <w:szCs w:val="20"/>
        </w:rPr>
        <w:t>vypovíd</w:t>
      </w:r>
      <w:r w:rsidR="006E6AB4">
        <w:rPr>
          <w:sz w:val="20"/>
          <w:szCs w:val="20"/>
        </w:rPr>
        <w:t>á</w:t>
      </w:r>
      <w:r w:rsidR="006C4926">
        <w:rPr>
          <w:sz w:val="20"/>
          <w:szCs w:val="20"/>
        </w:rPr>
        <w:t xml:space="preserve"> věrohodněji o výsledku </w:t>
      </w:r>
      <w:r w:rsidR="006E6AB4">
        <w:rPr>
          <w:sz w:val="20"/>
          <w:szCs w:val="20"/>
        </w:rPr>
        <w:t>privatizace bytového fondu</w:t>
      </w:r>
      <w:r w:rsidR="006C4926">
        <w:rPr>
          <w:sz w:val="20"/>
          <w:szCs w:val="20"/>
        </w:rPr>
        <w:t xml:space="preserve"> po roce 1989, protože </w:t>
      </w:r>
      <w:r w:rsidR="006E6AB4">
        <w:rPr>
          <w:sz w:val="20"/>
          <w:szCs w:val="20"/>
        </w:rPr>
        <w:t xml:space="preserve">ta </w:t>
      </w:r>
      <w:r w:rsidR="006C4926">
        <w:rPr>
          <w:sz w:val="20"/>
          <w:szCs w:val="20"/>
        </w:rPr>
        <w:t>se týkal</w:t>
      </w:r>
      <w:r w:rsidR="006E6AB4">
        <w:rPr>
          <w:sz w:val="20"/>
          <w:szCs w:val="20"/>
        </w:rPr>
        <w:t>a</w:t>
      </w:r>
      <w:r w:rsidR="006C4926">
        <w:rPr>
          <w:sz w:val="20"/>
          <w:szCs w:val="20"/>
        </w:rPr>
        <w:t xml:space="preserve"> převážně</w:t>
      </w:r>
      <w:r w:rsidR="006E6AB4">
        <w:rPr>
          <w:sz w:val="20"/>
          <w:szCs w:val="20"/>
        </w:rPr>
        <w:t xml:space="preserve"> bytů právě v </w:t>
      </w:r>
      <w:r w:rsidR="006C4926">
        <w:rPr>
          <w:sz w:val="20"/>
          <w:szCs w:val="20"/>
        </w:rPr>
        <w:t xml:space="preserve">bytových </w:t>
      </w:r>
      <w:r w:rsidR="006E6AB4">
        <w:rPr>
          <w:sz w:val="20"/>
          <w:szCs w:val="20"/>
        </w:rPr>
        <w:t>domech.</w:t>
      </w:r>
    </w:p>
    <w:p w:rsidR="007B6288" w:rsidRDefault="007B6288" w:rsidP="00533EBF">
      <w:pPr>
        <w:pStyle w:val="Normln-web"/>
        <w:spacing w:line="276" w:lineRule="auto"/>
        <w:rPr>
          <w:sz w:val="20"/>
          <w:szCs w:val="20"/>
        </w:rPr>
      </w:pPr>
    </w:p>
    <w:p w:rsidR="006F3A7C" w:rsidRDefault="006F3A7C" w:rsidP="006F3A7C">
      <w:pPr>
        <w:pStyle w:val="Normln-web"/>
        <w:keepNext/>
        <w:keepLines/>
        <w:rPr>
          <w:sz w:val="20"/>
          <w:szCs w:val="20"/>
        </w:rPr>
      </w:pPr>
      <w:r w:rsidRPr="00C72651">
        <w:rPr>
          <w:b/>
          <w:sz w:val="20"/>
          <w:szCs w:val="20"/>
        </w:rPr>
        <w:t xml:space="preserve">Graf </w:t>
      </w:r>
      <w:r>
        <w:rPr>
          <w:b/>
          <w:sz w:val="20"/>
          <w:szCs w:val="20"/>
        </w:rPr>
        <w:t>č. 6</w:t>
      </w:r>
      <w:r w:rsidRPr="00C7265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O</w:t>
      </w:r>
      <w:r w:rsidRPr="00C72651">
        <w:rPr>
          <w:b/>
          <w:sz w:val="20"/>
          <w:szCs w:val="20"/>
        </w:rPr>
        <w:t>soby v bytech v osobním vlastnictví (podíl z počtu osob v</w:t>
      </w:r>
      <w:r>
        <w:rPr>
          <w:b/>
          <w:sz w:val="20"/>
          <w:szCs w:val="20"/>
        </w:rPr>
        <w:t> </w:t>
      </w:r>
      <w:r w:rsidRPr="00C72651">
        <w:rPr>
          <w:b/>
          <w:sz w:val="20"/>
          <w:szCs w:val="20"/>
        </w:rPr>
        <w:t>bytech</w:t>
      </w:r>
      <w:r>
        <w:rPr>
          <w:b/>
          <w:sz w:val="20"/>
          <w:szCs w:val="20"/>
        </w:rPr>
        <w:t xml:space="preserve"> v bytových domech</w:t>
      </w:r>
      <w:r w:rsidRPr="00C72651">
        <w:rPr>
          <w:b/>
          <w:sz w:val="20"/>
          <w:szCs w:val="20"/>
        </w:rPr>
        <w:t xml:space="preserve"> v SO ORP</w:t>
      </w:r>
      <w:r>
        <w:rPr>
          <w:b/>
          <w:sz w:val="20"/>
          <w:szCs w:val="20"/>
        </w:rPr>
        <w:t xml:space="preserve"> v %</w:t>
      </w:r>
      <w:r w:rsidRPr="00C72651">
        <w:rPr>
          <w:b/>
          <w:sz w:val="20"/>
          <w:szCs w:val="20"/>
        </w:rPr>
        <w:t>) k 26.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 xml:space="preserve">2011  </w:t>
      </w:r>
    </w:p>
    <w:p w:rsidR="00844633" w:rsidRDefault="00B132B0" w:rsidP="006E6AB4">
      <w:pPr>
        <w:pStyle w:val="Normln-web"/>
        <w:spacing w:line="276" w:lineRule="auto"/>
        <w:jc w:val="center"/>
        <w:rPr>
          <w:sz w:val="20"/>
          <w:szCs w:val="20"/>
        </w:rPr>
      </w:pPr>
      <w:r w:rsidRPr="00710BF8">
        <w:rPr>
          <w:sz w:val="20"/>
          <w:szCs w:val="20"/>
        </w:rPr>
        <w:pict>
          <v:shape id="_x0000_i1026" type="#_x0000_t75" style="width:316.5pt;height:224.25pt">
            <v:imagedata r:id="rId12" o:title="Osoby_v_byte_OV_BD_stejneINTER"/>
          </v:shape>
        </w:pict>
      </w:r>
    </w:p>
    <w:p w:rsidR="00FB4116" w:rsidRDefault="00FB4116" w:rsidP="00533EBF">
      <w:pPr>
        <w:pStyle w:val="Normln-web"/>
        <w:spacing w:line="276" w:lineRule="auto"/>
        <w:rPr>
          <w:sz w:val="20"/>
          <w:szCs w:val="20"/>
        </w:rPr>
      </w:pPr>
    </w:p>
    <w:p w:rsidR="00E77465" w:rsidRDefault="006E6AB4" w:rsidP="00533EBF">
      <w:pPr>
        <w:pStyle w:val="Normln-web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Analogicky lze hodnotit rozmístění bytů nájemních, i když v jejich případě je </w:t>
      </w:r>
      <w:r w:rsidR="00E77465">
        <w:rPr>
          <w:sz w:val="20"/>
          <w:szCs w:val="20"/>
        </w:rPr>
        <w:t xml:space="preserve">vazba na </w:t>
      </w:r>
      <w:r>
        <w:rPr>
          <w:sz w:val="20"/>
          <w:szCs w:val="20"/>
        </w:rPr>
        <w:t>druh domu</w:t>
      </w:r>
      <w:r w:rsidR="00E77465">
        <w:rPr>
          <w:sz w:val="20"/>
          <w:szCs w:val="20"/>
        </w:rPr>
        <w:t xml:space="preserve"> volnější.</w:t>
      </w:r>
    </w:p>
    <w:p w:rsidR="007B6288" w:rsidRDefault="007B6288" w:rsidP="00533EBF">
      <w:pPr>
        <w:pStyle w:val="Normln-web"/>
        <w:spacing w:line="276" w:lineRule="auto"/>
        <w:rPr>
          <w:b/>
          <w:sz w:val="20"/>
          <w:szCs w:val="20"/>
        </w:rPr>
      </w:pPr>
    </w:p>
    <w:p w:rsidR="00FB4116" w:rsidRDefault="00FB4116" w:rsidP="00533EBF">
      <w:pPr>
        <w:pStyle w:val="Normln-web"/>
        <w:spacing w:line="276" w:lineRule="auto"/>
        <w:rPr>
          <w:sz w:val="20"/>
          <w:szCs w:val="20"/>
        </w:rPr>
      </w:pPr>
      <w:r w:rsidRPr="00C72651">
        <w:rPr>
          <w:b/>
          <w:sz w:val="20"/>
          <w:szCs w:val="20"/>
        </w:rPr>
        <w:t xml:space="preserve">Graf </w:t>
      </w:r>
      <w:r>
        <w:rPr>
          <w:b/>
          <w:sz w:val="20"/>
          <w:szCs w:val="20"/>
        </w:rPr>
        <w:t xml:space="preserve">č. 7 </w:t>
      </w:r>
      <w:r w:rsidRPr="00C7265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O</w:t>
      </w:r>
      <w:r w:rsidRPr="00C72651">
        <w:rPr>
          <w:b/>
          <w:sz w:val="20"/>
          <w:szCs w:val="20"/>
        </w:rPr>
        <w:t>soby v</w:t>
      </w:r>
      <w:r>
        <w:rPr>
          <w:b/>
          <w:sz w:val="20"/>
          <w:szCs w:val="20"/>
        </w:rPr>
        <w:t xml:space="preserve"> nájemních </w:t>
      </w:r>
      <w:r w:rsidRPr="00C72651">
        <w:rPr>
          <w:b/>
          <w:sz w:val="20"/>
          <w:szCs w:val="20"/>
        </w:rPr>
        <w:t xml:space="preserve">bytech (podíl z počtu osob </w:t>
      </w:r>
      <w:r w:rsidR="0036434D">
        <w:rPr>
          <w:b/>
          <w:sz w:val="20"/>
          <w:szCs w:val="20"/>
        </w:rPr>
        <w:t xml:space="preserve">v bytech </w:t>
      </w:r>
      <w:r w:rsidRPr="00C72651">
        <w:rPr>
          <w:b/>
          <w:sz w:val="20"/>
          <w:szCs w:val="20"/>
        </w:rPr>
        <w:t>v</w:t>
      </w:r>
      <w:r>
        <w:rPr>
          <w:b/>
          <w:sz w:val="20"/>
          <w:szCs w:val="20"/>
        </w:rPr>
        <w:t> </w:t>
      </w:r>
      <w:r w:rsidRPr="00C72651">
        <w:rPr>
          <w:b/>
          <w:sz w:val="20"/>
          <w:szCs w:val="20"/>
        </w:rPr>
        <w:t>SO ORP</w:t>
      </w:r>
      <w:r>
        <w:rPr>
          <w:b/>
          <w:sz w:val="20"/>
          <w:szCs w:val="20"/>
        </w:rPr>
        <w:t xml:space="preserve"> v %</w:t>
      </w:r>
      <w:r w:rsidRPr="00C72651">
        <w:rPr>
          <w:b/>
          <w:sz w:val="20"/>
          <w:szCs w:val="20"/>
        </w:rPr>
        <w:t>) k 26.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2011</w:t>
      </w:r>
    </w:p>
    <w:p w:rsidR="00FB4116" w:rsidRDefault="00B132B0" w:rsidP="00E77465">
      <w:pPr>
        <w:pStyle w:val="Normln-web"/>
        <w:spacing w:line="276" w:lineRule="auto"/>
        <w:jc w:val="center"/>
        <w:rPr>
          <w:sz w:val="20"/>
          <w:szCs w:val="20"/>
        </w:rPr>
      </w:pPr>
      <w:r w:rsidRPr="00710BF8">
        <w:rPr>
          <w:sz w:val="20"/>
          <w:szCs w:val="20"/>
        </w:rPr>
        <w:pict>
          <v:shape id="_x0000_i1027" type="#_x0000_t75" style="width:367.5pt;height:259.5pt">
            <v:imagedata r:id="rId13" o:title="Osoby_v_byte_najem_stejne_intervaly"/>
          </v:shape>
        </w:pict>
      </w:r>
    </w:p>
    <w:p w:rsidR="00E77465" w:rsidRDefault="00FB4116" w:rsidP="00DB2238">
      <w:pPr>
        <w:pStyle w:val="Normln-web"/>
        <w:spacing w:line="276" w:lineRule="auto"/>
        <w:jc w:val="left"/>
        <w:rPr>
          <w:sz w:val="20"/>
          <w:szCs w:val="20"/>
        </w:rPr>
      </w:pPr>
      <w:r w:rsidRPr="00C72651">
        <w:rPr>
          <w:b/>
          <w:sz w:val="20"/>
          <w:szCs w:val="20"/>
        </w:rPr>
        <w:t xml:space="preserve">Graf </w:t>
      </w:r>
      <w:r>
        <w:rPr>
          <w:b/>
          <w:sz w:val="20"/>
          <w:szCs w:val="20"/>
        </w:rPr>
        <w:t xml:space="preserve">č. 8 </w:t>
      </w:r>
      <w:r w:rsidRPr="00C7265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O</w:t>
      </w:r>
      <w:r w:rsidRPr="00C72651">
        <w:rPr>
          <w:b/>
          <w:sz w:val="20"/>
          <w:szCs w:val="20"/>
        </w:rPr>
        <w:t>soby v</w:t>
      </w:r>
      <w:r>
        <w:rPr>
          <w:b/>
          <w:sz w:val="20"/>
          <w:szCs w:val="20"/>
        </w:rPr>
        <w:t xml:space="preserve"> nájemních </w:t>
      </w:r>
      <w:r w:rsidRPr="00C72651">
        <w:rPr>
          <w:b/>
          <w:sz w:val="20"/>
          <w:szCs w:val="20"/>
        </w:rPr>
        <w:t>bytech (podíl z počtu osob v</w:t>
      </w:r>
      <w:r>
        <w:rPr>
          <w:b/>
          <w:sz w:val="20"/>
          <w:szCs w:val="20"/>
        </w:rPr>
        <w:t> </w:t>
      </w:r>
      <w:r w:rsidRPr="00C72651">
        <w:rPr>
          <w:b/>
          <w:sz w:val="20"/>
          <w:szCs w:val="20"/>
        </w:rPr>
        <w:t>bytech</w:t>
      </w:r>
      <w:r>
        <w:rPr>
          <w:b/>
          <w:sz w:val="20"/>
          <w:szCs w:val="20"/>
        </w:rPr>
        <w:t xml:space="preserve"> v bytových domech</w:t>
      </w:r>
      <w:r w:rsidRPr="00C72651">
        <w:rPr>
          <w:b/>
          <w:sz w:val="20"/>
          <w:szCs w:val="20"/>
        </w:rPr>
        <w:t xml:space="preserve"> v SO ORP</w:t>
      </w:r>
      <w:r>
        <w:rPr>
          <w:b/>
          <w:sz w:val="20"/>
          <w:szCs w:val="20"/>
        </w:rPr>
        <w:t xml:space="preserve"> v</w:t>
      </w:r>
      <w:r w:rsidR="00DB2238">
        <w:rPr>
          <w:b/>
          <w:sz w:val="20"/>
          <w:szCs w:val="20"/>
        </w:rPr>
        <w:t>  %</w:t>
      </w:r>
      <w:r w:rsidRPr="00C72651">
        <w:rPr>
          <w:b/>
          <w:sz w:val="20"/>
          <w:szCs w:val="20"/>
        </w:rPr>
        <w:t>) k 26.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 xml:space="preserve"> </w:t>
      </w:r>
      <w:r w:rsidRPr="00C72651">
        <w:rPr>
          <w:b/>
          <w:sz w:val="20"/>
          <w:szCs w:val="20"/>
        </w:rPr>
        <w:t>2011</w:t>
      </w:r>
    </w:p>
    <w:p w:rsidR="00E77465" w:rsidRDefault="00B132B0" w:rsidP="00E77465">
      <w:pPr>
        <w:pStyle w:val="Normln-web"/>
        <w:spacing w:line="276" w:lineRule="auto"/>
        <w:jc w:val="center"/>
        <w:rPr>
          <w:sz w:val="20"/>
          <w:szCs w:val="20"/>
        </w:rPr>
      </w:pPr>
      <w:r w:rsidRPr="00710BF8">
        <w:rPr>
          <w:sz w:val="20"/>
          <w:szCs w:val="20"/>
        </w:rPr>
        <w:pict>
          <v:shape id="_x0000_i1028" type="#_x0000_t75" style="width:366.75pt;height:258.75pt">
            <v:imagedata r:id="rId14" o:title="Osoby_v_byte_najem_BD_stejneINTERVALY"/>
          </v:shape>
        </w:pict>
      </w:r>
    </w:p>
    <w:p w:rsidR="00E77465" w:rsidRDefault="00E77465" w:rsidP="00533EBF">
      <w:pPr>
        <w:pStyle w:val="Normln-web"/>
        <w:spacing w:line="276" w:lineRule="auto"/>
        <w:rPr>
          <w:sz w:val="20"/>
          <w:szCs w:val="20"/>
        </w:rPr>
      </w:pPr>
    </w:p>
    <w:p w:rsidR="0036434D" w:rsidRDefault="000A2D41" w:rsidP="0036434D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Byty nájemní</w:t>
      </w:r>
      <w:r w:rsidR="00E77465">
        <w:rPr>
          <w:sz w:val="20"/>
          <w:szCs w:val="20"/>
        </w:rPr>
        <w:t xml:space="preserve"> </w:t>
      </w:r>
      <w:r>
        <w:rPr>
          <w:sz w:val="20"/>
          <w:szCs w:val="20"/>
        </w:rPr>
        <w:t>měly v počtu bydlících osob nejvyšší zastoupení v</w:t>
      </w:r>
      <w:r w:rsidR="004B12AB">
        <w:rPr>
          <w:sz w:val="20"/>
          <w:szCs w:val="20"/>
        </w:rPr>
        <w:t> </w:t>
      </w:r>
      <w:r>
        <w:rPr>
          <w:sz w:val="20"/>
          <w:szCs w:val="20"/>
        </w:rPr>
        <w:t>Praze</w:t>
      </w:r>
      <w:r w:rsidR="004B12AB">
        <w:rPr>
          <w:sz w:val="20"/>
          <w:szCs w:val="20"/>
        </w:rPr>
        <w:t xml:space="preserve"> (téměř třetina všech osob v bytech)</w:t>
      </w:r>
      <w:r>
        <w:rPr>
          <w:sz w:val="20"/>
          <w:szCs w:val="20"/>
        </w:rPr>
        <w:t>, a to</w:t>
      </w:r>
      <w:r w:rsidR="004B12AB">
        <w:rPr>
          <w:sz w:val="20"/>
          <w:szCs w:val="20"/>
        </w:rPr>
        <w:t xml:space="preserve"> zejména v Praze 2 (65,5 %), v Praze 1 a Praze 3 (po 53 %).</w:t>
      </w:r>
      <w:r w:rsidR="00746369">
        <w:rPr>
          <w:sz w:val="20"/>
          <w:szCs w:val="20"/>
        </w:rPr>
        <w:t xml:space="preserve"> Tyto tři správní obvody se podílejí na počtu obyvatel Prahy bydlících v bytech 11,5 %. Na počtu osob bydlících v bytech nájemních pak 20,2 %.</w:t>
      </w:r>
    </w:p>
    <w:p w:rsidR="00E77465" w:rsidRDefault="00746369" w:rsidP="0036434D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A2D41" w:rsidRDefault="00EA0259" w:rsidP="0036434D">
      <w:pPr>
        <w:pStyle w:val="Normln-web"/>
        <w:spacing w:before="0"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Bydlení v bytech ve vlastním domě bylo </w:t>
      </w:r>
      <w:r w:rsidR="000D02C3">
        <w:rPr>
          <w:iCs/>
          <w:sz w:val="20"/>
          <w:szCs w:val="20"/>
        </w:rPr>
        <w:t>nejčastěji zastoupeno</w:t>
      </w:r>
      <w:r>
        <w:rPr>
          <w:iCs/>
          <w:sz w:val="20"/>
          <w:szCs w:val="20"/>
        </w:rPr>
        <w:t xml:space="preserve"> v oblastech s venkovskou zástavbou, tedy korespondovalo s vysokými podíly bytů v rodinných domech. Maximální zastoupení osob bydlících v bytech ve vlastním domě bylo v Kraji Vysočina (56,4 %). Nadpoloviční zastoupení</w:t>
      </w:r>
      <w:r w:rsidR="000D02C3">
        <w:rPr>
          <w:iCs/>
          <w:sz w:val="20"/>
          <w:szCs w:val="20"/>
        </w:rPr>
        <w:t xml:space="preserve"> z celkového počtu osob v bytech</w:t>
      </w:r>
      <w:r>
        <w:rPr>
          <w:iCs/>
          <w:sz w:val="20"/>
          <w:szCs w:val="20"/>
        </w:rPr>
        <w:t xml:space="preserve"> měly ještě kraje Zlínský, Středočeský, Pardubický a Jihomoravský.</w:t>
      </w:r>
    </w:p>
    <w:p w:rsidR="0036434D" w:rsidRDefault="0036434D" w:rsidP="0036434D">
      <w:pPr>
        <w:pStyle w:val="Normln-web"/>
        <w:spacing w:before="0" w:line="276" w:lineRule="auto"/>
        <w:rPr>
          <w:iCs/>
          <w:sz w:val="20"/>
          <w:szCs w:val="20"/>
        </w:rPr>
      </w:pPr>
    </w:p>
    <w:p w:rsidR="00333073" w:rsidRDefault="002D74C1" w:rsidP="0036434D">
      <w:pPr>
        <w:pStyle w:val="Normln-web"/>
        <w:spacing w:before="0"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Z údajů o </w:t>
      </w:r>
      <w:r w:rsidRPr="00533EBF">
        <w:rPr>
          <w:b/>
          <w:iCs/>
          <w:sz w:val="20"/>
          <w:szCs w:val="20"/>
        </w:rPr>
        <w:t>právním důvodu užívání v kombinaci s vlastníkem domu</w:t>
      </w:r>
      <w:r>
        <w:rPr>
          <w:iCs/>
          <w:sz w:val="20"/>
          <w:szCs w:val="20"/>
        </w:rPr>
        <w:t xml:space="preserve"> plyne, že dvě pětiny osob v bytech bydlí ve vlastním domě ve vlastnictví fyzické osoby, téměř 15 %</w:t>
      </w:r>
      <w:r w:rsidR="001A35EA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 xml:space="preserve">osob bydlí v bytech v osobním vlastnictví, kdy dům je ve spoluvlastnictví vlastníků bytů a </w:t>
      </w:r>
      <w:r w:rsidR="001A35EA">
        <w:rPr>
          <w:iCs/>
          <w:sz w:val="20"/>
          <w:szCs w:val="20"/>
        </w:rPr>
        <w:t>třetí nejvyšší zastoupení</w:t>
      </w:r>
      <w:r>
        <w:rPr>
          <w:iCs/>
          <w:sz w:val="20"/>
          <w:szCs w:val="20"/>
        </w:rPr>
        <w:t xml:space="preserve"> (cca 7 %) m</w:t>
      </w:r>
      <w:r w:rsidR="001A35EA">
        <w:rPr>
          <w:iCs/>
          <w:sz w:val="20"/>
          <w:szCs w:val="20"/>
        </w:rPr>
        <w:t xml:space="preserve">ají osoby bydlící v </w:t>
      </w:r>
      <w:r>
        <w:rPr>
          <w:iCs/>
          <w:sz w:val="20"/>
          <w:szCs w:val="20"/>
        </w:rPr>
        <w:t xml:space="preserve">nájemních bytech, kdy vlastníkem domu je obec a </w:t>
      </w:r>
      <w:r w:rsidR="001A35EA">
        <w:rPr>
          <w:iCs/>
          <w:sz w:val="20"/>
          <w:szCs w:val="20"/>
        </w:rPr>
        <w:t xml:space="preserve">zhruba stejně jsou zastoupeny osoby bydlící </w:t>
      </w:r>
      <w:r>
        <w:rPr>
          <w:iCs/>
          <w:sz w:val="20"/>
          <w:szCs w:val="20"/>
        </w:rPr>
        <w:t>v družstevních bytech, kdy vlastníkem domu je bytové družstvo.</w:t>
      </w:r>
    </w:p>
    <w:p w:rsidR="00333073" w:rsidRDefault="00333073" w:rsidP="00840075">
      <w:pPr>
        <w:pStyle w:val="Normln-web"/>
        <w:rPr>
          <w:iCs/>
          <w:sz w:val="20"/>
          <w:szCs w:val="20"/>
        </w:rPr>
      </w:pPr>
    </w:p>
    <w:tbl>
      <w:tblPr>
        <w:tblW w:w="9657" w:type="dxa"/>
        <w:jc w:val="center"/>
        <w:tblInd w:w="871" w:type="dxa"/>
        <w:tblCellMar>
          <w:left w:w="70" w:type="dxa"/>
          <w:right w:w="70" w:type="dxa"/>
        </w:tblCellMar>
        <w:tblLook w:val="04A0"/>
      </w:tblPr>
      <w:tblGrid>
        <w:gridCol w:w="2081"/>
        <w:gridCol w:w="1134"/>
        <w:gridCol w:w="992"/>
        <w:gridCol w:w="977"/>
        <w:gridCol w:w="921"/>
        <w:gridCol w:w="970"/>
        <w:gridCol w:w="881"/>
        <w:gridCol w:w="850"/>
        <w:gridCol w:w="851"/>
      </w:tblGrid>
      <w:tr w:rsidR="00333073" w:rsidRPr="00533EBF" w:rsidTr="00AF38BD">
        <w:trPr>
          <w:trHeight w:val="240"/>
          <w:jc w:val="center"/>
        </w:trPr>
        <w:tc>
          <w:tcPr>
            <w:tcW w:w="96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C72" w:rsidRDefault="00760C72" w:rsidP="00333073">
            <w:pPr>
              <w:suppressAutoHyphens w:val="0"/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Tab. č. 7 </w:t>
            </w:r>
            <w:r w:rsidR="00333073" w:rsidRPr="006E41A1"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>Osoby bydlící v bytech podle právního důvodu užívání bytu a vlastníka domu</w:t>
            </w:r>
            <w:r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 xml:space="preserve"> </w:t>
            </w:r>
          </w:p>
          <w:p w:rsidR="00333073" w:rsidRPr="006E41A1" w:rsidRDefault="00760C72" w:rsidP="00333073">
            <w:pPr>
              <w:suppressAutoHyphens w:val="0"/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</w:pPr>
            <w:r>
              <w:rPr>
                <w:rFonts w:cs="Arial"/>
                <w:b/>
                <w:bCs/>
                <w:noProof w:val="0"/>
                <w:color w:val="000000"/>
                <w:sz w:val="20"/>
                <w:szCs w:val="20"/>
                <w:lang w:eastAsia="cs-CZ"/>
              </w:rPr>
              <w:t>k 26. 3. 2011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100BE2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Vlastník domu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Osoby </w:t>
            </w: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br/>
              <w:t>v bytech celkem</w:t>
            </w:r>
          </w:p>
        </w:tc>
        <w:tc>
          <w:tcPr>
            <w:tcW w:w="64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Právní důvod užívání bytu</w:t>
            </w:r>
          </w:p>
        </w:tc>
      </w:tr>
      <w:tr w:rsidR="00333073" w:rsidRPr="00533EBF" w:rsidTr="00AF38BD">
        <w:trPr>
          <w:trHeight w:val="720"/>
          <w:jc w:val="center"/>
        </w:trPr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73" w:rsidRPr="00AF38BD" w:rsidRDefault="00333073" w:rsidP="00333073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73" w:rsidRPr="00AF38BD" w:rsidRDefault="00333073" w:rsidP="00333073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byt </w:t>
            </w: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br/>
              <w:t>ve vlastním domě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byt </w:t>
            </w: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br/>
              <w:t>v osobním vlastnictví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jiné bezplatné užívání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byt </w:t>
            </w: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br/>
              <w:t>nájemní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2460A4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byt družstev-ní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333073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jiný důvod užívání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073" w:rsidRPr="00AF38BD" w:rsidRDefault="00333073" w:rsidP="005A2BAA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nezjiště</w:t>
            </w:r>
            <w:proofErr w:type="spellEnd"/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-no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333073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Osoby v bytech celkem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10 144 961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4 290 789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1 835 602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289 801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2 071 519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893 811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96 461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666 978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fyzická osoba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5 200 122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4 100 290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289 801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438 103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2460A4"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54 860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317 068</w:t>
            </w:r>
          </w:p>
        </w:tc>
      </w:tr>
      <w:tr w:rsidR="00333073" w:rsidRPr="00533EBF" w:rsidTr="00AF38BD">
        <w:trPr>
          <w:trHeight w:val="48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2460A4" w:rsidP="002460A4">
            <w:pPr>
              <w:suppressAutoHyphens w:val="0"/>
              <w:ind w:left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spoluvlastnictví</w:t>
            </w:r>
            <w:r w:rsidR="00333073"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vlastníků bytů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2 046 088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187 519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1 485 933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251 476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18 367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102 793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obec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800 798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7A44C6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743 331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57 467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stát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22 284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7A44C6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20 194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2 090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bytové družstvo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1 022 264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7A44C6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260 724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706 140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6 296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49 104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jiná právnická osoba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243 702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7A44C6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207 312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7 396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28 994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kombinace vlastníků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577 912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2 734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275 550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2460A4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73 746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187 669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5 848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32 365</w:t>
            </w:r>
          </w:p>
        </w:tc>
      </w:tr>
      <w:tr w:rsidR="00333073" w:rsidRPr="00533EBF" w:rsidTr="00AF38BD">
        <w:trPr>
          <w:trHeight w:val="240"/>
          <w:jc w:val="center"/>
        </w:trPr>
        <w:tc>
          <w:tcPr>
            <w:tcW w:w="2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073" w:rsidRPr="00AF38BD" w:rsidRDefault="00333073" w:rsidP="002460A4">
            <w:pPr>
              <w:suppressAutoHyphens w:val="0"/>
              <w:ind w:firstLine="218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nezjištěno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231 791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74 119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AF38BD" w:rsidP="00AF38BD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76 633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3 694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073" w:rsidRPr="00AF38BD" w:rsidRDefault="00333073" w:rsidP="00333073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AF38BD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77 097</w:t>
            </w:r>
          </w:p>
        </w:tc>
      </w:tr>
    </w:tbl>
    <w:p w:rsidR="00333073" w:rsidRDefault="00333073" w:rsidP="00840075">
      <w:pPr>
        <w:pStyle w:val="Normln-web"/>
        <w:rPr>
          <w:iCs/>
          <w:sz w:val="20"/>
          <w:szCs w:val="20"/>
        </w:rPr>
      </w:pPr>
    </w:p>
    <w:p w:rsidR="0036434D" w:rsidRDefault="002D74C1" w:rsidP="0036434D">
      <w:pPr>
        <w:pStyle w:val="Normln-web"/>
        <w:spacing w:before="0"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Nejpestřejší škála bydlení </w:t>
      </w:r>
      <w:r w:rsidR="001A35EA">
        <w:rPr>
          <w:iCs/>
          <w:sz w:val="20"/>
          <w:szCs w:val="20"/>
        </w:rPr>
        <w:t>byla</w:t>
      </w:r>
      <w:r>
        <w:rPr>
          <w:iCs/>
          <w:sz w:val="20"/>
          <w:szCs w:val="20"/>
        </w:rPr>
        <w:t xml:space="preserve"> u nájemních bytů</w:t>
      </w:r>
      <w:r w:rsidR="001A35EA">
        <w:rPr>
          <w:iCs/>
          <w:sz w:val="20"/>
          <w:szCs w:val="20"/>
        </w:rPr>
        <w:t>, zejména proto, že p</w:t>
      </w:r>
      <w:r>
        <w:rPr>
          <w:iCs/>
          <w:sz w:val="20"/>
          <w:szCs w:val="20"/>
        </w:rPr>
        <w:t xml:space="preserve">rávní důvod užívání bytu se zjišťoval z pohledu uživatele bytu bez ohledu na vlastníka bytu či vlastníka domu. Proto se bydlení v nájemních bytech objevuje ve všech vlastnických formách domů i ve všech druzích domu. Z celkového počtu osob bydlících v nájemních domech byly nejčastěji zastoupeny </w:t>
      </w:r>
      <w:r w:rsidR="001A35EA">
        <w:rPr>
          <w:iCs/>
          <w:sz w:val="20"/>
          <w:szCs w:val="20"/>
        </w:rPr>
        <w:t>osoby v nájemních bytech</w:t>
      </w:r>
      <w:r w:rsidR="005A15AE">
        <w:rPr>
          <w:iCs/>
          <w:sz w:val="20"/>
          <w:szCs w:val="20"/>
        </w:rPr>
        <w:t xml:space="preserve"> v domech ve vlastnictví</w:t>
      </w:r>
      <w:r w:rsidR="001A35EA">
        <w:rPr>
          <w:iCs/>
          <w:sz w:val="20"/>
          <w:szCs w:val="20"/>
        </w:rPr>
        <w:t xml:space="preserve"> obce (36 % osob bydlících v nájemních bytech) a v nájemních bytech v domech ve vlastnictví fyzické osoby (21,1 %).</w:t>
      </w:r>
      <w:r w:rsidR="005A15AE">
        <w:rPr>
          <w:iCs/>
          <w:sz w:val="20"/>
          <w:szCs w:val="20"/>
        </w:rPr>
        <w:t xml:space="preserve"> </w:t>
      </w:r>
      <w:r w:rsidR="001A35EA">
        <w:rPr>
          <w:iCs/>
          <w:sz w:val="20"/>
          <w:szCs w:val="20"/>
        </w:rPr>
        <w:t>Téměř stejné podíly (12 %) připadly na nájemní byty v domech družstevních nebo ve spoluvlastnictví vlastníků bytů - jde tedy o případy, kdy vlastníci bytů nebo členové družstva své byty sami neužívají, ale pronajímají je jiným osobám.</w:t>
      </w:r>
    </w:p>
    <w:p w:rsidR="00333073" w:rsidRDefault="001A35EA" w:rsidP="0036434D">
      <w:pPr>
        <w:pStyle w:val="Normln-web"/>
        <w:spacing w:before="0"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A84380" w:rsidRDefault="00A84380" w:rsidP="00C117FF">
      <w:pPr>
        <w:pStyle w:val="Normln-web"/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Pro </w:t>
      </w:r>
      <w:r w:rsidRPr="00840075">
        <w:rPr>
          <w:b/>
          <w:sz w:val="20"/>
          <w:szCs w:val="20"/>
        </w:rPr>
        <w:t xml:space="preserve">kvalitativní </w:t>
      </w:r>
      <w:r w:rsidRPr="00533EBF">
        <w:rPr>
          <w:b/>
          <w:sz w:val="20"/>
          <w:szCs w:val="20"/>
        </w:rPr>
        <w:t>parametry bydlení v bytech</w:t>
      </w:r>
      <w:r>
        <w:rPr>
          <w:sz w:val="20"/>
          <w:szCs w:val="20"/>
        </w:rPr>
        <w:t xml:space="preserve"> platilo, že se ve srovnání s rokem 2001 došlo k výraznému skokovému zlepšení hodnot; důvodem byla ale </w:t>
      </w:r>
      <w:r w:rsidR="00840075">
        <w:rPr>
          <w:sz w:val="20"/>
          <w:szCs w:val="20"/>
        </w:rPr>
        <w:t xml:space="preserve">především </w:t>
      </w:r>
      <w:r>
        <w:rPr>
          <w:sz w:val="20"/>
          <w:szCs w:val="20"/>
        </w:rPr>
        <w:t>metodická změna definice obytné místnosti.</w:t>
      </w:r>
      <w:r w:rsidR="009022A0">
        <w:rPr>
          <w:sz w:val="20"/>
          <w:szCs w:val="20"/>
        </w:rPr>
        <w:t xml:space="preserve"> Při sčítání 2011 byla podle mezinárodní metodiky za obytnou místnost považována i kuchyň, pokud splnila parametry velikosti (8 m</w:t>
      </w:r>
      <w:r w:rsidR="009022A0" w:rsidRPr="009022A0">
        <w:rPr>
          <w:sz w:val="20"/>
          <w:szCs w:val="20"/>
          <w:vertAlign w:val="superscript"/>
        </w:rPr>
        <w:t>2</w:t>
      </w:r>
      <w:r w:rsidR="009022A0">
        <w:rPr>
          <w:sz w:val="20"/>
          <w:szCs w:val="20"/>
        </w:rPr>
        <w:t xml:space="preserve"> a více). V předchozích sčítáních se kuchyň považovala za obytnou místnost pouze v případech, kdy byla jedinou místností bytu (tzv. obytná kuchyň). Jiná koncepce obytné místnosti znamenala i změnu výpočtu obytné plochy bytu, která je součtem </w:t>
      </w:r>
      <w:r w:rsidR="00B00744">
        <w:rPr>
          <w:sz w:val="20"/>
          <w:szCs w:val="20"/>
        </w:rPr>
        <w:t xml:space="preserve">ploch </w:t>
      </w:r>
      <w:r w:rsidR="009022A0">
        <w:rPr>
          <w:sz w:val="20"/>
          <w:szCs w:val="20"/>
        </w:rPr>
        <w:t xml:space="preserve">obytných místností (v roce 2011 </w:t>
      </w:r>
      <w:r w:rsidR="009022A0">
        <w:rPr>
          <w:sz w:val="20"/>
          <w:szCs w:val="20"/>
        </w:rPr>
        <w:lastRenderedPageBreak/>
        <w:t>tedy vč. plochy kuchyně, pokud byla o velikosti 8 a více m</w:t>
      </w:r>
      <w:r w:rsidR="009022A0" w:rsidRPr="009022A0">
        <w:rPr>
          <w:sz w:val="20"/>
          <w:szCs w:val="20"/>
          <w:vertAlign w:val="superscript"/>
        </w:rPr>
        <w:t>2</w:t>
      </w:r>
      <w:r w:rsidR="009022A0">
        <w:rPr>
          <w:sz w:val="20"/>
          <w:szCs w:val="20"/>
        </w:rPr>
        <w:t>). V předchozích cenzech se do obytné plochy započítávala z kuchyně pouze plocha přesahující 12 m</w:t>
      </w:r>
      <w:r w:rsidR="009022A0" w:rsidRPr="009022A0">
        <w:rPr>
          <w:sz w:val="20"/>
          <w:szCs w:val="20"/>
          <w:vertAlign w:val="superscript"/>
        </w:rPr>
        <w:t>2</w:t>
      </w:r>
      <w:r w:rsidR="009022A0">
        <w:rPr>
          <w:sz w:val="20"/>
          <w:szCs w:val="20"/>
        </w:rPr>
        <w:t xml:space="preserve">. Tyto metodické změny znamenaly </w:t>
      </w:r>
      <w:r w:rsidR="00762FD9">
        <w:rPr>
          <w:sz w:val="20"/>
          <w:szCs w:val="20"/>
        </w:rPr>
        <w:t xml:space="preserve">nárazové </w:t>
      </w:r>
      <w:r w:rsidR="009022A0">
        <w:rPr>
          <w:sz w:val="20"/>
          <w:szCs w:val="20"/>
        </w:rPr>
        <w:t>zvýšení průměrných hodnot pokud jde o obytnou plochu a počet obytných místností</w:t>
      </w:r>
      <w:r w:rsidR="006E41A1">
        <w:rPr>
          <w:sz w:val="20"/>
          <w:szCs w:val="20"/>
        </w:rPr>
        <w:t xml:space="preserve"> bytu</w:t>
      </w:r>
      <w:r w:rsidR="009022A0">
        <w:rPr>
          <w:sz w:val="20"/>
          <w:szCs w:val="20"/>
        </w:rPr>
        <w:t xml:space="preserve">, přestože se současně zvýšil podíl nezjištěných údajů v těchto otázkách. Při aplikaci stejné metodiky jako v roce 2001 nebyl růst hodnot natolik výrazný, přesto ale ke kvalitativním posunům došlo. </w:t>
      </w:r>
      <w:r w:rsidR="003C2331">
        <w:rPr>
          <w:sz w:val="20"/>
          <w:szCs w:val="20"/>
        </w:rPr>
        <w:t xml:space="preserve">Např. v případě počtu obytných místností zůstal zachován trend snížení podílů bytů s 1, 2 a 3 místnostmi a </w:t>
      </w:r>
      <w:r w:rsidR="00EB7E47">
        <w:rPr>
          <w:sz w:val="20"/>
          <w:szCs w:val="20"/>
        </w:rPr>
        <w:t xml:space="preserve">naopak </w:t>
      </w:r>
      <w:r w:rsidR="003C2331">
        <w:rPr>
          <w:sz w:val="20"/>
          <w:szCs w:val="20"/>
        </w:rPr>
        <w:t>růst podílů bytů se 4 a více místnostmi, jen rozdíl v procentních bodech mezi sčítáními 2001</w:t>
      </w:r>
      <w:r w:rsidR="00EB7E47">
        <w:rPr>
          <w:sz w:val="20"/>
          <w:szCs w:val="20"/>
        </w:rPr>
        <w:t xml:space="preserve"> a 2011 byl </w:t>
      </w:r>
      <w:r w:rsidR="00593406">
        <w:rPr>
          <w:sz w:val="20"/>
          <w:szCs w:val="20"/>
        </w:rPr>
        <w:t xml:space="preserve">při srovnatelné metodice výpočtu </w:t>
      </w:r>
      <w:r w:rsidR="00EB7E47">
        <w:rPr>
          <w:sz w:val="20"/>
          <w:szCs w:val="20"/>
        </w:rPr>
        <w:t>několikanásobně menší.</w:t>
      </w:r>
      <w:r w:rsidR="003C2331">
        <w:rPr>
          <w:sz w:val="20"/>
          <w:szCs w:val="20"/>
        </w:rPr>
        <w:t xml:space="preserve"> </w:t>
      </w:r>
      <w:r w:rsidR="009022A0">
        <w:rPr>
          <w:sz w:val="20"/>
          <w:szCs w:val="20"/>
        </w:rPr>
        <w:t>Vliv nové výstavby a rekonstrukce domů a bytů</w:t>
      </w:r>
      <w:r w:rsidR="00300C83">
        <w:rPr>
          <w:sz w:val="20"/>
          <w:szCs w:val="20"/>
        </w:rPr>
        <w:t>, který se</w:t>
      </w:r>
      <w:r w:rsidR="009022A0">
        <w:rPr>
          <w:sz w:val="20"/>
          <w:szCs w:val="20"/>
        </w:rPr>
        <w:t xml:space="preserve"> průběžně promítá do zvyšování kvality bydlení</w:t>
      </w:r>
      <w:r w:rsidR="00300C83">
        <w:rPr>
          <w:sz w:val="20"/>
          <w:szCs w:val="20"/>
        </w:rPr>
        <w:t>, je nezpochybnitelný</w:t>
      </w:r>
      <w:r w:rsidR="009022A0">
        <w:rPr>
          <w:sz w:val="20"/>
          <w:szCs w:val="20"/>
        </w:rPr>
        <w:t xml:space="preserve">. </w:t>
      </w:r>
    </w:p>
    <w:tbl>
      <w:tblPr>
        <w:tblW w:w="856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528"/>
        <w:gridCol w:w="1054"/>
        <w:gridCol w:w="1054"/>
        <w:gridCol w:w="1176"/>
        <w:gridCol w:w="956"/>
        <w:gridCol w:w="896"/>
        <w:gridCol w:w="896"/>
      </w:tblGrid>
      <w:tr w:rsidR="00F91AFA" w:rsidRPr="003C2331" w:rsidTr="00F91AFA">
        <w:trPr>
          <w:trHeight w:val="240"/>
          <w:jc w:val="center"/>
        </w:trPr>
        <w:tc>
          <w:tcPr>
            <w:tcW w:w="8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AFA" w:rsidRPr="003C2331" w:rsidRDefault="00760C72" w:rsidP="00B00744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Tab. č. 8 </w:t>
            </w:r>
            <w:r w:rsidR="00F91AFA" w:rsidRPr="00F91AFA"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>Osoby v bytech podle počtu obytných místností</w:t>
            </w:r>
            <w:r w:rsidR="00904EA7"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 xml:space="preserve"> v letech 2001 a 2011</w:t>
            </w:r>
          </w:p>
        </w:tc>
      </w:tr>
      <w:tr w:rsidR="003C2331" w:rsidRPr="003C2331" w:rsidTr="006E6AB4">
        <w:trPr>
          <w:trHeight w:val="915"/>
          <w:jc w:val="center"/>
        </w:trPr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D30" w:rsidRDefault="003C2331" w:rsidP="003C2331">
            <w:pPr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6"/>
                <w:szCs w:val="16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br/>
            </w:r>
            <w:proofErr w:type="gramStart"/>
            <w:r w:rsidRPr="003C2331">
              <w:rPr>
                <w:rFonts w:cs="Arial"/>
                <w:i/>
                <w:iCs/>
                <w:noProof w:val="0"/>
                <w:color w:val="000000"/>
                <w:sz w:val="16"/>
                <w:szCs w:val="16"/>
                <w:lang w:eastAsia="cs-CZ"/>
              </w:rPr>
              <w:t>dle</w:t>
            </w:r>
            <w:proofErr w:type="gramEnd"/>
            <w:r w:rsidRPr="003C2331">
              <w:rPr>
                <w:rFonts w:cs="Arial"/>
                <w:i/>
                <w:iCs/>
                <w:noProof w:val="0"/>
                <w:color w:val="000000"/>
                <w:sz w:val="16"/>
                <w:szCs w:val="16"/>
                <w:lang w:eastAsia="cs-CZ"/>
              </w:rPr>
              <w:t xml:space="preserve"> </w:t>
            </w:r>
          </w:p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6"/>
                <w:szCs w:val="16"/>
                <w:lang w:eastAsia="cs-CZ"/>
              </w:rPr>
              <w:t>metodiky 2001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br/>
            </w:r>
            <w:r w:rsidRPr="003C2331">
              <w:rPr>
                <w:rFonts w:cs="Arial"/>
                <w:i/>
                <w:iCs/>
                <w:noProof w:val="0"/>
                <w:color w:val="000000"/>
                <w:sz w:val="16"/>
                <w:szCs w:val="16"/>
                <w:lang w:eastAsia="cs-CZ"/>
              </w:rPr>
              <w:t>dle metodiky 2001</w:t>
            </w:r>
          </w:p>
        </w:tc>
      </w:tr>
      <w:tr w:rsidR="003C2331" w:rsidRPr="003C2331" w:rsidTr="006E6AB4">
        <w:trPr>
          <w:trHeight w:val="420"/>
          <w:jc w:val="center"/>
        </w:trPr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</w:tr>
      <w:tr w:rsidR="003C2331" w:rsidRPr="003C2331" w:rsidTr="006E6AB4">
        <w:trPr>
          <w:trHeight w:val="42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Osoby v bytech celkem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10 101 302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10 144 961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10 144 961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  <w:tr w:rsidR="003C2331" w:rsidRPr="003C2331" w:rsidTr="006E6AB4">
        <w:trPr>
          <w:trHeight w:val="48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331" w:rsidRPr="003C2331" w:rsidRDefault="00593406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v tom v bytech s počt</w:t>
            </w:r>
            <w:r w:rsidR="003C2331"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em obytných místností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862 660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338 873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739 735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8,5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3,3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7,3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2 669 730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980 233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2 173 425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26,4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9,7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21,4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3 940 356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2 279 902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3 387 638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39,0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22,5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33,4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1 500 375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2 982 796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1 680 570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14,9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29,4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16,6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5+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1 062 656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2 810 737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1 411 173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10,5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27,7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13,9</w:t>
            </w:r>
          </w:p>
        </w:tc>
      </w:tr>
      <w:tr w:rsidR="003C2331" w:rsidRPr="003C2331" w:rsidTr="006E6AB4">
        <w:trPr>
          <w:trHeight w:val="240"/>
          <w:jc w:val="center"/>
        </w:trPr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5A2BAA" w:rsidP="005A2BAA">
            <w:pPr>
              <w:suppressAutoHyphens w:val="0"/>
              <w:ind w:firstLineChars="200" w:firstLine="36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n</w:t>
            </w:r>
            <w:r w:rsidR="003C2331"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ezj</w:t>
            </w:r>
            <w:r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ištěno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65 525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752 420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752 420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7,4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31" w:rsidRPr="003C2331" w:rsidRDefault="003C2331" w:rsidP="003C2331">
            <w:pPr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3C233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7,4</w:t>
            </w:r>
          </w:p>
        </w:tc>
      </w:tr>
    </w:tbl>
    <w:p w:rsidR="00D72689" w:rsidRDefault="00FF5DA2" w:rsidP="00E77465">
      <w:pPr>
        <w:pStyle w:val="Nadpis1a"/>
        <w:tabs>
          <w:tab w:val="left" w:pos="3119"/>
        </w:tabs>
        <w:spacing w:line="276" w:lineRule="auto"/>
        <w:rPr>
          <w:b w:val="0"/>
          <w:i w:val="0"/>
          <w:noProof/>
          <w:sz w:val="20"/>
          <w:szCs w:val="20"/>
        </w:rPr>
      </w:pPr>
      <w:r>
        <w:rPr>
          <w:b w:val="0"/>
          <w:i w:val="0"/>
          <w:noProof/>
          <w:sz w:val="20"/>
          <w:szCs w:val="20"/>
        </w:rPr>
        <w:t>Terminologická změna  a částečně i omezená detailní srovnatelnost dat byla v </w:t>
      </w:r>
      <w:r w:rsidRPr="00112B68">
        <w:rPr>
          <w:i w:val="0"/>
          <w:noProof/>
          <w:sz w:val="20"/>
          <w:szCs w:val="20"/>
        </w:rPr>
        <w:t>typologii bytů</w:t>
      </w:r>
      <w:r>
        <w:rPr>
          <w:b w:val="0"/>
          <w:i w:val="0"/>
          <w:noProof/>
          <w:sz w:val="20"/>
          <w:szCs w:val="20"/>
        </w:rPr>
        <w:t>. Do sčítání 20</w:t>
      </w:r>
      <w:r w:rsidR="007C6E1A">
        <w:rPr>
          <w:b w:val="0"/>
          <w:i w:val="0"/>
          <w:noProof/>
          <w:sz w:val="20"/>
          <w:szCs w:val="20"/>
        </w:rPr>
        <w:t>0</w:t>
      </w:r>
      <w:r>
        <w:rPr>
          <w:b w:val="0"/>
          <w:i w:val="0"/>
          <w:noProof/>
          <w:sz w:val="20"/>
          <w:szCs w:val="20"/>
        </w:rPr>
        <w:t>1 včetně se na základě vyhodnocení vybavení bytů příslušným vytápěním a příslušenstvím odvozovaly čtyři kategorie bytu (I. - IV.) S ohledem na právní normy platné při provádění cenzu 2011 a v souladu s požadavky uživatelů dat státní správy byly v rámci výsledků sčítání 2011 zpracovány nikoliv kategorie bytu, ale základní typy bytu - byty standardní a byty se sníženou kvalitou.</w:t>
      </w:r>
    </w:p>
    <w:p w:rsidR="00B93AE1" w:rsidRPr="00B93AE1" w:rsidRDefault="00B93AE1" w:rsidP="00B93AE1">
      <w:pPr>
        <w:pStyle w:val="Normln-web"/>
      </w:pPr>
    </w:p>
    <w:tbl>
      <w:tblPr>
        <w:tblW w:w="908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6A0"/>
      </w:tblPr>
      <w:tblGrid>
        <w:gridCol w:w="1908"/>
        <w:gridCol w:w="965"/>
        <w:gridCol w:w="988"/>
        <w:gridCol w:w="965"/>
        <w:gridCol w:w="989"/>
        <w:gridCol w:w="1163"/>
        <w:gridCol w:w="2107"/>
      </w:tblGrid>
      <w:tr w:rsidR="00F723B5" w:rsidRPr="003031C0" w:rsidTr="00C117FF">
        <w:trPr>
          <w:trHeight w:val="240"/>
          <w:tblCellSpacing w:w="20" w:type="dxa"/>
          <w:jc w:val="center"/>
        </w:trPr>
        <w:tc>
          <w:tcPr>
            <w:tcW w:w="9005" w:type="dxa"/>
            <w:gridSpan w:val="7"/>
            <w:shd w:val="clear" w:color="auto" w:fill="F2F2F2" w:themeFill="background1" w:themeFillShade="F2"/>
            <w:vAlign w:val="bottom"/>
            <w:hideMark/>
          </w:tcPr>
          <w:p w:rsidR="00F723B5" w:rsidRPr="003031C0" w:rsidRDefault="00263C0C" w:rsidP="00263C0C">
            <w:pPr>
              <w:suppressAutoHyphens w:val="0"/>
              <w:rPr>
                <w:rFonts w:cs="Arial"/>
                <w:bCs/>
                <w:i/>
                <w:noProof w:val="0"/>
                <w:sz w:val="18"/>
                <w:szCs w:val="18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8"/>
                <w:szCs w:val="18"/>
                <w:lang w:eastAsia="cs-CZ"/>
              </w:rPr>
              <w:t>Metodika porovnání kategorií a typu bytu ve s</w:t>
            </w:r>
            <w:r w:rsidR="00306C5A" w:rsidRPr="003031C0">
              <w:rPr>
                <w:rFonts w:cs="Arial"/>
                <w:bCs/>
                <w:i/>
                <w:noProof w:val="0"/>
                <w:sz w:val="18"/>
                <w:szCs w:val="18"/>
                <w:lang w:eastAsia="cs-CZ"/>
              </w:rPr>
              <w:t>čítání</w:t>
            </w:r>
            <w:r w:rsidR="00F723B5" w:rsidRPr="003031C0">
              <w:rPr>
                <w:rFonts w:cs="Arial"/>
                <w:bCs/>
                <w:i/>
                <w:noProof w:val="0"/>
                <w:sz w:val="18"/>
                <w:szCs w:val="18"/>
                <w:lang w:eastAsia="cs-CZ"/>
              </w:rPr>
              <w:t xml:space="preserve"> 2001 a 2011 </w:t>
            </w:r>
            <w:r w:rsidR="00306C5A" w:rsidRPr="003031C0">
              <w:rPr>
                <w:rFonts w:cs="Arial"/>
                <w:bCs/>
                <w:i/>
                <w:noProof w:val="0"/>
                <w:sz w:val="18"/>
                <w:szCs w:val="18"/>
                <w:lang w:eastAsia="cs-CZ"/>
              </w:rPr>
              <w:t xml:space="preserve"> </w:t>
            </w:r>
          </w:p>
        </w:tc>
      </w:tr>
      <w:tr w:rsidR="00F723B5" w:rsidRPr="003031C0" w:rsidTr="00C117FF">
        <w:trPr>
          <w:trHeight w:hRule="exact" w:val="397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vytápění</w:t>
            </w:r>
          </w:p>
        </w:tc>
        <w:tc>
          <w:tcPr>
            <w:tcW w:w="1913" w:type="dxa"/>
            <w:gridSpan w:val="2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splachovací záchod</w:t>
            </w:r>
          </w:p>
        </w:tc>
        <w:tc>
          <w:tcPr>
            <w:tcW w:w="1914" w:type="dxa"/>
            <w:gridSpan w:val="2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koupelna, sprchový kout</w:t>
            </w:r>
          </w:p>
        </w:tc>
        <w:tc>
          <w:tcPr>
            <w:tcW w:w="1123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306A0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2001</w:t>
            </w: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br/>
            </w:r>
          </w:p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kategorie</w:t>
            </w: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br/>
              <w:t>bytu</w:t>
            </w:r>
          </w:p>
        </w:tc>
        <w:tc>
          <w:tcPr>
            <w:tcW w:w="204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306A0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2011</w:t>
            </w: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br/>
            </w:r>
          </w:p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typ bytu</w:t>
            </w: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br/>
              <w:t xml:space="preserve"> </w:t>
            </w:r>
          </w:p>
        </w:tc>
      </w:tr>
      <w:tr w:rsidR="00F723B5" w:rsidRPr="003031C0" w:rsidTr="00C117FF">
        <w:trPr>
          <w:trHeight w:hRule="exact" w:val="680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ústřední nebo elektrické, plynové etážové vč. kamen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vlastní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společný/</w:t>
            </w: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br/>
              <w:t>žádný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vlastní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E80801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společná/</w:t>
            </w: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br/>
              <w:t>žádná</w:t>
            </w:r>
          </w:p>
        </w:tc>
        <w:tc>
          <w:tcPr>
            <w:tcW w:w="1123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  <w:tc>
          <w:tcPr>
            <w:tcW w:w="2047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I.</w:t>
            </w:r>
          </w:p>
        </w:tc>
        <w:tc>
          <w:tcPr>
            <w:tcW w:w="204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standardní byt</w:t>
            </w: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II.</w:t>
            </w:r>
          </w:p>
        </w:tc>
        <w:tc>
          <w:tcPr>
            <w:tcW w:w="2047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II.</w:t>
            </w:r>
          </w:p>
        </w:tc>
        <w:tc>
          <w:tcPr>
            <w:tcW w:w="2047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III.</w:t>
            </w:r>
          </w:p>
        </w:tc>
        <w:tc>
          <w:tcPr>
            <w:tcW w:w="2047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byt se sníženou kvalitou</w:t>
            </w: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II.</w:t>
            </w:r>
          </w:p>
        </w:tc>
        <w:tc>
          <w:tcPr>
            <w:tcW w:w="2047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standardní byt</w:t>
            </w: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III.</w:t>
            </w:r>
          </w:p>
        </w:tc>
        <w:tc>
          <w:tcPr>
            <w:tcW w:w="204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byt se sníženou kvalitou</w:t>
            </w: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III.</w:t>
            </w:r>
          </w:p>
        </w:tc>
        <w:tc>
          <w:tcPr>
            <w:tcW w:w="2047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</w:tr>
      <w:tr w:rsidR="00F723B5" w:rsidRPr="003031C0" w:rsidTr="00C117FF">
        <w:trPr>
          <w:trHeight w:hRule="exact" w:val="255"/>
          <w:tblCellSpacing w:w="20" w:type="dxa"/>
          <w:jc w:val="center"/>
        </w:trPr>
        <w:tc>
          <w:tcPr>
            <w:tcW w:w="18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 xml:space="preserve"> -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bottom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i/>
                <w:noProof w:val="0"/>
                <w:sz w:val="16"/>
                <w:szCs w:val="16"/>
                <w:lang w:eastAsia="cs-CZ"/>
              </w:rPr>
              <w:t>ano</w:t>
            </w:r>
          </w:p>
        </w:tc>
        <w:tc>
          <w:tcPr>
            <w:tcW w:w="1123" w:type="dxa"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jc w:val="center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  <w:r w:rsidRPr="003031C0"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  <w:t>IV.</w:t>
            </w:r>
          </w:p>
        </w:tc>
        <w:tc>
          <w:tcPr>
            <w:tcW w:w="2047" w:type="dxa"/>
            <w:vMerge/>
            <w:shd w:val="clear" w:color="auto" w:fill="F2F2F2" w:themeFill="background1" w:themeFillShade="F2"/>
            <w:vAlign w:val="center"/>
            <w:hideMark/>
          </w:tcPr>
          <w:p w:rsidR="00F723B5" w:rsidRPr="003031C0" w:rsidRDefault="00F723B5" w:rsidP="00F723B5">
            <w:pPr>
              <w:suppressAutoHyphens w:val="0"/>
              <w:rPr>
                <w:rFonts w:cs="Arial"/>
                <w:bCs/>
                <w:i/>
                <w:noProof w:val="0"/>
                <w:sz w:val="16"/>
                <w:szCs w:val="16"/>
                <w:lang w:eastAsia="cs-CZ"/>
              </w:rPr>
            </w:pPr>
          </w:p>
        </w:tc>
      </w:tr>
    </w:tbl>
    <w:p w:rsidR="00E74EC8" w:rsidRDefault="00E74EC8" w:rsidP="0087228E">
      <w:pPr>
        <w:pStyle w:val="Normln-web"/>
        <w:rPr>
          <w:sz w:val="20"/>
          <w:szCs w:val="20"/>
        </w:rPr>
      </w:pPr>
    </w:p>
    <w:p w:rsidR="00B93AE1" w:rsidRDefault="00E77465" w:rsidP="00B93AE1">
      <w:pPr>
        <w:pStyle w:val="Nadpis1a"/>
        <w:tabs>
          <w:tab w:val="left" w:pos="3119"/>
        </w:tabs>
        <w:spacing w:before="0" w:after="0" w:line="276" w:lineRule="auto"/>
        <w:rPr>
          <w:b w:val="0"/>
          <w:i w:val="0"/>
          <w:noProof/>
          <w:sz w:val="20"/>
          <w:szCs w:val="20"/>
        </w:rPr>
      </w:pPr>
      <w:r>
        <w:rPr>
          <w:b w:val="0"/>
          <w:i w:val="0"/>
          <w:noProof/>
          <w:sz w:val="20"/>
          <w:szCs w:val="20"/>
        </w:rPr>
        <w:lastRenderedPageBreak/>
        <w:t>Pro umožnění srovnatelnosti s předchozími sčítáními byly byty standardní zpracovány a publikovány ještě v detailnějším členění podle vytápění a příslušenství, což umožňuje srovnatelnost bývalých I. a II. kategorie bytu. Byty se sníženou kvalitou jsou srovnatelné s agregací bývalých kategorií III. a IV. Vzhledem k malé váze těchto nejméně kvalitních bytů ale menší detail výstupů neznamená významnou ztrátu informací.</w:t>
      </w:r>
    </w:p>
    <w:p w:rsidR="00C117FF" w:rsidRDefault="00C117FF" w:rsidP="00B93AE1">
      <w:pPr>
        <w:pStyle w:val="Normln-web"/>
        <w:spacing w:before="0" w:line="276" w:lineRule="auto"/>
        <w:rPr>
          <w:sz w:val="20"/>
          <w:szCs w:val="20"/>
        </w:rPr>
      </w:pPr>
    </w:p>
    <w:p w:rsidR="00DF5A71" w:rsidRDefault="00E74EC8" w:rsidP="00B93AE1">
      <w:pPr>
        <w:pStyle w:val="Normln-web"/>
        <w:spacing w:before="0" w:line="276" w:lineRule="auto"/>
        <w:rPr>
          <w:sz w:val="20"/>
          <w:szCs w:val="20"/>
        </w:rPr>
      </w:pPr>
      <w:r w:rsidRPr="00E74EC8">
        <w:rPr>
          <w:sz w:val="20"/>
          <w:szCs w:val="20"/>
        </w:rPr>
        <w:t>Počet obyvatel bydlících  ve standardních bytech</w:t>
      </w:r>
      <w:r w:rsidR="00E17DA6">
        <w:rPr>
          <w:sz w:val="20"/>
          <w:szCs w:val="20"/>
        </w:rPr>
        <w:t xml:space="preserve"> v roce 2011 činil 9,1 mil. osob, což představovalo 90 % osob bydlících v bytech. V porovnání s výsledky sčítání 2001 příp. 1991 jsou hodnoty nižší. Neznamená to ale, že by se reálně kvalita bydlení v bytech snížila. Ukazatel typu bytu byl totiž v rámci zpracování významně ovlivněn nezjištěnými hodnotami u příslušenství bytu. </w:t>
      </w:r>
      <w:r w:rsidR="00336D49">
        <w:rPr>
          <w:sz w:val="20"/>
          <w:szCs w:val="20"/>
        </w:rPr>
        <w:t>Nezjištěnou koupelnu mělo 598 tisíc osob bydlících v bytech, nezjištěný záchod 591 tisíc</w:t>
      </w:r>
      <w:r w:rsidR="00563BB4">
        <w:rPr>
          <w:sz w:val="20"/>
          <w:szCs w:val="20"/>
        </w:rPr>
        <w:t>;</w:t>
      </w:r>
      <w:r w:rsidR="00336D49">
        <w:rPr>
          <w:sz w:val="20"/>
          <w:szCs w:val="20"/>
        </w:rPr>
        <w:t xml:space="preserve"> nezjištěné příslušenství celkem (obě položky současně) </w:t>
      </w:r>
      <w:r w:rsidR="009306A0">
        <w:rPr>
          <w:sz w:val="20"/>
          <w:szCs w:val="20"/>
        </w:rPr>
        <w:t xml:space="preserve">bylo u </w:t>
      </w:r>
      <w:r w:rsidR="00336D49">
        <w:rPr>
          <w:sz w:val="20"/>
          <w:szCs w:val="20"/>
        </w:rPr>
        <w:t xml:space="preserve">více než 579 tisíc osob. </w:t>
      </w:r>
      <w:r w:rsidR="00F5229C">
        <w:rPr>
          <w:sz w:val="20"/>
          <w:szCs w:val="20"/>
        </w:rPr>
        <w:t>Téměř 225 tisíc osob bydlelo v bytech, kde nebyl zjištěn způsob vytápění a typ bytu zůstal proto nezjištěný.</w:t>
      </w:r>
      <w:r w:rsidR="00754193">
        <w:rPr>
          <w:sz w:val="20"/>
          <w:szCs w:val="20"/>
        </w:rPr>
        <w:t xml:space="preserve"> Proces</w:t>
      </w:r>
      <w:r w:rsidR="00336D49">
        <w:rPr>
          <w:sz w:val="20"/>
          <w:szCs w:val="20"/>
        </w:rPr>
        <w:t xml:space="preserve"> zpracování s maximální mírou automatických procesů umožňoval korekci chybějících údajů </w:t>
      </w:r>
      <w:r w:rsidR="00754193">
        <w:rPr>
          <w:sz w:val="20"/>
          <w:szCs w:val="20"/>
        </w:rPr>
        <w:t xml:space="preserve">pouze </w:t>
      </w:r>
      <w:r w:rsidR="00336D49">
        <w:rPr>
          <w:sz w:val="20"/>
          <w:szCs w:val="20"/>
        </w:rPr>
        <w:t xml:space="preserve">v případě doplnění údajů z domu na byt, což byl např. případ ústředního topení s kotelnou v domě nebo s kotelnou mimo dům. </w:t>
      </w:r>
      <w:r w:rsidR="00563BB4">
        <w:rPr>
          <w:sz w:val="20"/>
          <w:szCs w:val="20"/>
        </w:rPr>
        <w:t xml:space="preserve">Chybějící </w:t>
      </w:r>
      <w:r w:rsidR="00336D49">
        <w:rPr>
          <w:sz w:val="20"/>
          <w:szCs w:val="20"/>
        </w:rPr>
        <w:t xml:space="preserve">informace o příslušenství bytu spolu s informací o ústředním topení potom byly </w:t>
      </w:r>
      <w:r w:rsidR="009306A0">
        <w:rPr>
          <w:sz w:val="20"/>
          <w:szCs w:val="20"/>
        </w:rPr>
        <w:t>vyhodnoceny</w:t>
      </w:r>
      <w:r w:rsidR="00336D49">
        <w:rPr>
          <w:sz w:val="20"/>
          <w:szCs w:val="20"/>
        </w:rPr>
        <w:t xml:space="preserve"> jako </w:t>
      </w:r>
      <w:r w:rsidR="009E029E">
        <w:rPr>
          <w:sz w:val="20"/>
          <w:szCs w:val="20"/>
        </w:rPr>
        <w:t xml:space="preserve">nedostatečné vybavení bytu </w:t>
      </w:r>
      <w:r w:rsidR="00754193">
        <w:rPr>
          <w:sz w:val="20"/>
          <w:szCs w:val="20"/>
        </w:rPr>
        <w:t xml:space="preserve">(protože způsob vytápění byl pro určení typu bytu zásadní) </w:t>
      </w:r>
      <w:r w:rsidR="009E029E">
        <w:rPr>
          <w:sz w:val="20"/>
          <w:szCs w:val="20"/>
        </w:rPr>
        <w:t xml:space="preserve">a vyústily do </w:t>
      </w:r>
      <w:r w:rsidR="00754193">
        <w:rPr>
          <w:sz w:val="20"/>
          <w:szCs w:val="20"/>
        </w:rPr>
        <w:t xml:space="preserve">stanovení </w:t>
      </w:r>
      <w:r w:rsidR="000C6FA3">
        <w:rPr>
          <w:sz w:val="20"/>
          <w:szCs w:val="20"/>
        </w:rPr>
        <w:t>bytu se sníženou kvalitou</w:t>
      </w:r>
      <w:r w:rsidR="00280C69">
        <w:rPr>
          <w:sz w:val="20"/>
          <w:szCs w:val="20"/>
        </w:rPr>
        <w:t>. P</w:t>
      </w:r>
      <w:r w:rsidR="00355BF6">
        <w:rPr>
          <w:sz w:val="20"/>
          <w:szCs w:val="20"/>
        </w:rPr>
        <w:t xml:space="preserve">odle </w:t>
      </w:r>
      <w:r w:rsidR="00280C69">
        <w:rPr>
          <w:sz w:val="20"/>
          <w:szCs w:val="20"/>
        </w:rPr>
        <w:t xml:space="preserve">informace o existenci </w:t>
      </w:r>
      <w:r w:rsidR="00355BF6">
        <w:rPr>
          <w:sz w:val="20"/>
          <w:szCs w:val="20"/>
        </w:rPr>
        <w:t xml:space="preserve">ústředního topení </w:t>
      </w:r>
      <w:r w:rsidR="0039015A">
        <w:rPr>
          <w:sz w:val="20"/>
          <w:szCs w:val="20"/>
        </w:rPr>
        <w:t xml:space="preserve">byly ale </w:t>
      </w:r>
      <w:r w:rsidR="00355BF6">
        <w:rPr>
          <w:sz w:val="20"/>
          <w:szCs w:val="20"/>
        </w:rPr>
        <w:t xml:space="preserve">pravděpodobně </w:t>
      </w:r>
      <w:r w:rsidR="0039015A">
        <w:rPr>
          <w:sz w:val="20"/>
          <w:szCs w:val="20"/>
        </w:rPr>
        <w:t xml:space="preserve">i tyto byty </w:t>
      </w:r>
      <w:r w:rsidR="00355BF6">
        <w:rPr>
          <w:sz w:val="20"/>
          <w:szCs w:val="20"/>
        </w:rPr>
        <w:t>standardně vybavené</w:t>
      </w:r>
      <w:r w:rsidR="00280C69">
        <w:rPr>
          <w:sz w:val="20"/>
          <w:szCs w:val="20"/>
        </w:rPr>
        <w:t xml:space="preserve">, protože kombinace ústředního topení a </w:t>
      </w:r>
      <w:r w:rsidR="0039015A">
        <w:rPr>
          <w:sz w:val="20"/>
          <w:szCs w:val="20"/>
        </w:rPr>
        <w:t>úplného příslušenství</w:t>
      </w:r>
      <w:r w:rsidR="00280C69">
        <w:rPr>
          <w:sz w:val="20"/>
          <w:szCs w:val="20"/>
        </w:rPr>
        <w:t xml:space="preserve"> bytů je nejčastější</w:t>
      </w:r>
      <w:r w:rsidR="00355BF6">
        <w:rPr>
          <w:sz w:val="20"/>
          <w:szCs w:val="20"/>
        </w:rPr>
        <w:t>.</w:t>
      </w:r>
      <w:r w:rsidR="00280C69">
        <w:rPr>
          <w:sz w:val="20"/>
          <w:szCs w:val="20"/>
        </w:rPr>
        <w:t xml:space="preserve"> </w:t>
      </w:r>
      <w:r w:rsidR="000C6FA3">
        <w:rPr>
          <w:sz w:val="20"/>
          <w:szCs w:val="20"/>
        </w:rPr>
        <w:t xml:space="preserve"> </w:t>
      </w:r>
      <w:r w:rsidR="00355BF6">
        <w:rPr>
          <w:sz w:val="20"/>
          <w:szCs w:val="20"/>
        </w:rPr>
        <w:t>Ani v</w:t>
      </w:r>
      <w:r w:rsidR="00563BB4">
        <w:rPr>
          <w:sz w:val="20"/>
          <w:szCs w:val="20"/>
        </w:rPr>
        <w:t xml:space="preserve">zhledem k absolutním hodnotám z roku 2001 a rozsahu nové výstavby resp. rekonstrukcí domů a tedy i bytů, nelze předpokládat, že by se počet bytů s neúplným nebo chybějícícm příslušenstvím zvyšoval. </w:t>
      </w:r>
      <w:r w:rsidR="000C6FA3">
        <w:rPr>
          <w:sz w:val="20"/>
          <w:szCs w:val="20"/>
        </w:rPr>
        <w:t>Z těchto důvodů lze odhadnout, že počty standardních bytů jsou podhodnoceny a počty bytů se sníženou kvalitou nadhodnoceny</w:t>
      </w:r>
      <w:r w:rsidR="0060050E">
        <w:rPr>
          <w:sz w:val="20"/>
          <w:szCs w:val="20"/>
        </w:rPr>
        <w:t xml:space="preserve">. </w:t>
      </w:r>
      <w:r w:rsidR="00355BF6">
        <w:rPr>
          <w:sz w:val="20"/>
          <w:szCs w:val="20"/>
        </w:rPr>
        <w:t>Z výpočtu tohoto nad(pod)hodnocení vyplývá, že</w:t>
      </w:r>
      <w:r w:rsidR="00566545">
        <w:rPr>
          <w:sz w:val="20"/>
          <w:szCs w:val="20"/>
        </w:rPr>
        <w:t xml:space="preserve"> cca</w:t>
      </w:r>
      <w:r w:rsidR="00355BF6">
        <w:rPr>
          <w:sz w:val="20"/>
          <w:szCs w:val="20"/>
        </w:rPr>
        <w:t xml:space="preserve"> 3,</w:t>
      </w:r>
      <w:r w:rsidR="00566545">
        <w:rPr>
          <w:sz w:val="20"/>
          <w:szCs w:val="20"/>
        </w:rPr>
        <w:t>7</w:t>
      </w:r>
      <w:r w:rsidR="00355BF6">
        <w:rPr>
          <w:sz w:val="20"/>
          <w:szCs w:val="20"/>
        </w:rPr>
        <w:t xml:space="preserve"> procentního bodu by </w:t>
      </w:r>
      <w:r w:rsidR="009306A0">
        <w:rPr>
          <w:sz w:val="20"/>
          <w:szCs w:val="20"/>
        </w:rPr>
        <w:t>se mohlo přesunout mezi byty standardními a byty se sníženou kvalitou</w:t>
      </w:r>
      <w:r w:rsidR="0039015A">
        <w:rPr>
          <w:sz w:val="20"/>
          <w:szCs w:val="20"/>
        </w:rPr>
        <w:t>.</w:t>
      </w:r>
      <w:r w:rsidR="00355BF6">
        <w:rPr>
          <w:sz w:val="20"/>
          <w:szCs w:val="20"/>
        </w:rPr>
        <w:t xml:space="preserve"> </w:t>
      </w:r>
      <w:r w:rsidR="003B29E3">
        <w:rPr>
          <w:sz w:val="20"/>
          <w:szCs w:val="20"/>
        </w:rPr>
        <w:t>V</w:t>
      </w:r>
      <w:r w:rsidR="00355BF6">
        <w:rPr>
          <w:sz w:val="20"/>
          <w:szCs w:val="20"/>
        </w:rPr>
        <w:t xml:space="preserve">ývoj počtu osob v bytech podle jejich typu (kategorie) </w:t>
      </w:r>
      <w:r w:rsidR="003B29E3">
        <w:rPr>
          <w:sz w:val="20"/>
          <w:szCs w:val="20"/>
        </w:rPr>
        <w:t>je možné</w:t>
      </w:r>
      <w:r w:rsidR="00355BF6">
        <w:rPr>
          <w:sz w:val="20"/>
          <w:szCs w:val="20"/>
        </w:rPr>
        <w:t xml:space="preserve"> i v období 2001 - 2011 hodnotit jako pozi</w:t>
      </w:r>
      <w:r w:rsidR="009306A0">
        <w:rPr>
          <w:sz w:val="20"/>
          <w:szCs w:val="20"/>
        </w:rPr>
        <w:t>ti</w:t>
      </w:r>
      <w:r w:rsidR="00355BF6">
        <w:rPr>
          <w:sz w:val="20"/>
          <w:szCs w:val="20"/>
        </w:rPr>
        <w:t>vní trend zlepšení kvality bydlení.</w:t>
      </w:r>
    </w:p>
    <w:p w:rsidR="00B93AE1" w:rsidRDefault="00B93AE1" w:rsidP="00B93AE1">
      <w:pPr>
        <w:pStyle w:val="Normln-web"/>
        <w:spacing w:before="0" w:line="276" w:lineRule="auto"/>
        <w:rPr>
          <w:sz w:val="20"/>
          <w:szCs w:val="20"/>
        </w:rPr>
      </w:pPr>
    </w:p>
    <w:tbl>
      <w:tblPr>
        <w:tblW w:w="932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26"/>
        <w:gridCol w:w="750"/>
        <w:gridCol w:w="384"/>
        <w:gridCol w:w="591"/>
        <w:gridCol w:w="864"/>
        <w:gridCol w:w="270"/>
        <w:gridCol w:w="591"/>
        <w:gridCol w:w="1027"/>
        <w:gridCol w:w="107"/>
        <w:gridCol w:w="615"/>
      </w:tblGrid>
      <w:tr w:rsidR="00593406" w:rsidRPr="00DF5A71" w:rsidTr="00930C18">
        <w:trPr>
          <w:trHeight w:val="360"/>
        </w:trPr>
        <w:tc>
          <w:tcPr>
            <w:tcW w:w="93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406" w:rsidRPr="00E06791" w:rsidRDefault="00760C72" w:rsidP="00B93AE1">
            <w:pPr>
              <w:keepNext/>
              <w:keepLines/>
              <w:suppressAutoHyphens w:val="0"/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Tab. č. 9 </w:t>
            </w:r>
            <w:r w:rsidR="00593406" w:rsidRPr="00E06791">
              <w:rPr>
                <w:rFonts w:cs="Arial"/>
                <w:b/>
                <w:noProof w:val="0"/>
                <w:color w:val="000000"/>
                <w:sz w:val="20"/>
                <w:szCs w:val="20"/>
                <w:lang w:eastAsia="cs-CZ"/>
              </w:rPr>
              <w:t>Osoby v bytech podle druhu domu a typu bytu v letech 1991 - 2011</w:t>
            </w:r>
          </w:p>
        </w:tc>
      </w:tr>
      <w:tr w:rsidR="00DF5A71" w:rsidRPr="00DF5A71" w:rsidTr="00AB094A">
        <w:trPr>
          <w:trHeight w:val="10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</w:tr>
      <w:tr w:rsidR="00DF5A71" w:rsidRPr="00DF5A71" w:rsidTr="00AB094A">
        <w:trPr>
          <w:trHeight w:val="255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1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2011</w:t>
            </w:r>
          </w:p>
        </w:tc>
      </w:tr>
      <w:tr w:rsidR="00DF5A71" w:rsidRPr="00DF5A71" w:rsidTr="00AB094A">
        <w:trPr>
          <w:trHeight w:val="255"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abs.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%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Byty celkem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10 238 057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10 101 302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10 144 961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z toho typ bytu: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standardní - s </w:t>
            </w:r>
            <w:proofErr w:type="spellStart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ú.t</w:t>
            </w:r>
            <w:proofErr w:type="spellEnd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  <w:proofErr w:type="gramEnd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a úplným přísl.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7 573 555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9 094 991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9 021 808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88,9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standardní - s </w:t>
            </w:r>
            <w:proofErr w:type="spellStart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ú.t</w:t>
            </w:r>
            <w:proofErr w:type="spellEnd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  <w:proofErr w:type="gramEnd"/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a částečným </w:t>
            </w:r>
            <w:r w:rsidR="005A2BAA"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přísl.</w:t>
            </w:r>
            <w:r w:rsidR="005A2BAA" w:rsidRPr="00DF5A71">
              <w:rPr>
                <w:rFonts w:cs="Arial"/>
                <w:noProof w:val="0"/>
                <w:color w:val="000000"/>
                <w:sz w:val="18"/>
                <w:szCs w:val="18"/>
                <w:vertAlign w:val="superscript"/>
                <w:lang w:eastAsia="cs-CZ"/>
              </w:rPr>
              <w:t xml:space="preserve"> 1)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2 067 708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701 767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421 928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4,2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se sníženou kvalitou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596 794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250 683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476 292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4,7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2F2F2" w:fill="F2F2F2"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ind w:left="229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 xml:space="preserve">se sníženou kvalitou s eliminací </w:t>
            </w:r>
            <w:proofErr w:type="spellStart"/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nezj</w:t>
            </w:r>
            <w:proofErr w:type="spellEnd"/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 xml:space="preserve">. </w:t>
            </w:r>
            <w:proofErr w:type="spellStart"/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přísl</w:t>
            </w:r>
            <w:r w:rsidR="00AB094A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uš</w:t>
            </w:r>
            <w:proofErr w:type="spellEnd"/>
            <w:r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101 245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2F2F2" w:fill="F2F2F2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i/>
                <w:iCs/>
                <w:noProof w:val="0"/>
                <w:color w:val="000000"/>
                <w:sz w:val="18"/>
                <w:szCs w:val="18"/>
                <w:lang w:eastAsia="cs-CZ"/>
              </w:rPr>
              <w:t>1,0</w:t>
            </w:r>
          </w:p>
        </w:tc>
      </w:tr>
      <w:tr w:rsidR="00DF5A71" w:rsidRPr="00DF5A71" w:rsidTr="00AB094A">
        <w:trPr>
          <w:trHeight w:hRule="exact" w:val="28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nezjištěná kategorie/typ bytu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-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53 861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224 933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2,2</w:t>
            </w:r>
          </w:p>
        </w:tc>
      </w:tr>
      <w:tr w:rsidR="00DF5A71" w:rsidRPr="00DF5A71" w:rsidTr="00AB094A">
        <w:trPr>
          <w:trHeight w:val="255"/>
        </w:trPr>
        <w:tc>
          <w:tcPr>
            <w:tcW w:w="5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6"/>
                <w:szCs w:val="16"/>
                <w:lang w:eastAsia="cs-CZ"/>
              </w:rPr>
            </w:pPr>
            <w:r w:rsidRPr="00DF5A71">
              <w:rPr>
                <w:rFonts w:cs="Arial"/>
                <w:noProof w:val="0"/>
                <w:color w:val="000000"/>
                <w:sz w:val="16"/>
                <w:szCs w:val="16"/>
                <w:lang w:eastAsia="cs-CZ"/>
              </w:rPr>
              <w:t>1) nebo bez ústředního topení a s úplným příslušenstvím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A71" w:rsidRPr="00DF5A71" w:rsidRDefault="00DF5A71" w:rsidP="00760C72">
            <w:pPr>
              <w:keepNext/>
              <w:keepLines/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306C5A" w:rsidRDefault="00306C5A" w:rsidP="00306C5A">
      <w:pPr>
        <w:pStyle w:val="Normln-web"/>
        <w:spacing w:line="276" w:lineRule="auto"/>
        <w:rPr>
          <w:sz w:val="20"/>
          <w:szCs w:val="20"/>
        </w:rPr>
      </w:pPr>
    </w:p>
    <w:p w:rsidR="00B93AE1" w:rsidRDefault="007B34CD" w:rsidP="00B93AE1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t>Rozdíly v krajích v zastoupení osob bydlících ve standardních bytech na počtu osob v bytech celkem se pohybovaly v intervalu od 89,5 % (</w:t>
      </w:r>
      <w:r w:rsidR="004C5116">
        <w:rPr>
          <w:sz w:val="20"/>
          <w:szCs w:val="20"/>
        </w:rPr>
        <w:t xml:space="preserve">Hl. m. </w:t>
      </w:r>
      <w:r>
        <w:rPr>
          <w:sz w:val="20"/>
          <w:szCs w:val="20"/>
        </w:rPr>
        <w:t>Praha) do 95,4 % (</w:t>
      </w:r>
      <w:r w:rsidR="004C5116">
        <w:rPr>
          <w:sz w:val="20"/>
          <w:szCs w:val="20"/>
        </w:rPr>
        <w:t xml:space="preserve">Kraj </w:t>
      </w:r>
      <w:r>
        <w:rPr>
          <w:sz w:val="20"/>
          <w:szCs w:val="20"/>
        </w:rPr>
        <w:t>Vysočina). Současně ale byly i rozdíly u nezjištěného typu bytu (v intervalu 4,6 % - 1,0 %). Právě v Praze, kde bylo zastoupení standardních bytů nejnižší</w:t>
      </w:r>
      <w:r w:rsidR="00AB094A">
        <w:rPr>
          <w:sz w:val="20"/>
          <w:szCs w:val="20"/>
        </w:rPr>
        <w:t>,</w:t>
      </w:r>
      <w:r>
        <w:rPr>
          <w:sz w:val="20"/>
          <w:szCs w:val="20"/>
        </w:rPr>
        <w:t xml:space="preserve"> byl současně nejvyšší podíl osob bydlících v bytech s nezjištěným typem. Protože nezjištěné hodnoty mohou ovlivnit </w:t>
      </w:r>
      <w:r w:rsidR="00AB094A">
        <w:rPr>
          <w:sz w:val="20"/>
          <w:szCs w:val="20"/>
        </w:rPr>
        <w:t xml:space="preserve">ostatní </w:t>
      </w:r>
      <w:r>
        <w:rPr>
          <w:sz w:val="20"/>
          <w:szCs w:val="20"/>
        </w:rPr>
        <w:t>podíly jak směrem nahoru, tak směrem dolů, může být rozptyl podílu standardních bytů i nižší než byl zjištěn.</w:t>
      </w:r>
    </w:p>
    <w:p w:rsidR="00B93AE1" w:rsidRDefault="00B93AE1" w:rsidP="00B93AE1">
      <w:pPr>
        <w:pStyle w:val="Normln-web"/>
        <w:spacing w:before="0" w:line="276" w:lineRule="auto"/>
        <w:rPr>
          <w:sz w:val="20"/>
          <w:szCs w:val="20"/>
        </w:rPr>
      </w:pPr>
    </w:p>
    <w:p w:rsidR="002503A3" w:rsidRDefault="000A7854" w:rsidP="00B93AE1">
      <w:pPr>
        <w:pStyle w:val="Normln-web"/>
        <w:spacing w:before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Způsob vytápění bytů kombinoval informace o způsobu vytápění a o existenci či neexistenci ústředního topení v domě, příp. o umístění kotelny. Z celkového počtu osob bydlících v bytech </w:t>
      </w:r>
      <w:r w:rsidR="00434CB4">
        <w:rPr>
          <w:sz w:val="20"/>
          <w:szCs w:val="20"/>
        </w:rPr>
        <w:t>více než čtyři pětiny žily v domech s ústředním topením. Nejčastěji to byly domy s kotelnou v domě (více než polovina všech osob v bytech), 30 % osob připadlo na domy  s</w:t>
      </w:r>
      <w:r w:rsidR="00394D79">
        <w:rPr>
          <w:sz w:val="20"/>
          <w:szCs w:val="20"/>
        </w:rPr>
        <w:t xml:space="preserve"> </w:t>
      </w:r>
      <w:r w:rsidR="00434CB4">
        <w:rPr>
          <w:sz w:val="20"/>
          <w:szCs w:val="20"/>
        </w:rPr>
        <w:t xml:space="preserve">ústředním topením s kotelnou mimo dům. V bytech s lokálním topením bydlelo v roce 2011 necelých 15 % osob bydlících v bytech, přitom rozložení na byty </w:t>
      </w:r>
      <w:r w:rsidR="00434CB4" w:rsidRPr="002503A3">
        <w:rPr>
          <w:sz w:val="20"/>
          <w:szCs w:val="20"/>
        </w:rPr>
        <w:t>s etážovým topením a s kamny bylo téměř rovnoměrné.</w:t>
      </w:r>
    </w:p>
    <w:p w:rsidR="00B93AE1" w:rsidRPr="002503A3" w:rsidRDefault="00B93AE1" w:rsidP="00B93AE1">
      <w:pPr>
        <w:pStyle w:val="Normln-web"/>
        <w:spacing w:before="0" w:line="276" w:lineRule="auto"/>
        <w:rPr>
          <w:sz w:val="20"/>
          <w:szCs w:val="20"/>
        </w:rPr>
      </w:pPr>
    </w:p>
    <w:p w:rsidR="00112B68" w:rsidRDefault="00566545" w:rsidP="00B93AE1">
      <w:pPr>
        <w:pStyle w:val="Normln-web"/>
        <w:spacing w:before="0" w:line="276" w:lineRule="auto"/>
        <w:rPr>
          <w:sz w:val="20"/>
          <w:szCs w:val="20"/>
        </w:rPr>
      </w:pPr>
      <w:r w:rsidRPr="002503A3">
        <w:rPr>
          <w:sz w:val="20"/>
          <w:szCs w:val="20"/>
        </w:rPr>
        <w:t>Technická vybavenost bytů příp. domů se vyvíjela dlouhodobě příznivě. Územní rozdíly přetrvávaly v plynofikaci či v míře připojení na kanalizační síť</w:t>
      </w:r>
      <w:r w:rsidR="00AE45C3" w:rsidRPr="002503A3">
        <w:rPr>
          <w:sz w:val="20"/>
          <w:szCs w:val="20"/>
        </w:rPr>
        <w:t xml:space="preserve">, přestože i v těchto charakteristikách se postupně </w:t>
      </w:r>
      <w:r w:rsidR="000A7854" w:rsidRPr="002503A3">
        <w:rPr>
          <w:sz w:val="20"/>
          <w:szCs w:val="20"/>
        </w:rPr>
        <w:t xml:space="preserve">v regionálním měřítku </w:t>
      </w:r>
      <w:r w:rsidR="00AE45C3" w:rsidRPr="002503A3">
        <w:rPr>
          <w:sz w:val="20"/>
          <w:szCs w:val="20"/>
        </w:rPr>
        <w:t>hodnoty sbližovaly</w:t>
      </w:r>
      <w:r w:rsidRPr="002503A3">
        <w:rPr>
          <w:sz w:val="20"/>
          <w:szCs w:val="20"/>
        </w:rPr>
        <w:t>.</w:t>
      </w:r>
      <w:r w:rsidR="00AB094A" w:rsidRPr="002503A3">
        <w:rPr>
          <w:sz w:val="20"/>
          <w:szCs w:val="20"/>
        </w:rPr>
        <w:t xml:space="preserve"> </w:t>
      </w:r>
    </w:p>
    <w:p w:rsidR="00D85825" w:rsidRDefault="00D85825" w:rsidP="00B93AE1">
      <w:pPr>
        <w:pStyle w:val="Normln-web"/>
        <w:spacing w:before="0" w:line="276" w:lineRule="auto"/>
        <w:rPr>
          <w:sz w:val="20"/>
          <w:szCs w:val="20"/>
        </w:rPr>
      </w:pPr>
    </w:p>
    <w:tbl>
      <w:tblPr>
        <w:tblW w:w="8573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228"/>
        <w:gridCol w:w="992"/>
        <w:gridCol w:w="993"/>
        <w:gridCol w:w="1047"/>
        <w:gridCol w:w="1079"/>
        <w:gridCol w:w="1134"/>
        <w:gridCol w:w="1100"/>
      </w:tblGrid>
      <w:tr w:rsidR="00D85825" w:rsidRPr="00D85825" w:rsidTr="00D85825">
        <w:trPr>
          <w:trHeight w:val="480"/>
          <w:jc w:val="center"/>
        </w:trPr>
        <w:tc>
          <w:tcPr>
            <w:tcW w:w="857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85825" w:rsidRDefault="00D85825" w:rsidP="00D85825">
            <w:pPr>
              <w:suppressAutoHyphens w:val="0"/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 xml:space="preserve">Tab. </w:t>
            </w:r>
            <w:proofErr w:type="gramStart"/>
            <w:r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>č.</w:t>
            </w:r>
            <w:proofErr w:type="gramEnd"/>
            <w:r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85825"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>10 Podíly osob bydlících v bytech podle technické vybavenosti bytu a domu k 26. 3. 2011</w:t>
            </w:r>
          </w:p>
          <w:p w:rsidR="00D85825" w:rsidRPr="00D85825" w:rsidRDefault="00D85825" w:rsidP="00D85825">
            <w:pPr>
              <w:suppressAutoHyphens w:val="0"/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>(</w:t>
            </w:r>
            <w:r w:rsidRPr="00D85825"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>v %</w:t>
            </w:r>
            <w:r>
              <w:rPr>
                <w:rFonts w:cs="Arial"/>
                <w:b/>
                <w:bCs/>
                <w:noProof w:val="0"/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Kraje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vodovod v bytě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plyn z veřejné sítě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bez plynu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přípoj na kanalizační síť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žumpa,</w:t>
            </w:r>
          </w:p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jímka</w:t>
            </w:r>
          </w:p>
        </w:tc>
      </w:tr>
      <w:tr w:rsidR="00D85825" w:rsidRPr="00D85825" w:rsidTr="00D85825">
        <w:trPr>
          <w:trHeight w:val="720"/>
          <w:jc w:val="center"/>
        </w:trPr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z veřejné sítě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 xml:space="preserve"> domácí</w:t>
            </w:r>
          </w:p>
          <w:p w:rsidR="00D85825" w:rsidRPr="00D85825" w:rsidRDefault="00D85825" w:rsidP="00D85825">
            <w:pPr>
              <w:suppressAutoHyphens w:val="0"/>
              <w:jc w:val="center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soukromý</w:t>
            </w: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rPr>
                <w:rFonts w:cs="Arial"/>
                <w:bCs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bCs/>
                <w:noProof w:val="0"/>
                <w:color w:val="000000"/>
                <w:sz w:val="18"/>
                <w:szCs w:val="18"/>
                <w:lang w:eastAsia="cs-CZ"/>
              </w:rPr>
              <w:t>Česká republika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84,2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8,6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61,7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76,0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20,3</w:t>
            </w:r>
          </w:p>
        </w:tc>
      </w:tr>
      <w:tr w:rsidR="00D85825" w:rsidRPr="00D85825" w:rsidTr="00D85825">
        <w:trPr>
          <w:trHeight w:val="255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Hlavní město Praha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89,1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0,6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62,9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92,7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4,5</w:t>
            </w:r>
          </w:p>
        </w:tc>
      </w:tr>
      <w:tr w:rsidR="00D85825" w:rsidRPr="00D85825" w:rsidTr="00D85825">
        <w:trPr>
          <w:trHeight w:val="255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Středočeský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73,3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18,1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48,4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68,7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26,7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Jihočeský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83,4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10,4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38,7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51,3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78,6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18,4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Plzeňský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77,7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15,2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60,6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74,2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21,1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Karlovarský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86,1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4,3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62,3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85,6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11,2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Ústecký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88,6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2,8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61,8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81,2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15,0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Liberecký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84,3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7,9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47,1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66,4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27,0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Královéhradecký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82,6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10,9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50,2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68,4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25,3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Pardubický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87,6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6,7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62,1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66,6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28,7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Kraj Vysočina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83,8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11,1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56,7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36,8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70,8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25,7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Jihomoravský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86,8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6,5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77,4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81,3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16,4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Olomoucký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81,7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12,3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69,8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74,8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22,2</w:t>
            </w:r>
          </w:p>
        </w:tc>
      </w:tr>
      <w:tr w:rsidR="00D85825" w:rsidRPr="00D85825" w:rsidTr="00D85825">
        <w:trPr>
          <w:trHeight w:val="240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Zlínský kraj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81,6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12,4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68,5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25,1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74,9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21,9</w:t>
            </w:r>
          </w:p>
        </w:tc>
      </w:tr>
      <w:tr w:rsidR="00D85825" w:rsidRPr="00D85825" w:rsidTr="008103D6">
        <w:trPr>
          <w:trHeight w:val="111"/>
          <w:jc w:val="center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ind w:firstLineChars="100" w:firstLine="180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Moravskoslezský kraj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89,8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4,6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76,5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69,4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825" w:rsidRPr="00D85825" w:rsidRDefault="00D85825" w:rsidP="00D85825">
            <w:pPr>
              <w:suppressAutoHyphens w:val="0"/>
              <w:jc w:val="right"/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</w:pPr>
            <w:r w:rsidRPr="00D85825">
              <w:rPr>
                <w:rFonts w:cs="Arial"/>
                <w:noProof w:val="0"/>
                <w:color w:val="000000"/>
                <w:sz w:val="18"/>
                <w:szCs w:val="18"/>
                <w:lang w:eastAsia="cs-CZ"/>
              </w:rPr>
              <w:t>27,5</w:t>
            </w:r>
          </w:p>
        </w:tc>
      </w:tr>
    </w:tbl>
    <w:p w:rsidR="00D85825" w:rsidRDefault="00D85825" w:rsidP="00B93AE1">
      <w:pPr>
        <w:pStyle w:val="Normln-web"/>
        <w:spacing w:before="0" w:line="276" w:lineRule="auto"/>
        <w:rPr>
          <w:sz w:val="20"/>
          <w:szCs w:val="20"/>
        </w:rPr>
      </w:pPr>
    </w:p>
    <w:p w:rsidR="00D85825" w:rsidRDefault="00D85825" w:rsidP="00B93AE1">
      <w:pPr>
        <w:pStyle w:val="Normln-web"/>
        <w:spacing w:before="0" w:line="276" w:lineRule="auto"/>
        <w:rPr>
          <w:sz w:val="20"/>
          <w:szCs w:val="20"/>
        </w:rPr>
      </w:pPr>
    </w:p>
    <w:bookmarkEnd w:id="0"/>
    <w:p w:rsidR="00E80801" w:rsidRDefault="00DB1E5E" w:rsidP="008103D6">
      <w:pPr>
        <w:pStyle w:val="Nadpis1a"/>
        <w:spacing w:before="0" w:after="0" w:line="276" w:lineRule="auto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Pro většinu osob bydlících v bytě platilo, že </w:t>
      </w:r>
      <w:r w:rsidR="00E06791">
        <w:rPr>
          <w:b w:val="0"/>
          <w:i w:val="0"/>
          <w:sz w:val="20"/>
          <w:szCs w:val="20"/>
        </w:rPr>
        <w:t xml:space="preserve">žily </w:t>
      </w:r>
      <w:r>
        <w:rPr>
          <w:b w:val="0"/>
          <w:i w:val="0"/>
          <w:sz w:val="20"/>
          <w:szCs w:val="20"/>
        </w:rPr>
        <w:t xml:space="preserve">v bytě </w:t>
      </w:r>
      <w:r w:rsidR="00E06791">
        <w:rPr>
          <w:b w:val="0"/>
          <w:i w:val="0"/>
          <w:sz w:val="20"/>
          <w:szCs w:val="20"/>
        </w:rPr>
        <w:t>v rámci</w:t>
      </w:r>
      <w:r>
        <w:rPr>
          <w:b w:val="0"/>
          <w:i w:val="0"/>
          <w:sz w:val="20"/>
          <w:szCs w:val="20"/>
        </w:rPr>
        <w:t xml:space="preserve"> pouze jedin</w:t>
      </w:r>
      <w:r w:rsidR="00E06791">
        <w:rPr>
          <w:b w:val="0"/>
          <w:i w:val="0"/>
          <w:sz w:val="20"/>
          <w:szCs w:val="20"/>
        </w:rPr>
        <w:t>é</w:t>
      </w:r>
      <w:r>
        <w:rPr>
          <w:b w:val="0"/>
          <w:i w:val="0"/>
          <w:sz w:val="20"/>
          <w:szCs w:val="20"/>
        </w:rPr>
        <w:t xml:space="preserve"> hospodařící domácnost</w:t>
      </w:r>
      <w:r w:rsidR="00E06791">
        <w:rPr>
          <w:b w:val="0"/>
          <w:i w:val="0"/>
          <w:sz w:val="20"/>
          <w:szCs w:val="20"/>
        </w:rPr>
        <w:t>i</w:t>
      </w:r>
      <w:r>
        <w:rPr>
          <w:b w:val="0"/>
          <w:i w:val="0"/>
          <w:sz w:val="20"/>
          <w:szCs w:val="20"/>
        </w:rPr>
        <w:t xml:space="preserve">. </w:t>
      </w:r>
      <w:r w:rsidR="008A0C74">
        <w:rPr>
          <w:b w:val="0"/>
          <w:i w:val="0"/>
          <w:sz w:val="20"/>
          <w:szCs w:val="20"/>
        </w:rPr>
        <w:t>Jen</w:t>
      </w:r>
      <w:r>
        <w:rPr>
          <w:b w:val="0"/>
          <w:i w:val="0"/>
          <w:sz w:val="20"/>
          <w:szCs w:val="20"/>
        </w:rPr>
        <w:t xml:space="preserve"> 8,4 % (absolutně 857 tisíc osob) žilo v bytech obydlených dvěma nebo více domácnost</w:t>
      </w:r>
      <w:r w:rsidR="00100BE2">
        <w:rPr>
          <w:b w:val="0"/>
          <w:i w:val="0"/>
          <w:sz w:val="20"/>
          <w:szCs w:val="20"/>
        </w:rPr>
        <w:t>m</w:t>
      </w:r>
      <w:r>
        <w:rPr>
          <w:b w:val="0"/>
          <w:i w:val="0"/>
          <w:sz w:val="20"/>
          <w:szCs w:val="20"/>
        </w:rPr>
        <w:t>i. Nejčastěji bylo zastoupeno spolubydlení jednotlivce a jedné rodiny a spolubydlení dvou úplných rodin. Pouhých 1,2 % osob (124 tis. osob) bydlelo</w:t>
      </w:r>
      <w:r w:rsidRPr="00DB1E5E">
        <w:rPr>
          <w:b w:val="0"/>
          <w:i w:val="0"/>
          <w:sz w:val="20"/>
          <w:szCs w:val="20"/>
        </w:rPr>
        <w:t xml:space="preserve"> </w:t>
      </w:r>
      <w:r>
        <w:rPr>
          <w:b w:val="0"/>
          <w:i w:val="0"/>
          <w:sz w:val="20"/>
          <w:szCs w:val="20"/>
        </w:rPr>
        <w:t>v bytech, ve kterých žily společně 3 a více hospodařících domácností.</w:t>
      </w:r>
    </w:p>
    <w:p w:rsidR="008103D6" w:rsidRPr="008103D6" w:rsidRDefault="008103D6" w:rsidP="008103D6">
      <w:pPr>
        <w:pStyle w:val="Normln-web"/>
      </w:pPr>
    </w:p>
    <w:p w:rsidR="00830A13" w:rsidRDefault="00830A13" w:rsidP="008103D6">
      <w:pPr>
        <w:pStyle w:val="Nadpis1a"/>
        <w:spacing w:before="0" w:after="0" w:line="276" w:lineRule="auto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Z hlediska zalidněnosti bytu nejvyšší podíly bydlících osob připadly na byty se 2, 3 nebo 4 osobami. Zastoupení bylo velmi vyrovnané mezi 22 a 25 %. </w:t>
      </w:r>
      <w:r w:rsidR="00100BE2">
        <w:rPr>
          <w:b w:val="0"/>
          <w:i w:val="0"/>
          <w:sz w:val="20"/>
          <w:szCs w:val="20"/>
        </w:rPr>
        <w:t>Jako j</w:t>
      </w:r>
      <w:r>
        <w:rPr>
          <w:b w:val="0"/>
          <w:i w:val="0"/>
          <w:sz w:val="20"/>
          <w:szCs w:val="20"/>
        </w:rPr>
        <w:t xml:space="preserve">ediná osoba v bytě </w:t>
      </w:r>
      <w:r w:rsidR="00100BE2">
        <w:rPr>
          <w:b w:val="0"/>
          <w:i w:val="0"/>
          <w:sz w:val="20"/>
          <w:szCs w:val="20"/>
        </w:rPr>
        <w:t>žilo</w:t>
      </w:r>
      <w:r>
        <w:rPr>
          <w:b w:val="0"/>
          <w:i w:val="0"/>
          <w:sz w:val="20"/>
          <w:szCs w:val="20"/>
        </w:rPr>
        <w:t xml:space="preserve"> 12 % </w:t>
      </w:r>
      <w:r w:rsidR="00100BE2">
        <w:rPr>
          <w:b w:val="0"/>
          <w:i w:val="0"/>
          <w:sz w:val="20"/>
          <w:szCs w:val="20"/>
        </w:rPr>
        <w:t>osob</w:t>
      </w:r>
      <w:r>
        <w:rPr>
          <w:b w:val="0"/>
          <w:i w:val="0"/>
          <w:sz w:val="20"/>
          <w:szCs w:val="20"/>
        </w:rPr>
        <w:t xml:space="preserve">, většinou </w:t>
      </w:r>
      <w:r w:rsidR="00100BE2">
        <w:rPr>
          <w:b w:val="0"/>
          <w:i w:val="0"/>
          <w:sz w:val="20"/>
          <w:szCs w:val="20"/>
        </w:rPr>
        <w:t>to byli</w:t>
      </w:r>
      <w:r>
        <w:rPr>
          <w:b w:val="0"/>
          <w:i w:val="0"/>
          <w:sz w:val="20"/>
          <w:szCs w:val="20"/>
        </w:rPr>
        <w:t xml:space="preserve"> </w:t>
      </w:r>
      <w:r w:rsidR="00100BE2">
        <w:rPr>
          <w:b w:val="0"/>
          <w:i w:val="0"/>
          <w:sz w:val="20"/>
          <w:szCs w:val="20"/>
        </w:rPr>
        <w:t>senioři</w:t>
      </w:r>
      <w:r>
        <w:rPr>
          <w:b w:val="0"/>
          <w:i w:val="0"/>
          <w:sz w:val="20"/>
          <w:szCs w:val="20"/>
        </w:rPr>
        <w:t>.</w:t>
      </w:r>
    </w:p>
    <w:sectPr w:rsidR="00830A13" w:rsidSect="002C669A">
      <w:headerReference w:type="default" r:id="rId15"/>
      <w:pgSz w:w="11905" w:h="16837"/>
      <w:pgMar w:top="2269" w:right="851" w:bottom="1418" w:left="1588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1E4" w:rsidRDefault="00AE01E4">
      <w:r>
        <w:separator/>
      </w:r>
    </w:p>
  </w:endnote>
  <w:endnote w:type="continuationSeparator" w:id="0">
    <w:p w:rsidR="00AE01E4" w:rsidRDefault="00AE01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1E4" w:rsidRDefault="00AE01E4">
      <w:r>
        <w:separator/>
      </w:r>
    </w:p>
  </w:footnote>
  <w:footnote w:type="continuationSeparator" w:id="0">
    <w:p w:rsidR="00AE01E4" w:rsidRDefault="00AE01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9" w:type="dxa"/>
      <w:tblInd w:w="108" w:type="dxa"/>
      <w:tblLayout w:type="fixed"/>
      <w:tblLook w:val="0000"/>
    </w:tblPr>
    <w:tblGrid>
      <w:gridCol w:w="2835"/>
      <w:gridCol w:w="3079"/>
      <w:gridCol w:w="3655"/>
    </w:tblGrid>
    <w:tr w:rsidR="001F2998" w:rsidTr="00220D4D">
      <w:tc>
        <w:tcPr>
          <w:tcW w:w="2835" w:type="dxa"/>
          <w:vAlign w:val="center"/>
        </w:tcPr>
        <w:p w:rsidR="001F2998" w:rsidRDefault="001F2998" w:rsidP="00375D96">
          <w:pPr>
            <w:pStyle w:val="Zhlav"/>
            <w:tabs>
              <w:tab w:val="right" w:pos="9072"/>
            </w:tabs>
            <w:snapToGrid w:val="0"/>
            <w:rPr>
              <w:sz w:val="20"/>
              <w:lang w:val="en-GB"/>
            </w:rPr>
          </w:pPr>
          <w:r>
            <w:rPr>
              <w:lang w:eastAsia="cs-CZ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1673860" cy="828040"/>
                <wp:effectExtent l="19050" t="0" r="2540" b="0"/>
                <wp:wrapTopAndBottom/>
                <wp:docPr id="19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79" w:type="dxa"/>
          <w:vAlign w:val="center"/>
        </w:tcPr>
        <w:p w:rsidR="001F2998" w:rsidRDefault="001F2998" w:rsidP="00375D96">
          <w:pPr>
            <w:pStyle w:val="Zhlav"/>
            <w:tabs>
              <w:tab w:val="left" w:pos="709"/>
              <w:tab w:val="right" w:pos="9072"/>
            </w:tabs>
            <w:snapToGrid w:val="0"/>
            <w:jc w:val="center"/>
            <w:rPr>
              <w:b/>
              <w:sz w:val="28"/>
              <w:lang w:val="en-GB"/>
            </w:rPr>
          </w:pPr>
        </w:p>
      </w:tc>
      <w:tc>
        <w:tcPr>
          <w:tcW w:w="3655" w:type="dxa"/>
          <w:vAlign w:val="center"/>
        </w:tcPr>
        <w:p w:rsidR="001F2998" w:rsidRDefault="001F2998" w:rsidP="00375D96">
          <w:pPr>
            <w:pStyle w:val="Zhlav"/>
            <w:tabs>
              <w:tab w:val="left" w:pos="709"/>
              <w:tab w:val="right" w:pos="9072"/>
            </w:tabs>
            <w:snapToGrid w:val="0"/>
            <w:jc w:val="right"/>
            <w:rPr>
              <w:sz w:val="20"/>
              <w:lang w:val="en-GB"/>
            </w:rPr>
          </w:pPr>
          <w:r>
            <w:rPr>
              <w:sz w:val="20"/>
              <w:lang w:eastAsia="cs-CZ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261620</wp:posOffset>
                </wp:positionV>
                <wp:extent cx="1741170" cy="450215"/>
                <wp:effectExtent l="19050" t="0" r="0" b="0"/>
                <wp:wrapNone/>
                <wp:docPr id="18" name="Obráze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617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17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F2998" w:rsidRDefault="001F2998">
    <w:pPr>
      <w:pStyle w:val="Zhlav"/>
      <w:tabs>
        <w:tab w:val="left" w:pos="709"/>
        <w:tab w:val="right" w:pos="9072"/>
      </w:tabs>
      <w:rPr>
        <w:sz w:val="2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" w:hAnsi="Arial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Arial" w:hAnsi="Arial"/>
        <w:b w:val="0"/>
        <w:i w:val="0"/>
        <w:sz w:val="19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360"/>
      </w:pPr>
      <w:rPr>
        <w:rFonts w:ascii="Arial" w:hAnsi="Arial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360"/>
      </w:pPr>
      <w:rPr>
        <w:rFonts w:ascii="Arial" w:hAnsi="Arial"/>
        <w:b w:val="0"/>
        <w:i w:val="0"/>
        <w:sz w:val="19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1800" w:hanging="360"/>
      </w:pPr>
      <w:rPr>
        <w:rFonts w:ascii="Arial" w:hAnsi="Arial"/>
        <w:b w:val="0"/>
        <w:i/>
        <w:sz w:val="19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2160" w:hanging="360"/>
      </w:pPr>
      <w:rPr>
        <w:rFonts w:ascii="Arial" w:hAnsi="Arial"/>
        <w:b w:val="0"/>
        <w:i/>
        <w:sz w:val="19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>
    <w:nsid w:val="07E21487"/>
    <w:multiLevelType w:val="hybridMultilevel"/>
    <w:tmpl w:val="A162A74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D280E"/>
    <w:multiLevelType w:val="hybridMultilevel"/>
    <w:tmpl w:val="7CEA95E4"/>
    <w:lvl w:ilvl="0" w:tplc="C21ADF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21C9E"/>
    <w:multiLevelType w:val="hybridMultilevel"/>
    <w:tmpl w:val="344227B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631BF"/>
    <w:multiLevelType w:val="hybridMultilevel"/>
    <w:tmpl w:val="9852FDFC"/>
    <w:lvl w:ilvl="0" w:tplc="55787480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F082C05"/>
    <w:multiLevelType w:val="hybridMultilevel"/>
    <w:tmpl w:val="08DEA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B372C"/>
    <w:multiLevelType w:val="hybridMultilevel"/>
    <w:tmpl w:val="C5C81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110DD"/>
    <w:multiLevelType w:val="multilevel"/>
    <w:tmpl w:val="D3D41B5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246C9F"/>
    <w:multiLevelType w:val="hybridMultilevel"/>
    <w:tmpl w:val="CBEA4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3D0BFB"/>
    <w:multiLevelType w:val="hybridMultilevel"/>
    <w:tmpl w:val="9378FAC4"/>
    <w:lvl w:ilvl="0" w:tplc="5888C54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DC11A06"/>
    <w:multiLevelType w:val="hybridMultilevel"/>
    <w:tmpl w:val="943E9F4A"/>
    <w:lvl w:ilvl="0" w:tplc="22546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5D1782"/>
    <w:multiLevelType w:val="hybridMultilevel"/>
    <w:tmpl w:val="9DFC6328"/>
    <w:lvl w:ilvl="0" w:tplc="27B21D7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264DA5"/>
    <w:multiLevelType w:val="hybridMultilevel"/>
    <w:tmpl w:val="F1D65D52"/>
    <w:lvl w:ilvl="0" w:tplc="22546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090407"/>
    <w:multiLevelType w:val="hybridMultilevel"/>
    <w:tmpl w:val="715C4E9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9EB04C4"/>
    <w:multiLevelType w:val="hybridMultilevel"/>
    <w:tmpl w:val="A75A9E5A"/>
    <w:lvl w:ilvl="0" w:tplc="D62AC1FE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7D836F37"/>
    <w:multiLevelType w:val="hybridMultilevel"/>
    <w:tmpl w:val="E57E9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14"/>
  </w:num>
  <w:num w:numId="7">
    <w:abstractNumId w:val="9"/>
  </w:num>
  <w:num w:numId="8">
    <w:abstractNumId w:val="16"/>
  </w:num>
  <w:num w:numId="9">
    <w:abstractNumId w:val="2"/>
  </w:num>
  <w:num w:numId="10">
    <w:abstractNumId w:val="15"/>
  </w:num>
  <w:num w:numId="11">
    <w:abstractNumId w:val="7"/>
  </w:num>
  <w:num w:numId="12">
    <w:abstractNumId w:val="10"/>
  </w:num>
  <w:num w:numId="13">
    <w:abstractNumId w:val="12"/>
  </w:num>
  <w:num w:numId="14">
    <w:abstractNumId w:val="6"/>
  </w:num>
  <w:num w:numId="15">
    <w:abstractNumId w:val="4"/>
  </w:num>
  <w:num w:numId="16">
    <w:abstractNumId w:val="1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cs-CZ" w:vendorID="7" w:dllVersion="514" w:checkStyle="1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/>
  <w:rsids>
    <w:rsidRoot w:val="00A43350"/>
    <w:rsid w:val="000027BD"/>
    <w:rsid w:val="000061AF"/>
    <w:rsid w:val="0000699C"/>
    <w:rsid w:val="00013296"/>
    <w:rsid w:val="0001649E"/>
    <w:rsid w:val="00024FFB"/>
    <w:rsid w:val="00033EF7"/>
    <w:rsid w:val="00034AD1"/>
    <w:rsid w:val="0003647C"/>
    <w:rsid w:val="00037C67"/>
    <w:rsid w:val="00046889"/>
    <w:rsid w:val="0004727B"/>
    <w:rsid w:val="00047E82"/>
    <w:rsid w:val="0005747A"/>
    <w:rsid w:val="00061472"/>
    <w:rsid w:val="00061F3F"/>
    <w:rsid w:val="00067BCE"/>
    <w:rsid w:val="00072F99"/>
    <w:rsid w:val="00082788"/>
    <w:rsid w:val="00084B9C"/>
    <w:rsid w:val="0008568E"/>
    <w:rsid w:val="000867F7"/>
    <w:rsid w:val="00091E81"/>
    <w:rsid w:val="000933E8"/>
    <w:rsid w:val="000A2D41"/>
    <w:rsid w:val="000A7854"/>
    <w:rsid w:val="000B7DED"/>
    <w:rsid w:val="000C0495"/>
    <w:rsid w:val="000C0514"/>
    <w:rsid w:val="000C2170"/>
    <w:rsid w:val="000C4C22"/>
    <w:rsid w:val="000C6FA3"/>
    <w:rsid w:val="000D02C3"/>
    <w:rsid w:val="000D1E4D"/>
    <w:rsid w:val="000D2754"/>
    <w:rsid w:val="000D57B9"/>
    <w:rsid w:val="000E10FC"/>
    <w:rsid w:val="000E43EC"/>
    <w:rsid w:val="000E5F8B"/>
    <w:rsid w:val="000F3DA7"/>
    <w:rsid w:val="00100B0F"/>
    <w:rsid w:val="00100BD6"/>
    <w:rsid w:val="00100BE2"/>
    <w:rsid w:val="00112079"/>
    <w:rsid w:val="00112B68"/>
    <w:rsid w:val="001133B5"/>
    <w:rsid w:val="00123BB9"/>
    <w:rsid w:val="001361EF"/>
    <w:rsid w:val="00137CBE"/>
    <w:rsid w:val="00144135"/>
    <w:rsid w:val="00144A68"/>
    <w:rsid w:val="001475BB"/>
    <w:rsid w:val="00160035"/>
    <w:rsid w:val="00165156"/>
    <w:rsid w:val="00165DC3"/>
    <w:rsid w:val="00165E65"/>
    <w:rsid w:val="00171994"/>
    <w:rsid w:val="001770AA"/>
    <w:rsid w:val="00185204"/>
    <w:rsid w:val="00185D3A"/>
    <w:rsid w:val="001867B3"/>
    <w:rsid w:val="00190A4D"/>
    <w:rsid w:val="00192052"/>
    <w:rsid w:val="001929D6"/>
    <w:rsid w:val="00192BC1"/>
    <w:rsid w:val="001948FF"/>
    <w:rsid w:val="001A021A"/>
    <w:rsid w:val="001A35EA"/>
    <w:rsid w:val="001B3330"/>
    <w:rsid w:val="001B557E"/>
    <w:rsid w:val="001C15A1"/>
    <w:rsid w:val="001C2D10"/>
    <w:rsid w:val="001C4BD3"/>
    <w:rsid w:val="001C6ADC"/>
    <w:rsid w:val="001D5A67"/>
    <w:rsid w:val="001E4771"/>
    <w:rsid w:val="001E730D"/>
    <w:rsid w:val="001F2998"/>
    <w:rsid w:val="001F7B1F"/>
    <w:rsid w:val="00202DE1"/>
    <w:rsid w:val="00203689"/>
    <w:rsid w:val="00205C4C"/>
    <w:rsid w:val="002070C6"/>
    <w:rsid w:val="00217930"/>
    <w:rsid w:val="00220D4D"/>
    <w:rsid w:val="002262F3"/>
    <w:rsid w:val="002337AE"/>
    <w:rsid w:val="002371AD"/>
    <w:rsid w:val="00240500"/>
    <w:rsid w:val="002451DB"/>
    <w:rsid w:val="002460A4"/>
    <w:rsid w:val="002503A3"/>
    <w:rsid w:val="002521AC"/>
    <w:rsid w:val="00256B0A"/>
    <w:rsid w:val="00262417"/>
    <w:rsid w:val="00263C0C"/>
    <w:rsid w:val="0026488A"/>
    <w:rsid w:val="00264BF8"/>
    <w:rsid w:val="00266D4E"/>
    <w:rsid w:val="002714B1"/>
    <w:rsid w:val="00280C69"/>
    <w:rsid w:val="00282C4C"/>
    <w:rsid w:val="00286DC6"/>
    <w:rsid w:val="00290472"/>
    <w:rsid w:val="0029061A"/>
    <w:rsid w:val="002971B1"/>
    <w:rsid w:val="002A6808"/>
    <w:rsid w:val="002B2884"/>
    <w:rsid w:val="002B2E31"/>
    <w:rsid w:val="002C2385"/>
    <w:rsid w:val="002C36A9"/>
    <w:rsid w:val="002C669A"/>
    <w:rsid w:val="002C6AB4"/>
    <w:rsid w:val="002D2B6E"/>
    <w:rsid w:val="002D3629"/>
    <w:rsid w:val="002D74C1"/>
    <w:rsid w:val="002F1ECE"/>
    <w:rsid w:val="00300C83"/>
    <w:rsid w:val="003019C6"/>
    <w:rsid w:val="00301D97"/>
    <w:rsid w:val="003031C0"/>
    <w:rsid w:val="00305B4D"/>
    <w:rsid w:val="00306C5A"/>
    <w:rsid w:val="00315C1E"/>
    <w:rsid w:val="00331266"/>
    <w:rsid w:val="00333073"/>
    <w:rsid w:val="00333BE2"/>
    <w:rsid w:val="00336D49"/>
    <w:rsid w:val="00341839"/>
    <w:rsid w:val="00355BF6"/>
    <w:rsid w:val="0035684E"/>
    <w:rsid w:val="00360705"/>
    <w:rsid w:val="00360A03"/>
    <w:rsid w:val="00361FA5"/>
    <w:rsid w:val="003620C3"/>
    <w:rsid w:val="0036434D"/>
    <w:rsid w:val="00370F79"/>
    <w:rsid w:val="0037279D"/>
    <w:rsid w:val="003728C9"/>
    <w:rsid w:val="003730BB"/>
    <w:rsid w:val="00373752"/>
    <w:rsid w:val="00374029"/>
    <w:rsid w:val="00375D96"/>
    <w:rsid w:val="003774F2"/>
    <w:rsid w:val="00380306"/>
    <w:rsid w:val="00385D95"/>
    <w:rsid w:val="00386878"/>
    <w:rsid w:val="0039015A"/>
    <w:rsid w:val="0039282B"/>
    <w:rsid w:val="00394D79"/>
    <w:rsid w:val="00397E72"/>
    <w:rsid w:val="003A027D"/>
    <w:rsid w:val="003A060A"/>
    <w:rsid w:val="003A44FD"/>
    <w:rsid w:val="003B0EED"/>
    <w:rsid w:val="003B29E3"/>
    <w:rsid w:val="003B3622"/>
    <w:rsid w:val="003B68CB"/>
    <w:rsid w:val="003B794D"/>
    <w:rsid w:val="003C2331"/>
    <w:rsid w:val="003C3568"/>
    <w:rsid w:val="003C5019"/>
    <w:rsid w:val="003C5316"/>
    <w:rsid w:val="003D07B5"/>
    <w:rsid w:val="003E16DB"/>
    <w:rsid w:val="003E596D"/>
    <w:rsid w:val="003F0458"/>
    <w:rsid w:val="003F3012"/>
    <w:rsid w:val="003F465C"/>
    <w:rsid w:val="003F5EFE"/>
    <w:rsid w:val="003F5FFE"/>
    <w:rsid w:val="003F627B"/>
    <w:rsid w:val="003F67A8"/>
    <w:rsid w:val="004009D7"/>
    <w:rsid w:val="00402F28"/>
    <w:rsid w:val="00406B1F"/>
    <w:rsid w:val="00406B82"/>
    <w:rsid w:val="00407ED2"/>
    <w:rsid w:val="00413F59"/>
    <w:rsid w:val="00416794"/>
    <w:rsid w:val="0042539C"/>
    <w:rsid w:val="0042568C"/>
    <w:rsid w:val="00426029"/>
    <w:rsid w:val="00433AF9"/>
    <w:rsid w:val="0043470F"/>
    <w:rsid w:val="00434CB4"/>
    <w:rsid w:val="00437BD7"/>
    <w:rsid w:val="00441D06"/>
    <w:rsid w:val="00443222"/>
    <w:rsid w:val="00443FFA"/>
    <w:rsid w:val="00447F97"/>
    <w:rsid w:val="00450FD7"/>
    <w:rsid w:val="004532F5"/>
    <w:rsid w:val="00461252"/>
    <w:rsid w:val="0046418F"/>
    <w:rsid w:val="00464653"/>
    <w:rsid w:val="004675C1"/>
    <w:rsid w:val="004701CA"/>
    <w:rsid w:val="00471506"/>
    <w:rsid w:val="0047261A"/>
    <w:rsid w:val="00474198"/>
    <w:rsid w:val="004808AA"/>
    <w:rsid w:val="0048109A"/>
    <w:rsid w:val="00482E89"/>
    <w:rsid w:val="00492844"/>
    <w:rsid w:val="00493AEB"/>
    <w:rsid w:val="00494D30"/>
    <w:rsid w:val="004A16CC"/>
    <w:rsid w:val="004A5D14"/>
    <w:rsid w:val="004B12AB"/>
    <w:rsid w:val="004B2DC6"/>
    <w:rsid w:val="004C011D"/>
    <w:rsid w:val="004C0502"/>
    <w:rsid w:val="004C0C78"/>
    <w:rsid w:val="004C4847"/>
    <w:rsid w:val="004C5116"/>
    <w:rsid w:val="004D30D8"/>
    <w:rsid w:val="004D4B17"/>
    <w:rsid w:val="004D60B0"/>
    <w:rsid w:val="004D7FC2"/>
    <w:rsid w:val="004E1261"/>
    <w:rsid w:val="004E27E8"/>
    <w:rsid w:val="004F1145"/>
    <w:rsid w:val="004F1C91"/>
    <w:rsid w:val="004F4C67"/>
    <w:rsid w:val="004F71A1"/>
    <w:rsid w:val="004F756D"/>
    <w:rsid w:val="005039F6"/>
    <w:rsid w:val="005043DD"/>
    <w:rsid w:val="0051354C"/>
    <w:rsid w:val="00513E37"/>
    <w:rsid w:val="00515740"/>
    <w:rsid w:val="00520968"/>
    <w:rsid w:val="00531924"/>
    <w:rsid w:val="00533EBF"/>
    <w:rsid w:val="0053587E"/>
    <w:rsid w:val="00537191"/>
    <w:rsid w:val="00547DC5"/>
    <w:rsid w:val="00557239"/>
    <w:rsid w:val="00557D92"/>
    <w:rsid w:val="0056190C"/>
    <w:rsid w:val="00563BB4"/>
    <w:rsid w:val="00566545"/>
    <w:rsid w:val="0056725A"/>
    <w:rsid w:val="00572438"/>
    <w:rsid w:val="00572831"/>
    <w:rsid w:val="00572B3A"/>
    <w:rsid w:val="00576717"/>
    <w:rsid w:val="00576861"/>
    <w:rsid w:val="005776A2"/>
    <w:rsid w:val="00586100"/>
    <w:rsid w:val="00593406"/>
    <w:rsid w:val="00596D24"/>
    <w:rsid w:val="005A15AE"/>
    <w:rsid w:val="005A20B0"/>
    <w:rsid w:val="005A2BAA"/>
    <w:rsid w:val="005B7456"/>
    <w:rsid w:val="005C32F8"/>
    <w:rsid w:val="005D5808"/>
    <w:rsid w:val="005D66DF"/>
    <w:rsid w:val="005E1E43"/>
    <w:rsid w:val="005E5343"/>
    <w:rsid w:val="005F44BD"/>
    <w:rsid w:val="0060050E"/>
    <w:rsid w:val="0060534A"/>
    <w:rsid w:val="00611EA2"/>
    <w:rsid w:val="00613DCD"/>
    <w:rsid w:val="00627A32"/>
    <w:rsid w:val="00633C42"/>
    <w:rsid w:val="00634E58"/>
    <w:rsid w:val="00640086"/>
    <w:rsid w:val="00653754"/>
    <w:rsid w:val="006561DB"/>
    <w:rsid w:val="006563B4"/>
    <w:rsid w:val="00656EF6"/>
    <w:rsid w:val="00664601"/>
    <w:rsid w:val="00666CC7"/>
    <w:rsid w:val="00674E34"/>
    <w:rsid w:val="0068051B"/>
    <w:rsid w:val="00683BE4"/>
    <w:rsid w:val="0068496D"/>
    <w:rsid w:val="00690BB3"/>
    <w:rsid w:val="00692997"/>
    <w:rsid w:val="00694020"/>
    <w:rsid w:val="006A2980"/>
    <w:rsid w:val="006A31EB"/>
    <w:rsid w:val="006A54EA"/>
    <w:rsid w:val="006C1DC5"/>
    <w:rsid w:val="006C4926"/>
    <w:rsid w:val="006D33FE"/>
    <w:rsid w:val="006D7537"/>
    <w:rsid w:val="006E0203"/>
    <w:rsid w:val="006E41A1"/>
    <w:rsid w:val="006E4E84"/>
    <w:rsid w:val="006E6536"/>
    <w:rsid w:val="006E6AB4"/>
    <w:rsid w:val="006F3A7C"/>
    <w:rsid w:val="006F4A12"/>
    <w:rsid w:val="006F59C7"/>
    <w:rsid w:val="00710BF8"/>
    <w:rsid w:val="00712232"/>
    <w:rsid w:val="007156E9"/>
    <w:rsid w:val="00717C4E"/>
    <w:rsid w:val="00720280"/>
    <w:rsid w:val="007206C0"/>
    <w:rsid w:val="00721DF9"/>
    <w:rsid w:val="00725E0C"/>
    <w:rsid w:val="007315B5"/>
    <w:rsid w:val="007346C9"/>
    <w:rsid w:val="0073476F"/>
    <w:rsid w:val="00735BF0"/>
    <w:rsid w:val="00735FC8"/>
    <w:rsid w:val="00741BDA"/>
    <w:rsid w:val="00742168"/>
    <w:rsid w:val="0074450D"/>
    <w:rsid w:val="00746369"/>
    <w:rsid w:val="00754193"/>
    <w:rsid w:val="007560B0"/>
    <w:rsid w:val="007564B9"/>
    <w:rsid w:val="0075761B"/>
    <w:rsid w:val="007607E6"/>
    <w:rsid w:val="00760C72"/>
    <w:rsid w:val="00762FD9"/>
    <w:rsid w:val="00765C76"/>
    <w:rsid w:val="0076670A"/>
    <w:rsid w:val="0077255D"/>
    <w:rsid w:val="00774640"/>
    <w:rsid w:val="00775164"/>
    <w:rsid w:val="007757B8"/>
    <w:rsid w:val="00777A4C"/>
    <w:rsid w:val="00782C08"/>
    <w:rsid w:val="007962B8"/>
    <w:rsid w:val="00797948"/>
    <w:rsid w:val="00797BC3"/>
    <w:rsid w:val="007A34AA"/>
    <w:rsid w:val="007A44C6"/>
    <w:rsid w:val="007A5222"/>
    <w:rsid w:val="007B34CD"/>
    <w:rsid w:val="007B6288"/>
    <w:rsid w:val="007C022F"/>
    <w:rsid w:val="007C6437"/>
    <w:rsid w:val="007C6E1A"/>
    <w:rsid w:val="007D2C10"/>
    <w:rsid w:val="007D35A0"/>
    <w:rsid w:val="007E61AF"/>
    <w:rsid w:val="007E70B2"/>
    <w:rsid w:val="007F05D2"/>
    <w:rsid w:val="007F0C7C"/>
    <w:rsid w:val="007F2E8C"/>
    <w:rsid w:val="007F7617"/>
    <w:rsid w:val="007F78D3"/>
    <w:rsid w:val="0080236A"/>
    <w:rsid w:val="00802AFC"/>
    <w:rsid w:val="00807462"/>
    <w:rsid w:val="00807764"/>
    <w:rsid w:val="008103D6"/>
    <w:rsid w:val="008110EF"/>
    <w:rsid w:val="008115DB"/>
    <w:rsid w:val="00811CB1"/>
    <w:rsid w:val="00813644"/>
    <w:rsid w:val="00813743"/>
    <w:rsid w:val="008220BB"/>
    <w:rsid w:val="00825DC1"/>
    <w:rsid w:val="00826508"/>
    <w:rsid w:val="00830A13"/>
    <w:rsid w:val="00833EE1"/>
    <w:rsid w:val="00834423"/>
    <w:rsid w:val="00834432"/>
    <w:rsid w:val="00840075"/>
    <w:rsid w:val="00841A52"/>
    <w:rsid w:val="0084286F"/>
    <w:rsid w:val="00844633"/>
    <w:rsid w:val="0084560C"/>
    <w:rsid w:val="008463AC"/>
    <w:rsid w:val="00846713"/>
    <w:rsid w:val="00850952"/>
    <w:rsid w:val="00851E06"/>
    <w:rsid w:val="00852146"/>
    <w:rsid w:val="00864782"/>
    <w:rsid w:val="0087228E"/>
    <w:rsid w:val="008732F0"/>
    <w:rsid w:val="008749FF"/>
    <w:rsid w:val="00877E12"/>
    <w:rsid w:val="0088193B"/>
    <w:rsid w:val="00885A87"/>
    <w:rsid w:val="00890A66"/>
    <w:rsid w:val="00890DD9"/>
    <w:rsid w:val="00893EFF"/>
    <w:rsid w:val="008A0C74"/>
    <w:rsid w:val="008A11CE"/>
    <w:rsid w:val="008A2104"/>
    <w:rsid w:val="008A4180"/>
    <w:rsid w:val="008B0B49"/>
    <w:rsid w:val="008C4593"/>
    <w:rsid w:val="008C59E1"/>
    <w:rsid w:val="008D140A"/>
    <w:rsid w:val="008D1F14"/>
    <w:rsid w:val="008D44AD"/>
    <w:rsid w:val="008E478F"/>
    <w:rsid w:val="008F2C5C"/>
    <w:rsid w:val="009022A0"/>
    <w:rsid w:val="00904EA7"/>
    <w:rsid w:val="0091209F"/>
    <w:rsid w:val="0091696C"/>
    <w:rsid w:val="00920338"/>
    <w:rsid w:val="009227D1"/>
    <w:rsid w:val="00925CEF"/>
    <w:rsid w:val="00926496"/>
    <w:rsid w:val="009306A0"/>
    <w:rsid w:val="00930C18"/>
    <w:rsid w:val="0093417B"/>
    <w:rsid w:val="00956BAB"/>
    <w:rsid w:val="00957985"/>
    <w:rsid w:val="00960A32"/>
    <w:rsid w:val="009662F2"/>
    <w:rsid w:val="00971BE2"/>
    <w:rsid w:val="009725E2"/>
    <w:rsid w:val="00972D8E"/>
    <w:rsid w:val="00976CD1"/>
    <w:rsid w:val="0097751D"/>
    <w:rsid w:val="00980DFB"/>
    <w:rsid w:val="00981981"/>
    <w:rsid w:val="009829E6"/>
    <w:rsid w:val="00992EF3"/>
    <w:rsid w:val="00994BF3"/>
    <w:rsid w:val="009966B7"/>
    <w:rsid w:val="009A1D50"/>
    <w:rsid w:val="009A629E"/>
    <w:rsid w:val="009B266B"/>
    <w:rsid w:val="009B2919"/>
    <w:rsid w:val="009B32DE"/>
    <w:rsid w:val="009B5FC7"/>
    <w:rsid w:val="009C16DE"/>
    <w:rsid w:val="009D0018"/>
    <w:rsid w:val="009D3BBA"/>
    <w:rsid w:val="009E029E"/>
    <w:rsid w:val="009F0BD8"/>
    <w:rsid w:val="009F3141"/>
    <w:rsid w:val="00A0300C"/>
    <w:rsid w:val="00A06082"/>
    <w:rsid w:val="00A07130"/>
    <w:rsid w:val="00A13732"/>
    <w:rsid w:val="00A16FFB"/>
    <w:rsid w:val="00A21780"/>
    <w:rsid w:val="00A21966"/>
    <w:rsid w:val="00A27222"/>
    <w:rsid w:val="00A30C16"/>
    <w:rsid w:val="00A33915"/>
    <w:rsid w:val="00A3535B"/>
    <w:rsid w:val="00A40282"/>
    <w:rsid w:val="00A4116D"/>
    <w:rsid w:val="00A4183C"/>
    <w:rsid w:val="00A41999"/>
    <w:rsid w:val="00A43350"/>
    <w:rsid w:val="00A45B5A"/>
    <w:rsid w:val="00A4679E"/>
    <w:rsid w:val="00A478FC"/>
    <w:rsid w:val="00A50EC1"/>
    <w:rsid w:val="00A54910"/>
    <w:rsid w:val="00A576F4"/>
    <w:rsid w:val="00A57CF9"/>
    <w:rsid w:val="00A62C9C"/>
    <w:rsid w:val="00A66E34"/>
    <w:rsid w:val="00A6769D"/>
    <w:rsid w:val="00A710D8"/>
    <w:rsid w:val="00A84380"/>
    <w:rsid w:val="00A8515D"/>
    <w:rsid w:val="00A92FC8"/>
    <w:rsid w:val="00AA0854"/>
    <w:rsid w:val="00AA40D3"/>
    <w:rsid w:val="00AB094A"/>
    <w:rsid w:val="00AB0AC0"/>
    <w:rsid w:val="00AB2D60"/>
    <w:rsid w:val="00AB3F12"/>
    <w:rsid w:val="00AB46F5"/>
    <w:rsid w:val="00AB5F6A"/>
    <w:rsid w:val="00AC2069"/>
    <w:rsid w:val="00AC7DB3"/>
    <w:rsid w:val="00AD7182"/>
    <w:rsid w:val="00AE01E4"/>
    <w:rsid w:val="00AE066F"/>
    <w:rsid w:val="00AE1338"/>
    <w:rsid w:val="00AE45C3"/>
    <w:rsid w:val="00AF38BD"/>
    <w:rsid w:val="00AF50AF"/>
    <w:rsid w:val="00AF73E8"/>
    <w:rsid w:val="00B00744"/>
    <w:rsid w:val="00B02A61"/>
    <w:rsid w:val="00B02F11"/>
    <w:rsid w:val="00B078AE"/>
    <w:rsid w:val="00B109CA"/>
    <w:rsid w:val="00B132B0"/>
    <w:rsid w:val="00B201EA"/>
    <w:rsid w:val="00B225CF"/>
    <w:rsid w:val="00B24D10"/>
    <w:rsid w:val="00B258EC"/>
    <w:rsid w:val="00B35AC2"/>
    <w:rsid w:val="00B36551"/>
    <w:rsid w:val="00B36AF5"/>
    <w:rsid w:val="00B4210F"/>
    <w:rsid w:val="00B452EA"/>
    <w:rsid w:val="00B516F4"/>
    <w:rsid w:val="00B61275"/>
    <w:rsid w:val="00B679F7"/>
    <w:rsid w:val="00B70887"/>
    <w:rsid w:val="00B8291A"/>
    <w:rsid w:val="00B82F65"/>
    <w:rsid w:val="00B86F81"/>
    <w:rsid w:val="00B903FD"/>
    <w:rsid w:val="00B93AE1"/>
    <w:rsid w:val="00BA0583"/>
    <w:rsid w:val="00BA2890"/>
    <w:rsid w:val="00BB125D"/>
    <w:rsid w:val="00BB400A"/>
    <w:rsid w:val="00BB5235"/>
    <w:rsid w:val="00BB5905"/>
    <w:rsid w:val="00BB7C6C"/>
    <w:rsid w:val="00BC65EB"/>
    <w:rsid w:val="00BD48D5"/>
    <w:rsid w:val="00BE0728"/>
    <w:rsid w:val="00BE54A1"/>
    <w:rsid w:val="00BE7A51"/>
    <w:rsid w:val="00BF5AFA"/>
    <w:rsid w:val="00BF70FF"/>
    <w:rsid w:val="00C042BD"/>
    <w:rsid w:val="00C0594D"/>
    <w:rsid w:val="00C117FF"/>
    <w:rsid w:val="00C12AF8"/>
    <w:rsid w:val="00C15BD5"/>
    <w:rsid w:val="00C16D7E"/>
    <w:rsid w:val="00C321C7"/>
    <w:rsid w:val="00C416D7"/>
    <w:rsid w:val="00C431EE"/>
    <w:rsid w:val="00C444D7"/>
    <w:rsid w:val="00C5001A"/>
    <w:rsid w:val="00C570F4"/>
    <w:rsid w:val="00C722E8"/>
    <w:rsid w:val="00C72651"/>
    <w:rsid w:val="00C72AD3"/>
    <w:rsid w:val="00C73231"/>
    <w:rsid w:val="00C74CC1"/>
    <w:rsid w:val="00C80A23"/>
    <w:rsid w:val="00C83D68"/>
    <w:rsid w:val="00C84A14"/>
    <w:rsid w:val="00C90F6F"/>
    <w:rsid w:val="00CA2329"/>
    <w:rsid w:val="00CA4012"/>
    <w:rsid w:val="00CA5B63"/>
    <w:rsid w:val="00CA7B27"/>
    <w:rsid w:val="00CC098F"/>
    <w:rsid w:val="00CC112B"/>
    <w:rsid w:val="00CD63ED"/>
    <w:rsid w:val="00CE0D0A"/>
    <w:rsid w:val="00CE1BB5"/>
    <w:rsid w:val="00CF1FE3"/>
    <w:rsid w:val="00D01658"/>
    <w:rsid w:val="00D04D1D"/>
    <w:rsid w:val="00D05629"/>
    <w:rsid w:val="00D17C88"/>
    <w:rsid w:val="00D20394"/>
    <w:rsid w:val="00D2062A"/>
    <w:rsid w:val="00D22D5F"/>
    <w:rsid w:val="00D24D92"/>
    <w:rsid w:val="00D25021"/>
    <w:rsid w:val="00D30AEB"/>
    <w:rsid w:val="00D4082A"/>
    <w:rsid w:val="00D44169"/>
    <w:rsid w:val="00D474BC"/>
    <w:rsid w:val="00D524B1"/>
    <w:rsid w:val="00D56645"/>
    <w:rsid w:val="00D57959"/>
    <w:rsid w:val="00D60D29"/>
    <w:rsid w:val="00D61129"/>
    <w:rsid w:val="00D61A51"/>
    <w:rsid w:val="00D71F47"/>
    <w:rsid w:val="00D72689"/>
    <w:rsid w:val="00D73197"/>
    <w:rsid w:val="00D75AB0"/>
    <w:rsid w:val="00D7658E"/>
    <w:rsid w:val="00D7770A"/>
    <w:rsid w:val="00D82095"/>
    <w:rsid w:val="00D85544"/>
    <w:rsid w:val="00D85825"/>
    <w:rsid w:val="00D903DC"/>
    <w:rsid w:val="00D90880"/>
    <w:rsid w:val="00D96332"/>
    <w:rsid w:val="00DA05FC"/>
    <w:rsid w:val="00DA23D4"/>
    <w:rsid w:val="00DA2841"/>
    <w:rsid w:val="00DA2C4F"/>
    <w:rsid w:val="00DB1E5E"/>
    <w:rsid w:val="00DB2238"/>
    <w:rsid w:val="00DB2853"/>
    <w:rsid w:val="00DB4DF6"/>
    <w:rsid w:val="00DB5F54"/>
    <w:rsid w:val="00DC0C7F"/>
    <w:rsid w:val="00DC1985"/>
    <w:rsid w:val="00DD0301"/>
    <w:rsid w:val="00DD1433"/>
    <w:rsid w:val="00DD1E2B"/>
    <w:rsid w:val="00DD3831"/>
    <w:rsid w:val="00DD3F8E"/>
    <w:rsid w:val="00DE0DFA"/>
    <w:rsid w:val="00DF2482"/>
    <w:rsid w:val="00DF2AF0"/>
    <w:rsid w:val="00DF3194"/>
    <w:rsid w:val="00DF4439"/>
    <w:rsid w:val="00DF5A71"/>
    <w:rsid w:val="00E00460"/>
    <w:rsid w:val="00E00C0E"/>
    <w:rsid w:val="00E02AC7"/>
    <w:rsid w:val="00E03350"/>
    <w:rsid w:val="00E049E3"/>
    <w:rsid w:val="00E06791"/>
    <w:rsid w:val="00E1165F"/>
    <w:rsid w:val="00E17DA6"/>
    <w:rsid w:val="00E20DE8"/>
    <w:rsid w:val="00E378ED"/>
    <w:rsid w:val="00E47793"/>
    <w:rsid w:val="00E60CED"/>
    <w:rsid w:val="00E736AC"/>
    <w:rsid w:val="00E73ED3"/>
    <w:rsid w:val="00E74AD7"/>
    <w:rsid w:val="00E74EC8"/>
    <w:rsid w:val="00E77465"/>
    <w:rsid w:val="00E77EDA"/>
    <w:rsid w:val="00E80801"/>
    <w:rsid w:val="00E93FC1"/>
    <w:rsid w:val="00E955B5"/>
    <w:rsid w:val="00E96922"/>
    <w:rsid w:val="00EA0259"/>
    <w:rsid w:val="00EA379A"/>
    <w:rsid w:val="00EA38CF"/>
    <w:rsid w:val="00EA54FF"/>
    <w:rsid w:val="00EB1EDB"/>
    <w:rsid w:val="00EB4C96"/>
    <w:rsid w:val="00EB7E47"/>
    <w:rsid w:val="00EC2575"/>
    <w:rsid w:val="00EC7146"/>
    <w:rsid w:val="00ED01C9"/>
    <w:rsid w:val="00ED078D"/>
    <w:rsid w:val="00ED3099"/>
    <w:rsid w:val="00ED36CE"/>
    <w:rsid w:val="00ED42A5"/>
    <w:rsid w:val="00EE0737"/>
    <w:rsid w:val="00EF568B"/>
    <w:rsid w:val="00EF5C39"/>
    <w:rsid w:val="00F03DB2"/>
    <w:rsid w:val="00F1401C"/>
    <w:rsid w:val="00F14651"/>
    <w:rsid w:val="00F245C4"/>
    <w:rsid w:val="00F27438"/>
    <w:rsid w:val="00F309E9"/>
    <w:rsid w:val="00F31F91"/>
    <w:rsid w:val="00F373FD"/>
    <w:rsid w:val="00F429CD"/>
    <w:rsid w:val="00F44CB0"/>
    <w:rsid w:val="00F5229C"/>
    <w:rsid w:val="00F63CFB"/>
    <w:rsid w:val="00F64BE1"/>
    <w:rsid w:val="00F672CB"/>
    <w:rsid w:val="00F70323"/>
    <w:rsid w:val="00F709AC"/>
    <w:rsid w:val="00F723B5"/>
    <w:rsid w:val="00F7485B"/>
    <w:rsid w:val="00F74D06"/>
    <w:rsid w:val="00F85C69"/>
    <w:rsid w:val="00F90CA1"/>
    <w:rsid w:val="00F91AFA"/>
    <w:rsid w:val="00F91F8B"/>
    <w:rsid w:val="00F92ADE"/>
    <w:rsid w:val="00F9328B"/>
    <w:rsid w:val="00FA1C09"/>
    <w:rsid w:val="00FA4F8D"/>
    <w:rsid w:val="00FB3970"/>
    <w:rsid w:val="00FB4116"/>
    <w:rsid w:val="00FC1331"/>
    <w:rsid w:val="00FC6C6D"/>
    <w:rsid w:val="00FC7DD2"/>
    <w:rsid w:val="00FD0A2B"/>
    <w:rsid w:val="00FD1E05"/>
    <w:rsid w:val="00FD35EB"/>
    <w:rsid w:val="00FD74EF"/>
    <w:rsid w:val="00FE1445"/>
    <w:rsid w:val="00FE2C46"/>
    <w:rsid w:val="00FE7D05"/>
    <w:rsid w:val="00FF054E"/>
    <w:rsid w:val="00FF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08AA"/>
    <w:pPr>
      <w:suppressAutoHyphens/>
    </w:pPr>
    <w:rPr>
      <w:rFonts w:ascii="Arial" w:hAnsi="Arial"/>
      <w:noProof/>
      <w:sz w:val="19"/>
      <w:szCs w:val="24"/>
      <w:lang w:eastAsia="ar-SA"/>
    </w:rPr>
  </w:style>
  <w:style w:type="paragraph" w:styleId="Nadpis1">
    <w:name w:val="heading 1"/>
    <w:next w:val="Nadpis2"/>
    <w:qFormat/>
    <w:rsid w:val="004808AA"/>
    <w:pPr>
      <w:keepNext/>
      <w:pageBreakBefore/>
      <w:tabs>
        <w:tab w:val="num" w:pos="0"/>
      </w:tabs>
      <w:suppressAutoHyphens/>
      <w:spacing w:after="800"/>
      <w:ind w:left="851" w:hanging="851"/>
      <w:outlineLvl w:val="0"/>
    </w:pPr>
    <w:rPr>
      <w:rFonts w:ascii="Times New Roman Bold" w:eastAsia="Arial" w:hAnsi="Times New Roman Bold" w:cs="Arial"/>
      <w:bCs/>
      <w:color w:val="002776"/>
      <w:kern w:val="1"/>
      <w:sz w:val="60"/>
      <w:szCs w:val="32"/>
      <w:lang w:val="en-US" w:eastAsia="ar-SA"/>
    </w:rPr>
  </w:style>
  <w:style w:type="paragraph" w:styleId="Nadpis2">
    <w:name w:val="heading 2"/>
    <w:basedOn w:val="Nadpis1"/>
    <w:next w:val="Nadpis3"/>
    <w:qFormat/>
    <w:rsid w:val="004808AA"/>
    <w:pPr>
      <w:pageBreakBefore w:val="0"/>
      <w:tabs>
        <w:tab w:val="clear" w:pos="0"/>
      </w:tabs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basedOn w:val="Nadpis2"/>
    <w:next w:val="Normln"/>
    <w:qFormat/>
    <w:rsid w:val="004808AA"/>
    <w:pPr>
      <w:outlineLvl w:val="2"/>
    </w:pPr>
    <w:rPr>
      <w:bCs/>
      <w:color w:val="3C8A2E"/>
      <w:szCs w:val="26"/>
    </w:rPr>
  </w:style>
  <w:style w:type="paragraph" w:styleId="Nadpis4">
    <w:name w:val="heading 4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864" w:hanging="864"/>
      <w:outlineLvl w:val="3"/>
    </w:pPr>
    <w:rPr>
      <w:b/>
      <w:bCs/>
      <w:iCs/>
      <w:sz w:val="24"/>
    </w:rPr>
  </w:style>
  <w:style w:type="paragraph" w:styleId="Nadpis5">
    <w:name w:val="heading 5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1008" w:hanging="1008"/>
      <w:outlineLvl w:val="4"/>
    </w:pPr>
    <w:rPr>
      <w:b/>
      <w:i/>
      <w:color w:val="00133A"/>
      <w:sz w:val="24"/>
    </w:rPr>
  </w:style>
  <w:style w:type="paragraph" w:styleId="Nadpis6">
    <w:name w:val="heading 6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1418" w:hanging="1418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1576" w:hanging="1576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1701" w:hanging="1701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"/>
    <w:next w:val="Normln"/>
    <w:qFormat/>
    <w:rsid w:val="004808AA"/>
    <w:pPr>
      <w:keepNext/>
      <w:keepLines/>
      <w:tabs>
        <w:tab w:val="num" w:pos="0"/>
      </w:tabs>
      <w:spacing w:before="240" w:after="240"/>
      <w:ind w:left="1985" w:hanging="1985"/>
      <w:outlineLvl w:val="8"/>
    </w:pPr>
    <w:rPr>
      <w:i/>
      <w:iCs/>
      <w:color w:val="404040"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5z0">
    <w:name w:val="WW8Num5z0"/>
    <w:rsid w:val="004808AA"/>
    <w:rPr>
      <w:rFonts w:ascii="Symbol" w:hAnsi="Symbol"/>
    </w:rPr>
  </w:style>
  <w:style w:type="character" w:customStyle="1" w:styleId="WW8Num6z0">
    <w:name w:val="WW8Num6z0"/>
    <w:rsid w:val="004808AA"/>
    <w:rPr>
      <w:rFonts w:ascii="Symbol" w:hAnsi="Symbol"/>
    </w:rPr>
  </w:style>
  <w:style w:type="character" w:customStyle="1" w:styleId="WW8Num7z0">
    <w:name w:val="WW8Num7z0"/>
    <w:rsid w:val="004808AA"/>
    <w:rPr>
      <w:rFonts w:ascii="Symbol" w:hAnsi="Symbol"/>
    </w:rPr>
  </w:style>
  <w:style w:type="character" w:customStyle="1" w:styleId="WW8Num8z0">
    <w:name w:val="WW8Num8z0"/>
    <w:rsid w:val="004808AA"/>
    <w:rPr>
      <w:rFonts w:ascii="Symbol" w:hAnsi="Symbol"/>
      <w:b w:val="0"/>
      <w:i w:val="0"/>
      <w:sz w:val="19"/>
    </w:rPr>
  </w:style>
  <w:style w:type="character" w:customStyle="1" w:styleId="WW8Num10z0">
    <w:name w:val="WW8Num10z0"/>
    <w:rsid w:val="004808AA"/>
    <w:rPr>
      <w:rFonts w:ascii="Symbol" w:hAnsi="Symbol"/>
    </w:rPr>
  </w:style>
  <w:style w:type="character" w:customStyle="1" w:styleId="WW8Num11z0">
    <w:name w:val="WW8Num11z0"/>
    <w:rsid w:val="004808AA"/>
    <w:rPr>
      <w:b/>
    </w:rPr>
  </w:style>
  <w:style w:type="character" w:customStyle="1" w:styleId="WW8Num12z0">
    <w:name w:val="WW8Num12z0"/>
    <w:rsid w:val="004808AA"/>
    <w:rPr>
      <w:b/>
    </w:rPr>
  </w:style>
  <w:style w:type="character" w:customStyle="1" w:styleId="WW8Num13z0">
    <w:name w:val="WW8Num13z0"/>
    <w:rsid w:val="004808AA"/>
    <w:rPr>
      <w:rFonts w:ascii="Arial" w:hAnsi="Arial"/>
      <w:b/>
      <w:i w:val="0"/>
      <w:sz w:val="19"/>
    </w:rPr>
  </w:style>
  <w:style w:type="character" w:customStyle="1" w:styleId="WW8Num13z1">
    <w:name w:val="WW8Num13z1"/>
    <w:rsid w:val="004808AA"/>
    <w:rPr>
      <w:rFonts w:ascii="Arial" w:hAnsi="Arial"/>
      <w:b w:val="0"/>
      <w:i w:val="0"/>
      <w:sz w:val="19"/>
    </w:rPr>
  </w:style>
  <w:style w:type="character" w:customStyle="1" w:styleId="WW8Num13z4">
    <w:name w:val="WW8Num13z4"/>
    <w:rsid w:val="004808AA"/>
    <w:rPr>
      <w:rFonts w:ascii="Arial" w:hAnsi="Arial"/>
      <w:b w:val="0"/>
      <w:i/>
      <w:sz w:val="19"/>
    </w:rPr>
  </w:style>
  <w:style w:type="character" w:customStyle="1" w:styleId="WW8Num14z0">
    <w:name w:val="WW8Num14z0"/>
    <w:rsid w:val="004808AA"/>
    <w:rPr>
      <w:rFonts w:ascii="Symbol" w:hAnsi="Symbol"/>
    </w:rPr>
  </w:style>
  <w:style w:type="character" w:customStyle="1" w:styleId="WW8Num14z1">
    <w:name w:val="WW8Num14z1"/>
    <w:rsid w:val="004808AA"/>
    <w:rPr>
      <w:rFonts w:ascii="Courier New" w:hAnsi="Courier New" w:cs="Courier New"/>
    </w:rPr>
  </w:style>
  <w:style w:type="character" w:customStyle="1" w:styleId="WW8Num14z2">
    <w:name w:val="WW8Num14z2"/>
    <w:rsid w:val="004808AA"/>
    <w:rPr>
      <w:rFonts w:ascii="Wingdings" w:hAnsi="Wingdings"/>
    </w:rPr>
  </w:style>
  <w:style w:type="character" w:customStyle="1" w:styleId="WW8Num15z0">
    <w:name w:val="WW8Num15z0"/>
    <w:rsid w:val="004808AA"/>
    <w:rPr>
      <w:rFonts w:ascii="Wingdings" w:hAnsi="Wingdings"/>
      <w:color w:val="000080"/>
    </w:rPr>
  </w:style>
  <w:style w:type="character" w:customStyle="1" w:styleId="WW8Num15z1">
    <w:name w:val="WW8Num15z1"/>
    <w:rsid w:val="004808AA"/>
    <w:rPr>
      <w:rFonts w:ascii="Courier New" w:hAnsi="Courier New" w:cs="Courier New"/>
    </w:rPr>
  </w:style>
  <w:style w:type="character" w:customStyle="1" w:styleId="WW8Num15z2">
    <w:name w:val="WW8Num15z2"/>
    <w:rsid w:val="004808AA"/>
    <w:rPr>
      <w:rFonts w:ascii="Wingdings" w:hAnsi="Wingdings"/>
    </w:rPr>
  </w:style>
  <w:style w:type="character" w:customStyle="1" w:styleId="WW8Num15z3">
    <w:name w:val="WW8Num15z3"/>
    <w:rsid w:val="004808AA"/>
    <w:rPr>
      <w:rFonts w:ascii="Symbol" w:hAnsi="Symbol"/>
    </w:rPr>
  </w:style>
  <w:style w:type="character" w:customStyle="1" w:styleId="WW8Num16z0">
    <w:name w:val="WW8Num16z0"/>
    <w:rsid w:val="004808AA"/>
    <w:rPr>
      <w:rFonts w:ascii="Arial" w:hAnsi="Arial"/>
      <w:b/>
      <w:i w:val="0"/>
      <w:sz w:val="19"/>
    </w:rPr>
  </w:style>
  <w:style w:type="character" w:customStyle="1" w:styleId="WW8Num16z1">
    <w:name w:val="WW8Num16z1"/>
    <w:rsid w:val="004808AA"/>
    <w:rPr>
      <w:rFonts w:ascii="Arial" w:hAnsi="Arial"/>
      <w:b w:val="0"/>
      <w:i w:val="0"/>
      <w:sz w:val="19"/>
    </w:rPr>
  </w:style>
  <w:style w:type="character" w:customStyle="1" w:styleId="WW8Num16z4">
    <w:name w:val="WW8Num16z4"/>
    <w:rsid w:val="004808AA"/>
    <w:rPr>
      <w:rFonts w:ascii="Arial" w:hAnsi="Arial"/>
      <w:b w:val="0"/>
      <w:i/>
      <w:sz w:val="19"/>
    </w:rPr>
  </w:style>
  <w:style w:type="character" w:customStyle="1" w:styleId="WW8Num17z0">
    <w:name w:val="WW8Num17z0"/>
    <w:rsid w:val="004808AA"/>
    <w:rPr>
      <w:rFonts w:ascii="Arial" w:hAnsi="Arial"/>
      <w:b/>
      <w:i w:val="0"/>
      <w:sz w:val="19"/>
    </w:rPr>
  </w:style>
  <w:style w:type="character" w:customStyle="1" w:styleId="WW8Num17z1">
    <w:name w:val="WW8Num17z1"/>
    <w:rsid w:val="004808AA"/>
    <w:rPr>
      <w:rFonts w:ascii="Arial" w:hAnsi="Arial"/>
      <w:b w:val="0"/>
      <w:i w:val="0"/>
      <w:sz w:val="19"/>
    </w:rPr>
  </w:style>
  <w:style w:type="character" w:customStyle="1" w:styleId="WW8Num17z4">
    <w:name w:val="WW8Num17z4"/>
    <w:rsid w:val="004808AA"/>
    <w:rPr>
      <w:rFonts w:ascii="Arial" w:hAnsi="Arial"/>
      <w:b w:val="0"/>
      <w:i/>
      <w:sz w:val="19"/>
    </w:rPr>
  </w:style>
  <w:style w:type="character" w:customStyle="1" w:styleId="WW8Num19z0">
    <w:name w:val="WW8Num19z0"/>
    <w:rsid w:val="004808AA"/>
    <w:rPr>
      <w:rFonts w:ascii="Symbol" w:hAnsi="Symbol"/>
    </w:rPr>
  </w:style>
  <w:style w:type="character" w:customStyle="1" w:styleId="WW8Num19z1">
    <w:name w:val="WW8Num19z1"/>
    <w:rsid w:val="004808AA"/>
    <w:rPr>
      <w:rFonts w:ascii="Courier New" w:hAnsi="Courier New" w:cs="Courier New"/>
    </w:rPr>
  </w:style>
  <w:style w:type="character" w:customStyle="1" w:styleId="WW8Num19z2">
    <w:name w:val="WW8Num19z2"/>
    <w:rsid w:val="004808AA"/>
    <w:rPr>
      <w:rFonts w:ascii="Wingdings" w:hAnsi="Wingdings"/>
    </w:rPr>
  </w:style>
  <w:style w:type="character" w:customStyle="1" w:styleId="WW8Num21z0">
    <w:name w:val="WW8Num21z0"/>
    <w:rsid w:val="004808AA"/>
    <w:rPr>
      <w:rFonts w:ascii="Arial" w:hAnsi="Arial"/>
      <w:b/>
      <w:i w:val="0"/>
      <w:sz w:val="19"/>
    </w:rPr>
  </w:style>
  <w:style w:type="character" w:customStyle="1" w:styleId="WW8Num21z1">
    <w:name w:val="WW8Num21z1"/>
    <w:rsid w:val="004808AA"/>
    <w:rPr>
      <w:rFonts w:ascii="Arial" w:hAnsi="Arial"/>
      <w:b w:val="0"/>
      <w:i w:val="0"/>
      <w:sz w:val="19"/>
    </w:rPr>
  </w:style>
  <w:style w:type="character" w:customStyle="1" w:styleId="WW8Num21z4">
    <w:name w:val="WW8Num21z4"/>
    <w:rsid w:val="004808AA"/>
    <w:rPr>
      <w:rFonts w:ascii="Arial" w:hAnsi="Arial"/>
      <w:b w:val="0"/>
      <w:i/>
      <w:sz w:val="19"/>
    </w:rPr>
  </w:style>
  <w:style w:type="character" w:customStyle="1" w:styleId="WW8Num23z0">
    <w:name w:val="WW8Num23z0"/>
    <w:rsid w:val="004808AA"/>
    <w:rPr>
      <w:rFonts w:ascii="Arial" w:hAnsi="Arial"/>
      <w:b/>
      <w:i w:val="0"/>
      <w:sz w:val="19"/>
    </w:rPr>
  </w:style>
  <w:style w:type="character" w:customStyle="1" w:styleId="WW8Num23z1">
    <w:name w:val="WW8Num23z1"/>
    <w:rsid w:val="004808AA"/>
    <w:rPr>
      <w:rFonts w:ascii="Arial" w:hAnsi="Arial"/>
      <w:b w:val="0"/>
      <w:i w:val="0"/>
      <w:sz w:val="19"/>
    </w:rPr>
  </w:style>
  <w:style w:type="character" w:customStyle="1" w:styleId="WW8Num23z4">
    <w:name w:val="WW8Num23z4"/>
    <w:rsid w:val="004808AA"/>
    <w:rPr>
      <w:rFonts w:ascii="Arial" w:hAnsi="Arial"/>
      <w:b w:val="0"/>
      <w:i/>
      <w:sz w:val="19"/>
    </w:rPr>
  </w:style>
  <w:style w:type="character" w:customStyle="1" w:styleId="WW8Num24z0">
    <w:name w:val="WW8Num24z0"/>
    <w:rsid w:val="004808AA"/>
    <w:rPr>
      <w:rFonts w:ascii="Times New Roman" w:hAnsi="Times New Roman"/>
      <w:b w:val="0"/>
      <w:i w:val="0"/>
      <w:color w:val="002776"/>
      <w:sz w:val="60"/>
      <w:szCs w:val="32"/>
    </w:rPr>
  </w:style>
  <w:style w:type="character" w:customStyle="1" w:styleId="WW8Num24z1">
    <w:name w:val="WW8Num24z1"/>
    <w:rsid w:val="004808AA"/>
    <w:rPr>
      <w:rFonts w:ascii="Times New Roman Bold" w:hAnsi="Times New Roman Bold"/>
      <w:b/>
      <w:i w:val="0"/>
      <w:color w:val="000066"/>
      <w:sz w:val="24"/>
      <w:szCs w:val="24"/>
    </w:rPr>
  </w:style>
  <w:style w:type="character" w:customStyle="1" w:styleId="WW8Num25z0">
    <w:name w:val="WW8Num25z0"/>
    <w:rsid w:val="004808AA"/>
    <w:rPr>
      <w:rFonts w:ascii="Arial" w:hAnsi="Arial"/>
      <w:b/>
      <w:i w:val="0"/>
      <w:sz w:val="19"/>
    </w:rPr>
  </w:style>
  <w:style w:type="character" w:customStyle="1" w:styleId="WW8Num25z1">
    <w:name w:val="WW8Num25z1"/>
    <w:rsid w:val="004808AA"/>
    <w:rPr>
      <w:rFonts w:ascii="Arial" w:hAnsi="Arial"/>
      <w:b w:val="0"/>
      <w:i w:val="0"/>
      <w:sz w:val="19"/>
    </w:rPr>
  </w:style>
  <w:style w:type="character" w:customStyle="1" w:styleId="WW8Num25z4">
    <w:name w:val="WW8Num25z4"/>
    <w:rsid w:val="004808AA"/>
    <w:rPr>
      <w:rFonts w:ascii="Arial" w:hAnsi="Arial"/>
      <w:b w:val="0"/>
      <w:i/>
      <w:sz w:val="19"/>
    </w:rPr>
  </w:style>
  <w:style w:type="character" w:customStyle="1" w:styleId="WW8Num26z0">
    <w:name w:val="WW8Num26z0"/>
    <w:rsid w:val="004808AA"/>
    <w:rPr>
      <w:rFonts w:ascii="Arial" w:hAnsi="Arial"/>
      <w:b/>
      <w:i w:val="0"/>
      <w:sz w:val="19"/>
    </w:rPr>
  </w:style>
  <w:style w:type="character" w:customStyle="1" w:styleId="WW8Num26z1">
    <w:name w:val="WW8Num26z1"/>
    <w:rsid w:val="004808AA"/>
    <w:rPr>
      <w:rFonts w:ascii="Arial" w:hAnsi="Arial"/>
      <w:b w:val="0"/>
      <w:i w:val="0"/>
      <w:sz w:val="19"/>
    </w:rPr>
  </w:style>
  <w:style w:type="character" w:customStyle="1" w:styleId="WW8Num26z4">
    <w:name w:val="WW8Num26z4"/>
    <w:rsid w:val="004808AA"/>
    <w:rPr>
      <w:rFonts w:ascii="Arial" w:hAnsi="Arial"/>
      <w:b w:val="0"/>
      <w:i/>
      <w:sz w:val="19"/>
    </w:rPr>
  </w:style>
  <w:style w:type="character" w:customStyle="1" w:styleId="WW8Num27z0">
    <w:name w:val="WW8Num27z0"/>
    <w:rsid w:val="004808AA"/>
    <w:rPr>
      <w:rFonts w:ascii="Arial" w:hAnsi="Arial"/>
      <w:b/>
      <w:i w:val="0"/>
      <w:sz w:val="19"/>
    </w:rPr>
  </w:style>
  <w:style w:type="character" w:customStyle="1" w:styleId="WW8Num27z1">
    <w:name w:val="WW8Num27z1"/>
    <w:rsid w:val="004808AA"/>
    <w:rPr>
      <w:rFonts w:ascii="Arial" w:hAnsi="Arial"/>
      <w:b w:val="0"/>
      <w:i w:val="0"/>
      <w:sz w:val="19"/>
    </w:rPr>
  </w:style>
  <w:style w:type="character" w:customStyle="1" w:styleId="WW8Num27z4">
    <w:name w:val="WW8Num27z4"/>
    <w:rsid w:val="004808AA"/>
    <w:rPr>
      <w:rFonts w:ascii="Arial" w:hAnsi="Arial"/>
      <w:b w:val="0"/>
      <w:i/>
      <w:sz w:val="19"/>
    </w:rPr>
  </w:style>
  <w:style w:type="character" w:customStyle="1" w:styleId="WW8Num28z0">
    <w:name w:val="WW8Num28z0"/>
    <w:rsid w:val="004808AA"/>
    <w:rPr>
      <w:rFonts w:ascii="Times New Roman" w:hAnsi="Times New Roman"/>
      <w:b w:val="0"/>
      <w:i w:val="0"/>
      <w:color w:val="002776"/>
      <w:sz w:val="60"/>
    </w:rPr>
  </w:style>
  <w:style w:type="character" w:customStyle="1" w:styleId="WW8Num28z1">
    <w:name w:val="WW8Num28z1"/>
    <w:rsid w:val="004808AA"/>
    <w:rPr>
      <w:rFonts w:ascii="Arial" w:hAnsi="Arial"/>
      <w:b/>
      <w:i w:val="0"/>
      <w:color w:val="92D400"/>
      <w:sz w:val="24"/>
    </w:rPr>
  </w:style>
  <w:style w:type="character" w:customStyle="1" w:styleId="WW8Num28z2">
    <w:name w:val="WW8Num28z2"/>
    <w:rsid w:val="004808AA"/>
    <w:rPr>
      <w:rFonts w:ascii="Arial" w:hAnsi="Arial"/>
      <w:b/>
      <w:i w:val="0"/>
      <w:color w:val="3C8A2E"/>
      <w:sz w:val="24"/>
    </w:rPr>
  </w:style>
  <w:style w:type="character" w:customStyle="1" w:styleId="WW8Num28z3">
    <w:name w:val="WW8Num28z3"/>
    <w:rsid w:val="004808AA"/>
    <w:rPr>
      <w:rFonts w:ascii="Arial" w:hAnsi="Arial"/>
      <w:b/>
      <w:i w:val="0"/>
      <w:color w:val="auto"/>
      <w:sz w:val="24"/>
    </w:rPr>
  </w:style>
  <w:style w:type="character" w:customStyle="1" w:styleId="WW8Num28z4">
    <w:name w:val="WW8Num28z4"/>
    <w:rsid w:val="004808AA"/>
    <w:rPr>
      <w:rFonts w:ascii="Arial" w:hAnsi="Arial"/>
      <w:b/>
      <w:i/>
      <w:color w:val="000000"/>
      <w:sz w:val="24"/>
    </w:rPr>
  </w:style>
  <w:style w:type="character" w:customStyle="1" w:styleId="WW8Num28z5">
    <w:name w:val="WW8Num28z5"/>
    <w:rsid w:val="004808AA"/>
    <w:rPr>
      <w:rFonts w:ascii="Arial" w:hAnsi="Arial"/>
      <w:b w:val="0"/>
      <w:i/>
      <w:color w:val="auto"/>
      <w:sz w:val="24"/>
    </w:rPr>
  </w:style>
  <w:style w:type="character" w:customStyle="1" w:styleId="WW8Num29z0">
    <w:name w:val="WW8Num29z0"/>
    <w:rsid w:val="004808AA"/>
    <w:rPr>
      <w:rFonts w:ascii="Symbol" w:hAnsi="Symbol"/>
    </w:rPr>
  </w:style>
  <w:style w:type="character" w:customStyle="1" w:styleId="WW8Num29z1">
    <w:name w:val="WW8Num29z1"/>
    <w:rsid w:val="004808AA"/>
    <w:rPr>
      <w:rFonts w:ascii="Courier New" w:hAnsi="Courier New" w:cs="Courier New"/>
    </w:rPr>
  </w:style>
  <w:style w:type="character" w:customStyle="1" w:styleId="WW8Num29z2">
    <w:name w:val="WW8Num29z2"/>
    <w:rsid w:val="004808AA"/>
    <w:rPr>
      <w:rFonts w:ascii="Wingdings" w:hAnsi="Wingdings"/>
    </w:rPr>
  </w:style>
  <w:style w:type="character" w:customStyle="1" w:styleId="WW8Num30z0">
    <w:name w:val="WW8Num30z0"/>
    <w:rsid w:val="004808AA"/>
    <w:rPr>
      <w:rFonts w:ascii="Arial" w:hAnsi="Arial"/>
      <w:b/>
      <w:i w:val="0"/>
      <w:sz w:val="19"/>
    </w:rPr>
  </w:style>
  <w:style w:type="character" w:customStyle="1" w:styleId="WW8Num30z1">
    <w:name w:val="WW8Num30z1"/>
    <w:rsid w:val="004808AA"/>
    <w:rPr>
      <w:rFonts w:ascii="Arial" w:hAnsi="Arial"/>
      <w:b w:val="0"/>
      <w:i w:val="0"/>
      <w:sz w:val="19"/>
    </w:rPr>
  </w:style>
  <w:style w:type="character" w:customStyle="1" w:styleId="WW8Num30z4">
    <w:name w:val="WW8Num30z4"/>
    <w:rsid w:val="004808AA"/>
    <w:rPr>
      <w:rFonts w:ascii="Arial" w:hAnsi="Arial"/>
      <w:b w:val="0"/>
      <w:i/>
      <w:sz w:val="19"/>
    </w:rPr>
  </w:style>
  <w:style w:type="character" w:customStyle="1" w:styleId="WW8Num31z0">
    <w:name w:val="WW8Num31z0"/>
    <w:rsid w:val="004808AA"/>
    <w:rPr>
      <w:rFonts w:ascii="Arial" w:hAnsi="Arial"/>
      <w:b/>
      <w:i w:val="0"/>
      <w:sz w:val="19"/>
    </w:rPr>
  </w:style>
  <w:style w:type="character" w:customStyle="1" w:styleId="WW8Num31z1">
    <w:name w:val="WW8Num31z1"/>
    <w:rsid w:val="004808AA"/>
    <w:rPr>
      <w:rFonts w:ascii="Arial" w:hAnsi="Arial"/>
      <w:b w:val="0"/>
      <w:i w:val="0"/>
      <w:sz w:val="19"/>
    </w:rPr>
  </w:style>
  <w:style w:type="character" w:customStyle="1" w:styleId="WW8Num31z4">
    <w:name w:val="WW8Num31z4"/>
    <w:rsid w:val="004808AA"/>
    <w:rPr>
      <w:rFonts w:ascii="Arial" w:hAnsi="Arial"/>
      <w:b w:val="0"/>
      <w:i/>
      <w:sz w:val="19"/>
    </w:rPr>
  </w:style>
  <w:style w:type="character" w:customStyle="1" w:styleId="WW8Num32z0">
    <w:name w:val="WW8Num32z0"/>
    <w:rsid w:val="004808AA"/>
    <w:rPr>
      <w:rFonts w:ascii="Arial" w:hAnsi="Arial"/>
      <w:b/>
      <w:i w:val="0"/>
      <w:sz w:val="19"/>
    </w:rPr>
  </w:style>
  <w:style w:type="character" w:customStyle="1" w:styleId="WW8Num32z1">
    <w:name w:val="WW8Num32z1"/>
    <w:rsid w:val="004808AA"/>
    <w:rPr>
      <w:rFonts w:ascii="Arial" w:hAnsi="Arial"/>
      <w:b w:val="0"/>
      <w:i w:val="0"/>
      <w:sz w:val="19"/>
    </w:rPr>
  </w:style>
  <w:style w:type="character" w:customStyle="1" w:styleId="WW8Num32z4">
    <w:name w:val="WW8Num32z4"/>
    <w:rsid w:val="004808AA"/>
    <w:rPr>
      <w:rFonts w:ascii="Arial" w:hAnsi="Arial"/>
      <w:b w:val="0"/>
      <w:i/>
      <w:sz w:val="19"/>
    </w:rPr>
  </w:style>
  <w:style w:type="character" w:customStyle="1" w:styleId="WW8Num33z0">
    <w:name w:val="WW8Num33z0"/>
    <w:rsid w:val="004808AA"/>
    <w:rPr>
      <w:rFonts w:ascii="Arial" w:hAnsi="Arial"/>
      <w:b/>
      <w:i w:val="0"/>
      <w:sz w:val="19"/>
    </w:rPr>
  </w:style>
  <w:style w:type="character" w:customStyle="1" w:styleId="WW8Num33z1">
    <w:name w:val="WW8Num33z1"/>
    <w:rsid w:val="004808AA"/>
    <w:rPr>
      <w:rFonts w:ascii="Arial" w:hAnsi="Arial"/>
      <w:b w:val="0"/>
      <w:i w:val="0"/>
      <w:sz w:val="19"/>
    </w:rPr>
  </w:style>
  <w:style w:type="character" w:customStyle="1" w:styleId="WW8Num33z4">
    <w:name w:val="WW8Num33z4"/>
    <w:rsid w:val="004808AA"/>
    <w:rPr>
      <w:rFonts w:ascii="Arial" w:hAnsi="Arial"/>
      <w:b w:val="0"/>
      <w:i/>
      <w:sz w:val="19"/>
    </w:rPr>
  </w:style>
  <w:style w:type="character" w:customStyle="1" w:styleId="WW8Num34z0">
    <w:name w:val="WW8Num34z0"/>
    <w:rsid w:val="004808AA"/>
    <w:rPr>
      <w:rFonts w:ascii="Symbol" w:hAnsi="Symbol"/>
      <w:b w:val="0"/>
      <w:i w:val="0"/>
      <w:sz w:val="19"/>
    </w:rPr>
  </w:style>
  <w:style w:type="character" w:customStyle="1" w:styleId="WW8Num34z1">
    <w:name w:val="WW8Num34z1"/>
    <w:rsid w:val="004808AA"/>
    <w:rPr>
      <w:rFonts w:ascii="Courier New" w:hAnsi="Courier New" w:cs="Courier New"/>
    </w:rPr>
  </w:style>
  <w:style w:type="character" w:customStyle="1" w:styleId="WW8Num34z2">
    <w:name w:val="WW8Num34z2"/>
    <w:rsid w:val="004808AA"/>
    <w:rPr>
      <w:rFonts w:ascii="Wingdings" w:hAnsi="Wingdings"/>
    </w:rPr>
  </w:style>
  <w:style w:type="character" w:customStyle="1" w:styleId="WW8Num34z3">
    <w:name w:val="WW8Num34z3"/>
    <w:rsid w:val="004808AA"/>
    <w:rPr>
      <w:rFonts w:ascii="Symbol" w:hAnsi="Symbol"/>
    </w:rPr>
  </w:style>
  <w:style w:type="character" w:customStyle="1" w:styleId="WW8Num36z0">
    <w:name w:val="WW8Num36z0"/>
    <w:rsid w:val="004808AA"/>
    <w:rPr>
      <w:rFonts w:ascii="Arial" w:hAnsi="Arial"/>
      <w:b/>
      <w:i w:val="0"/>
      <w:sz w:val="19"/>
    </w:rPr>
  </w:style>
  <w:style w:type="character" w:customStyle="1" w:styleId="WW8Num36z1">
    <w:name w:val="WW8Num36z1"/>
    <w:rsid w:val="004808AA"/>
    <w:rPr>
      <w:rFonts w:ascii="Arial" w:hAnsi="Arial"/>
      <w:b w:val="0"/>
      <w:i w:val="0"/>
      <w:sz w:val="19"/>
    </w:rPr>
  </w:style>
  <w:style w:type="character" w:customStyle="1" w:styleId="WW8Num36z4">
    <w:name w:val="WW8Num36z4"/>
    <w:rsid w:val="004808AA"/>
    <w:rPr>
      <w:rFonts w:ascii="Arial" w:hAnsi="Arial"/>
      <w:b w:val="0"/>
      <w:i/>
      <w:sz w:val="19"/>
    </w:rPr>
  </w:style>
  <w:style w:type="character" w:styleId="slostrnky">
    <w:name w:val="page number"/>
    <w:semiHidden/>
    <w:rsid w:val="004808AA"/>
    <w:rPr>
      <w:rFonts w:ascii="Arial" w:hAnsi="Arial"/>
      <w:sz w:val="16"/>
    </w:rPr>
  </w:style>
  <w:style w:type="character" w:styleId="Hypertextovodkaz">
    <w:name w:val="Hyperlink"/>
    <w:semiHidden/>
    <w:rsid w:val="004808AA"/>
    <w:rPr>
      <w:rFonts w:ascii="Arial" w:hAnsi="Arial"/>
      <w:color w:val="00A1DE"/>
      <w:sz w:val="16"/>
      <w:u w:val="single"/>
    </w:rPr>
  </w:style>
  <w:style w:type="character" w:customStyle="1" w:styleId="HeaderChar">
    <w:name w:val="Header Char"/>
    <w:rsid w:val="004808AA"/>
    <w:rPr>
      <w:rFonts w:ascii="Arial" w:hAnsi="Arial"/>
      <w:sz w:val="16"/>
      <w:szCs w:val="24"/>
    </w:rPr>
  </w:style>
  <w:style w:type="character" w:customStyle="1" w:styleId="FooterChar">
    <w:name w:val="Footer Char"/>
    <w:rsid w:val="004808AA"/>
    <w:rPr>
      <w:sz w:val="24"/>
      <w:szCs w:val="24"/>
    </w:rPr>
  </w:style>
  <w:style w:type="character" w:customStyle="1" w:styleId="CaptionbodyChar">
    <w:name w:val="Caption body Char"/>
    <w:rsid w:val="004808AA"/>
    <w:rPr>
      <w:rFonts w:ascii="Arial" w:hAnsi="Arial"/>
      <w:color w:val="000000"/>
      <w:sz w:val="18"/>
      <w:lang w:val="en-US" w:eastAsia="ar-SA" w:bidi="ar-SA"/>
    </w:rPr>
  </w:style>
  <w:style w:type="character" w:customStyle="1" w:styleId="Bulletslevel1Char">
    <w:name w:val="Bullets level 1 Char"/>
    <w:rsid w:val="004808AA"/>
    <w:rPr>
      <w:rFonts w:ascii="Arial" w:eastAsia="Times" w:hAnsi="Arial"/>
      <w:color w:val="000000"/>
      <w:sz w:val="19"/>
      <w:lang w:val="en-GB"/>
    </w:rPr>
  </w:style>
  <w:style w:type="character" w:customStyle="1" w:styleId="Bulletslevel2Char">
    <w:name w:val="Bullets level 2 Char"/>
    <w:basedOn w:val="Bulletslevel1Char"/>
    <w:rsid w:val="004808AA"/>
  </w:style>
  <w:style w:type="character" w:customStyle="1" w:styleId="Heading4Char">
    <w:name w:val="Heading 4 Char"/>
    <w:rsid w:val="004808AA"/>
    <w:rPr>
      <w:rFonts w:ascii="Arial" w:eastAsia="Times New Roman" w:hAnsi="Arial" w:cs="Times New Roman"/>
      <w:b/>
      <w:bCs/>
      <w:iCs/>
      <w:sz w:val="24"/>
      <w:szCs w:val="24"/>
    </w:rPr>
  </w:style>
  <w:style w:type="character" w:customStyle="1" w:styleId="Heading5Char">
    <w:name w:val="Heading 5 Char"/>
    <w:rsid w:val="004808AA"/>
    <w:rPr>
      <w:rFonts w:ascii="Arial" w:eastAsia="Times New Roman" w:hAnsi="Arial" w:cs="Times New Roman"/>
      <w:b/>
      <w:i/>
      <w:color w:val="00133A"/>
      <w:sz w:val="24"/>
      <w:szCs w:val="24"/>
    </w:rPr>
  </w:style>
  <w:style w:type="character" w:customStyle="1" w:styleId="Heading6Char">
    <w:name w:val="Heading 6 Char"/>
    <w:rsid w:val="004808AA"/>
    <w:rPr>
      <w:rFonts w:ascii="Arial" w:eastAsia="Times New Roman" w:hAnsi="Arial" w:cs="Times New Roman"/>
      <w:i/>
      <w:iCs/>
      <w:color w:val="00133A"/>
      <w:sz w:val="24"/>
      <w:szCs w:val="24"/>
    </w:rPr>
  </w:style>
  <w:style w:type="character" w:customStyle="1" w:styleId="Heading7Char">
    <w:name w:val="Heading 7 Char"/>
    <w:rsid w:val="004808AA"/>
    <w:rPr>
      <w:rFonts w:ascii="Arial" w:eastAsia="Times New Roman" w:hAnsi="Arial" w:cs="Times New Roman"/>
      <w:i/>
      <w:iCs/>
      <w:color w:val="404040"/>
      <w:sz w:val="22"/>
      <w:szCs w:val="24"/>
    </w:rPr>
  </w:style>
  <w:style w:type="character" w:customStyle="1" w:styleId="Heading8Char">
    <w:name w:val="Heading 8 Char"/>
    <w:rsid w:val="004808AA"/>
    <w:rPr>
      <w:rFonts w:ascii="Arial" w:eastAsia="Times New Roman" w:hAnsi="Arial" w:cs="Times New Roman"/>
      <w:i/>
      <w:color w:val="404040"/>
    </w:rPr>
  </w:style>
  <w:style w:type="character" w:customStyle="1" w:styleId="Heading9Char">
    <w:name w:val="Heading 9 Char"/>
    <w:rsid w:val="004808AA"/>
    <w:rPr>
      <w:rFonts w:ascii="Arial" w:eastAsia="Times New Roman" w:hAnsi="Arial" w:cs="Times New Roman"/>
      <w:i/>
      <w:iCs/>
      <w:color w:val="404040"/>
      <w:sz w:val="18"/>
    </w:rPr>
  </w:style>
  <w:style w:type="character" w:customStyle="1" w:styleId="FootnoteCharacters">
    <w:name w:val="Footnote Characters"/>
    <w:rsid w:val="004808AA"/>
    <w:rPr>
      <w:rFonts w:ascii="Arial" w:hAnsi="Arial"/>
      <w:sz w:val="16"/>
      <w:vertAlign w:val="superscript"/>
    </w:rPr>
  </w:style>
  <w:style w:type="character" w:customStyle="1" w:styleId="FootnoteTextChar">
    <w:name w:val="Footnote Text Char"/>
    <w:rsid w:val="004808AA"/>
    <w:rPr>
      <w:rFonts w:ascii="Arial" w:hAnsi="Arial"/>
      <w:sz w:val="16"/>
    </w:rPr>
  </w:style>
  <w:style w:type="character" w:customStyle="1" w:styleId="BodyTextIndentChar">
    <w:name w:val="Body Text Indent Char"/>
    <w:rsid w:val="004808AA"/>
    <w:rPr>
      <w:rFonts w:ascii="Arial" w:hAnsi="Arial"/>
      <w:bCs/>
      <w:szCs w:val="24"/>
      <w:lang w:val="cs-CZ"/>
    </w:rPr>
  </w:style>
  <w:style w:type="character" w:styleId="Odkaznakoment">
    <w:name w:val="annotation reference"/>
    <w:uiPriority w:val="99"/>
    <w:semiHidden/>
    <w:rsid w:val="004808AA"/>
    <w:rPr>
      <w:sz w:val="16"/>
      <w:szCs w:val="16"/>
    </w:rPr>
  </w:style>
  <w:style w:type="character" w:customStyle="1" w:styleId="CommentTextChar">
    <w:name w:val="Comment Text Char"/>
    <w:rsid w:val="004808AA"/>
    <w:rPr>
      <w:rFonts w:ascii="Arial" w:hAnsi="Arial"/>
    </w:rPr>
  </w:style>
  <w:style w:type="character" w:customStyle="1" w:styleId="CommentSubjectChar">
    <w:name w:val="Comment Subject Char"/>
    <w:rsid w:val="004808AA"/>
    <w:rPr>
      <w:rFonts w:ascii="Arial" w:hAnsi="Arial"/>
      <w:b/>
      <w:bCs/>
    </w:rPr>
  </w:style>
  <w:style w:type="character" w:customStyle="1" w:styleId="PlainTextChar">
    <w:name w:val="Plain Text Char"/>
    <w:rsid w:val="004808AA"/>
    <w:rPr>
      <w:rFonts w:ascii="Arial" w:hAnsi="Arial"/>
      <w:color w:val="000000"/>
      <w:szCs w:val="21"/>
    </w:rPr>
  </w:style>
  <w:style w:type="paragraph" w:customStyle="1" w:styleId="Heading">
    <w:name w:val="Heading"/>
    <w:basedOn w:val="Normln"/>
    <w:next w:val="Zkladntext"/>
    <w:rsid w:val="004808AA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Zkladntext">
    <w:name w:val="Body Text"/>
    <w:basedOn w:val="Normln"/>
    <w:semiHidden/>
    <w:rsid w:val="004808AA"/>
    <w:pPr>
      <w:spacing w:after="120"/>
    </w:pPr>
  </w:style>
  <w:style w:type="paragraph" w:styleId="Seznam">
    <w:name w:val="List"/>
    <w:basedOn w:val="Zkladntext"/>
    <w:semiHidden/>
    <w:rsid w:val="004808AA"/>
    <w:rPr>
      <w:rFonts w:cs="Tahoma"/>
    </w:rPr>
  </w:style>
  <w:style w:type="paragraph" w:customStyle="1" w:styleId="Caption">
    <w:name w:val="Caption"/>
    <w:basedOn w:val="Normln"/>
    <w:rsid w:val="004808AA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ln"/>
    <w:rsid w:val="004808AA"/>
    <w:pPr>
      <w:suppressLineNumbers/>
    </w:pPr>
    <w:rPr>
      <w:rFonts w:cs="Tahoma"/>
    </w:rPr>
  </w:style>
  <w:style w:type="paragraph" w:styleId="Zhlav">
    <w:name w:val="header"/>
    <w:basedOn w:val="Normln"/>
    <w:semiHidden/>
    <w:rsid w:val="004808AA"/>
    <w:rPr>
      <w:sz w:val="16"/>
    </w:rPr>
  </w:style>
  <w:style w:type="paragraph" w:styleId="Zpat">
    <w:name w:val="footer"/>
    <w:basedOn w:val="Normln"/>
    <w:semiHidden/>
    <w:rsid w:val="004808AA"/>
  </w:style>
  <w:style w:type="paragraph" w:styleId="Obsah1">
    <w:name w:val="toc 1"/>
    <w:basedOn w:val="Normln"/>
    <w:next w:val="Normln"/>
    <w:semiHidden/>
    <w:rsid w:val="004808AA"/>
    <w:pPr>
      <w:spacing w:after="240"/>
    </w:pPr>
    <w:rPr>
      <w:sz w:val="24"/>
    </w:rPr>
  </w:style>
  <w:style w:type="paragraph" w:styleId="Obsah2">
    <w:name w:val="toc 2"/>
    <w:basedOn w:val="Normln"/>
    <w:next w:val="Normln"/>
    <w:semiHidden/>
    <w:rsid w:val="004808AA"/>
    <w:pPr>
      <w:spacing w:after="240"/>
      <w:ind w:left="238"/>
    </w:pPr>
    <w:rPr>
      <w:sz w:val="24"/>
    </w:rPr>
  </w:style>
  <w:style w:type="paragraph" w:styleId="Obsah3">
    <w:name w:val="toc 3"/>
    <w:basedOn w:val="Normln"/>
    <w:next w:val="Normln"/>
    <w:semiHidden/>
    <w:rsid w:val="004808AA"/>
    <w:pPr>
      <w:spacing w:after="240"/>
      <w:ind w:left="482"/>
    </w:pPr>
    <w:rPr>
      <w:sz w:val="24"/>
    </w:rPr>
  </w:style>
  <w:style w:type="paragraph" w:customStyle="1" w:styleId="Textbubliny1">
    <w:name w:val="Text bubliny1"/>
    <w:basedOn w:val="Normln"/>
    <w:rsid w:val="004808AA"/>
    <w:rPr>
      <w:rFonts w:ascii="Tahoma" w:hAnsi="Tahoma" w:cs="Tahoma"/>
      <w:sz w:val="16"/>
      <w:szCs w:val="16"/>
    </w:rPr>
  </w:style>
  <w:style w:type="paragraph" w:customStyle="1" w:styleId="Bodytext">
    <w:name w:val="Body text"/>
    <w:rsid w:val="004808AA"/>
    <w:pPr>
      <w:suppressAutoHyphens/>
    </w:pPr>
    <w:rPr>
      <w:rFonts w:ascii="Arial" w:eastAsia="Arial" w:hAnsi="Arial"/>
      <w:color w:val="000000"/>
      <w:sz w:val="19"/>
      <w:szCs w:val="48"/>
      <w:lang w:eastAsia="ar-SA"/>
    </w:rPr>
  </w:style>
  <w:style w:type="paragraph" w:customStyle="1" w:styleId="Legalentity">
    <w:name w:val="Legal entity"/>
    <w:basedOn w:val="Normln"/>
    <w:rsid w:val="004808AA"/>
    <w:pPr>
      <w:widowControl w:val="0"/>
      <w:autoSpaceDE w:val="0"/>
      <w:spacing w:after="90" w:line="180" w:lineRule="atLeast"/>
      <w:textAlignment w:val="center"/>
    </w:pPr>
    <w:rPr>
      <w:color w:val="000000"/>
      <w:sz w:val="15"/>
      <w:szCs w:val="20"/>
      <w:lang w:val="en-GB"/>
    </w:rPr>
  </w:style>
  <w:style w:type="paragraph" w:customStyle="1" w:styleId="smlouvaheading1">
    <w:name w:val="smlouva heading 1"/>
    <w:next w:val="Bodytext"/>
    <w:rsid w:val="004808AA"/>
    <w:pPr>
      <w:tabs>
        <w:tab w:val="num" w:pos="0"/>
        <w:tab w:val="left" w:pos="873"/>
      </w:tabs>
      <w:suppressAutoHyphens/>
      <w:spacing w:before="120" w:after="120"/>
      <w:ind w:left="360" w:hanging="360"/>
    </w:pPr>
    <w:rPr>
      <w:rFonts w:ascii="Arial" w:eastAsia="Arial" w:hAnsi="Arial"/>
      <w:b/>
      <w:color w:val="000000"/>
      <w:sz w:val="19"/>
      <w:szCs w:val="24"/>
      <w:lang w:eastAsia="ar-SA"/>
    </w:rPr>
  </w:style>
  <w:style w:type="paragraph" w:customStyle="1" w:styleId="CaptionIntroductionparagraph">
    <w:name w:val="Caption Introduction paragraph"/>
    <w:rsid w:val="004808AA"/>
    <w:pPr>
      <w:suppressAutoHyphens/>
    </w:pPr>
    <w:rPr>
      <w:rFonts w:ascii="Arial" w:eastAsia="Arial" w:hAnsi="Arial"/>
      <w:b/>
      <w:color w:val="00A1DE"/>
      <w:sz w:val="24"/>
      <w:szCs w:val="22"/>
      <w:lang w:eastAsia="ar-SA"/>
    </w:rPr>
  </w:style>
  <w:style w:type="paragraph" w:customStyle="1" w:styleId="smlouvaheading2">
    <w:name w:val="smlouva heading 2"/>
    <w:basedOn w:val="CaptionIntroductionparagraph"/>
    <w:next w:val="Bodytext"/>
    <w:rsid w:val="004808AA"/>
    <w:pPr>
      <w:tabs>
        <w:tab w:val="num" w:pos="0"/>
      </w:tabs>
      <w:ind w:left="360" w:hanging="360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"/>
    <w:rsid w:val="004808AA"/>
  </w:style>
  <w:style w:type="paragraph" w:customStyle="1" w:styleId="smlouvaheading4">
    <w:name w:val="smlouva heading 4"/>
    <w:basedOn w:val="smlouvaheading3"/>
    <w:next w:val="Bodytext"/>
    <w:rsid w:val="004808AA"/>
    <w:rPr>
      <w:color w:val="auto"/>
    </w:rPr>
  </w:style>
  <w:style w:type="paragraph" w:customStyle="1" w:styleId="smlouvabodytextbold">
    <w:name w:val="smlouva body text bold"/>
    <w:basedOn w:val="smlouvaheading4"/>
    <w:next w:val="Bodytext"/>
    <w:rsid w:val="004808AA"/>
    <w:pPr>
      <w:tabs>
        <w:tab w:val="clear" w:pos="0"/>
      </w:tabs>
      <w:ind w:left="0" w:firstLine="0"/>
    </w:pPr>
    <w:rPr>
      <w:b/>
    </w:rPr>
  </w:style>
  <w:style w:type="paragraph" w:customStyle="1" w:styleId="Bodytextbold">
    <w:name w:val="Body text bold"/>
    <w:basedOn w:val="smlouvabodytextbold"/>
    <w:next w:val="Bodytext"/>
    <w:rsid w:val="004808AA"/>
    <w:rPr>
      <w:color w:val="000000"/>
    </w:rPr>
  </w:style>
  <w:style w:type="paragraph" w:customStyle="1" w:styleId="Captionbody">
    <w:name w:val="Caption body"/>
    <w:rsid w:val="004808AA"/>
    <w:pPr>
      <w:suppressAutoHyphens/>
    </w:pPr>
    <w:rPr>
      <w:rFonts w:ascii="Arial" w:eastAsia="Arial" w:hAnsi="Arial"/>
      <w:color w:val="000000"/>
      <w:sz w:val="18"/>
      <w:lang w:val="en-US" w:eastAsia="ar-SA"/>
    </w:rPr>
  </w:style>
  <w:style w:type="paragraph" w:customStyle="1" w:styleId="Captionheading">
    <w:name w:val="Caption heading"/>
    <w:basedOn w:val="Captionbody"/>
    <w:rsid w:val="004808AA"/>
    <w:rPr>
      <w:b/>
    </w:rPr>
  </w:style>
  <w:style w:type="paragraph" w:customStyle="1" w:styleId="smlouvabodytext">
    <w:name w:val="smlouva body text"/>
    <w:basedOn w:val="Normln"/>
    <w:rsid w:val="004808AA"/>
    <w:rPr>
      <w:rFonts w:eastAsia="Times"/>
    </w:rPr>
  </w:style>
  <w:style w:type="paragraph" w:customStyle="1" w:styleId="Bulletslevel1">
    <w:name w:val="Bullets level 1"/>
    <w:basedOn w:val="Normln"/>
    <w:rsid w:val="004808AA"/>
    <w:pPr>
      <w:spacing w:before="120"/>
      <w:ind w:left="360"/>
    </w:pPr>
    <w:rPr>
      <w:rFonts w:eastAsia="Times"/>
      <w:color w:val="000000"/>
      <w:szCs w:val="20"/>
      <w:lang w:val="en-GB"/>
    </w:rPr>
  </w:style>
  <w:style w:type="paragraph" w:customStyle="1" w:styleId="Bulletslevel2">
    <w:name w:val="Bullets level 2"/>
    <w:basedOn w:val="Normln"/>
    <w:rsid w:val="004808AA"/>
    <w:pPr>
      <w:spacing w:before="120"/>
    </w:pPr>
    <w:rPr>
      <w:rFonts w:eastAsia="Times"/>
      <w:color w:val="000000"/>
      <w:szCs w:val="20"/>
      <w:lang w:val="en-GB"/>
    </w:rPr>
  </w:style>
  <w:style w:type="paragraph" w:customStyle="1" w:styleId="PulloutQuote">
    <w:name w:val="Pullout Quote"/>
    <w:rsid w:val="004808AA"/>
    <w:pPr>
      <w:pBdr>
        <w:top w:val="single" w:sz="4" w:space="4" w:color="00FFFF"/>
      </w:pBdr>
      <w:suppressAutoHyphens/>
      <w:spacing w:line="320" w:lineRule="exact"/>
    </w:pPr>
    <w:rPr>
      <w:rFonts w:eastAsia="Times"/>
      <w:color w:val="00A1DE"/>
      <w:sz w:val="32"/>
      <w:lang w:val="en-GB" w:eastAsia="ar-SA"/>
    </w:rPr>
  </w:style>
  <w:style w:type="paragraph" w:customStyle="1" w:styleId="Highlight1">
    <w:name w:val="Highlight 1"/>
    <w:basedOn w:val="Normln"/>
    <w:rsid w:val="004808AA"/>
    <w:rPr>
      <w:b/>
      <w:color w:val="3C8A2E"/>
      <w:sz w:val="20"/>
      <w:szCs w:val="16"/>
    </w:rPr>
  </w:style>
  <w:style w:type="paragraph" w:customStyle="1" w:styleId="Highlight2">
    <w:name w:val="Highlight 2"/>
    <w:basedOn w:val="Highlight1"/>
    <w:rsid w:val="004808AA"/>
    <w:rPr>
      <w:color w:val="92D400"/>
    </w:rPr>
  </w:style>
  <w:style w:type="paragraph" w:styleId="Obsah4">
    <w:name w:val="toc 4"/>
    <w:basedOn w:val="Normln"/>
    <w:next w:val="Normln"/>
    <w:semiHidden/>
    <w:rsid w:val="004808AA"/>
    <w:pPr>
      <w:spacing w:after="240"/>
      <w:ind w:left="720"/>
    </w:pPr>
  </w:style>
  <w:style w:type="paragraph" w:styleId="Obsah5">
    <w:name w:val="toc 5"/>
    <w:basedOn w:val="Normln"/>
    <w:next w:val="Normln"/>
    <w:semiHidden/>
    <w:rsid w:val="004808AA"/>
    <w:pPr>
      <w:spacing w:after="100"/>
      <w:ind w:left="960"/>
    </w:pPr>
  </w:style>
  <w:style w:type="paragraph" w:styleId="Textpoznpodarou">
    <w:name w:val="footnote text"/>
    <w:basedOn w:val="Normln"/>
    <w:semiHidden/>
    <w:rsid w:val="004808AA"/>
    <w:rPr>
      <w:sz w:val="16"/>
      <w:szCs w:val="20"/>
    </w:rPr>
  </w:style>
  <w:style w:type="paragraph" w:customStyle="1" w:styleId="Highlight3">
    <w:name w:val="Highlight 3"/>
    <w:basedOn w:val="Highlight2"/>
    <w:rsid w:val="004808AA"/>
    <w:rPr>
      <w:color w:val="00A1DE"/>
    </w:rPr>
  </w:style>
  <w:style w:type="paragraph" w:customStyle="1" w:styleId="Nadpisobsahu1">
    <w:name w:val="Nadpis obsahu1"/>
    <w:basedOn w:val="Nadpis1"/>
    <w:next w:val="Normln"/>
    <w:rsid w:val="004808AA"/>
    <w:pPr>
      <w:keepLines/>
      <w:pageBreakBefore w:val="0"/>
      <w:tabs>
        <w:tab w:val="clear" w:pos="0"/>
      </w:tabs>
      <w:spacing w:before="480" w:after="0" w:line="276" w:lineRule="auto"/>
      <w:ind w:left="0" w:firstLine="0"/>
    </w:pPr>
    <w:rPr>
      <w:rFonts w:ascii="Arial" w:eastAsia="Times New Roman" w:hAnsi="Arial" w:cs="Times New Roman"/>
      <w:b/>
      <w:color w:val="001D58"/>
      <w:sz w:val="28"/>
      <w:szCs w:val="28"/>
    </w:rPr>
  </w:style>
  <w:style w:type="paragraph" w:styleId="Zkladntextodsazen">
    <w:name w:val="Body Text Indent"/>
    <w:basedOn w:val="Normln"/>
    <w:semiHidden/>
    <w:rsid w:val="004808AA"/>
    <w:pPr>
      <w:widowControl w:val="0"/>
      <w:spacing w:line="360" w:lineRule="atLeast"/>
      <w:ind w:left="1440"/>
      <w:jc w:val="both"/>
      <w:textAlignment w:val="baseline"/>
    </w:pPr>
    <w:rPr>
      <w:bCs/>
      <w:sz w:val="20"/>
    </w:rPr>
  </w:style>
  <w:style w:type="paragraph" w:styleId="Textkomente">
    <w:name w:val="annotation text"/>
    <w:basedOn w:val="Normln"/>
    <w:link w:val="TextkomenteChar"/>
    <w:uiPriority w:val="99"/>
    <w:semiHidden/>
    <w:rsid w:val="004808AA"/>
    <w:rPr>
      <w:sz w:val="20"/>
      <w:szCs w:val="20"/>
    </w:rPr>
  </w:style>
  <w:style w:type="paragraph" w:customStyle="1" w:styleId="CommentSubject">
    <w:name w:val="Comment Subject"/>
    <w:basedOn w:val="Textkomente"/>
    <w:next w:val="Textkomente"/>
    <w:rsid w:val="004808AA"/>
    <w:rPr>
      <w:b/>
      <w:bCs/>
    </w:rPr>
  </w:style>
  <w:style w:type="paragraph" w:styleId="Prosttext">
    <w:name w:val="Plain Text"/>
    <w:basedOn w:val="Normln"/>
    <w:semiHidden/>
    <w:rsid w:val="004808AA"/>
    <w:rPr>
      <w:color w:val="000000"/>
      <w:sz w:val="20"/>
      <w:szCs w:val="21"/>
    </w:rPr>
  </w:style>
  <w:style w:type="paragraph" w:customStyle="1" w:styleId="TableContents">
    <w:name w:val="Table Contents"/>
    <w:basedOn w:val="Normln"/>
    <w:rsid w:val="004808AA"/>
    <w:pPr>
      <w:suppressLineNumbers/>
    </w:pPr>
  </w:style>
  <w:style w:type="paragraph" w:customStyle="1" w:styleId="TableHeading">
    <w:name w:val="Table Heading"/>
    <w:basedOn w:val="TableContents"/>
    <w:rsid w:val="004808AA"/>
    <w:pPr>
      <w:jc w:val="center"/>
    </w:pPr>
    <w:rPr>
      <w:b/>
      <w:bCs/>
    </w:rPr>
  </w:style>
  <w:style w:type="paragraph" w:customStyle="1" w:styleId="Normln-web">
    <w:name w:val="Normální-web"/>
    <w:basedOn w:val="Normln"/>
    <w:rsid w:val="0051354C"/>
    <w:pPr>
      <w:suppressAutoHyphens w:val="0"/>
      <w:spacing w:before="120"/>
      <w:jc w:val="both"/>
    </w:pPr>
    <w:rPr>
      <w:sz w:val="24"/>
      <w:lang w:eastAsia="cs-CZ"/>
    </w:rPr>
  </w:style>
  <w:style w:type="paragraph" w:customStyle="1" w:styleId="Nadpis1a">
    <w:name w:val="Nadpis 1a"/>
    <w:basedOn w:val="Nadpis1"/>
    <w:next w:val="Normln-web"/>
    <w:rsid w:val="0051354C"/>
    <w:pPr>
      <w:pageBreakBefore w:val="0"/>
      <w:tabs>
        <w:tab w:val="clear" w:pos="0"/>
      </w:tabs>
      <w:suppressAutoHyphens w:val="0"/>
      <w:spacing w:before="240" w:after="120"/>
      <w:ind w:left="0" w:firstLine="0"/>
      <w:jc w:val="both"/>
    </w:pPr>
    <w:rPr>
      <w:rFonts w:ascii="Arial" w:eastAsia="Times New Roman" w:hAnsi="Arial"/>
      <w:b/>
      <w:i/>
      <w:color w:val="auto"/>
      <w:kern w:val="32"/>
      <w:sz w:val="32"/>
      <w:lang w:val="cs-CZ" w:eastAsia="cs-CZ"/>
    </w:rPr>
  </w:style>
  <w:style w:type="paragraph" w:customStyle="1" w:styleId="Textodstavce">
    <w:name w:val="Text odstavce"/>
    <w:basedOn w:val="Normln"/>
    <w:rsid w:val="0051354C"/>
    <w:pPr>
      <w:tabs>
        <w:tab w:val="num" w:pos="720"/>
        <w:tab w:val="left" w:pos="851"/>
      </w:tabs>
      <w:suppressAutoHyphens w:val="0"/>
      <w:spacing w:before="120" w:after="120"/>
      <w:ind w:left="720" w:hanging="720"/>
      <w:jc w:val="both"/>
      <w:outlineLvl w:val="6"/>
    </w:pPr>
    <w:rPr>
      <w:rFonts w:ascii="Times New Roman" w:hAnsi="Times New Roman"/>
      <w:sz w:val="24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1354C"/>
    <w:rPr>
      <w:rFonts w:ascii="Arial" w:hAnsi="Arial"/>
      <w:lang w:val="en-US"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35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54C"/>
    <w:rPr>
      <w:rFonts w:ascii="Tahoma" w:hAnsi="Tahoma" w:cs="Tahoma"/>
      <w:sz w:val="16"/>
      <w:szCs w:val="16"/>
      <w:lang w:val="en-US"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4BF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4BF3"/>
    <w:rPr>
      <w:b/>
      <w:bCs/>
      <w:noProof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73752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73752"/>
    <w:rPr>
      <w:rFonts w:ascii="Arial" w:hAnsi="Arial"/>
      <w:noProof/>
      <w:lang w:eastAsia="ar-SA"/>
    </w:rPr>
  </w:style>
  <w:style w:type="character" w:styleId="Odkaznavysvtlivky">
    <w:name w:val="endnote reference"/>
    <w:basedOn w:val="Standardnpsmoodstavce"/>
    <w:uiPriority w:val="99"/>
    <w:semiHidden/>
    <w:unhideWhenUsed/>
    <w:rsid w:val="00373752"/>
    <w:rPr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sid w:val="00373752"/>
    <w:rPr>
      <w:vertAlign w:val="superscript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5B7456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5B7456"/>
    <w:rPr>
      <w:rFonts w:ascii="Tahoma" w:hAnsi="Tahoma" w:cs="Tahoma"/>
      <w:noProof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34183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1649E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sz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ravkova5238\Desktop\ANALYZA%20ZPUSOB%20BYDLEN&#205;\BYDLENI%20V%20BYTECH\pduvod%20bytu%20graf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ravkova5238\Desktop\ANALYZA%20ZPUSOB%20BYDLEN&#205;\BYDLENI%20V%20BYTECH\pduvod%20bytu%20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0.1420322459692539"/>
          <c:y val="0.10866394306966676"/>
          <c:w val="0.60574182772609131"/>
          <c:h val="0.75948028549358615"/>
        </c:manualLayout>
      </c:layout>
      <c:lineChart>
        <c:grouping val="standard"/>
        <c:ser>
          <c:idx val="1"/>
          <c:order val="0"/>
          <c:tx>
            <c:strRef>
              <c:f>List1!$A$8</c:f>
              <c:strCache>
                <c:ptCount val="1"/>
                <c:pt idx="0">
                  <c:v>rodinné domy</c:v>
                </c:pt>
              </c:strCache>
            </c:strRef>
          </c:tx>
          <c:marker>
            <c:symbol val="none"/>
          </c:marker>
          <c:cat>
            <c:numRef>
              <c:f>List1!$B$6:$D$6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List1!$B$8:$D$8</c:f>
              <c:numCache>
                <c:formatCode>General</c:formatCode>
                <c:ptCount val="3"/>
                <c:pt idx="0">
                  <c:v>2.92</c:v>
                </c:pt>
                <c:pt idx="1">
                  <c:v>2.86</c:v>
                </c:pt>
                <c:pt idx="2" formatCode="0.00">
                  <c:v>2.8</c:v>
                </c:pt>
              </c:numCache>
            </c:numRef>
          </c:val>
        </c:ser>
        <c:ser>
          <c:idx val="2"/>
          <c:order val="1"/>
          <c:tx>
            <c:strRef>
              <c:f>List1!$A$9</c:f>
              <c:strCache>
                <c:ptCount val="1"/>
                <c:pt idx="0">
                  <c:v>bytové domy</c:v>
                </c:pt>
              </c:strCache>
            </c:strRef>
          </c:tx>
          <c:marker>
            <c:symbol val="none"/>
          </c:marker>
          <c:cat>
            <c:numRef>
              <c:f>List1!$B$6:$D$6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List1!$B$9:$D$9</c:f>
              <c:numCache>
                <c:formatCode>General</c:formatCode>
                <c:ptCount val="3"/>
                <c:pt idx="0">
                  <c:v>2.66</c:v>
                </c:pt>
                <c:pt idx="1">
                  <c:v>2.4699999999999998</c:v>
                </c:pt>
                <c:pt idx="2" formatCode="0.00">
                  <c:v>2.21</c:v>
                </c:pt>
              </c:numCache>
            </c:numRef>
          </c:val>
        </c:ser>
        <c:marker val="1"/>
        <c:axId val="121072256"/>
        <c:axId val="121239808"/>
      </c:lineChart>
      <c:catAx>
        <c:axId val="121072256"/>
        <c:scaling>
          <c:orientation val="minMax"/>
        </c:scaling>
        <c:axPos val="b"/>
        <c:numFmt formatCode="General" sourceLinked="1"/>
        <c:tickLblPos val="nextTo"/>
        <c:crossAx val="121239808"/>
        <c:crosses val="autoZero"/>
        <c:auto val="1"/>
        <c:lblAlgn val="ctr"/>
        <c:lblOffset val="100"/>
      </c:catAx>
      <c:valAx>
        <c:axId val="121239808"/>
        <c:scaling>
          <c:orientation val="minMax"/>
          <c:max val="3"/>
          <c:min val="2.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 sz="900" b="0"/>
                  <a:t>Průměrný počet osob na 1 byt</a:t>
                </a:r>
              </a:p>
            </c:rich>
          </c:tx>
        </c:title>
        <c:numFmt formatCode="General" sourceLinked="1"/>
        <c:tickLblPos val="nextTo"/>
        <c:crossAx val="121072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075392848621183"/>
          <c:y val="0.50234762321376492"/>
          <c:w val="0.22703690593566792"/>
          <c:h val="0.3049460437333064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0.10154396325459318"/>
          <c:y val="0.11601851851851851"/>
          <c:w val="0.58770056867891518"/>
          <c:h val="0.75675524934383442"/>
        </c:manualLayout>
      </c:layout>
      <c:barChart>
        <c:barDir val="bar"/>
        <c:grouping val="percentStacked"/>
        <c:ser>
          <c:idx val="0"/>
          <c:order val="0"/>
          <c:tx>
            <c:strRef>
              <c:f>List1!$A$9</c:f>
              <c:strCache>
                <c:ptCount val="1"/>
                <c:pt idx="0">
                  <c:v>ve vlastním domě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List1!$B$9:$D$9</c:f>
              <c:numCache>
                <c:formatCode>General</c:formatCode>
                <c:ptCount val="3"/>
                <c:pt idx="0">
                  <c:v>4043236</c:v>
                </c:pt>
                <c:pt idx="1">
                  <c:v>4045619</c:v>
                </c:pt>
                <c:pt idx="2">
                  <c:v>4290789</c:v>
                </c:pt>
              </c:numCache>
            </c:numRef>
          </c:val>
        </c:ser>
        <c:ser>
          <c:idx val="1"/>
          <c:order val="1"/>
          <c:tx>
            <c:strRef>
              <c:f>List1!$A$10</c:f>
              <c:strCache>
                <c:ptCount val="1"/>
                <c:pt idx="0">
                  <c:v>os. vlastnictví</c:v>
                </c:pt>
              </c:strCache>
            </c:strRef>
          </c:tx>
          <c:spPr>
            <a:solidFill>
              <a:srgbClr val="92D050"/>
            </a:solidFill>
          </c:spPr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List1!$B$10:$D$10</c:f>
              <c:numCache>
                <c:formatCode>General</c:formatCode>
                <c:ptCount val="3"/>
                <c:pt idx="0">
                  <c:v>83227</c:v>
                </c:pt>
                <c:pt idx="1">
                  <c:v>1015240</c:v>
                </c:pt>
                <c:pt idx="2">
                  <c:v>1835602</c:v>
                </c:pt>
              </c:numCache>
            </c:numRef>
          </c:val>
        </c:ser>
        <c:ser>
          <c:idx val="2"/>
          <c:order val="2"/>
          <c:tx>
            <c:strRef>
              <c:f>List1!#REF!</c:f>
              <c:strCache>
                <c:ptCount val="1"/>
                <c:pt idx="0">
                  <c:v>#REF!</c:v>
                </c:pt>
              </c:strCache>
            </c:strRef>
          </c:tx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List1!$A$11</c:f>
              <c:strCache>
                <c:ptCount val="1"/>
                <c:pt idx="0">
                  <c:v>nájemní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List1!$B$11:$D$11</c:f>
              <c:numCache>
                <c:formatCode>General</c:formatCode>
                <c:ptCount val="3"/>
                <c:pt idx="0">
                  <c:v>3812759</c:v>
                </c:pt>
                <c:pt idx="1">
                  <c:v>2698360</c:v>
                </c:pt>
                <c:pt idx="2">
                  <c:v>2071519</c:v>
                </c:pt>
              </c:numCache>
            </c:numRef>
          </c:val>
        </c:ser>
        <c:ser>
          <c:idx val="4"/>
          <c:order val="4"/>
          <c:tx>
            <c:strRef>
              <c:f>List1!$A$12</c:f>
              <c:strCache>
                <c:ptCount val="1"/>
                <c:pt idx="0">
                  <c:v>družstevní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List1!$B$12:$D$12</c:f>
              <c:numCache>
                <c:formatCode>General</c:formatCode>
                <c:ptCount val="3"/>
                <c:pt idx="0">
                  <c:v>1947456</c:v>
                </c:pt>
                <c:pt idx="1">
                  <c:v>1435959</c:v>
                </c:pt>
                <c:pt idx="2">
                  <c:v>893811</c:v>
                </c:pt>
              </c:numCache>
            </c:numRef>
          </c:val>
        </c:ser>
        <c:ser>
          <c:idx val="5"/>
          <c:order val="5"/>
          <c:tx>
            <c:strRef>
              <c:f>List1!$A$13</c:f>
              <c:strCache>
                <c:ptCount val="1"/>
                <c:pt idx="0">
                  <c:v>jiný důvod vč. nezjištěno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cat>
            <c:numRef>
              <c:f>List1!$B$8:$D$8</c:f>
              <c:numCache>
                <c:formatCode>General</c:formatCode>
                <c:ptCount val="3"/>
                <c:pt idx="0">
                  <c:v>1991</c:v>
                </c:pt>
                <c:pt idx="1">
                  <c:v>2001</c:v>
                </c:pt>
                <c:pt idx="2">
                  <c:v>2011</c:v>
                </c:pt>
              </c:numCache>
            </c:numRef>
          </c:cat>
          <c:val>
            <c:numRef>
              <c:f>List1!$B$13:$D$13</c:f>
              <c:numCache>
                <c:formatCode>General</c:formatCode>
                <c:ptCount val="3"/>
                <c:pt idx="0">
                  <c:v>351379</c:v>
                </c:pt>
                <c:pt idx="1">
                  <c:v>906124</c:v>
                </c:pt>
                <c:pt idx="2">
                  <c:v>1053240</c:v>
                </c:pt>
              </c:numCache>
            </c:numRef>
          </c:val>
        </c:ser>
        <c:gapWidth val="35"/>
        <c:overlap val="100"/>
        <c:axId val="89855872"/>
        <c:axId val="89857408"/>
      </c:barChart>
      <c:catAx>
        <c:axId val="89855872"/>
        <c:scaling>
          <c:orientation val="minMax"/>
        </c:scaling>
        <c:axPos val="l"/>
        <c:numFmt formatCode="General" sourceLinked="1"/>
        <c:tickLblPos val="nextTo"/>
        <c:crossAx val="89857408"/>
        <c:crosses val="autoZero"/>
        <c:auto val="1"/>
        <c:lblAlgn val="ctr"/>
        <c:lblOffset val="100"/>
      </c:catAx>
      <c:valAx>
        <c:axId val="89857408"/>
        <c:scaling>
          <c:orientation val="minMax"/>
        </c:scaling>
        <c:axPos val="b"/>
        <c:majorGridlines/>
        <c:numFmt formatCode="0%" sourceLinked="1"/>
        <c:tickLblPos val="nextTo"/>
        <c:crossAx val="89855872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2862642169728864"/>
          <c:y val="0.24917906095071438"/>
          <c:w val="0.26859580052493426"/>
          <c:h val="0.57599336541265556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autoTitleDeleted val="1"/>
    <c:plotArea>
      <c:layout>
        <c:manualLayout>
          <c:layoutTarget val="inner"/>
          <c:xMode val="edge"/>
          <c:yMode val="edge"/>
          <c:x val="0.2501958959301559"/>
          <c:y val="6.9026958734494354E-2"/>
          <c:w val="0.52683187271164444"/>
          <c:h val="0.8337518930358917"/>
        </c:manualLayout>
      </c:layout>
      <c:barChart>
        <c:barDir val="bar"/>
        <c:grouping val="percentStacked"/>
        <c:ser>
          <c:idx val="1"/>
          <c:order val="0"/>
          <c:tx>
            <c:strRef>
              <c:f>KRAJE!$E$57</c:f>
              <c:strCache>
                <c:ptCount val="1"/>
                <c:pt idx="0">
                  <c:v>ve vlastním domě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KRAJE!$E$58:$E$71</c:f>
              <c:numCache>
                <c:formatCode>0.0</c:formatCode>
                <c:ptCount val="14"/>
                <c:pt idx="0">
                  <c:v>36.54392425932614</c:v>
                </c:pt>
                <c:pt idx="1">
                  <c:v>55.85367610754119</c:v>
                </c:pt>
                <c:pt idx="2">
                  <c:v>47.684643679808573</c:v>
                </c:pt>
                <c:pt idx="3">
                  <c:v>50.114720061934754</c:v>
                </c:pt>
                <c:pt idx="4">
                  <c:v>56.380089950428399</c:v>
                </c:pt>
                <c:pt idx="5">
                  <c:v>51.615160513531023</c:v>
                </c:pt>
                <c:pt idx="6">
                  <c:v>48.363830364747557</c:v>
                </c:pt>
                <c:pt idx="7">
                  <c:v>40.175132180835369</c:v>
                </c:pt>
                <c:pt idx="8">
                  <c:v>30.584610363866062</c:v>
                </c:pt>
                <c:pt idx="9">
                  <c:v>27.251557437887158</c:v>
                </c:pt>
                <c:pt idx="10">
                  <c:v>43.424867815111639</c:v>
                </c:pt>
                <c:pt idx="11">
                  <c:v>46.601820107748438</c:v>
                </c:pt>
                <c:pt idx="12">
                  <c:v>55.667277002559565</c:v>
                </c:pt>
                <c:pt idx="13">
                  <c:v>14.590571169238931</c:v>
                </c:pt>
              </c:numCache>
            </c:numRef>
          </c:val>
        </c:ser>
        <c:ser>
          <c:idx val="0"/>
          <c:order val="1"/>
          <c:tx>
            <c:strRef>
              <c:f>KRAJE!$D$57</c:f>
              <c:strCache>
                <c:ptCount val="1"/>
                <c:pt idx="0">
                  <c:v>os. vlastnictví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KRAJE!$D$58:$D$71</c:f>
              <c:numCache>
                <c:formatCode>0.0</c:formatCode>
                <c:ptCount val="14"/>
                <c:pt idx="0">
                  <c:v>12.14698186794622</c:v>
                </c:pt>
                <c:pt idx="1">
                  <c:v>16.172659241180689</c:v>
                </c:pt>
                <c:pt idx="2">
                  <c:v>18.235487686077203</c:v>
                </c:pt>
                <c:pt idx="3">
                  <c:v>14.389274026111131</c:v>
                </c:pt>
                <c:pt idx="4">
                  <c:v>15.439541498757183</c:v>
                </c:pt>
                <c:pt idx="5">
                  <c:v>15.8366132456997</c:v>
                </c:pt>
                <c:pt idx="6">
                  <c:v>17.333046302449436</c:v>
                </c:pt>
                <c:pt idx="7">
                  <c:v>16.529436226459929</c:v>
                </c:pt>
                <c:pt idx="8">
                  <c:v>19.981209453404162</c:v>
                </c:pt>
                <c:pt idx="9">
                  <c:v>32.462950390634617</c:v>
                </c:pt>
                <c:pt idx="10">
                  <c:v>23.286314101052032</c:v>
                </c:pt>
                <c:pt idx="11">
                  <c:v>17.599202055390766</c:v>
                </c:pt>
                <c:pt idx="12">
                  <c:v>14.690173805621761</c:v>
                </c:pt>
                <c:pt idx="13">
                  <c:v>27.859511442987678</c:v>
                </c:pt>
              </c:numCache>
            </c:numRef>
          </c:val>
        </c:ser>
        <c:ser>
          <c:idx val="2"/>
          <c:order val="2"/>
          <c:tx>
            <c:strRef>
              <c:f>KRAJE!$C$57</c:f>
              <c:strCache>
                <c:ptCount val="1"/>
                <c:pt idx="0">
                  <c:v>nájemní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KRAJE!$C$58:$C$71</c:f>
              <c:numCache>
                <c:formatCode>0.0</c:formatCode>
                <c:ptCount val="14"/>
                <c:pt idx="0">
                  <c:v>26.598546243613665</c:v>
                </c:pt>
                <c:pt idx="1">
                  <c:v>12.468701734780478</c:v>
                </c:pt>
                <c:pt idx="2">
                  <c:v>16.405422752493205</c:v>
                </c:pt>
                <c:pt idx="3">
                  <c:v>19.043178379139206</c:v>
                </c:pt>
                <c:pt idx="4">
                  <c:v>12.623500406208249</c:v>
                </c:pt>
                <c:pt idx="5">
                  <c:v>16.113709866604644</c:v>
                </c:pt>
                <c:pt idx="6">
                  <c:v>17.248996171881579</c:v>
                </c:pt>
                <c:pt idx="7">
                  <c:v>22.427612427968839</c:v>
                </c:pt>
                <c:pt idx="8">
                  <c:v>23.732434854551691</c:v>
                </c:pt>
                <c:pt idx="9">
                  <c:v>24.015322867163075</c:v>
                </c:pt>
                <c:pt idx="10">
                  <c:v>19.157101331465633</c:v>
                </c:pt>
                <c:pt idx="11">
                  <c:v>18.933774177119624</c:v>
                </c:pt>
                <c:pt idx="12">
                  <c:v>13.467313670750068</c:v>
                </c:pt>
                <c:pt idx="13">
                  <c:v>32.615027023999545</c:v>
                </c:pt>
              </c:numCache>
            </c:numRef>
          </c:val>
        </c:ser>
        <c:ser>
          <c:idx val="3"/>
          <c:order val="3"/>
          <c:tx>
            <c:strRef>
              <c:f>KRAJE!$B$57</c:f>
              <c:strCache>
                <c:ptCount val="1"/>
                <c:pt idx="0">
                  <c:v>družstevní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KRAJE!$B$58:$B$71</c:f>
              <c:numCache>
                <c:formatCode>0.0</c:formatCode>
                <c:ptCount val="14"/>
                <c:pt idx="0">
                  <c:v>15.050674327667405</c:v>
                </c:pt>
                <c:pt idx="1">
                  <c:v>6.5421940149809945</c:v>
                </c:pt>
                <c:pt idx="2">
                  <c:v>8.057889609649159</c:v>
                </c:pt>
                <c:pt idx="3">
                  <c:v>7.0325861280219497</c:v>
                </c:pt>
                <c:pt idx="4">
                  <c:v>6.6610086462883773</c:v>
                </c:pt>
                <c:pt idx="5">
                  <c:v>6.6479128529122082</c:v>
                </c:pt>
                <c:pt idx="6">
                  <c:v>6.7462865379395556</c:v>
                </c:pt>
                <c:pt idx="7">
                  <c:v>9.6481910532881621</c:v>
                </c:pt>
                <c:pt idx="8">
                  <c:v>14.434556248621641</c:v>
                </c:pt>
                <c:pt idx="9">
                  <c:v>4.2640908115561675</c:v>
                </c:pt>
                <c:pt idx="10">
                  <c:v>3.6333153094959014</c:v>
                </c:pt>
                <c:pt idx="11">
                  <c:v>7.3881470079517859</c:v>
                </c:pt>
                <c:pt idx="12">
                  <c:v>5.0646136749933364</c:v>
                </c:pt>
                <c:pt idx="13">
                  <c:v>12.602853457605844</c:v>
                </c:pt>
              </c:numCache>
            </c:numRef>
          </c:val>
        </c:ser>
        <c:ser>
          <c:idx val="4"/>
          <c:order val="4"/>
          <c:tx>
            <c:strRef>
              <c:f>KRAJE!$F$57</c:f>
              <c:strCache>
                <c:ptCount val="1"/>
                <c:pt idx="0">
                  <c:v>jiný důvod užívání</c:v>
                </c:pt>
              </c:strCache>
            </c:strRef>
          </c:tx>
          <c:spPr>
            <a:solidFill>
              <a:srgbClr val="F2FD5F"/>
            </a:solidFill>
          </c:spPr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KRAJE!$F$58:$F$71</c:f>
              <c:numCache>
                <c:formatCode>0.0</c:formatCode>
                <c:ptCount val="14"/>
                <c:pt idx="0">
                  <c:v>4.2925035274222045</c:v>
                </c:pt>
                <c:pt idx="1">
                  <c:v>3.9562764333067939</c:v>
                </c:pt>
                <c:pt idx="2">
                  <c:v>4.4779085716892055</c:v>
                </c:pt>
                <c:pt idx="3">
                  <c:v>3.2114579301122528</c:v>
                </c:pt>
                <c:pt idx="4">
                  <c:v>4.5196965634582043</c:v>
                </c:pt>
                <c:pt idx="5">
                  <c:v>4.7555554664426225</c:v>
                </c:pt>
                <c:pt idx="6">
                  <c:v>4.8683557810203908</c:v>
                </c:pt>
                <c:pt idx="7">
                  <c:v>4.3269767718172645</c:v>
                </c:pt>
                <c:pt idx="8">
                  <c:v>3.1399589769477947</c:v>
                </c:pt>
                <c:pt idx="9">
                  <c:v>2.9685416893848067</c:v>
                </c:pt>
                <c:pt idx="10">
                  <c:v>4.3656395498637375</c:v>
                </c:pt>
                <c:pt idx="11">
                  <c:v>4.110781526866365</c:v>
                </c:pt>
                <c:pt idx="12">
                  <c:v>4.1612791914423894</c:v>
                </c:pt>
                <c:pt idx="13">
                  <c:v>2.0153100305904061</c:v>
                </c:pt>
              </c:numCache>
            </c:numRef>
          </c:val>
        </c:ser>
        <c:ser>
          <c:idx val="5"/>
          <c:order val="5"/>
          <c:tx>
            <c:strRef>
              <c:f>KRAJE!$G$57</c:f>
              <c:strCache>
                <c:ptCount val="1"/>
                <c:pt idx="0">
                  <c:v>nezjištěno</c:v>
                </c:pt>
              </c:strCache>
            </c:strRef>
          </c:tx>
          <c:cat>
            <c:strRef>
              <c:f>KRAJE!$A$58:$A$71</c:f>
              <c:strCache>
                <c:ptCount val="14"/>
                <c:pt idx="0">
                  <c:v>Moravskoslezský kraj</c:v>
                </c:pt>
                <c:pt idx="1">
                  <c:v>Zlínský kraj</c:v>
                </c:pt>
                <c:pt idx="2">
                  <c:v>Olomoucký kraj</c:v>
                </c:pt>
                <c:pt idx="3">
                  <c:v>Jihomoravský kraj</c:v>
                </c:pt>
                <c:pt idx="4">
                  <c:v>Kraj Vysočina</c:v>
                </c:pt>
                <c:pt idx="5">
                  <c:v>Pardubický kraj</c:v>
                </c:pt>
                <c:pt idx="6">
                  <c:v>Královéhradecký kraj</c:v>
                </c:pt>
                <c:pt idx="7">
                  <c:v>Liberecký kraj</c:v>
                </c:pt>
                <c:pt idx="8">
                  <c:v>Ústecký kraj</c:v>
                </c:pt>
                <c:pt idx="9">
                  <c:v>Karlovarský kraj</c:v>
                </c:pt>
                <c:pt idx="10">
                  <c:v>Plzeňský kraj</c:v>
                </c:pt>
                <c:pt idx="11">
                  <c:v>Jihočeský kraj</c:v>
                </c:pt>
                <c:pt idx="12">
                  <c:v>Středočeský kraj</c:v>
                </c:pt>
                <c:pt idx="13">
                  <c:v>Hlavní město Praha</c:v>
                </c:pt>
              </c:strCache>
            </c:strRef>
          </c:cat>
          <c:val>
            <c:numRef>
              <c:f>KRAJE!$G$58:$G$71</c:f>
              <c:numCache>
                <c:formatCode>0.0</c:formatCode>
                <c:ptCount val="14"/>
                <c:pt idx="0">
                  <c:v>5.3673697740242501</c:v>
                </c:pt>
                <c:pt idx="1">
                  <c:v>5.006492468209748</c:v>
                </c:pt>
                <c:pt idx="2">
                  <c:v>5.1386477002824824</c:v>
                </c:pt>
                <c:pt idx="3">
                  <c:v>6.2087834746806534</c:v>
                </c:pt>
                <c:pt idx="4">
                  <c:v>4.3761629348595301</c:v>
                </c:pt>
                <c:pt idx="5">
                  <c:v>5.0310480548097924</c:v>
                </c:pt>
                <c:pt idx="6">
                  <c:v>5.4394848419614155</c:v>
                </c:pt>
                <c:pt idx="7">
                  <c:v>6.8926513396304845</c:v>
                </c:pt>
                <c:pt idx="8">
                  <c:v>8.1272301026086229</c:v>
                </c:pt>
                <c:pt idx="9">
                  <c:v>9.0375368033741257</c:v>
                </c:pt>
                <c:pt idx="10">
                  <c:v>6.1327618930109864</c:v>
                </c:pt>
                <c:pt idx="11">
                  <c:v>5.3662751249229164</c:v>
                </c:pt>
                <c:pt idx="12">
                  <c:v>6.9493426546328978</c:v>
                </c:pt>
                <c:pt idx="13">
                  <c:v>10.316726875577586</c:v>
                </c:pt>
              </c:numCache>
            </c:numRef>
          </c:val>
        </c:ser>
        <c:gapWidth val="25"/>
        <c:overlap val="100"/>
        <c:axId val="89885696"/>
        <c:axId val="89891584"/>
      </c:barChart>
      <c:catAx>
        <c:axId val="89885696"/>
        <c:scaling>
          <c:orientation val="minMax"/>
        </c:scaling>
        <c:axPos val="l"/>
        <c:tickLblPos val="nextTo"/>
        <c:crossAx val="89891584"/>
        <c:crosses val="autoZero"/>
        <c:auto val="1"/>
        <c:lblAlgn val="ctr"/>
        <c:lblOffset val="100"/>
        <c:tickLblSkip val="1"/>
      </c:catAx>
      <c:valAx>
        <c:axId val="89891584"/>
        <c:scaling>
          <c:orientation val="minMax"/>
        </c:scaling>
        <c:axPos val="b"/>
        <c:majorGridlines/>
        <c:numFmt formatCode="0%" sourceLinked="1"/>
        <c:tickLblPos val="nextTo"/>
        <c:crossAx val="89885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94673596817399"/>
          <c:y val="0.29509440494134431"/>
          <c:w val="0.21305326403182781"/>
          <c:h val="0.40981119011731182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073B9-D117-4B1B-B4D4-F56240C6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3330</Words>
  <Characters>19651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22936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šm</dc:creator>
  <cp:lastModifiedBy>Štěpánka Morávková</cp:lastModifiedBy>
  <cp:revision>3</cp:revision>
  <cp:lastPrinted>2014-04-11T09:15:00Z</cp:lastPrinted>
  <dcterms:created xsi:type="dcterms:W3CDTF">2014-04-15T13:19:00Z</dcterms:created>
  <dcterms:modified xsi:type="dcterms:W3CDTF">2014-04-15T13:20:00Z</dcterms:modified>
</cp:coreProperties>
</file>