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1B" w:rsidRDefault="002978AA" w:rsidP="00100F5C">
      <w:pPr>
        <w:pStyle w:val="Nadpis1"/>
      </w:pPr>
      <w:r>
        <w:t>Komentář</w:t>
      </w:r>
    </w:p>
    <w:p w:rsidR="008615FD" w:rsidRPr="004710A6" w:rsidRDefault="008A003B" w:rsidP="009E3DE9">
      <w:pPr>
        <w:jc w:val="both"/>
      </w:pPr>
      <w:bookmarkStart w:id="0" w:name="_Toc444112497"/>
      <w:r w:rsidRPr="004710A6">
        <w:t>Podnikatelský důchod vyjádřený v základních běžných cenách se v roce 2023 proti roku 2022 snížil o 58</w:t>
      </w:r>
      <w:r w:rsidR="00CB13DE" w:rsidRPr="004710A6">
        <w:t>,0</w:t>
      </w:r>
      <w:r w:rsidR="00264FAA" w:rsidRPr="004710A6">
        <w:t> </w:t>
      </w:r>
      <w:r w:rsidRPr="004710A6">
        <w:t>% z hodnoty 25</w:t>
      </w:r>
      <w:r w:rsidR="00CB13DE" w:rsidRPr="004710A6">
        <w:t> </w:t>
      </w:r>
      <w:r w:rsidRPr="004710A6">
        <w:t>995</w:t>
      </w:r>
      <w:r w:rsidR="00CB13DE" w:rsidRPr="004710A6">
        <w:t>,0</w:t>
      </w:r>
      <w:r w:rsidRPr="004710A6">
        <w:t xml:space="preserve"> mil. Kč na 10 922,2 mil. Kč.</w:t>
      </w:r>
      <w:r w:rsidR="004E3900" w:rsidRPr="004710A6">
        <w:t xml:space="preserve"> Meziroční pokles podnikatelského důchodu byl zapříčiněn nižší hodnotou rostlinné produkce ve srovnání s nadprůměrným rokem 2022. </w:t>
      </w:r>
    </w:p>
    <w:p w:rsidR="008A003B" w:rsidRPr="004710A6" w:rsidRDefault="008A003B" w:rsidP="009E3DE9">
      <w:pPr>
        <w:jc w:val="both"/>
      </w:pPr>
      <w:r w:rsidRPr="004710A6">
        <w:t>Hodnota produkce zemědělského odvětví (PZO) v roce 2023 vyjádřená v základních běžných cenách je vyčíslena na 176 790,6 mil. Kč, což představuje oproti roku 2022, kdy P</w:t>
      </w:r>
      <w:r w:rsidR="00CF4FF5">
        <w:t>ZO dosahovala hodnoty 191 856,7 mil. </w:t>
      </w:r>
      <w:r w:rsidRPr="004710A6">
        <w:t xml:space="preserve">Kč, pokles o 7,9 %. Tento pokles byl ovlivněn snížením hodnoty rostlinné produkce o 17,4 %, živočišná produkce naopak v roce 2023 </w:t>
      </w:r>
      <w:r w:rsidR="00CB13DE" w:rsidRPr="004710A6">
        <w:t>zaznamenala meziroční růst o 6,3</w:t>
      </w:r>
      <w:r w:rsidRPr="004710A6">
        <w:t xml:space="preserve"> %.</w:t>
      </w:r>
    </w:p>
    <w:p w:rsidR="008A003B" w:rsidRPr="004710A6" w:rsidRDefault="008A003B" w:rsidP="009E3DE9">
      <w:pPr>
        <w:jc w:val="both"/>
      </w:pPr>
      <w:r w:rsidRPr="004710A6">
        <w:t>Hodnota produkce se snížila u všech obilovin, z toho nejvýznamnější pokles byl zaznamenán u pšenice</w:t>
      </w:r>
      <w:r w:rsidRPr="004710A6">
        <w:br/>
        <w:t>(-28,8 %) a ječmene (-26,8 %). Technické plodiny hodnotově poklesly o 10,2 %, a to zejména vlivem poklesu produkce řepky (-16,3 %). Pokles zaznamenaly i další technické plodiny kromě chmel</w:t>
      </w:r>
      <w:r w:rsidR="008037F1" w:rsidRPr="004710A6">
        <w:t xml:space="preserve">e (+60 %) </w:t>
      </w:r>
      <w:r w:rsidRPr="004710A6">
        <w:t>a cukrové řepy (+5,3 %). K poklesu hodnoty produkce došlo také u krmných plodin (-15,2 %), vína (-25,2 %) a ovoce (-</w:t>
      </w:r>
      <w:r w:rsidR="008F4ED3">
        <w:t> </w:t>
      </w:r>
      <w:r w:rsidRPr="004710A6">
        <w:t xml:space="preserve">11,7 %). Naopak meziročně vzrostla hodnota produkce </w:t>
      </w:r>
      <w:r w:rsidR="00B7083B" w:rsidRPr="004710A6">
        <w:t>brambor (+25,1 %) a zeleniny (+</w:t>
      </w:r>
      <w:r w:rsidR="00733FBE" w:rsidRPr="004710A6">
        <w:t>30,6</w:t>
      </w:r>
      <w:r w:rsidRPr="004710A6">
        <w:t xml:space="preserve"> %).</w:t>
      </w:r>
    </w:p>
    <w:p w:rsidR="008A003B" w:rsidRPr="004710A6" w:rsidRDefault="008A003B" w:rsidP="009E3DE9">
      <w:pPr>
        <w:jc w:val="both"/>
      </w:pPr>
      <w:r w:rsidRPr="004710A6">
        <w:t>Pokles hodnoty rostlinné produkce způsobil především pokles cen vstupujících do kalkulace v metodice SZÚ. Meziročně došlo ke snížení cen obilovin, nejvíce u kukuřice na zrno (-32,9 %), pšenice (-32,7 %) a žita (-</w:t>
      </w:r>
      <w:r w:rsidR="008F4ED3">
        <w:t> </w:t>
      </w:r>
      <w:r w:rsidRPr="004710A6">
        <w:t>29,7</w:t>
      </w:r>
      <w:r w:rsidR="005471AC">
        <w:t> </w:t>
      </w:r>
      <w:r w:rsidRPr="004710A6">
        <w:t>%). K poklesu cen došlo také u technických plodin, zejména slunečnice (-34,1 %) a řepky (-29,7 %). Zvýšila se cena brambor (+</w:t>
      </w:r>
      <w:r w:rsidR="00B7083B" w:rsidRPr="004710A6">
        <w:t>41,2 %), zeleniny (+14,2</w:t>
      </w:r>
      <w:r w:rsidRPr="004710A6">
        <w:t xml:space="preserve"> %), ovoce (+14,1 %) i krmných plodin (+7,6 %). Naproti tomu cena vína meziročně poklesla (-10,9 %).</w:t>
      </w:r>
    </w:p>
    <w:p w:rsidR="00A75E66" w:rsidRPr="004710A6" w:rsidRDefault="00A75E66" w:rsidP="009E3DE9">
      <w:pPr>
        <w:jc w:val="both"/>
      </w:pPr>
      <w:r w:rsidRPr="004710A6">
        <w:t xml:space="preserve">Sklizně </w:t>
      </w:r>
      <w:r w:rsidR="00264FAA" w:rsidRPr="004710A6">
        <w:t>většin</w:t>
      </w:r>
      <w:r w:rsidRPr="004710A6">
        <w:t>y</w:t>
      </w:r>
      <w:r w:rsidR="008A003B" w:rsidRPr="004710A6">
        <w:t xml:space="preserve"> rostlinných komodit se meziročně snížily, obiloviny klesly o 2,7 %, technické plodiny o 1,8 %, krmné plodiny o 4,9 %, brambory o 12,4 %, ovoce o 22,4 % a víno o 16,1 %. </w:t>
      </w:r>
    </w:p>
    <w:p w:rsidR="008A003B" w:rsidRPr="004710A6" w:rsidRDefault="008A003B" w:rsidP="009E3DE9">
      <w:pPr>
        <w:jc w:val="both"/>
      </w:pPr>
      <w:r w:rsidRPr="004710A6">
        <w:t>K meziročnímu růstu živočišné produkce došlo především díky zvýšení produkce prasat (+15,2 %) a drůbeže (+8</w:t>
      </w:r>
      <w:r w:rsidR="00264FAA" w:rsidRPr="004710A6">
        <w:t>,0</w:t>
      </w:r>
      <w:r w:rsidRPr="004710A6">
        <w:t xml:space="preserve"> %), vyšší byla rovněž produkce mléka (+3,4 %) a vajec (+24,3 %). Hodnota produkce skotu zůstala téměř na úrovni hodnoty předchozího roku.</w:t>
      </w:r>
    </w:p>
    <w:p w:rsidR="008A003B" w:rsidRPr="004710A6" w:rsidRDefault="008A003B" w:rsidP="009E3DE9">
      <w:pPr>
        <w:jc w:val="both"/>
      </w:pPr>
      <w:r w:rsidRPr="004710A6">
        <w:t>Nárůst hodnoty živočišné produkce způsobil</w:t>
      </w:r>
      <w:r w:rsidR="004E07A4" w:rsidRPr="004710A6">
        <w:t xml:space="preserve"> především</w:t>
      </w:r>
      <w:r w:rsidRPr="004710A6">
        <w:t xml:space="preserve"> růst cen. Cena skotu se zvýšila o 2,7 %, zatímco výroba se skoro nezměnila. Ke zvýšení cen došlo také u prasat (+23,7 %), je</w:t>
      </w:r>
      <w:r w:rsidR="004E07A4" w:rsidRPr="004710A6">
        <w:t>jich výroba naopak klesla o 6,8 </w:t>
      </w:r>
      <w:r w:rsidRPr="004710A6">
        <w:t>%. U drůbeže byl rovněž meziročně vyšší cenový index (+7,9 %) při téměř stejné výrobě. Cena mléka se prakticky nezměnila a cena vajec vzrostla o 28,6 %. Výroba mléka vzrostla o 4,1 %, naproti tomu výroba vajec meziročně poklesla o 3,3 %.</w:t>
      </w:r>
    </w:p>
    <w:p w:rsidR="008A003B" w:rsidRPr="004710A6" w:rsidRDefault="008A003B" w:rsidP="009E3DE9">
      <w:pPr>
        <w:jc w:val="both"/>
      </w:pPr>
      <w:r w:rsidRPr="004710A6">
        <w:t>Součástí produkce jsou dotace</w:t>
      </w:r>
      <w:r w:rsidR="00312ABD" w:rsidRPr="004710A6">
        <w:t xml:space="preserve"> na skot, ovc</w:t>
      </w:r>
      <w:r w:rsidR="0011500A" w:rsidRPr="004710A6">
        <w:t>e</w:t>
      </w:r>
      <w:r w:rsidR="00312ABD" w:rsidRPr="004710A6">
        <w:t xml:space="preserve"> a koz</w:t>
      </w:r>
      <w:r w:rsidR="0011500A" w:rsidRPr="004710A6">
        <w:t>y</w:t>
      </w:r>
      <w:r w:rsidR="00312ABD" w:rsidRPr="004710A6">
        <w:t xml:space="preserve"> a mlék</w:t>
      </w:r>
      <w:r w:rsidR="0011500A" w:rsidRPr="004710A6">
        <w:t>o</w:t>
      </w:r>
      <w:r w:rsidRPr="004710A6">
        <w:t xml:space="preserve">. Celkově se dotace na výrobky v roce 2023 snížily o </w:t>
      </w:r>
      <w:r w:rsidR="006630E0" w:rsidRPr="004710A6">
        <w:t>26</w:t>
      </w:r>
      <w:r w:rsidR="00312ABD" w:rsidRPr="004710A6">
        <w:t>,</w:t>
      </w:r>
      <w:r w:rsidR="00047A58" w:rsidRPr="004710A6">
        <w:t>5</w:t>
      </w:r>
      <w:r w:rsidRPr="004710A6">
        <w:t xml:space="preserve"> %.</w:t>
      </w:r>
    </w:p>
    <w:p w:rsidR="008A003B" w:rsidRPr="004710A6" w:rsidRDefault="008A003B" w:rsidP="009E3DE9">
      <w:pPr>
        <w:jc w:val="both"/>
      </w:pPr>
      <w:r w:rsidRPr="004710A6">
        <w:t xml:space="preserve">Porovnáme-li produkci zemědělského odvětví v základních stálých cenách </w:t>
      </w:r>
      <w:r w:rsidR="0093309C" w:rsidRPr="004710A6">
        <w:t>roku 2000, pak se PZO snížila v </w:t>
      </w:r>
      <w:r w:rsidRPr="004710A6">
        <w:t>roce 2023 proti roku 2022 o 0,5 %. Rostlinná produkce byla nižší o 1,5 % a živočišná produkce se naopak zvýšila o 0,5 %.</w:t>
      </w:r>
    </w:p>
    <w:p w:rsidR="008A003B" w:rsidRPr="004710A6" w:rsidRDefault="008A003B" w:rsidP="009E3DE9">
      <w:pPr>
        <w:jc w:val="both"/>
      </w:pPr>
      <w:r w:rsidRPr="004710A6">
        <w:t>Rostlinná produkce se v roce 2022 podílela na PZO 59,5 %, v roce 2023 to bylo 53,3 % v základních běžných cenách. Nejvýznamněji se na rostlinné produkci podílely obiloviny</w:t>
      </w:r>
      <w:r w:rsidR="0093309C" w:rsidRPr="004710A6">
        <w:t xml:space="preserve"> (48,5 % v roce 2022 a 41,1 % v </w:t>
      </w:r>
      <w:r w:rsidRPr="004710A6">
        <w:t>roce 2023) a technické plodiny (22,5 % v roce 202</w:t>
      </w:r>
      <w:r w:rsidR="001E414B" w:rsidRPr="004710A6">
        <w:t>2</w:t>
      </w:r>
      <w:r w:rsidRPr="004710A6">
        <w:t xml:space="preserve"> a 24,5 % v roce 2023). </w:t>
      </w:r>
    </w:p>
    <w:p w:rsidR="008A003B" w:rsidRPr="004710A6" w:rsidRDefault="008A003B" w:rsidP="009E3DE9">
      <w:pPr>
        <w:jc w:val="both"/>
      </w:pPr>
      <w:r w:rsidRPr="004710A6">
        <w:t>Živočišná produkce byla zastoupena v roce 2022 v PZO v základních běžných cenách 34,4 %, v roce 2023 to bylo 39,7 %. Nejvýznamněji se na živočišné produkci podílely výroba mléka</w:t>
      </w:r>
      <w:r w:rsidR="002A0A50">
        <w:t xml:space="preserve"> (55,6 % v roce 2022 a 54,1 % v </w:t>
      </w:r>
      <w:r w:rsidRPr="004710A6">
        <w:t>roce 2023), chov jatečných prasat (13,5 % v roce 2022 a 14,7 % v roce 2023) a chov jatečného skotu (13,2</w:t>
      </w:r>
      <w:r w:rsidR="00F25A29" w:rsidRPr="004710A6">
        <w:t> </w:t>
      </w:r>
      <w:r w:rsidRPr="004710A6">
        <w:t xml:space="preserve">% v roce 2022 a 12,5 % roce 2023). </w:t>
      </w:r>
    </w:p>
    <w:p w:rsidR="008A003B" w:rsidRPr="004710A6" w:rsidRDefault="008A003B" w:rsidP="009E3DE9">
      <w:pPr>
        <w:jc w:val="both"/>
      </w:pPr>
      <w:r w:rsidRPr="004710A6">
        <w:lastRenderedPageBreak/>
        <w:t xml:space="preserve">Zemědělská práce prováděná </w:t>
      </w:r>
      <w:proofErr w:type="spellStart"/>
      <w:r w:rsidRPr="004710A6">
        <w:t>dodavatelsky</w:t>
      </w:r>
      <w:proofErr w:type="spellEnd"/>
      <w:r w:rsidRPr="004710A6">
        <w:t>, tj. produkce zemědělských služeb, tvořila v roce 2022 z celkové PZO 3,0 %, v roce 2023 to byly 3,4 %. Nezemědělské vedlejší činnosti účetně neoddělitelné se na produkci podílely 3,1 % v roce 2022 a 3,5 % v roce 2023.</w:t>
      </w:r>
    </w:p>
    <w:p w:rsidR="008A003B" w:rsidRPr="004710A6" w:rsidRDefault="008A003B" w:rsidP="009E3DE9">
      <w:pPr>
        <w:jc w:val="both"/>
      </w:pPr>
      <w:proofErr w:type="spellStart"/>
      <w:r w:rsidRPr="004710A6">
        <w:t>Mezispotřeba</w:t>
      </w:r>
      <w:proofErr w:type="spellEnd"/>
      <w:r w:rsidRPr="004710A6">
        <w:t xml:space="preserve"> se podílela na PZO 66,6 % v roce 2022 a 68,5 % v roce 2023. Nejvýznamnějšími položkami </w:t>
      </w:r>
      <w:proofErr w:type="spellStart"/>
      <w:r w:rsidRPr="004710A6">
        <w:t>mezispotřeby</w:t>
      </w:r>
      <w:proofErr w:type="spellEnd"/>
      <w:r w:rsidRPr="004710A6">
        <w:t xml:space="preserve"> byly spotřeba krmiv (34,3 % v roce 2022 a 32,9 % v roce 2023) a spotřeba energií a maziv (16,5</w:t>
      </w:r>
      <w:r w:rsidR="005471AC">
        <w:t> </w:t>
      </w:r>
      <w:r w:rsidRPr="004710A6">
        <w:t xml:space="preserve">% v roce 2022 a 16,2 % v roce 2023). </w:t>
      </w:r>
      <w:proofErr w:type="spellStart"/>
      <w:r w:rsidRPr="004710A6">
        <w:t>Mezispotřeba</w:t>
      </w:r>
      <w:proofErr w:type="spellEnd"/>
      <w:r w:rsidRPr="004710A6">
        <w:t xml:space="preserve"> se meziročně snížila o 5,2 %.</w:t>
      </w:r>
    </w:p>
    <w:p w:rsidR="008A003B" w:rsidRPr="004710A6" w:rsidRDefault="008A003B" w:rsidP="009E3DE9">
      <w:pPr>
        <w:jc w:val="both"/>
      </w:pPr>
      <w:r w:rsidRPr="004710A6">
        <w:t>Hrubá přidaná hodnota v základních běžných cenách v roce 2022 činila 67 072,4 mil. Kč. V roce 2023 se snížila o 13,1 % na 55 683,6 mil. Kč. Po odečtení spotřeby fixního kapitálu je výsledkem čistá přidaná hodnota v základních běžných cenách, jež byla v roce 2022 ve výši 39 257,1 mil. Kč. V roce 2023 meziročně poklesla o 21,4 % na 30 868,4 mil. Kč.</w:t>
      </w:r>
    </w:p>
    <w:p w:rsidR="008A003B" w:rsidRPr="004710A6" w:rsidRDefault="008A003B" w:rsidP="009E3DE9">
      <w:pPr>
        <w:jc w:val="both"/>
      </w:pPr>
      <w:r w:rsidRPr="004710A6">
        <w:t xml:space="preserve">Důchod z faktorů v roce 2022 činil 73 779,8 mil. Kč. V roce 2023 se snížil o </w:t>
      </w:r>
      <w:r w:rsidR="000C36D4" w:rsidRPr="004710A6">
        <w:t>18,3 % na hodnotu 60 272,7 mil. </w:t>
      </w:r>
      <w:r w:rsidRPr="004710A6">
        <w:t>Kč. Náhrady zaměstnancům v roce 2022 činily 36 758,3 mil. Kč, v roce 2023 došlo k jejich nárůstu o 4,0 % na hodnotu 38 228,6 mil. Kč.</w:t>
      </w:r>
    </w:p>
    <w:p w:rsidR="008A003B" w:rsidRPr="004710A6" w:rsidRDefault="008A003B" w:rsidP="009E3DE9">
      <w:pPr>
        <w:jc w:val="both"/>
      </w:pPr>
      <w:r w:rsidRPr="004710A6">
        <w:t xml:space="preserve">V roce 2023 se oproti </w:t>
      </w:r>
      <w:r w:rsidR="00947F2C">
        <w:t>předchozímu</w:t>
      </w:r>
      <w:r w:rsidRPr="004710A6">
        <w:t xml:space="preserve"> roku zvýšila tvorba hrubého fixního kap</w:t>
      </w:r>
      <w:r w:rsidR="0093309C" w:rsidRPr="004710A6">
        <w:t>itálu o 13,0 % z 30 391,7</w:t>
      </w:r>
      <w:r w:rsidR="00147381">
        <w:t xml:space="preserve"> </w:t>
      </w:r>
      <w:r w:rsidR="00E92785" w:rsidRPr="004710A6">
        <w:t>mil.</w:t>
      </w:r>
      <w:r w:rsidR="0093309C" w:rsidRPr="004710A6">
        <w:t xml:space="preserve"> Kč na 34 </w:t>
      </w:r>
      <w:r w:rsidRPr="004710A6">
        <w:t xml:space="preserve">334,5 mil. Kč.  </w:t>
      </w:r>
    </w:p>
    <w:p w:rsidR="008A003B" w:rsidRPr="000A45C4" w:rsidRDefault="008A003B" w:rsidP="009E3DE9">
      <w:pPr>
        <w:jc w:val="both"/>
      </w:pPr>
      <w:r w:rsidRPr="004710A6">
        <w:t>V roce 2023 se snížil důchod z faktorů v zemědělství na celkovou roční pracovní jed</w:t>
      </w:r>
      <w:bookmarkStart w:id="1" w:name="_GoBack"/>
      <w:bookmarkEnd w:id="1"/>
      <w:r w:rsidRPr="004710A6">
        <w:t xml:space="preserve">notku (na 1 AWU), vyjádřený indikátorem A, oproti roku 2022 </w:t>
      </w:r>
      <w:r w:rsidR="000A45C4" w:rsidRPr="004710A6">
        <w:t>o 25</w:t>
      </w:r>
      <w:r w:rsidRPr="004710A6">
        <w:t>,5 %. Deflátor (implicitní cenov</w:t>
      </w:r>
      <w:r w:rsidR="0093309C" w:rsidRPr="004710A6">
        <w:t>ý index HDP v tržních cenách) v </w:t>
      </w:r>
      <w:r w:rsidRPr="004710A6">
        <w:t xml:space="preserve">roce 2023 byl </w:t>
      </w:r>
      <w:r w:rsidR="000A45C4" w:rsidRPr="004710A6">
        <w:t>108,2</w:t>
      </w:r>
      <w:r w:rsidRPr="004710A6">
        <w:t xml:space="preserve">. Indikátor B, který vyjadřuje vývoj v reálném podnikatelském důchodu na neplacenou roční pracovní jednotku, byl </w:t>
      </w:r>
      <w:r w:rsidR="000A45C4" w:rsidRPr="004710A6">
        <w:t>nižší o 66,3</w:t>
      </w:r>
      <w:r w:rsidRPr="004710A6">
        <w:t xml:space="preserve"> %. Podnikatelský důchod, vyjádřený indikátorem C, se snížil v roce 2023 v reálné hodnotě </w:t>
      </w:r>
      <w:r w:rsidR="000A45C4" w:rsidRPr="004710A6">
        <w:t>o 61,2</w:t>
      </w:r>
      <w:r w:rsidRPr="004710A6">
        <w:t xml:space="preserve"> %.</w:t>
      </w:r>
      <w:r w:rsidRPr="000A45C4">
        <w:t xml:space="preserve">  </w:t>
      </w:r>
    </w:p>
    <w:bookmarkEnd w:id="0"/>
    <w:p w:rsidR="002978AA" w:rsidRPr="002978AA" w:rsidRDefault="002978AA" w:rsidP="009E3DE9">
      <w:pPr>
        <w:jc w:val="both"/>
      </w:pPr>
    </w:p>
    <w:sectPr w:rsidR="002978AA" w:rsidRPr="002978AA" w:rsidSect="006F54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F6" w:rsidRDefault="00EC5BF6" w:rsidP="00E71A58">
      <w:r>
        <w:separator/>
      </w:r>
    </w:p>
  </w:endnote>
  <w:endnote w:type="continuationSeparator" w:id="0">
    <w:p w:rsidR="00EC5BF6" w:rsidRDefault="00EC5BF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55FE2EF2" wp14:editId="55FE2EF3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147381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2978AA">
      <w:rPr>
        <w:szCs w:val="16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5FE2EF4" wp14:editId="55FE2EF5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2978AA">
      <w:rPr>
        <w:rStyle w:val="ZpatChar"/>
        <w:szCs w:val="16"/>
      </w:rPr>
      <w:t>2024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147381">
      <w:rPr>
        <w:rStyle w:val="ZpatChar"/>
        <w:szCs w:val="16"/>
      </w:rPr>
      <w:t>1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F6" w:rsidRDefault="00EC5BF6" w:rsidP="00E71A58">
      <w:r>
        <w:separator/>
      </w:r>
    </w:p>
  </w:footnote>
  <w:footnote w:type="continuationSeparator" w:id="0">
    <w:p w:rsidR="00EC5BF6" w:rsidRDefault="00EC5BF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AA" w:rsidRPr="002767A3" w:rsidRDefault="002978AA" w:rsidP="002978AA">
    <w:pPr>
      <w:pStyle w:val="Zhlav"/>
    </w:pPr>
    <w:r>
      <w:t xml:space="preserve">SOUHRNNÝ ZEMĚDĚLSKÝ ÚČET 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2978AA" w:rsidRPr="00DE3020" w:rsidRDefault="002978AA" w:rsidP="002978AA">
    <w:pPr>
      <w:pStyle w:val="Zhlav"/>
    </w:pPr>
    <w:r>
      <w:t xml:space="preserve">/ ECONOMIC ACCOUNTS FOR </w:t>
    </w:r>
    <w:r w:rsidRPr="002978AA">
      <w:rPr>
        <w:lang w:val="en-GB"/>
      </w:rPr>
      <w:t>AGRICULTURE Definitive data 2022 and Semi-definitive Data 2023</w:t>
    </w:r>
  </w:p>
  <w:p w:rsidR="00515C74" w:rsidRPr="002978AA" w:rsidRDefault="00515C74" w:rsidP="002978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3D" w:rsidRPr="002767A3" w:rsidRDefault="00F9393D" w:rsidP="00F9393D">
    <w:pPr>
      <w:pStyle w:val="Zhlav"/>
    </w:pPr>
    <w:r>
      <w:t xml:space="preserve">SOUHRNNÝ ZEMĚDĚLSKÝ ÚČET 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F9393D" w:rsidRPr="00DE3020" w:rsidRDefault="00F9393D" w:rsidP="00F9393D">
    <w:pPr>
      <w:pStyle w:val="Zhlav"/>
    </w:pPr>
    <w:r>
      <w:t xml:space="preserve">/ ECONOMIC ACCOUNTS FOR </w:t>
    </w:r>
    <w:r w:rsidRPr="002978AA">
      <w:rPr>
        <w:lang w:val="en-GB"/>
      </w:rPr>
      <w:t>AGRICULTURE Definitive data 2022 and Semi-definitive Data 2023</w:t>
    </w:r>
  </w:p>
  <w:p w:rsidR="00B5752E" w:rsidRPr="00F9393D" w:rsidRDefault="00B5752E" w:rsidP="00F93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63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47A58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45C4"/>
    <w:rsid w:val="000C3408"/>
    <w:rsid w:val="000C36D4"/>
    <w:rsid w:val="000C6AFD"/>
    <w:rsid w:val="000D5637"/>
    <w:rsid w:val="000E6FBD"/>
    <w:rsid w:val="00100F5C"/>
    <w:rsid w:val="00104C4C"/>
    <w:rsid w:val="0011500A"/>
    <w:rsid w:val="0012192F"/>
    <w:rsid w:val="00125D69"/>
    <w:rsid w:val="001405FA"/>
    <w:rsid w:val="001425C3"/>
    <w:rsid w:val="00147381"/>
    <w:rsid w:val="0016256B"/>
    <w:rsid w:val="00163793"/>
    <w:rsid w:val="001706D6"/>
    <w:rsid w:val="001714F2"/>
    <w:rsid w:val="00172143"/>
    <w:rsid w:val="00184B08"/>
    <w:rsid w:val="00185010"/>
    <w:rsid w:val="001A552F"/>
    <w:rsid w:val="001B2CA9"/>
    <w:rsid w:val="001B3110"/>
    <w:rsid w:val="001B4729"/>
    <w:rsid w:val="001B6C09"/>
    <w:rsid w:val="001C05CD"/>
    <w:rsid w:val="001C400A"/>
    <w:rsid w:val="001D68B2"/>
    <w:rsid w:val="001E414B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64FAA"/>
    <w:rsid w:val="00271465"/>
    <w:rsid w:val="00285412"/>
    <w:rsid w:val="002978AA"/>
    <w:rsid w:val="002A0A50"/>
    <w:rsid w:val="002A16D4"/>
    <w:rsid w:val="002A230C"/>
    <w:rsid w:val="002C43BD"/>
    <w:rsid w:val="002C624A"/>
    <w:rsid w:val="002D0E59"/>
    <w:rsid w:val="002D73B4"/>
    <w:rsid w:val="002E02A1"/>
    <w:rsid w:val="002E4E4C"/>
    <w:rsid w:val="00304771"/>
    <w:rsid w:val="003052D4"/>
    <w:rsid w:val="00306C5B"/>
    <w:rsid w:val="00312ABD"/>
    <w:rsid w:val="00314D9F"/>
    <w:rsid w:val="003209D6"/>
    <w:rsid w:val="00321924"/>
    <w:rsid w:val="00323428"/>
    <w:rsid w:val="0032656E"/>
    <w:rsid w:val="003306DF"/>
    <w:rsid w:val="00332190"/>
    <w:rsid w:val="003350AC"/>
    <w:rsid w:val="00344668"/>
    <w:rsid w:val="003462D9"/>
    <w:rsid w:val="003469F5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16F0B"/>
    <w:rsid w:val="00432A58"/>
    <w:rsid w:val="00434617"/>
    <w:rsid w:val="00440900"/>
    <w:rsid w:val="004441A0"/>
    <w:rsid w:val="00454A3F"/>
    <w:rsid w:val="00460FB3"/>
    <w:rsid w:val="00467833"/>
    <w:rsid w:val="004710A6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2B68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E07A4"/>
    <w:rsid w:val="004E3900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71AC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30E0"/>
    <w:rsid w:val="006634CE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1CD1"/>
    <w:rsid w:val="006E279A"/>
    <w:rsid w:val="006E313B"/>
    <w:rsid w:val="006F5416"/>
    <w:rsid w:val="006F6B1A"/>
    <w:rsid w:val="00706AD4"/>
    <w:rsid w:val="007140BE"/>
    <w:rsid w:val="007202BA"/>
    <w:rsid w:val="007211F5"/>
    <w:rsid w:val="00725BB5"/>
    <w:rsid w:val="00730AE8"/>
    <w:rsid w:val="00733FBE"/>
    <w:rsid w:val="00734624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585A"/>
    <w:rsid w:val="007B6689"/>
    <w:rsid w:val="007D40DF"/>
    <w:rsid w:val="007E7E61"/>
    <w:rsid w:val="007F0845"/>
    <w:rsid w:val="008037F1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463F"/>
    <w:rsid w:val="00855408"/>
    <w:rsid w:val="00856D65"/>
    <w:rsid w:val="008615FD"/>
    <w:rsid w:val="00861B41"/>
    <w:rsid w:val="00863434"/>
    <w:rsid w:val="00865E4C"/>
    <w:rsid w:val="0086642C"/>
    <w:rsid w:val="008701E4"/>
    <w:rsid w:val="00875A32"/>
    <w:rsid w:val="00876086"/>
    <w:rsid w:val="008767E4"/>
    <w:rsid w:val="008873D4"/>
    <w:rsid w:val="00893E85"/>
    <w:rsid w:val="00894031"/>
    <w:rsid w:val="008A003B"/>
    <w:rsid w:val="008B7C02"/>
    <w:rsid w:val="008B7D2B"/>
    <w:rsid w:val="008C0049"/>
    <w:rsid w:val="008C0E88"/>
    <w:rsid w:val="008D02E1"/>
    <w:rsid w:val="008D1E6A"/>
    <w:rsid w:val="008D2A16"/>
    <w:rsid w:val="008E2C57"/>
    <w:rsid w:val="008E31FF"/>
    <w:rsid w:val="008E6F06"/>
    <w:rsid w:val="008F029B"/>
    <w:rsid w:val="008F3FC9"/>
    <w:rsid w:val="008F4536"/>
    <w:rsid w:val="008F4ED3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309C"/>
    <w:rsid w:val="00937AE2"/>
    <w:rsid w:val="0094427A"/>
    <w:rsid w:val="00947F2C"/>
    <w:rsid w:val="00973A2C"/>
    <w:rsid w:val="00974923"/>
    <w:rsid w:val="00980D3D"/>
    <w:rsid w:val="00987A30"/>
    <w:rsid w:val="00992CF3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3DE9"/>
    <w:rsid w:val="009E5273"/>
    <w:rsid w:val="009E5DDB"/>
    <w:rsid w:val="009F4CA7"/>
    <w:rsid w:val="009F7A0A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5E66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34D9A"/>
    <w:rsid w:val="00B35250"/>
    <w:rsid w:val="00B3611A"/>
    <w:rsid w:val="00B402FC"/>
    <w:rsid w:val="00B46604"/>
    <w:rsid w:val="00B530CD"/>
    <w:rsid w:val="00B55F5E"/>
    <w:rsid w:val="00B572E3"/>
    <w:rsid w:val="00B5752E"/>
    <w:rsid w:val="00B63A11"/>
    <w:rsid w:val="00B64C24"/>
    <w:rsid w:val="00B6608F"/>
    <w:rsid w:val="00B679FB"/>
    <w:rsid w:val="00B7083B"/>
    <w:rsid w:val="00B76D1E"/>
    <w:rsid w:val="00B80EC6"/>
    <w:rsid w:val="00B86681"/>
    <w:rsid w:val="00B92D1D"/>
    <w:rsid w:val="00B938C5"/>
    <w:rsid w:val="00B95940"/>
    <w:rsid w:val="00BB46F3"/>
    <w:rsid w:val="00BB4CB1"/>
    <w:rsid w:val="00BB4F98"/>
    <w:rsid w:val="00BB6190"/>
    <w:rsid w:val="00BC7154"/>
    <w:rsid w:val="00BD366B"/>
    <w:rsid w:val="00BD6D50"/>
    <w:rsid w:val="00BE18B9"/>
    <w:rsid w:val="00BE2495"/>
    <w:rsid w:val="00BF1578"/>
    <w:rsid w:val="00C21F94"/>
    <w:rsid w:val="00C27913"/>
    <w:rsid w:val="00C33B68"/>
    <w:rsid w:val="00C36A79"/>
    <w:rsid w:val="00C405D4"/>
    <w:rsid w:val="00C4513B"/>
    <w:rsid w:val="00C54697"/>
    <w:rsid w:val="00C56BB4"/>
    <w:rsid w:val="00C631AB"/>
    <w:rsid w:val="00C73885"/>
    <w:rsid w:val="00C747B1"/>
    <w:rsid w:val="00C82191"/>
    <w:rsid w:val="00C90CF4"/>
    <w:rsid w:val="00C92EB6"/>
    <w:rsid w:val="00C93389"/>
    <w:rsid w:val="00CB13DE"/>
    <w:rsid w:val="00CB4930"/>
    <w:rsid w:val="00CC2E7D"/>
    <w:rsid w:val="00CD10A5"/>
    <w:rsid w:val="00CD2076"/>
    <w:rsid w:val="00CD77D4"/>
    <w:rsid w:val="00CE670B"/>
    <w:rsid w:val="00CF4FF5"/>
    <w:rsid w:val="00CF51EC"/>
    <w:rsid w:val="00CF73AE"/>
    <w:rsid w:val="00D040DD"/>
    <w:rsid w:val="00D07BA7"/>
    <w:rsid w:val="00D13986"/>
    <w:rsid w:val="00D235B7"/>
    <w:rsid w:val="00D25F28"/>
    <w:rsid w:val="00D27973"/>
    <w:rsid w:val="00D50F46"/>
    <w:rsid w:val="00D55763"/>
    <w:rsid w:val="00D66223"/>
    <w:rsid w:val="00D8084C"/>
    <w:rsid w:val="00DA7C0C"/>
    <w:rsid w:val="00DB2EC8"/>
    <w:rsid w:val="00DB55DD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2785"/>
    <w:rsid w:val="00E93820"/>
    <w:rsid w:val="00EA0C68"/>
    <w:rsid w:val="00EA32BC"/>
    <w:rsid w:val="00EB3701"/>
    <w:rsid w:val="00EB4511"/>
    <w:rsid w:val="00EC03D7"/>
    <w:rsid w:val="00EC5BF6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25A29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9393D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B0243F0"/>
  <w15:docId w15:val="{6634BF6A-D44E-482A-9B54-0320D83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202BA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471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7202BA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471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7202BA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471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7202BA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471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202BA"/>
    <w:rPr>
      <w:rFonts w:ascii="Arial" w:eastAsia="MS Gothic" w:hAnsi="Arial"/>
      <w:b/>
      <w:bCs/>
      <w:color w:val="009471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7202BA"/>
    <w:rPr>
      <w:rFonts w:ascii="Arial" w:eastAsia="MS Gothic" w:hAnsi="Arial"/>
      <w:b/>
      <w:bCs/>
      <w:color w:val="009471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7202BA"/>
    <w:rPr>
      <w:rFonts w:ascii="Arial" w:eastAsia="MS Gothic" w:hAnsi="Arial"/>
      <w:b/>
      <w:bCs/>
      <w:color w:val="009471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7202BA"/>
    <w:rPr>
      <w:rFonts w:ascii="Arial" w:eastAsia="MS Gothic" w:hAnsi="Arial"/>
      <w:b/>
      <w:bCs/>
      <w:iCs/>
      <w:color w:val="009471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B3611A"/>
    <w:pPr>
      <w:spacing w:after="80" w:line="288" w:lineRule="auto"/>
    </w:pPr>
    <w:rPr>
      <w:rFonts w:ascii="Arial" w:eastAsia="Times New Roman" w:hAnsi="Arial"/>
      <w:b/>
      <w:color w:val="009471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16F0B"/>
    <w:pPr>
      <w:shd w:val="clear" w:color="auto" w:fill="E3F1EC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7202BA"/>
    <w:pPr>
      <w:spacing w:before="240" w:after="240" w:line="288" w:lineRule="auto"/>
      <w:ind w:left="709"/>
      <w:contextualSpacing/>
    </w:pPr>
    <w:rPr>
      <w:rFonts w:ascii="Arial" w:hAnsi="Arial" w:cs="Arial"/>
      <w:color w:val="009471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B3611A"/>
    <w:pPr>
      <w:spacing w:after="40"/>
      <w:contextualSpacing/>
    </w:pPr>
    <w:rPr>
      <w:b/>
      <w:caps/>
      <w:color w:val="000000" w:themeColor="text1"/>
      <w:sz w:val="24"/>
    </w:rPr>
  </w:style>
  <w:style w:type="paragraph" w:customStyle="1" w:styleId="TLKontakty">
    <w:name w:val="TL Kontakty"/>
    <w:qFormat/>
    <w:rsid w:val="00B3611A"/>
    <w:pPr>
      <w:spacing w:after="160" w:line="259" w:lineRule="auto"/>
      <w:contextualSpacing/>
    </w:pPr>
    <w:rPr>
      <w:rFonts w:ascii="Arial" w:eastAsia="Times New Roman" w:hAnsi="Arial"/>
      <w:b/>
      <w:color w:val="009471"/>
      <w:lang w:eastAsia="cs-CZ"/>
    </w:rPr>
  </w:style>
  <w:style w:type="paragraph" w:styleId="Nzev">
    <w:name w:val="Title"/>
    <w:link w:val="NzevChar"/>
    <w:uiPriority w:val="10"/>
    <w:qFormat/>
    <w:rsid w:val="00B3611A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B3611A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B3611A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B3611A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intenzivn">
    <w:name w:val="Intense Reference"/>
    <w:basedOn w:val="Standardnpsmoodstavce"/>
    <w:uiPriority w:val="32"/>
    <w:qFormat/>
    <w:rsid w:val="00B3611A"/>
    <w:rPr>
      <w:b/>
      <w:bCs/>
      <w:smallCaps/>
      <w:color w:val="000000" w:themeColor="text1"/>
      <w:spacing w:val="5"/>
    </w:rPr>
  </w:style>
  <w:style w:type="character" w:styleId="Zdraznnintenzivn">
    <w:name w:val="Intense Emphasis"/>
    <w:basedOn w:val="Standardnpsmoodstavce"/>
    <w:uiPriority w:val="21"/>
    <w:qFormat/>
    <w:rsid w:val="00B3611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443</Form_c>
    <NazevForm xmlns="8675fb2b-b414-4bad-b4c4-d9349268b5a1">Publikace CZ barevná - hospodářská odvětví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9D5E-AFB6-4B68-A8C2-3C8FF5CC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17C02-2A1C-4865-B445-BEE36455B99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43C38-0610-4F35-B73E-29C903B0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756</Words>
  <Characters>4462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5208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Romana</dc:creator>
  <cp:keywords/>
  <dc:description/>
  <cp:lastModifiedBy>Procházková Romana</cp:lastModifiedBy>
  <cp:revision>33</cp:revision>
  <cp:lastPrinted>2014-07-17T14:07:00Z</cp:lastPrinted>
  <dcterms:created xsi:type="dcterms:W3CDTF">2024-09-25T06:49:00Z</dcterms:created>
  <dcterms:modified xsi:type="dcterms:W3CDTF">2024-09-25T11:17:00Z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