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274" w:rsidRDefault="0086241D" w:rsidP="0086241D">
      <w:pPr>
        <w:pStyle w:val="Zkladntext"/>
        <w:jc w:val="left"/>
        <w:rPr>
          <w:b/>
          <w:bCs/>
          <w:sz w:val="22"/>
        </w:rPr>
      </w:pPr>
      <w:r>
        <w:rPr>
          <w:b/>
          <w:bCs/>
          <w:sz w:val="22"/>
        </w:rPr>
        <w:t>Zahraniční obchod České republiky se zbožím</w:t>
      </w:r>
      <w:r>
        <w:rPr>
          <w:rStyle w:val="Znakapoznpodarou"/>
          <w:b/>
          <w:bCs/>
          <w:sz w:val="22"/>
        </w:rPr>
        <w:footnoteReference w:id="1"/>
      </w:r>
      <w:r>
        <w:rPr>
          <w:b/>
          <w:bCs/>
          <w:sz w:val="22"/>
        </w:rPr>
        <w:t xml:space="preserve"> v roce 20</w:t>
      </w:r>
      <w:r w:rsidR="00913F00">
        <w:rPr>
          <w:b/>
          <w:bCs/>
          <w:sz w:val="22"/>
        </w:rPr>
        <w:t>20</w:t>
      </w:r>
    </w:p>
    <w:p w:rsidR="006E7274" w:rsidRDefault="006E7274">
      <w:pPr>
        <w:pStyle w:val="Zkladntext"/>
        <w:jc w:val="center"/>
        <w:rPr>
          <w:b/>
          <w:bCs/>
          <w:sz w:val="22"/>
        </w:rPr>
      </w:pPr>
    </w:p>
    <w:p w:rsidR="006E7274" w:rsidRDefault="006E7274">
      <w:pPr>
        <w:pStyle w:val="Zkladntext"/>
        <w:jc w:val="center"/>
      </w:pPr>
    </w:p>
    <w:p w:rsidR="00873E3B" w:rsidRPr="00873E3B" w:rsidRDefault="00873E3B" w:rsidP="00873E3B">
      <w:pPr>
        <w:spacing w:after="160"/>
        <w:rPr>
          <w:bCs/>
          <w:sz w:val="18"/>
          <w:szCs w:val="18"/>
        </w:rPr>
      </w:pPr>
      <w:r w:rsidRPr="00873E3B">
        <w:rPr>
          <w:bCs/>
          <w:sz w:val="18"/>
          <w:szCs w:val="18"/>
        </w:rPr>
        <w:t xml:space="preserve">Celkový obrat zahraničního obchodu se zbožím v roce 2020 ovlivnily dopady opatření proti šíření koronaviru. V porovnání s rokem 2019 </w:t>
      </w:r>
      <w:r w:rsidRPr="00765355">
        <w:rPr>
          <w:b/>
          <w:bCs/>
          <w:sz w:val="18"/>
          <w:szCs w:val="18"/>
        </w:rPr>
        <w:t>klesl obrat zahraničního obchodu se zbožím</w:t>
      </w:r>
      <w:r w:rsidRPr="00873E3B">
        <w:rPr>
          <w:bCs/>
          <w:sz w:val="18"/>
          <w:szCs w:val="18"/>
        </w:rPr>
        <w:t xml:space="preserve"> o 6,2 % (</w:t>
      </w:r>
      <w:r w:rsidR="001242DB">
        <w:rPr>
          <w:bCs/>
          <w:sz w:val="18"/>
          <w:szCs w:val="18"/>
        </w:rPr>
        <w:t>451,6</w:t>
      </w:r>
      <w:r w:rsidRPr="00873E3B">
        <w:rPr>
          <w:bCs/>
          <w:sz w:val="18"/>
          <w:szCs w:val="18"/>
        </w:rPr>
        <w:t> mld. Kč)</w:t>
      </w:r>
      <w:r>
        <w:rPr>
          <w:bCs/>
          <w:sz w:val="18"/>
          <w:szCs w:val="18"/>
        </w:rPr>
        <w:t xml:space="preserve"> a dosáhl hodnoty 6 786,</w:t>
      </w:r>
      <w:r w:rsidR="002518B5">
        <w:rPr>
          <w:bCs/>
          <w:sz w:val="18"/>
          <w:szCs w:val="18"/>
        </w:rPr>
        <w:t>2 </w:t>
      </w:r>
      <w:r>
        <w:rPr>
          <w:bCs/>
          <w:sz w:val="18"/>
          <w:szCs w:val="18"/>
        </w:rPr>
        <w:t>mld. Kč</w:t>
      </w:r>
      <w:r w:rsidRPr="00873E3B">
        <w:rPr>
          <w:bCs/>
          <w:sz w:val="18"/>
          <w:szCs w:val="18"/>
        </w:rPr>
        <w:t xml:space="preserve">. </w:t>
      </w:r>
    </w:p>
    <w:p w:rsidR="00E336D7" w:rsidRDefault="00BC6718" w:rsidP="00E336D7">
      <w:pPr>
        <w:spacing w:after="160"/>
        <w:rPr>
          <w:bCs/>
          <w:sz w:val="18"/>
          <w:szCs w:val="18"/>
        </w:rPr>
      </w:pPr>
      <w:r w:rsidRPr="00765355">
        <w:rPr>
          <w:b/>
          <w:bCs/>
          <w:sz w:val="18"/>
          <w:szCs w:val="18"/>
        </w:rPr>
        <w:t>Bilance zahraničního obchodu</w:t>
      </w:r>
      <w:r w:rsidR="00CA1C97">
        <w:rPr>
          <w:rStyle w:val="Znakapoznpodarou"/>
          <w:bCs/>
          <w:sz w:val="18"/>
          <w:szCs w:val="18"/>
        </w:rPr>
        <w:footnoteReference w:id="2"/>
      </w:r>
      <w:r w:rsidRPr="00765355">
        <w:rPr>
          <w:b/>
          <w:bCs/>
          <w:sz w:val="18"/>
          <w:szCs w:val="18"/>
        </w:rPr>
        <w:t xml:space="preserve"> se zbožím skončila přebytkem</w:t>
      </w:r>
      <w:r w:rsidRPr="00913F00">
        <w:rPr>
          <w:bCs/>
          <w:sz w:val="18"/>
          <w:szCs w:val="18"/>
        </w:rPr>
        <w:t xml:space="preserve"> </w:t>
      </w:r>
      <w:r w:rsidR="00913F00">
        <w:rPr>
          <w:bCs/>
          <w:sz w:val="18"/>
          <w:szCs w:val="18"/>
        </w:rPr>
        <w:t>179,9</w:t>
      </w:r>
      <w:r w:rsidRPr="00913F00">
        <w:rPr>
          <w:bCs/>
          <w:sz w:val="18"/>
          <w:szCs w:val="18"/>
        </w:rPr>
        <w:t> </w:t>
      </w:r>
      <w:r w:rsidR="001E36E8" w:rsidRPr="00913F00">
        <w:rPr>
          <w:bCs/>
          <w:sz w:val="18"/>
          <w:szCs w:val="18"/>
        </w:rPr>
        <w:t>mld. Kč ve srovnání s </w:t>
      </w:r>
      <w:r w:rsidR="00913F00" w:rsidRPr="00913F00">
        <w:rPr>
          <w:bCs/>
          <w:sz w:val="18"/>
          <w:szCs w:val="18"/>
        </w:rPr>
        <w:t>145,7 </w:t>
      </w:r>
      <w:r w:rsidR="001E36E8" w:rsidRPr="00913F00">
        <w:rPr>
          <w:bCs/>
          <w:sz w:val="18"/>
          <w:szCs w:val="18"/>
        </w:rPr>
        <w:t>mld. </w:t>
      </w:r>
      <w:r w:rsidRPr="00913F00">
        <w:rPr>
          <w:bCs/>
          <w:sz w:val="18"/>
          <w:szCs w:val="18"/>
        </w:rPr>
        <w:t>Kč v roce 201</w:t>
      </w:r>
      <w:r w:rsidR="00913F00">
        <w:rPr>
          <w:bCs/>
          <w:sz w:val="18"/>
          <w:szCs w:val="18"/>
        </w:rPr>
        <w:t>9</w:t>
      </w:r>
      <w:r w:rsidRPr="00913F00">
        <w:rPr>
          <w:bCs/>
          <w:sz w:val="18"/>
          <w:szCs w:val="18"/>
        </w:rPr>
        <w:t>.</w:t>
      </w:r>
      <w:r w:rsidR="00873E3B">
        <w:rPr>
          <w:bCs/>
          <w:sz w:val="18"/>
          <w:szCs w:val="18"/>
        </w:rPr>
        <w:t xml:space="preserve"> </w:t>
      </w:r>
      <w:r w:rsidR="00873E3B" w:rsidRPr="00873E3B">
        <w:rPr>
          <w:bCs/>
          <w:sz w:val="18"/>
          <w:szCs w:val="18"/>
        </w:rPr>
        <w:t>Podle definitivních</w:t>
      </w:r>
      <w:r w:rsidR="00873E3B">
        <w:rPr>
          <w:bCs/>
          <w:sz w:val="18"/>
          <w:szCs w:val="18"/>
        </w:rPr>
        <w:t xml:space="preserve"> </w:t>
      </w:r>
      <w:r w:rsidR="00873E3B" w:rsidRPr="00873E3B">
        <w:rPr>
          <w:bCs/>
          <w:sz w:val="18"/>
          <w:szCs w:val="18"/>
        </w:rPr>
        <w:t>údajů</w:t>
      </w:r>
      <w:r w:rsidR="00873E3B">
        <w:rPr>
          <w:bCs/>
          <w:sz w:val="18"/>
          <w:szCs w:val="18"/>
        </w:rPr>
        <w:t xml:space="preserve"> </w:t>
      </w:r>
      <w:r w:rsidR="00873E3B" w:rsidRPr="00873E3B">
        <w:rPr>
          <w:bCs/>
          <w:sz w:val="18"/>
          <w:szCs w:val="18"/>
        </w:rPr>
        <w:t>za rok 2020 klesl meziročně vývoz o</w:t>
      </w:r>
      <w:r w:rsidR="00873E3B">
        <w:rPr>
          <w:bCs/>
          <w:sz w:val="18"/>
          <w:szCs w:val="18"/>
        </w:rPr>
        <w:t xml:space="preserve"> </w:t>
      </w:r>
      <w:r w:rsidR="00873E3B" w:rsidRPr="00873E3B">
        <w:rPr>
          <w:bCs/>
          <w:sz w:val="18"/>
          <w:szCs w:val="18"/>
        </w:rPr>
        <w:t>5,7 % na 3 483,1 mld. Kč a</w:t>
      </w:r>
      <w:r w:rsidR="001242DB">
        <w:rPr>
          <w:bCs/>
          <w:sz w:val="18"/>
          <w:szCs w:val="18"/>
        </w:rPr>
        <w:t xml:space="preserve"> </w:t>
      </w:r>
      <w:r w:rsidR="00873E3B" w:rsidRPr="00873E3B">
        <w:rPr>
          <w:bCs/>
          <w:sz w:val="18"/>
          <w:szCs w:val="18"/>
        </w:rPr>
        <w:t>dovoz o</w:t>
      </w:r>
      <w:r w:rsidR="00873E3B">
        <w:rPr>
          <w:bCs/>
          <w:sz w:val="18"/>
          <w:szCs w:val="18"/>
        </w:rPr>
        <w:t xml:space="preserve"> </w:t>
      </w:r>
      <w:r w:rsidR="00873E3B" w:rsidRPr="00873E3B">
        <w:rPr>
          <w:bCs/>
          <w:sz w:val="18"/>
          <w:szCs w:val="18"/>
        </w:rPr>
        <w:t>6,9 % na 3 303,1 mld. Kč.</w:t>
      </w:r>
    </w:p>
    <w:p w:rsidR="00E336D7" w:rsidRDefault="00E336D7" w:rsidP="00E336D7">
      <w:pPr>
        <w:spacing w:after="160"/>
        <w:rPr>
          <w:bCs/>
          <w:sz w:val="18"/>
          <w:szCs w:val="18"/>
        </w:rPr>
      </w:pPr>
      <w:r>
        <w:rPr>
          <w:bCs/>
          <w:sz w:val="18"/>
          <w:szCs w:val="18"/>
        </w:rPr>
        <w:t xml:space="preserve">Celkové saldo zahraničního obchodu se zbožím </w:t>
      </w:r>
      <w:r w:rsidRPr="00E8598B">
        <w:rPr>
          <w:b/>
          <w:bCs/>
          <w:sz w:val="18"/>
          <w:szCs w:val="18"/>
        </w:rPr>
        <w:t>příznivě ovlivnil</w:t>
      </w:r>
      <w:r>
        <w:rPr>
          <w:bCs/>
          <w:sz w:val="18"/>
          <w:szCs w:val="18"/>
        </w:rPr>
        <w:t xml:space="preserve"> především meziročn</w:t>
      </w:r>
      <w:r w:rsidR="002470CC">
        <w:rPr>
          <w:bCs/>
          <w:sz w:val="18"/>
          <w:szCs w:val="18"/>
        </w:rPr>
        <w:t>ě</w:t>
      </w:r>
      <w:r>
        <w:rPr>
          <w:bCs/>
          <w:sz w:val="18"/>
          <w:szCs w:val="18"/>
        </w:rPr>
        <w:t xml:space="preserve"> </w:t>
      </w:r>
      <w:r w:rsidR="00231503">
        <w:rPr>
          <w:bCs/>
          <w:sz w:val="18"/>
          <w:szCs w:val="18"/>
        </w:rPr>
        <w:t>menší deficit</w:t>
      </w:r>
      <w:r>
        <w:rPr>
          <w:bCs/>
          <w:sz w:val="18"/>
          <w:szCs w:val="18"/>
        </w:rPr>
        <w:t xml:space="preserve"> </w:t>
      </w:r>
      <w:r w:rsidR="00231503">
        <w:rPr>
          <w:bCs/>
          <w:sz w:val="18"/>
          <w:szCs w:val="18"/>
        </w:rPr>
        <w:t>bilance</w:t>
      </w:r>
      <w:r>
        <w:rPr>
          <w:bCs/>
          <w:sz w:val="18"/>
          <w:szCs w:val="18"/>
        </w:rPr>
        <w:t xml:space="preserve"> s</w:t>
      </w:r>
      <w:r w:rsidR="00231503">
        <w:rPr>
          <w:bCs/>
          <w:sz w:val="18"/>
          <w:szCs w:val="18"/>
        </w:rPr>
        <w:t xml:space="preserve"> ropou </w:t>
      </w:r>
      <w:r w:rsidR="00200120">
        <w:rPr>
          <w:bCs/>
          <w:sz w:val="18"/>
          <w:szCs w:val="18"/>
        </w:rPr>
        <w:t>a </w:t>
      </w:r>
      <w:r w:rsidR="00231503">
        <w:rPr>
          <w:bCs/>
          <w:sz w:val="18"/>
          <w:szCs w:val="18"/>
        </w:rPr>
        <w:t xml:space="preserve">zemním plynem o 55,7 mld. Kč </w:t>
      </w:r>
      <w:r w:rsidR="00E8598B" w:rsidRPr="00E8598B">
        <w:rPr>
          <w:bCs/>
          <w:sz w:val="18"/>
          <w:szCs w:val="18"/>
        </w:rPr>
        <w:t xml:space="preserve">(vliv poklesu cen na světových trzích a nižšího dovezeného množství) </w:t>
      </w:r>
      <w:r w:rsidR="00231503">
        <w:rPr>
          <w:bCs/>
          <w:sz w:val="18"/>
          <w:szCs w:val="18"/>
        </w:rPr>
        <w:t>a se základními kovy o 22,2 mld. Kč.</w:t>
      </w:r>
    </w:p>
    <w:p w:rsidR="00E8598B" w:rsidRDefault="00E8598B" w:rsidP="00E336D7">
      <w:pPr>
        <w:spacing w:after="160"/>
        <w:rPr>
          <w:bCs/>
          <w:sz w:val="18"/>
          <w:szCs w:val="18"/>
        </w:rPr>
      </w:pPr>
      <w:r w:rsidRPr="00200120">
        <w:rPr>
          <w:b/>
          <w:bCs/>
          <w:sz w:val="18"/>
          <w:szCs w:val="18"/>
        </w:rPr>
        <w:t>Nepříznivý vliv</w:t>
      </w:r>
      <w:r>
        <w:rPr>
          <w:bCs/>
          <w:sz w:val="18"/>
          <w:szCs w:val="18"/>
        </w:rPr>
        <w:t xml:space="preserve"> na celkové saldo zahraničního obchodu se zbožím měl zejména pokles aktivní bilance s motorovými vozidly o 34,5 mld. Kč, elektrickými zařízeními o 21,5 mld. Kč</w:t>
      </w:r>
      <w:r w:rsidR="00200120">
        <w:rPr>
          <w:bCs/>
          <w:sz w:val="18"/>
          <w:szCs w:val="18"/>
        </w:rPr>
        <w:t xml:space="preserve"> a textiliemi o 7,3 mld. Kč</w:t>
      </w:r>
      <w:r>
        <w:rPr>
          <w:bCs/>
          <w:sz w:val="18"/>
          <w:szCs w:val="18"/>
        </w:rPr>
        <w:t>.</w:t>
      </w:r>
      <w:r w:rsidR="00200120">
        <w:rPr>
          <w:bCs/>
          <w:sz w:val="18"/>
          <w:szCs w:val="18"/>
        </w:rPr>
        <w:t xml:space="preserve"> Dále se prohloubilo pasivum bilance počítačů, elektronických a optických přístrojů o 9,6 mld. Kč a základních farmaceuti</w:t>
      </w:r>
      <w:r w:rsidR="009718E0">
        <w:rPr>
          <w:bCs/>
          <w:sz w:val="18"/>
          <w:szCs w:val="18"/>
        </w:rPr>
        <w:t>ckých výrobků a přípravků o 6,3 </w:t>
      </w:r>
      <w:r w:rsidR="00200120">
        <w:rPr>
          <w:bCs/>
          <w:sz w:val="18"/>
          <w:szCs w:val="18"/>
        </w:rPr>
        <w:t>mld. Kč.</w:t>
      </w:r>
    </w:p>
    <w:p w:rsidR="00765355" w:rsidRDefault="00F83179" w:rsidP="006E6ECF">
      <w:pPr>
        <w:spacing w:after="160"/>
        <w:rPr>
          <w:bCs/>
          <w:sz w:val="18"/>
          <w:szCs w:val="18"/>
        </w:rPr>
      </w:pPr>
      <w:r w:rsidRPr="00765355">
        <w:rPr>
          <w:b/>
          <w:bCs/>
          <w:sz w:val="18"/>
          <w:szCs w:val="18"/>
        </w:rPr>
        <w:t>Přebytek zahraničního obchodu se státy Evropské unie</w:t>
      </w:r>
      <w:r w:rsidR="00765355" w:rsidRPr="00765355">
        <w:rPr>
          <w:rStyle w:val="Znakapoznpodarou"/>
          <w:bCs/>
          <w:szCs w:val="18"/>
        </w:rPr>
        <w:footnoteReference w:id="3"/>
      </w:r>
      <w:r w:rsidRPr="00765355">
        <w:rPr>
          <w:bCs/>
          <w:sz w:val="18"/>
          <w:szCs w:val="18"/>
        </w:rPr>
        <w:t xml:space="preserve"> dosáhl </w:t>
      </w:r>
      <w:r w:rsidR="00DD5D09" w:rsidRPr="00765355">
        <w:rPr>
          <w:bCs/>
          <w:sz w:val="18"/>
          <w:szCs w:val="18"/>
        </w:rPr>
        <w:t>656,9</w:t>
      </w:r>
      <w:r w:rsidRPr="00765355">
        <w:rPr>
          <w:bCs/>
          <w:sz w:val="18"/>
          <w:szCs w:val="18"/>
        </w:rPr>
        <w:t xml:space="preserve"> mld. Kč a byl proti roku 2019 o </w:t>
      </w:r>
      <w:r w:rsidR="00DD5D09" w:rsidRPr="00765355">
        <w:rPr>
          <w:bCs/>
          <w:sz w:val="18"/>
          <w:szCs w:val="18"/>
        </w:rPr>
        <w:t xml:space="preserve">18,5 </w:t>
      </w:r>
      <w:r w:rsidRPr="00765355">
        <w:rPr>
          <w:bCs/>
          <w:sz w:val="18"/>
          <w:szCs w:val="18"/>
        </w:rPr>
        <w:t xml:space="preserve">mld. Kč vyšší. </w:t>
      </w:r>
      <w:r w:rsidR="00DD5D09" w:rsidRPr="00765355">
        <w:rPr>
          <w:bCs/>
          <w:sz w:val="18"/>
          <w:szCs w:val="18"/>
        </w:rPr>
        <w:t>Největší přírůstek aktiva byl zaznamenán v obchodě s Německem o 48,2 mld. Kč</w:t>
      </w:r>
      <w:r w:rsidR="00765355" w:rsidRPr="00765355">
        <w:rPr>
          <w:bCs/>
          <w:sz w:val="18"/>
          <w:szCs w:val="18"/>
        </w:rPr>
        <w:t xml:space="preserve"> a </w:t>
      </w:r>
      <w:r w:rsidR="00DD5D09" w:rsidRPr="00765355">
        <w:rPr>
          <w:bCs/>
          <w:sz w:val="18"/>
          <w:szCs w:val="18"/>
        </w:rPr>
        <w:t>Slovenskem o 5,9 mld. Kč</w:t>
      </w:r>
      <w:r w:rsidR="00765355" w:rsidRPr="00765355">
        <w:rPr>
          <w:bCs/>
          <w:sz w:val="18"/>
          <w:szCs w:val="18"/>
        </w:rPr>
        <w:t xml:space="preserve">. </w:t>
      </w:r>
      <w:r w:rsidR="0058345C">
        <w:rPr>
          <w:bCs/>
          <w:sz w:val="18"/>
          <w:szCs w:val="18"/>
        </w:rPr>
        <w:t>V roce 2020</w:t>
      </w:r>
      <w:r w:rsidR="00765355" w:rsidRPr="00765355">
        <w:rPr>
          <w:bCs/>
          <w:sz w:val="18"/>
          <w:szCs w:val="18"/>
        </w:rPr>
        <w:t xml:space="preserve"> </w:t>
      </w:r>
      <w:r w:rsidR="0058345C">
        <w:rPr>
          <w:bCs/>
          <w:sz w:val="18"/>
          <w:szCs w:val="18"/>
        </w:rPr>
        <w:t xml:space="preserve">meziročně </w:t>
      </w:r>
      <w:r w:rsidR="00765355" w:rsidRPr="00765355">
        <w:rPr>
          <w:bCs/>
          <w:sz w:val="18"/>
          <w:szCs w:val="18"/>
        </w:rPr>
        <w:t xml:space="preserve">klesla kladná bilance se Španělskem o 33,9 mld. Kč, Maďarskem </w:t>
      </w:r>
      <w:r w:rsidR="00765355">
        <w:rPr>
          <w:bCs/>
          <w:sz w:val="18"/>
          <w:szCs w:val="18"/>
        </w:rPr>
        <w:t>o 10,8 mld. Kč a Francií o 10,5 </w:t>
      </w:r>
      <w:r w:rsidR="00765355" w:rsidRPr="00765355">
        <w:rPr>
          <w:bCs/>
          <w:sz w:val="18"/>
          <w:szCs w:val="18"/>
        </w:rPr>
        <w:t>mld. Kč.</w:t>
      </w:r>
    </w:p>
    <w:p w:rsidR="00A82DFC" w:rsidRPr="00765355" w:rsidRDefault="00A82DFC" w:rsidP="006E6ECF">
      <w:pPr>
        <w:spacing w:after="160"/>
        <w:rPr>
          <w:bCs/>
          <w:sz w:val="18"/>
          <w:szCs w:val="18"/>
        </w:rPr>
      </w:pPr>
      <w:r w:rsidRPr="00200120">
        <w:rPr>
          <w:b/>
          <w:bCs/>
          <w:sz w:val="18"/>
          <w:szCs w:val="18"/>
        </w:rPr>
        <w:t>Schodek zahraničního obchodu se zbožím se státy mimo Evropskou unií</w:t>
      </w:r>
      <w:r>
        <w:rPr>
          <w:bCs/>
          <w:sz w:val="18"/>
          <w:szCs w:val="18"/>
        </w:rPr>
        <w:t xml:space="preserve"> se mez</w:t>
      </w:r>
      <w:r w:rsidR="00200120">
        <w:rPr>
          <w:bCs/>
          <w:sz w:val="18"/>
          <w:szCs w:val="18"/>
        </w:rPr>
        <w:t>iročně snížil o 16,5 mld. Kč na </w:t>
      </w:r>
      <w:r w:rsidR="009718E0">
        <w:rPr>
          <w:bCs/>
          <w:sz w:val="18"/>
          <w:szCs w:val="18"/>
        </w:rPr>
        <w:t>457,1 </w:t>
      </w:r>
      <w:r>
        <w:rPr>
          <w:bCs/>
          <w:sz w:val="18"/>
          <w:szCs w:val="18"/>
        </w:rPr>
        <w:t>mld. Kč. Přechodem z pasiva do aktiva se zlepšila bilance obchodu s Ruskou federací o 45,9 mld. Kč</w:t>
      </w:r>
      <w:r w:rsidR="00200120">
        <w:rPr>
          <w:bCs/>
          <w:sz w:val="18"/>
          <w:szCs w:val="18"/>
        </w:rPr>
        <w:t xml:space="preserve"> a </w:t>
      </w:r>
      <w:r w:rsidR="00E336D7">
        <w:rPr>
          <w:bCs/>
          <w:sz w:val="18"/>
          <w:szCs w:val="18"/>
        </w:rPr>
        <w:t>Tureckem o 9,2 mld. Kč</w:t>
      </w:r>
      <w:r>
        <w:rPr>
          <w:bCs/>
          <w:sz w:val="18"/>
          <w:szCs w:val="18"/>
        </w:rPr>
        <w:t xml:space="preserve">. Deficit </w:t>
      </w:r>
      <w:r w:rsidR="00E336D7">
        <w:rPr>
          <w:bCs/>
          <w:sz w:val="18"/>
          <w:szCs w:val="18"/>
        </w:rPr>
        <w:t xml:space="preserve">obchodu </w:t>
      </w:r>
      <w:r>
        <w:rPr>
          <w:bCs/>
          <w:sz w:val="18"/>
          <w:szCs w:val="18"/>
        </w:rPr>
        <w:t>s Ázerbájdžánem se snížil o 13,0 mld. Kč.</w:t>
      </w:r>
      <w:r w:rsidR="00E336D7">
        <w:rPr>
          <w:bCs/>
          <w:sz w:val="18"/>
          <w:szCs w:val="18"/>
        </w:rPr>
        <w:t xml:space="preserve"> Naopak se zvětšil především deficit obchodu s Čínou o 24,5 mld. Kč a snížila </w:t>
      </w:r>
      <w:r w:rsidR="002470CC">
        <w:rPr>
          <w:bCs/>
          <w:sz w:val="18"/>
          <w:szCs w:val="18"/>
        </w:rPr>
        <w:t xml:space="preserve">se </w:t>
      </w:r>
      <w:r w:rsidR="00E336D7">
        <w:rPr>
          <w:bCs/>
          <w:sz w:val="18"/>
          <w:szCs w:val="18"/>
        </w:rPr>
        <w:t>kladná bilance obchodu se Spojeným</w:t>
      </w:r>
      <w:r w:rsidR="00097EE2">
        <w:rPr>
          <w:bCs/>
          <w:sz w:val="18"/>
          <w:szCs w:val="18"/>
        </w:rPr>
        <w:t xml:space="preserve"> královstvím</w:t>
      </w:r>
      <w:r w:rsidR="00E336D7">
        <w:rPr>
          <w:bCs/>
          <w:sz w:val="18"/>
          <w:szCs w:val="18"/>
        </w:rPr>
        <w:t xml:space="preserve"> o 18,5 mld. Kč.</w:t>
      </w:r>
    </w:p>
    <w:p w:rsidR="00765355" w:rsidRDefault="00765355" w:rsidP="006E6ECF">
      <w:pPr>
        <w:spacing w:after="160"/>
        <w:rPr>
          <w:rFonts w:ascii="Tahoma" w:hAnsi="Tahoma" w:cs="Tahoma"/>
          <w:szCs w:val="20"/>
          <w:shd w:val="clear" w:color="auto" w:fill="FFFFFF"/>
        </w:rPr>
      </w:pPr>
      <w:bookmarkStart w:id="0" w:name="_GoBack"/>
      <w:bookmarkEnd w:id="0"/>
    </w:p>
    <w:sectPr w:rsidR="00765355">
      <w:footerReference w:type="even" r:id="rId8"/>
      <w:footerReference w:type="default" r:id="rId9"/>
      <w:pgSz w:w="11906" w:h="16838"/>
      <w:pgMar w:top="1418" w:right="1134" w:bottom="1418"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356" w:rsidRDefault="005E5356">
      <w:r>
        <w:separator/>
      </w:r>
    </w:p>
  </w:endnote>
  <w:endnote w:type="continuationSeparator" w:id="0">
    <w:p w:rsidR="005E5356" w:rsidRDefault="005E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274" w:rsidRDefault="006E727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E7274" w:rsidRDefault="006E7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274" w:rsidRDefault="006E727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52D35">
      <w:rPr>
        <w:rStyle w:val="slostrnky"/>
        <w:noProof/>
      </w:rPr>
      <w:t>2</w:t>
    </w:r>
    <w:r>
      <w:rPr>
        <w:rStyle w:val="slostrnky"/>
      </w:rPr>
      <w:fldChar w:fldCharType="end"/>
    </w:r>
  </w:p>
  <w:p w:rsidR="006E7274" w:rsidRDefault="006E72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356" w:rsidRDefault="005E5356">
      <w:r>
        <w:separator/>
      </w:r>
    </w:p>
  </w:footnote>
  <w:footnote w:type="continuationSeparator" w:id="0">
    <w:p w:rsidR="005E5356" w:rsidRDefault="005E5356">
      <w:r>
        <w:continuationSeparator/>
      </w:r>
    </w:p>
  </w:footnote>
  <w:footnote w:id="1">
    <w:p w:rsidR="0086241D" w:rsidRPr="0054218D" w:rsidRDefault="0086241D" w:rsidP="0086241D">
      <w:pPr>
        <w:pStyle w:val="Textpoznpodarou"/>
        <w:spacing w:after="120"/>
        <w:rPr>
          <w:iCs/>
          <w:sz w:val="17"/>
          <w:szCs w:val="17"/>
        </w:rPr>
      </w:pPr>
      <w:r w:rsidRPr="0054218D">
        <w:rPr>
          <w:rStyle w:val="Znakapoznpodarou"/>
          <w:sz w:val="17"/>
          <w:szCs w:val="17"/>
        </w:rPr>
        <w:footnoteRef/>
      </w:r>
      <w:r w:rsidRPr="0054218D">
        <w:rPr>
          <w:sz w:val="17"/>
          <w:szCs w:val="17"/>
        </w:rPr>
        <w:t xml:space="preserve"> </w:t>
      </w:r>
      <w:r w:rsidRPr="0054218D">
        <w:rPr>
          <w:b/>
          <w:bCs/>
          <w:iCs/>
          <w:sz w:val="17"/>
          <w:szCs w:val="17"/>
        </w:rPr>
        <w:t>Zahraniční obchod se zbožím</w:t>
      </w:r>
      <w:r w:rsidRPr="0054218D">
        <w:rPr>
          <w:bCs/>
          <w:iCs/>
          <w:sz w:val="17"/>
          <w:szCs w:val="17"/>
        </w:rPr>
        <w:t xml:space="preserve"> </w:t>
      </w:r>
      <w:r w:rsidRPr="0054218D">
        <w:rPr>
          <w:iCs/>
          <w:sz w:val="17"/>
          <w:szCs w:val="17"/>
        </w:rPr>
        <w:t>vypovídá o vývozní a</w:t>
      </w:r>
      <w:r w:rsidRPr="0054218D">
        <w:rPr>
          <w:sz w:val="17"/>
          <w:szCs w:val="17"/>
        </w:rPr>
        <w:t> </w:t>
      </w:r>
      <w:r w:rsidRPr="0054218D">
        <w:rPr>
          <w:iCs/>
          <w:sz w:val="17"/>
          <w:szCs w:val="17"/>
        </w:rPr>
        <w:t>dovozní výkonnosti české ekonomiky, tedy i o obchodní bilanci zahraničního obchodu české ekonomiky. Sleduje skutečný obchod se zbožím realizovaný mezi českými a zahraničními subjekty, tj. změnu vlastnictví mezi rezidenty a nerezidenty.</w:t>
      </w:r>
    </w:p>
    <w:p w:rsidR="0086241D" w:rsidRPr="0054218D" w:rsidRDefault="0086241D" w:rsidP="0086241D">
      <w:pPr>
        <w:pStyle w:val="Textpoznpodarou"/>
        <w:spacing w:after="120"/>
        <w:rPr>
          <w:b/>
          <w:sz w:val="17"/>
          <w:szCs w:val="17"/>
        </w:rPr>
      </w:pPr>
      <w:r w:rsidRPr="0054218D">
        <w:rPr>
          <w:b/>
          <w:iCs/>
          <w:sz w:val="17"/>
          <w:szCs w:val="17"/>
        </w:rPr>
        <w:t>Údaje za rok 201</w:t>
      </w:r>
      <w:r w:rsidR="00DA7581">
        <w:rPr>
          <w:b/>
          <w:iCs/>
          <w:sz w:val="17"/>
          <w:szCs w:val="17"/>
        </w:rPr>
        <w:t>9</w:t>
      </w:r>
      <w:r w:rsidRPr="0054218D">
        <w:rPr>
          <w:b/>
          <w:iCs/>
          <w:sz w:val="17"/>
          <w:szCs w:val="17"/>
        </w:rPr>
        <w:t xml:space="preserve"> a 20</w:t>
      </w:r>
      <w:r w:rsidR="00DA7581">
        <w:rPr>
          <w:b/>
          <w:iCs/>
          <w:sz w:val="17"/>
          <w:szCs w:val="17"/>
        </w:rPr>
        <w:t>20</w:t>
      </w:r>
      <w:r w:rsidRPr="0054218D">
        <w:rPr>
          <w:b/>
          <w:iCs/>
          <w:sz w:val="17"/>
          <w:szCs w:val="17"/>
        </w:rPr>
        <w:t xml:space="preserve"> jsou definitivní.</w:t>
      </w:r>
    </w:p>
  </w:footnote>
  <w:footnote w:id="2">
    <w:p w:rsidR="00CA1C97" w:rsidRPr="00C92C10" w:rsidRDefault="00CA1C97" w:rsidP="00CA1C97">
      <w:pPr>
        <w:pStyle w:val="Textpoznpodarou"/>
        <w:rPr>
          <w:rFonts w:cs="Arial"/>
          <w:iCs/>
          <w:sz w:val="17"/>
          <w:szCs w:val="17"/>
          <w:bdr w:val="none" w:sz="0" w:space="0" w:color="auto" w:frame="1"/>
          <w:shd w:val="clear" w:color="auto" w:fill="FFFFFF"/>
        </w:rPr>
      </w:pPr>
      <w:r>
        <w:rPr>
          <w:rStyle w:val="Znakapoznpodarou"/>
        </w:rPr>
        <w:footnoteRef/>
      </w:r>
      <w:r>
        <w:t xml:space="preserve"> </w:t>
      </w:r>
      <w:r w:rsidRPr="00C92C10">
        <w:rPr>
          <w:rFonts w:cs="Arial"/>
          <w:b/>
          <w:bCs/>
          <w:iCs/>
          <w:sz w:val="17"/>
          <w:szCs w:val="17"/>
          <w:bdr w:val="none" w:sz="0" w:space="0" w:color="auto" w:frame="1"/>
          <w:shd w:val="clear" w:color="auto" w:fill="FFFFFF"/>
        </w:rPr>
        <w:t>Bilance zahraničního obchodu (saldo)</w:t>
      </w:r>
      <w:r w:rsidRPr="00C92C10">
        <w:rPr>
          <w:rFonts w:cs="Arial"/>
          <w:iCs/>
          <w:sz w:val="17"/>
          <w:szCs w:val="17"/>
          <w:bdr w:val="none" w:sz="0" w:space="0" w:color="auto" w:frame="1"/>
          <w:shd w:val="clear" w:color="auto" w:fill="FFFFFF"/>
        </w:rPr>
        <w:t> je rozdíl mezi vývozem (exportem) z České republiky a dovozem (importem) do České republiky.</w:t>
      </w:r>
    </w:p>
    <w:p w:rsidR="00CA1C97" w:rsidRPr="00C92C10" w:rsidRDefault="00CA1C97" w:rsidP="00CA1C97">
      <w:pPr>
        <w:pStyle w:val="Textpoznpodarou"/>
        <w:rPr>
          <w:rFonts w:cs="Arial"/>
          <w:sz w:val="17"/>
          <w:szCs w:val="17"/>
        </w:rPr>
      </w:pPr>
    </w:p>
  </w:footnote>
  <w:footnote w:id="3">
    <w:p w:rsidR="00765355" w:rsidRPr="00C92C10" w:rsidRDefault="00765355" w:rsidP="00765355">
      <w:pPr>
        <w:rPr>
          <w:rFonts w:cs="Arial"/>
          <w:bCs/>
          <w:sz w:val="17"/>
          <w:szCs w:val="17"/>
        </w:rPr>
      </w:pPr>
      <w:r w:rsidRPr="00C92C10">
        <w:rPr>
          <w:rStyle w:val="Znakapoznpodarou"/>
          <w:sz w:val="17"/>
          <w:szCs w:val="17"/>
        </w:rPr>
        <w:footnoteRef/>
      </w:r>
      <w:r w:rsidRPr="00C92C10">
        <w:rPr>
          <w:sz w:val="17"/>
          <w:szCs w:val="17"/>
        </w:rPr>
        <w:t xml:space="preserve"> </w:t>
      </w:r>
      <w:r w:rsidR="00C92C10">
        <w:rPr>
          <w:sz w:val="17"/>
          <w:szCs w:val="17"/>
        </w:rPr>
        <w:t xml:space="preserve"> </w:t>
      </w:r>
      <w:r w:rsidRPr="00C92C10">
        <w:rPr>
          <w:rFonts w:cs="Arial"/>
          <w:bCs/>
          <w:sz w:val="17"/>
          <w:szCs w:val="17"/>
        </w:rPr>
        <w:t xml:space="preserve">EU (Evropská unie) - 27 členských států: </w:t>
      </w:r>
    </w:p>
    <w:p w:rsidR="00765355" w:rsidRPr="0054218D" w:rsidRDefault="00765355" w:rsidP="00765355">
      <w:pPr>
        <w:spacing w:after="120"/>
        <w:rPr>
          <w:rFonts w:cs="Arial"/>
          <w:bCs/>
          <w:sz w:val="17"/>
          <w:szCs w:val="17"/>
        </w:rPr>
      </w:pPr>
      <w:r w:rsidRPr="00C92C10">
        <w:rPr>
          <w:rFonts w:cs="Arial"/>
          <w:bCs/>
          <w:sz w:val="17"/>
          <w:szCs w:val="17"/>
        </w:rPr>
        <w:t>Belgie, Bulharsko, Česká republika, Dánsko, Estonsko, Finsko, Francie, Chorvatsko, Irsko, Itálie, Kypr, Litva, Lotyšsko, Lucembursko, Maďarsko, Malta, Německo, Nizozemsko, Polsko, Portugalsko, Rakousko, Rumunsko, Řecko, Slovensko, Slovinsko, Španělsko, Švédsko. Od 1. února 2020 není</w:t>
      </w:r>
      <w:r w:rsidRPr="00DC0EAD">
        <w:rPr>
          <w:rFonts w:cs="Arial"/>
          <w:bCs/>
          <w:sz w:val="17"/>
          <w:szCs w:val="17"/>
        </w:rPr>
        <w:t xml:space="preserve"> Spojené království členem Evropské unie.</w:t>
      </w:r>
    </w:p>
    <w:p w:rsidR="00765355" w:rsidRPr="00DC0EAD" w:rsidRDefault="00765355" w:rsidP="00765355">
      <w:pPr>
        <w:pStyle w:val="Textpoznpodarou"/>
        <w:rPr>
          <w:rFonts w:cs="Arial"/>
          <w:bCs/>
          <w:sz w:val="17"/>
          <w:szCs w:val="17"/>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EA1"/>
    <w:rsid w:val="00031E03"/>
    <w:rsid w:val="00034AF4"/>
    <w:rsid w:val="00037E9E"/>
    <w:rsid w:val="00097EE2"/>
    <w:rsid w:val="00097EF2"/>
    <w:rsid w:val="001242DB"/>
    <w:rsid w:val="0012745B"/>
    <w:rsid w:val="00137EC3"/>
    <w:rsid w:val="0016428B"/>
    <w:rsid w:val="001A74B0"/>
    <w:rsid w:val="001C0FE8"/>
    <w:rsid w:val="001C59D6"/>
    <w:rsid w:val="001D021F"/>
    <w:rsid w:val="001D0FA4"/>
    <w:rsid w:val="001D3893"/>
    <w:rsid w:val="001E0C4F"/>
    <w:rsid w:val="001E36E8"/>
    <w:rsid w:val="00200120"/>
    <w:rsid w:val="00231503"/>
    <w:rsid w:val="002463BF"/>
    <w:rsid w:val="002470CC"/>
    <w:rsid w:val="002518B5"/>
    <w:rsid w:val="00252D35"/>
    <w:rsid w:val="00344528"/>
    <w:rsid w:val="00371D34"/>
    <w:rsid w:val="003972AF"/>
    <w:rsid w:val="003D14A9"/>
    <w:rsid w:val="003D1C54"/>
    <w:rsid w:val="003D797C"/>
    <w:rsid w:val="0045301A"/>
    <w:rsid w:val="004828A1"/>
    <w:rsid w:val="00502A15"/>
    <w:rsid w:val="00512EA1"/>
    <w:rsid w:val="005212C2"/>
    <w:rsid w:val="005274A5"/>
    <w:rsid w:val="0054218D"/>
    <w:rsid w:val="0058345C"/>
    <w:rsid w:val="005B3E9D"/>
    <w:rsid w:val="005E5356"/>
    <w:rsid w:val="005F6D46"/>
    <w:rsid w:val="006559BC"/>
    <w:rsid w:val="006722B7"/>
    <w:rsid w:val="00674F3D"/>
    <w:rsid w:val="0068238B"/>
    <w:rsid w:val="006B7C40"/>
    <w:rsid w:val="006E6ECF"/>
    <w:rsid w:val="006E7274"/>
    <w:rsid w:val="0072727F"/>
    <w:rsid w:val="00765355"/>
    <w:rsid w:val="007F023A"/>
    <w:rsid w:val="00816CD3"/>
    <w:rsid w:val="00843C42"/>
    <w:rsid w:val="0086241D"/>
    <w:rsid w:val="00862D29"/>
    <w:rsid w:val="00870484"/>
    <w:rsid w:val="00873E3B"/>
    <w:rsid w:val="008E5263"/>
    <w:rsid w:val="00913F00"/>
    <w:rsid w:val="0096213C"/>
    <w:rsid w:val="009718E0"/>
    <w:rsid w:val="009851B9"/>
    <w:rsid w:val="009A258C"/>
    <w:rsid w:val="00A03125"/>
    <w:rsid w:val="00A057EE"/>
    <w:rsid w:val="00A82DFC"/>
    <w:rsid w:val="00A835AE"/>
    <w:rsid w:val="00AA1BFB"/>
    <w:rsid w:val="00B32463"/>
    <w:rsid w:val="00B52F55"/>
    <w:rsid w:val="00B91E5C"/>
    <w:rsid w:val="00BC6718"/>
    <w:rsid w:val="00BD7E31"/>
    <w:rsid w:val="00BF7171"/>
    <w:rsid w:val="00C84598"/>
    <w:rsid w:val="00C92C10"/>
    <w:rsid w:val="00CA1C97"/>
    <w:rsid w:val="00CA739C"/>
    <w:rsid w:val="00CB282D"/>
    <w:rsid w:val="00CB645E"/>
    <w:rsid w:val="00CB76F3"/>
    <w:rsid w:val="00D04241"/>
    <w:rsid w:val="00DA7581"/>
    <w:rsid w:val="00DC0EAD"/>
    <w:rsid w:val="00DD18F2"/>
    <w:rsid w:val="00DD5D09"/>
    <w:rsid w:val="00E336D7"/>
    <w:rsid w:val="00E370EE"/>
    <w:rsid w:val="00E5677A"/>
    <w:rsid w:val="00E65E83"/>
    <w:rsid w:val="00E8598B"/>
    <w:rsid w:val="00E927D4"/>
    <w:rsid w:val="00EC0DE2"/>
    <w:rsid w:val="00ED79AD"/>
    <w:rsid w:val="00EE5CFB"/>
    <w:rsid w:val="00EF7BA4"/>
    <w:rsid w:val="00F55324"/>
    <w:rsid w:val="00F83179"/>
    <w:rsid w:val="00FD1AD4"/>
    <w:rsid w:val="00FE53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D9A81"/>
  <w15:chartTrackingRefBased/>
  <w15:docId w15:val="{2B402998-4F4D-466A-AE92-4A455C31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hAnsi="Arial"/>
      <w:szCs w:val="24"/>
    </w:rPr>
  </w:style>
  <w:style w:type="paragraph" w:styleId="Nadpis1">
    <w:name w:val="heading 1"/>
    <w:basedOn w:val="Normln"/>
    <w:next w:val="Normln"/>
    <w:qFormat/>
    <w:pPr>
      <w:keepNext/>
      <w:spacing w:before="240" w:after="240"/>
      <w:outlineLvl w:val="0"/>
    </w:pPr>
    <w:rPr>
      <w:rFonts w:cs="Arial"/>
      <w:b/>
      <w:bCs/>
      <w:kern w:val="32"/>
      <w:sz w:val="24"/>
      <w:szCs w:val="32"/>
    </w:rPr>
  </w:style>
  <w:style w:type="paragraph" w:styleId="Nadpis2">
    <w:name w:val="heading 2"/>
    <w:basedOn w:val="Normln"/>
    <w:next w:val="Normln"/>
    <w:qFormat/>
    <w:pPr>
      <w:keepNext/>
      <w:spacing w:before="240" w:after="240"/>
      <w:outlineLvl w:val="1"/>
    </w:pPr>
    <w:rPr>
      <w:rFonts w:cs="Arial"/>
      <w:b/>
      <w:bCs/>
      <w:iCs/>
      <w:szCs w:val="28"/>
    </w:rPr>
  </w:style>
  <w:style w:type="paragraph" w:styleId="Nadpis3">
    <w:name w:val="heading 3"/>
    <w:basedOn w:val="Normln"/>
    <w:next w:val="Normln"/>
    <w:qFormat/>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240" w:after="240"/>
      <w:jc w:val="center"/>
      <w:outlineLvl w:val="0"/>
    </w:pPr>
    <w:rPr>
      <w:rFonts w:cs="Arial"/>
      <w:b/>
      <w:bCs/>
      <w:kern w:val="28"/>
      <w:sz w:val="28"/>
      <w:szCs w:val="32"/>
    </w:rPr>
  </w:style>
  <w:style w:type="paragraph" w:customStyle="1" w:styleId="normalnsodrkami">
    <w:name w:val="normalní s odrážkami"/>
    <w:basedOn w:val="Normln"/>
    <w:pPr>
      <w:numPr>
        <w:numId w:val="3"/>
      </w:numPr>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
    <w:name w:val="Body Text"/>
    <w:basedOn w:val="Normln"/>
    <w:semiHidden/>
    <w:rPr>
      <w:sz w:val="18"/>
    </w:rPr>
  </w:style>
  <w:style w:type="character" w:styleId="Odkaznakoment">
    <w:name w:val="annotation reference"/>
    <w:uiPriority w:val="99"/>
    <w:semiHidden/>
    <w:unhideWhenUsed/>
    <w:rsid w:val="00BC6718"/>
    <w:rPr>
      <w:sz w:val="16"/>
      <w:szCs w:val="16"/>
    </w:rPr>
  </w:style>
  <w:style w:type="paragraph" w:styleId="Textkomente">
    <w:name w:val="annotation text"/>
    <w:basedOn w:val="Normln"/>
    <w:link w:val="TextkomenteChar"/>
    <w:uiPriority w:val="99"/>
    <w:semiHidden/>
    <w:unhideWhenUsed/>
    <w:rsid w:val="00BC6718"/>
    <w:rPr>
      <w:szCs w:val="20"/>
    </w:rPr>
  </w:style>
  <w:style w:type="character" w:customStyle="1" w:styleId="TextkomenteChar">
    <w:name w:val="Text komentáře Char"/>
    <w:link w:val="Textkomente"/>
    <w:uiPriority w:val="99"/>
    <w:semiHidden/>
    <w:rsid w:val="00BC6718"/>
    <w:rPr>
      <w:rFonts w:ascii="Arial" w:hAnsi="Arial"/>
    </w:rPr>
  </w:style>
  <w:style w:type="paragraph" w:styleId="Pedmtkomente">
    <w:name w:val="annotation subject"/>
    <w:basedOn w:val="Textkomente"/>
    <w:next w:val="Textkomente"/>
    <w:link w:val="PedmtkomenteChar"/>
    <w:uiPriority w:val="99"/>
    <w:semiHidden/>
    <w:unhideWhenUsed/>
    <w:rsid w:val="00BC6718"/>
    <w:rPr>
      <w:b/>
      <w:bCs/>
    </w:rPr>
  </w:style>
  <w:style w:type="character" w:customStyle="1" w:styleId="PedmtkomenteChar">
    <w:name w:val="Předmět komentáře Char"/>
    <w:link w:val="Pedmtkomente"/>
    <w:uiPriority w:val="99"/>
    <w:semiHidden/>
    <w:rsid w:val="00BC6718"/>
    <w:rPr>
      <w:rFonts w:ascii="Arial" w:hAnsi="Arial"/>
      <w:b/>
      <w:bCs/>
    </w:rPr>
  </w:style>
  <w:style w:type="paragraph" w:styleId="Textbubliny">
    <w:name w:val="Balloon Text"/>
    <w:basedOn w:val="Normln"/>
    <w:link w:val="TextbublinyChar"/>
    <w:uiPriority w:val="99"/>
    <w:semiHidden/>
    <w:unhideWhenUsed/>
    <w:rsid w:val="00BC6718"/>
    <w:rPr>
      <w:rFonts w:ascii="Segoe UI" w:hAnsi="Segoe UI" w:cs="Segoe UI"/>
      <w:sz w:val="18"/>
      <w:szCs w:val="18"/>
    </w:rPr>
  </w:style>
  <w:style w:type="character" w:customStyle="1" w:styleId="TextbublinyChar">
    <w:name w:val="Text bubliny Char"/>
    <w:link w:val="Textbubliny"/>
    <w:uiPriority w:val="99"/>
    <w:semiHidden/>
    <w:rsid w:val="00BC6718"/>
    <w:rPr>
      <w:rFonts w:ascii="Segoe UI" w:hAnsi="Segoe UI" w:cs="Segoe UI"/>
      <w:sz w:val="18"/>
      <w:szCs w:val="18"/>
    </w:rPr>
  </w:style>
  <w:style w:type="paragraph" w:styleId="Textpoznpodarou">
    <w:name w:val="footnote text"/>
    <w:basedOn w:val="Normln"/>
    <w:link w:val="TextpoznpodarouChar"/>
    <w:uiPriority w:val="99"/>
    <w:semiHidden/>
    <w:unhideWhenUsed/>
    <w:rsid w:val="00BC6718"/>
    <w:rPr>
      <w:szCs w:val="20"/>
    </w:rPr>
  </w:style>
  <w:style w:type="character" w:customStyle="1" w:styleId="TextpoznpodarouChar">
    <w:name w:val="Text pozn. pod čarou Char"/>
    <w:link w:val="Textpoznpodarou"/>
    <w:uiPriority w:val="99"/>
    <w:semiHidden/>
    <w:rsid w:val="00BC6718"/>
    <w:rPr>
      <w:rFonts w:ascii="Arial" w:hAnsi="Arial"/>
    </w:rPr>
  </w:style>
  <w:style w:type="character" w:styleId="Znakapoznpodarou">
    <w:name w:val="footnote reference"/>
    <w:uiPriority w:val="99"/>
    <w:semiHidden/>
    <w:unhideWhenUsed/>
    <w:rsid w:val="00BC6718"/>
    <w:rPr>
      <w:vertAlign w:val="superscript"/>
    </w:rPr>
  </w:style>
  <w:style w:type="character" w:customStyle="1" w:styleId="hgkelc">
    <w:name w:val="hgkelc"/>
    <w:rsid w:val="0086241D"/>
  </w:style>
  <w:style w:type="paragraph" w:styleId="Revize">
    <w:name w:val="Revision"/>
    <w:hidden/>
    <w:uiPriority w:val="99"/>
    <w:semiHidden/>
    <w:rsid w:val="00E336D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3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E8B-A647-40BA-BB97-BE9A1EF6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1600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Zahraniční obchod podle SKP 2 zaznamenal v 1</vt:lpstr>
    </vt:vector>
  </TitlesOfParts>
  <Company>CSU</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Zahraniční obchod podle SKP 2 zaznamenal v 1</dc:title>
  <dc:subject/>
  <dc:creator>system service</dc:creator>
  <cp:keywords/>
  <dc:description/>
  <cp:lastModifiedBy>Ing. Monika Bartlová</cp:lastModifiedBy>
  <cp:revision>4</cp:revision>
  <cp:lastPrinted>2009-06-10T06:14:00Z</cp:lastPrinted>
  <dcterms:created xsi:type="dcterms:W3CDTF">2021-09-22T08:33:00Z</dcterms:created>
  <dcterms:modified xsi:type="dcterms:W3CDTF">2021-09-30T11:51:00Z</dcterms:modified>
</cp:coreProperties>
</file>