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11.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6.xml" ContentType="application/vnd.openxmlformats-officedocument.drawingml.chart+xml"/>
  <Override PartName="/word/charts/chart1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8.xml" ContentType="application/vnd.openxmlformats-officedocument.drawingml.chart+xml"/>
  <Override PartName="/word/charts/chart19.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AA5EE" w14:textId="77777777" w:rsidR="00A75E40" w:rsidRPr="000A3A2C" w:rsidRDefault="002B4121" w:rsidP="00EA0987">
      <w:pPr>
        <w:pStyle w:val="Obsah"/>
        <w:rPr>
          <w:lang w:eastAsia="ar-SA"/>
        </w:rPr>
        <w:sectPr w:rsidR="00A75E40" w:rsidRPr="000A3A2C" w:rsidSect="0085114D">
          <w:pgSz w:w="11906" w:h="16838" w:code="9"/>
          <w:pgMar w:top="1134" w:right="1134" w:bottom="1418" w:left="1134" w:header="709" w:footer="709" w:gutter="0"/>
          <w:pgNumType w:start="1"/>
          <w:cols w:space="708"/>
          <w:docGrid w:linePitch="360"/>
        </w:sectPr>
      </w:pPr>
      <w:r>
        <w:rPr>
          <w:rFonts w:ascii="Times New Roman" w:eastAsia="Calibri" w:hAnsi="Times New Roman"/>
          <w:noProof/>
          <w:sz w:val="24"/>
        </w:rPr>
        <mc:AlternateContent>
          <mc:Choice Requires="wpg">
            <w:drawing>
              <wp:anchor distT="0" distB="0" distL="114300" distR="114300" simplePos="0" relativeHeight="251663872" behindDoc="0" locked="0" layoutInCell="1" allowOverlap="1" wp14:anchorId="1D32205B" wp14:editId="46065EA5">
                <wp:simplePos x="0" y="0"/>
                <wp:positionH relativeFrom="page">
                  <wp:posOffset>0</wp:posOffset>
                </wp:positionH>
                <wp:positionV relativeFrom="page">
                  <wp:posOffset>0</wp:posOffset>
                </wp:positionV>
                <wp:extent cx="7002000" cy="9788400"/>
                <wp:effectExtent l="0" t="0" r="27940" b="3810"/>
                <wp:wrapNone/>
                <wp:docPr id="1111543930" name="Skupina 1"/>
                <wp:cNvGraphicFramePr/>
                <a:graphic xmlns:a="http://schemas.openxmlformats.org/drawingml/2006/main">
                  <a:graphicData uri="http://schemas.microsoft.com/office/word/2010/wordprocessingGroup">
                    <wpg:wgp>
                      <wpg:cNvGrpSpPr/>
                      <wpg:grpSpPr>
                        <a:xfrm>
                          <a:off x="0" y="0"/>
                          <a:ext cx="7002000" cy="9788400"/>
                          <a:chOff x="0" y="0"/>
                          <a:chExt cx="7001140" cy="9787729"/>
                        </a:xfrm>
                      </wpg:grpSpPr>
                      <wps:wsp>
                        <wps:cNvPr id="1046868988" name="Textové pole 2"/>
                        <wps:cNvSpPr txBox="1">
                          <a:spLocks noChangeArrowheads="1"/>
                        </wps:cNvSpPr>
                        <wps:spPr bwMode="auto">
                          <a:xfrm>
                            <a:off x="1064525" y="9608024"/>
                            <a:ext cx="5772150" cy="17970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lc="http://schemas.openxmlformats.org/drawingml/2006/lockedCanva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lc="http://schemas.openxmlformats.org/drawingml/2006/lockedCanvas" w="9525">
                                <a:solidFill>
                                  <a:srgbClr val="000000"/>
                                </a:solidFill>
                                <a:miter lim="800000"/>
                                <a:headEnd/>
                                <a:tailEnd/>
                              </a14:hiddenLine>
                            </a:ext>
                          </a:extLst>
                        </wps:spPr>
                        <wps:txbx>
                          <w:txbxContent>
                            <w:p w14:paraId="634BA2F3" w14:textId="3000CD11" w:rsidR="002B4121" w:rsidRDefault="002B4121" w:rsidP="002B4121">
                              <w:r>
                                <w:t xml:space="preserve">© Český statistický úřad, Praha, </w:t>
                              </w:r>
                              <w:r w:rsidR="00DE0F3B">
                                <w:t>2026</w:t>
                              </w:r>
                            </w:p>
                            <w:p w14:paraId="67B73352" w14:textId="77777777" w:rsidR="002B4121" w:rsidRDefault="002B4121" w:rsidP="002B4121"/>
                            <w:p w14:paraId="7A38B1F8" w14:textId="77777777" w:rsidR="002B4121" w:rsidRDefault="002B4121" w:rsidP="002B4121"/>
                            <w:p w14:paraId="6C10677C" w14:textId="77777777" w:rsidR="002B4121" w:rsidRDefault="002B4121" w:rsidP="002B4121"/>
                            <w:p w14:paraId="4C5EEB92" w14:textId="77777777" w:rsidR="002B4121" w:rsidRDefault="002B4121" w:rsidP="002B4121">
                              <w:r>
                                <w:t xml:space="preserve">© Český statistický úřad / </w:t>
                              </w:r>
                              <w:r>
                                <w:rPr>
                                  <w:i/>
                                </w:rPr>
                                <w:t xml:space="preserve">Czech </w:t>
                              </w:r>
                              <w:proofErr w:type="spellStart"/>
                              <w:r>
                                <w:rPr>
                                  <w:rFonts w:cs="Arial"/>
                                  <w:i/>
                                  <w:szCs w:val="20"/>
                                </w:rPr>
                                <w:t>Statistical</w:t>
                              </w:r>
                              <w:proofErr w:type="spellEnd"/>
                              <w:r>
                                <w:rPr>
                                  <w:rFonts w:cs="Arial"/>
                                  <w:i/>
                                  <w:szCs w:val="20"/>
                                </w:rPr>
                                <w:t xml:space="preserve"> Office</w:t>
                              </w:r>
                              <w:r>
                                <w:t>, místo, rok vydání</w:t>
                              </w:r>
                            </w:p>
                            <w:p w14:paraId="70800CB0" w14:textId="77777777" w:rsidR="002B4121" w:rsidRDefault="002B4121" w:rsidP="002B4121"/>
                            <w:p w14:paraId="7B73B52B" w14:textId="77777777" w:rsidR="002B4121" w:rsidRDefault="002B4121" w:rsidP="002B4121"/>
                          </w:txbxContent>
                        </wps:txbx>
                        <wps:bodyPr rot="0" vert="horz" wrap="square" lIns="0" tIns="0" rIns="0" bIns="0" anchor="t" anchorCtr="0" upright="1">
                          <a:noAutofit/>
                        </wps:bodyPr>
                      </wps:wsp>
                      <wpg:grpSp>
                        <wpg:cNvPr id="809486194" name="Skupina 809486194"/>
                        <wpg:cNvGrpSpPr/>
                        <wpg:grpSpPr>
                          <a:xfrm>
                            <a:off x="0" y="0"/>
                            <a:ext cx="7001140" cy="9253182"/>
                            <a:chOff x="0" y="0"/>
                            <a:chExt cx="7001140" cy="9253182"/>
                          </a:xfrm>
                        </wpg:grpSpPr>
                        <wps:wsp>
                          <wps:cNvPr id="730135054" name="Přímá spojnice 730135054"/>
                          <wps:cNvCnPr>
                            <a:cxnSpLocks/>
                          </wps:cNvCnPr>
                          <wps:spPr>
                            <a:xfrm flipV="1">
                              <a:off x="1064525" y="9253182"/>
                              <a:ext cx="5936615" cy="0"/>
                            </a:xfrm>
                            <a:prstGeom prst="line">
                              <a:avLst/>
                            </a:prstGeom>
                            <a:noFill/>
                            <a:ln w="12700" cap="flat" cmpd="sng" algn="ctr">
                              <a:solidFill>
                                <a:sysClr val="windowText" lastClr="000000"/>
                              </a:solidFill>
                              <a:prstDash val="solid"/>
                            </a:ln>
                            <a:effectLst/>
                          </wps:spPr>
                          <wps:bodyPr/>
                        </wps:wsp>
                        <wpg:grpSp>
                          <wpg:cNvPr id="1330335824" name="Skupina 1330335824"/>
                          <wpg:cNvGrpSpPr/>
                          <wpg:grpSpPr>
                            <a:xfrm>
                              <a:off x="0" y="0"/>
                              <a:ext cx="6834993" cy="9059261"/>
                              <a:chOff x="0" y="0"/>
                              <a:chExt cx="6834993" cy="9059261"/>
                            </a:xfrm>
                          </wpg:grpSpPr>
                          <wps:wsp>
                            <wps:cNvPr id="320340193" name="Textové pole 2"/>
                            <wps:cNvSpPr txBox="1">
                              <a:spLocks noChangeArrowheads="1"/>
                            </wps:cNvSpPr>
                            <wps:spPr bwMode="auto">
                              <a:xfrm>
                                <a:off x="1064113" y="2401288"/>
                                <a:ext cx="5770171" cy="1471829"/>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lc="http://schemas.openxmlformats.org/drawingml/2006/lockedCanva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lc="http://schemas.openxmlformats.org/drawingml/2006/lockedCanvas" w="9525">
                                    <a:solidFill>
                                      <a:srgbClr val="000000"/>
                                    </a:solidFill>
                                    <a:miter lim="800000"/>
                                    <a:headEnd/>
                                    <a:tailEnd/>
                                  </a14:hiddenLine>
                                </a:ext>
                              </a:extLst>
                            </wps:spPr>
                            <wps:txbx>
                              <w:txbxContent>
                                <w:p w14:paraId="38E72120" w14:textId="4D173421" w:rsidR="002B4121" w:rsidRDefault="004A4A88" w:rsidP="002B4121">
                                  <w:pPr>
                                    <w:pStyle w:val="Nzev"/>
                                    <w:rPr>
                                      <w:color w:val="auto"/>
                                    </w:rPr>
                                  </w:pPr>
                                  <w:r>
                                    <w:rPr>
                                      <w:color w:val="auto"/>
                                    </w:rPr>
                                    <w:t>vvývoj ekonomiky české republiky</w:t>
                                  </w:r>
                                </w:p>
                                <w:p w14:paraId="15EE991A" w14:textId="77777777" w:rsidR="002B4121" w:rsidRDefault="002B4121" w:rsidP="002B4121">
                                  <w:pPr>
                                    <w:pStyle w:val="Podnadpis"/>
                                    <w:rPr>
                                      <w:color w:val="auto"/>
                                    </w:rPr>
                                  </w:pPr>
                                </w:p>
                                <w:p w14:paraId="7D743111" w14:textId="6E590AC8" w:rsidR="002B4121" w:rsidRDefault="004A4A88" w:rsidP="002B4121">
                                  <w:pPr>
                                    <w:pStyle w:val="Podnadpis"/>
                                    <w:rPr>
                                      <w:color w:val="auto"/>
                                    </w:rPr>
                                  </w:pPr>
                                  <w:r>
                                    <w:rPr>
                                      <w:color w:val="auto"/>
                                    </w:rPr>
                                    <w:t>1. pololetí 2026</w:t>
                                  </w:r>
                                </w:p>
                              </w:txbxContent>
                            </wps:txbx>
                            <wps:bodyPr rot="0" vert="horz" wrap="square" lIns="0" tIns="0" rIns="0" bIns="0" anchor="t" anchorCtr="0" upright="1">
                              <a:spAutoFit/>
                            </wps:bodyPr>
                          </wps:wsp>
                          <wpg:grpSp>
                            <wpg:cNvPr id="1591744554" name="Skupina 1591744554"/>
                            <wpg:cNvGrpSpPr/>
                            <wpg:grpSpPr>
                              <a:xfrm>
                                <a:off x="0" y="0"/>
                                <a:ext cx="6834993" cy="9059261"/>
                                <a:chOff x="0" y="0"/>
                                <a:chExt cx="6834993" cy="9059261"/>
                              </a:xfrm>
                            </wpg:grpSpPr>
                            <wps:wsp>
                              <wps:cNvPr id="1579455113" name="Textové pole 2"/>
                              <wps:cNvSpPr txBox="1">
                                <a:spLocks noChangeArrowheads="1"/>
                              </wps:cNvSpPr>
                              <wps:spPr bwMode="auto">
                                <a:xfrm>
                                  <a:off x="1064187" y="4639091"/>
                                  <a:ext cx="5770806" cy="1349283"/>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lc="http://schemas.openxmlformats.org/drawingml/2006/lockedCanva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lc="http://schemas.openxmlformats.org/drawingml/2006/lockedCanvas" w="9525">
                                      <a:solidFill>
                                        <a:srgbClr val="000000"/>
                                      </a:solidFill>
                                      <a:miter lim="800000"/>
                                      <a:headEnd/>
                                      <a:tailEnd/>
                                    </a14:hiddenLine>
                                  </a:ext>
                                </a:extLst>
                              </wps:spPr>
                              <wps:txbx>
                                <w:txbxContent>
                                  <w:p w14:paraId="12953695" w14:textId="32AFB67D" w:rsidR="002B4121" w:rsidRDefault="004A4A88" w:rsidP="002B4121">
                                    <w:pPr>
                                      <w:pStyle w:val="TLIdentifikace-sted"/>
                                    </w:pPr>
                                    <w:r>
                                      <w:t>Souhrnná data o České republice</w:t>
                                    </w:r>
                                  </w:p>
                                  <w:p w14:paraId="015BA9CE" w14:textId="2C6AED1E" w:rsidR="002B4121" w:rsidRDefault="004A4A88" w:rsidP="002B4121">
                                    <w:pPr>
                                      <w:pStyle w:val="TLIdentifikace-sted"/>
                                    </w:pPr>
                                    <w:r>
                                      <w:t>Praha, 16. 9. 2026</w:t>
                                    </w:r>
                                  </w:p>
                                  <w:p w14:paraId="348DF5BD" w14:textId="5234FF5B" w:rsidR="002B4121" w:rsidRDefault="002B4121" w:rsidP="002B4121">
                                    <w:pPr>
                                      <w:pStyle w:val="TLIdentifikace-sted"/>
                                    </w:pPr>
                                    <w:r>
                                      <w:t xml:space="preserve">Kód publikace: </w:t>
                                    </w:r>
                                    <w:r w:rsidR="004A4A88">
                                      <w:t>320193-26</w:t>
                                    </w:r>
                                  </w:p>
                                  <w:p w14:paraId="45192C74" w14:textId="7DB7B8AF" w:rsidR="002B4121" w:rsidRDefault="002B4121" w:rsidP="002B4121">
                                    <w:pPr>
                                      <w:pStyle w:val="TLIdentifikace-sted"/>
                                    </w:pPr>
                                    <w:r w:rsidRPr="004A4A88">
                                      <w:t xml:space="preserve">Pořadové číslo v roce: </w:t>
                                    </w:r>
                                    <w:r w:rsidR="004A4A88">
                                      <w:t>2</w:t>
                                    </w:r>
                                  </w:p>
                                </w:txbxContent>
                              </wps:txbx>
                              <wps:bodyPr rot="0" vert="horz" wrap="square" lIns="0" tIns="0" rIns="0" bIns="0" anchor="t" anchorCtr="0" upright="1">
                                <a:spAutoFit/>
                              </wps:bodyPr>
                            </wps:wsp>
                            <wpg:grpSp>
                              <wpg:cNvPr id="1857575657" name="Skupina 1857575657"/>
                              <wpg:cNvGrpSpPr/>
                              <wpg:grpSpPr>
                                <a:xfrm>
                                  <a:off x="0" y="0"/>
                                  <a:ext cx="6833500" cy="9059261"/>
                                  <a:chOff x="0" y="0"/>
                                  <a:chExt cx="6833500" cy="9059261"/>
                                </a:xfrm>
                              </wpg:grpSpPr>
                              <wps:wsp>
                                <wps:cNvPr id="1353104773" name="Textové pole 2"/>
                                <wps:cNvSpPr txBox="1">
                                  <a:spLocks noChangeArrowheads="1"/>
                                </wps:cNvSpPr>
                                <wps:spPr bwMode="auto">
                                  <a:xfrm>
                                    <a:off x="1064525" y="8134066"/>
                                    <a:ext cx="5768975" cy="92519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lc="http://schemas.openxmlformats.org/drawingml/2006/lockedCanva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lc="http://schemas.openxmlformats.org/drawingml/2006/lockedCanvas" w="9525">
                                        <a:solidFill>
                                          <a:srgbClr val="000000"/>
                                        </a:solidFill>
                                        <a:miter lim="800000"/>
                                        <a:headEnd/>
                                        <a:tailEnd/>
                                      </a14:hiddenLine>
                                    </a:ext>
                                  </a:extLst>
                                </wps:spPr>
                                <wps:txbx>
                                  <w:txbxContent>
                                    <w:p w14:paraId="19903805" w14:textId="15F67E05" w:rsidR="002B4121" w:rsidRDefault="002B4121" w:rsidP="002B4121">
                                      <w:r>
                                        <w:t xml:space="preserve">Zpracoval: Odbor </w:t>
                                      </w:r>
                                      <w:r w:rsidR="004A4A88">
                                        <w:t>Kancelář předsedy</w:t>
                                      </w:r>
                                    </w:p>
                                    <w:p w14:paraId="4CC1CAB1" w14:textId="2202B001" w:rsidR="002B4121" w:rsidRDefault="002B4121" w:rsidP="002B4121">
                                      <w:r>
                                        <w:t xml:space="preserve">Ředitel odboru: </w:t>
                                      </w:r>
                                      <w:r w:rsidR="00AC224B">
                                        <w:t>Egor Sidorov, Ph.D.</w:t>
                                      </w:r>
                                    </w:p>
                                    <w:p w14:paraId="4189CEF4" w14:textId="295B01CF" w:rsidR="002B4121" w:rsidRDefault="002B4121" w:rsidP="002B4121">
                                      <w:r>
                                        <w:t xml:space="preserve">Kontaktní osoba: </w:t>
                                      </w:r>
                                      <w:r w:rsidR="00DE0F3B">
                                        <w:t>Karolína Zábojníková</w:t>
                                      </w:r>
                                      <w:r w:rsidR="00DE0F3B" w:rsidRPr="006C5577">
                                        <w:t>,</w:t>
                                      </w:r>
                                      <w:r w:rsidR="00DE0F3B">
                                        <w:t xml:space="preserve"> e-mail: karolina.zabojnikova@csu.gov.cz </w:t>
                                      </w:r>
                                    </w:p>
                                  </w:txbxContent>
                                </wps:txbx>
                                <wps:bodyPr rot="0" vert="horz" wrap="square" lIns="0" tIns="0" rIns="0" bIns="0" anchor="t" anchorCtr="0" upright="1">
                                  <a:noAutofit/>
                                </wps:bodyPr>
                              </wps:wsp>
                              <pic:pic xmlns:pic="http://schemas.openxmlformats.org/drawingml/2006/picture">
                                <pic:nvPicPr>
                                  <pic:cNvPr id="1244621547" name="Obrázek 1244621547"/>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56205" cy="2047875"/>
                                  </a:xfrm>
                                  <a:prstGeom prst="rect">
                                    <a:avLst/>
                                  </a:prstGeom>
                                  <a:noFill/>
                                  <a:ln>
                                    <a:noFill/>
                                  </a:ln>
                                </pic:spPr>
                              </pic:pic>
                            </wpg:grpSp>
                          </wpg:grpSp>
                        </wpg:grpSp>
                      </wpg:grpSp>
                    </wpg:wgp>
                  </a:graphicData>
                </a:graphic>
                <wp14:sizeRelH relativeFrom="page">
                  <wp14:pctWidth>0</wp14:pctWidth>
                </wp14:sizeRelH>
                <wp14:sizeRelV relativeFrom="page">
                  <wp14:pctHeight>0</wp14:pctHeight>
                </wp14:sizeRelV>
              </wp:anchor>
            </w:drawing>
          </mc:Choice>
          <mc:Fallback>
            <w:pict>
              <v:group w14:anchorId="1D32205B" id="Skupina 1" o:spid="_x0000_s1026" style="position:absolute;margin-left:0;margin-top:0;width:551.35pt;height:770.75pt;z-index:251663872;mso-position-horizontal-relative:page;mso-position-vertical-relative:page" coordsize="70011,978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">
                <v:shapetype id="_x0000_t202" coordsize="21600,21600" o:spt="202" path="m,l,21600r21600,l21600,xe">
                  <v:stroke joinstyle="miter"/>
                  <v:path gradientshapeok="t" o:connecttype="rect"/>
                </v:shapetype>
                <v:shape id="_x0000_s1027" type="#_x0000_t202" style="position:absolute;left:10645;top:96080;width:57721;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" filled="f" stroked="f">
                  <v:textbox inset="0,0,0,0">
                    <w:txbxContent>
                      <w:p w14:paraId="634BA2F3" w14:textId="3000CD11" w:rsidR="002B4121" w:rsidRDefault="002B4121" w:rsidP="002B4121">
                        <w:r>
                          <w:t xml:space="preserve">© Český statistický úřad, Praha, </w:t>
                        </w:r>
                        <w:r w:rsidR="00DE0F3B">
                          <w:t>2026</w:t>
                        </w:r>
                      </w:p>
                      <w:p w14:paraId="67B73352" w14:textId="77777777" w:rsidR="002B4121" w:rsidRDefault="002B4121" w:rsidP="002B4121"/>
                      <w:p w14:paraId="7A38B1F8" w14:textId="77777777" w:rsidR="002B4121" w:rsidRDefault="002B4121" w:rsidP="002B4121"/>
                      <w:p w14:paraId="6C10677C" w14:textId="77777777" w:rsidR="002B4121" w:rsidRDefault="002B4121" w:rsidP="002B4121"/>
                      <w:p w14:paraId="4C5EEB92" w14:textId="77777777" w:rsidR="002B4121" w:rsidRDefault="002B4121" w:rsidP="002B4121">
                        <w:r>
                          <w:t xml:space="preserve">© Český statistický úřad / </w:t>
                        </w:r>
                        <w:r>
                          <w:rPr>
                            <w:i/>
                          </w:rPr>
                          <w:t xml:space="preserve">Czech </w:t>
                        </w:r>
                        <w:proofErr w:type="spellStart"/>
                        <w:r>
                          <w:rPr>
                            <w:rFonts w:cs="Arial"/>
                            <w:i/>
                            <w:szCs w:val="20"/>
                          </w:rPr>
                          <w:t>Statistical</w:t>
                        </w:r>
                        <w:proofErr w:type="spellEnd"/>
                        <w:r>
                          <w:rPr>
                            <w:rFonts w:cs="Arial"/>
                            <w:i/>
                            <w:szCs w:val="20"/>
                          </w:rPr>
                          <w:t xml:space="preserve"> Office</w:t>
                        </w:r>
                        <w:r>
                          <w:t>, místo, rok vydání</w:t>
                        </w:r>
                      </w:p>
                      <w:p w14:paraId="70800CB0" w14:textId="77777777" w:rsidR="002B4121" w:rsidRDefault="002B4121" w:rsidP="002B4121"/>
                      <w:p w14:paraId="7B73B52B" w14:textId="77777777" w:rsidR="002B4121" w:rsidRDefault="002B4121" w:rsidP="002B4121"/>
                    </w:txbxContent>
                  </v:textbox>
                </v:shape>
                <v:group id="Skupina 809486194" o:spid="_x0000_s1028" style="position:absolute;width:70011;height:92531" coordsize="70011,92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">
                  <v:line id="Přímá spojnice 730135054" o:spid="_x0000_s1029" style="position:absolute;flip:y;visibility:visible;mso-wrap-style:square" from="10645,92531" to="70011,92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" strokecolor="windowText" strokeweight="1pt">
                    <o:lock v:ext="edit" shapetype="f"/>
                  </v:line>
                  <v:group id="Skupina 1330335824" o:spid="_x0000_s1030" style="position:absolute;width:68349;height:90592" coordsize="68349,90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">
                    <v:shape id="_x0000_s1031" type="#_x0000_t202" style="position:absolute;left:10641;top:24012;width:57701;height:14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" filled="f" stroked="f">
                      <v:textbox style="mso-fit-shape-to-text:t" inset="0,0,0,0">
                        <w:txbxContent>
                          <w:p w14:paraId="38E72120" w14:textId="4D173421" w:rsidR="002B4121" w:rsidRDefault="004A4A88" w:rsidP="002B4121">
                            <w:pPr>
                              <w:pStyle w:val="Nzev"/>
                              <w:rPr>
                                <w:color w:val="auto"/>
                              </w:rPr>
                            </w:pPr>
                            <w:r>
                              <w:rPr>
                                <w:color w:val="auto"/>
                              </w:rPr>
                              <w:t>vvývoj ekonomiky české republiky</w:t>
                            </w:r>
                          </w:p>
                          <w:p w14:paraId="15EE991A" w14:textId="77777777" w:rsidR="002B4121" w:rsidRDefault="002B4121" w:rsidP="002B4121">
                            <w:pPr>
                              <w:pStyle w:val="Podnadpis"/>
                              <w:rPr>
                                <w:color w:val="auto"/>
                              </w:rPr>
                            </w:pPr>
                          </w:p>
                          <w:p w14:paraId="7D743111" w14:textId="6E590AC8" w:rsidR="002B4121" w:rsidRDefault="004A4A88" w:rsidP="002B4121">
                            <w:pPr>
                              <w:pStyle w:val="Podnadpis"/>
                              <w:rPr>
                                <w:color w:val="auto"/>
                              </w:rPr>
                            </w:pPr>
                            <w:r>
                              <w:rPr>
                                <w:color w:val="auto"/>
                              </w:rPr>
                              <w:t>1. pololetí 2026</w:t>
                            </w:r>
                          </w:p>
                        </w:txbxContent>
                      </v:textbox>
                    </v:shape>
                    <v:group id="Skupina 1591744554" o:spid="_x0000_s1032" style="position:absolute;width:68349;height:90592" coordsize="68349,90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">
                      <v:shape id="_x0000_s1033" type="#_x0000_t202" style="position:absolute;left:10641;top:46390;width:57708;height:13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" filled="f" stroked="f">
                        <v:textbox style="mso-fit-shape-to-text:t" inset="0,0,0,0">
                          <w:txbxContent>
                            <w:p w14:paraId="12953695" w14:textId="32AFB67D" w:rsidR="002B4121" w:rsidRDefault="004A4A88" w:rsidP="002B4121">
                              <w:pPr>
                                <w:pStyle w:val="TLIdentifikace-sted"/>
                              </w:pPr>
                              <w:r>
                                <w:t>Souhrnná data o České republice</w:t>
                              </w:r>
                            </w:p>
                            <w:p w14:paraId="015BA9CE" w14:textId="2C6AED1E" w:rsidR="002B4121" w:rsidRDefault="004A4A88" w:rsidP="002B4121">
                              <w:pPr>
                                <w:pStyle w:val="TLIdentifikace-sted"/>
                              </w:pPr>
                              <w:r>
                                <w:t>Praha, 16. 9. 2026</w:t>
                              </w:r>
                            </w:p>
                            <w:p w14:paraId="348DF5BD" w14:textId="5234FF5B" w:rsidR="002B4121" w:rsidRDefault="002B4121" w:rsidP="002B4121">
                              <w:pPr>
                                <w:pStyle w:val="TLIdentifikace-sted"/>
                              </w:pPr>
                              <w:r>
                                <w:t xml:space="preserve">Kód publikace: </w:t>
                              </w:r>
                              <w:r w:rsidR="004A4A88">
                                <w:t>320193-26</w:t>
                              </w:r>
                            </w:p>
                            <w:p w14:paraId="45192C74" w14:textId="7DB7B8AF" w:rsidR="002B4121" w:rsidRDefault="002B4121" w:rsidP="002B4121">
                              <w:pPr>
                                <w:pStyle w:val="TLIdentifikace-sted"/>
                              </w:pPr>
                              <w:r w:rsidRPr="004A4A88">
                                <w:t xml:space="preserve">Pořadové číslo v roce: </w:t>
                              </w:r>
                              <w:r w:rsidR="004A4A88">
                                <w:t>2</w:t>
                              </w:r>
                            </w:p>
                          </w:txbxContent>
                        </v:textbox>
                      </v:shape>
                      <v:group id="Skupina 1857575657" o:spid="_x0000_s1034" style="position:absolute;width:68335;height:90592" coordsize="68335,90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">
                        <v:shape id="_x0000_s1035" type="#_x0000_t202" style="position:absolute;left:10645;top:81340;width:57690;height:9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" filled="f" stroked="f">
                          <v:textbox inset="0,0,0,0">
                            <w:txbxContent>
                              <w:p w14:paraId="19903805" w14:textId="15F67E05" w:rsidR="002B4121" w:rsidRDefault="002B4121" w:rsidP="002B4121">
                                <w:r>
                                  <w:t xml:space="preserve">Zpracoval: Odbor </w:t>
                                </w:r>
                                <w:r w:rsidR="004A4A88">
                                  <w:t>Kancelář předsedy</w:t>
                                </w:r>
                              </w:p>
                              <w:p w14:paraId="4CC1CAB1" w14:textId="2202B001" w:rsidR="002B4121" w:rsidRDefault="002B4121" w:rsidP="002B4121">
                                <w:r>
                                  <w:t xml:space="preserve">Ředitel odboru: </w:t>
                                </w:r>
                                <w:r w:rsidR="00AC224B">
                                  <w:t>Egor Sidorov, Ph.D.</w:t>
                                </w:r>
                              </w:p>
                              <w:p w14:paraId="4189CEF4" w14:textId="295B01CF" w:rsidR="002B4121" w:rsidRDefault="002B4121" w:rsidP="002B4121">
                                <w:r>
                                  <w:t xml:space="preserve">Kontaktní osoba: </w:t>
                                </w:r>
                                <w:r w:rsidR="00DE0F3B">
                                  <w:t>Karolína Zábojníková</w:t>
                                </w:r>
                                <w:r w:rsidR="00DE0F3B" w:rsidRPr="006C5577">
                                  <w:t>,</w:t>
                                </w:r>
                                <w:r w:rsidR="00DE0F3B">
                                  <w:t xml:space="preserve"> e-mail: karolina.zabojnikova@csu.gov.cz </w:t>
                                </w:r>
                              </w:p>
                            </w:txbxContent>
                          </v:textbox>
                        </v:shape>
                        <v:shape id="Obrázek 1244621547" o:spid="_x0000_s1036" type="#_x0000_t75" style="position:absolute;width:26562;height:20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">
                          <v:imagedata r:id="rId12" o:title=""/>
                        </v:shape>
                      </v:group>
                    </v:group>
                  </v:group>
                </v:group>
                <w10:wrap anchorx="page" anchory="page"/>
              </v:group>
            </w:pict>
          </mc:Fallback>
        </mc:AlternateContent>
      </w:r>
      <w:r w:rsidR="00F63FB7">
        <w:br w:type="page"/>
      </w:r>
      <w:r w:rsidR="00D57677">
        <w:lastRenderedPageBreak/>
        <w:br w:type="page"/>
      </w:r>
      <w:r w:rsidR="00D57677">
        <w:rPr>
          <w:noProof/>
        </w:rPr>
        <mc:AlternateContent>
          <mc:Choice Requires="wps">
            <w:drawing>
              <wp:anchor distT="0" distB="0" distL="114300" distR="114300" simplePos="0" relativeHeight="251659776" behindDoc="0" locked="1" layoutInCell="1" allowOverlap="1" wp14:anchorId="6C0EEBF9" wp14:editId="137F9A62">
                <wp:simplePos x="0" y="0"/>
                <wp:positionH relativeFrom="page">
                  <wp:posOffset>723900</wp:posOffset>
                </wp:positionH>
                <wp:positionV relativeFrom="page">
                  <wp:posOffset>1440180</wp:posOffset>
                </wp:positionV>
                <wp:extent cx="6119495" cy="7673340"/>
                <wp:effectExtent l="0" t="5080" r="1905" b="635"/>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76733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5374A72" w14:textId="77777777" w:rsidR="00040D10" w:rsidRPr="00DE02BD" w:rsidRDefault="00040D10" w:rsidP="00040D10">
                            <w:pPr>
                              <w:pStyle w:val="TLKontaktyerven"/>
                            </w:pPr>
                            <w:r w:rsidRPr="00DE02BD">
                              <w:t>KONTAKTY V ÚSTŘEDÍ</w:t>
                            </w:r>
                          </w:p>
                          <w:p w14:paraId="252FB8FA" w14:textId="77777777" w:rsidR="00040D10" w:rsidRPr="007D40DF" w:rsidRDefault="00040D10" w:rsidP="00040D10">
                            <w:pPr>
                              <w:pStyle w:val="TLKontakty"/>
                              <w:spacing w:after="80" w:line="240" w:lineRule="auto"/>
                              <w:contextualSpacing w:val="0"/>
                              <w:rPr>
                                <w:b w:val="0"/>
                                <w:color w:val="auto"/>
                              </w:rPr>
                            </w:pPr>
                            <w:r w:rsidRPr="00EA0987">
                              <w:t>Český statistický úřad</w:t>
                            </w:r>
                            <w:r w:rsidRPr="00EA0987">
                              <w:rPr>
                                <w:b w:val="0"/>
                              </w:rPr>
                              <w:t xml:space="preserve"> </w:t>
                            </w:r>
                            <w:r w:rsidRPr="007D40DF">
                              <w:rPr>
                                <w:b w:val="0"/>
                                <w:color w:val="auto"/>
                              </w:rPr>
                              <w:t>| Na</w:t>
                            </w:r>
                            <w:r>
                              <w:rPr>
                                <w:b w:val="0"/>
                                <w:color w:val="auto"/>
                              </w:rPr>
                              <w:t xml:space="preserve"> padesátém 81, 100 82 Praha</w:t>
                            </w:r>
                            <w:r w:rsidRPr="007D40DF">
                              <w:rPr>
                                <w:b w:val="0"/>
                                <w:color w:val="auto"/>
                              </w:rPr>
                              <w:t> </w:t>
                            </w:r>
                            <w:r>
                              <w:rPr>
                                <w:b w:val="0"/>
                                <w:color w:val="auto"/>
                              </w:rPr>
                              <w:t xml:space="preserve">10, </w:t>
                            </w:r>
                            <w:r w:rsidRPr="007D40DF">
                              <w:rPr>
                                <w:b w:val="0"/>
                                <w:color w:val="auto"/>
                              </w:rPr>
                              <w:t xml:space="preserve">tel.: 274 051 111 | </w:t>
                            </w:r>
                            <w:r>
                              <w:rPr>
                                <w:color w:val="auto"/>
                              </w:rPr>
                              <w:t>www.csu.gov</w:t>
                            </w:r>
                            <w:r w:rsidRPr="007D40DF">
                              <w:rPr>
                                <w:color w:val="auto"/>
                              </w:rPr>
                              <w:t>.cz</w:t>
                            </w:r>
                          </w:p>
                          <w:p w14:paraId="32D82630" w14:textId="77777777" w:rsidR="00040D10" w:rsidRPr="00D235B7" w:rsidRDefault="00040D10" w:rsidP="00040D10">
                            <w:pPr>
                              <w:pStyle w:val="TLKontakty"/>
                              <w:spacing w:after="80" w:line="240" w:lineRule="auto"/>
                              <w:contextualSpacing w:val="0"/>
                              <w:rPr>
                                <w:b w:val="0"/>
                                <w:color w:val="auto"/>
                              </w:rPr>
                            </w:pPr>
                            <w:r w:rsidRPr="00D235B7">
                              <w:rPr>
                                <w:color w:val="auto"/>
                              </w:rPr>
                              <w:t>Oddělení informačních služeb</w:t>
                            </w:r>
                            <w:r>
                              <w:rPr>
                                <w:b w:val="0"/>
                                <w:color w:val="auto"/>
                              </w:rPr>
                              <w:t xml:space="preserve"> | tel.: 274 056 789 | e-mail: infoservis@csu.gov</w:t>
                            </w:r>
                            <w:r w:rsidRPr="00D235B7">
                              <w:rPr>
                                <w:b w:val="0"/>
                                <w:color w:val="auto"/>
                              </w:rPr>
                              <w:t>.cz</w:t>
                            </w:r>
                          </w:p>
                          <w:p w14:paraId="293DD156" w14:textId="77777777" w:rsidR="00040D10" w:rsidRPr="00D235B7" w:rsidRDefault="00040D10" w:rsidP="00040D10">
                            <w:pPr>
                              <w:pStyle w:val="TLKontakty"/>
                              <w:spacing w:after="80" w:line="240" w:lineRule="auto"/>
                              <w:contextualSpacing w:val="0"/>
                              <w:rPr>
                                <w:b w:val="0"/>
                                <w:color w:val="auto"/>
                              </w:rPr>
                            </w:pPr>
                            <w:r w:rsidRPr="00D235B7">
                              <w:rPr>
                                <w:color w:val="auto"/>
                              </w:rPr>
                              <w:t>Prodejna publikací ČSÚ</w:t>
                            </w:r>
                            <w:r w:rsidRPr="00D235B7">
                              <w:rPr>
                                <w:b w:val="0"/>
                                <w:color w:val="auto"/>
                              </w:rPr>
                              <w:t xml:space="preserve"> | tel.: 274</w:t>
                            </w:r>
                            <w:r>
                              <w:rPr>
                                <w:b w:val="0"/>
                                <w:color w:val="auto"/>
                              </w:rPr>
                              <w:t xml:space="preserve"> 052 361 | e-mail: prodejna@csu.gov</w:t>
                            </w:r>
                            <w:r w:rsidRPr="00D235B7">
                              <w:rPr>
                                <w:b w:val="0"/>
                                <w:color w:val="auto"/>
                              </w:rPr>
                              <w:t>.cz</w:t>
                            </w:r>
                          </w:p>
                          <w:p w14:paraId="4394982C" w14:textId="77777777" w:rsidR="00040D10" w:rsidRPr="00D235B7" w:rsidRDefault="00040D10" w:rsidP="00040D10">
                            <w:pPr>
                              <w:pStyle w:val="TLKontakty"/>
                              <w:spacing w:after="80" w:line="240" w:lineRule="auto"/>
                              <w:contextualSpacing w:val="0"/>
                              <w:rPr>
                                <w:b w:val="0"/>
                                <w:color w:val="auto"/>
                              </w:rPr>
                            </w:pPr>
                            <w:r w:rsidRPr="00D235B7">
                              <w:rPr>
                                <w:color w:val="auto"/>
                              </w:rPr>
                              <w:t>Evropská data (ESDS), mezinárodní srovnání</w:t>
                            </w:r>
                            <w:r>
                              <w:rPr>
                                <w:b w:val="0"/>
                                <w:color w:val="auto"/>
                              </w:rPr>
                              <w:t xml:space="preserve"> | tel.: 274 052 732 | e-mail: esds@csu.gov</w:t>
                            </w:r>
                            <w:r w:rsidRPr="00D235B7">
                              <w:rPr>
                                <w:b w:val="0"/>
                                <w:color w:val="auto"/>
                              </w:rPr>
                              <w:t>.cz</w:t>
                            </w:r>
                          </w:p>
                          <w:p w14:paraId="369EB836" w14:textId="77777777" w:rsidR="00040D10" w:rsidRPr="00D235B7" w:rsidRDefault="00040D10" w:rsidP="00040D10">
                            <w:pPr>
                              <w:pStyle w:val="TLKontakty"/>
                              <w:spacing w:after="80" w:line="240" w:lineRule="auto"/>
                              <w:contextualSpacing w:val="0"/>
                              <w:rPr>
                                <w:b w:val="0"/>
                                <w:color w:val="auto"/>
                              </w:rPr>
                            </w:pPr>
                            <w:r w:rsidRPr="00D235B7">
                              <w:rPr>
                                <w:color w:val="auto"/>
                              </w:rPr>
                              <w:t>Ústřední statistická knihovna</w:t>
                            </w:r>
                            <w:r w:rsidRPr="00D235B7">
                              <w:rPr>
                                <w:b w:val="0"/>
                                <w:color w:val="auto"/>
                              </w:rPr>
                              <w:t xml:space="preserve"> | tel.: 274</w:t>
                            </w:r>
                            <w:r>
                              <w:rPr>
                                <w:b w:val="0"/>
                                <w:color w:val="auto"/>
                              </w:rPr>
                              <w:t xml:space="preserve"> 052 361 | e-mail: knihovna@csu.gov</w:t>
                            </w:r>
                            <w:r w:rsidRPr="00D235B7">
                              <w:rPr>
                                <w:b w:val="0"/>
                                <w:color w:val="auto"/>
                              </w:rPr>
                              <w:t>.cz</w:t>
                            </w:r>
                          </w:p>
                          <w:p w14:paraId="020DBC7F" w14:textId="77777777" w:rsidR="00040D10" w:rsidRPr="004A61C5" w:rsidRDefault="00040D10" w:rsidP="00040D10">
                            <w:pPr>
                              <w:pStyle w:val="TLKontakty"/>
                              <w:spacing w:after="80" w:line="240" w:lineRule="auto"/>
                              <w:contextualSpacing w:val="0"/>
                              <w:rPr>
                                <w:color w:val="auto"/>
                              </w:rPr>
                            </w:pPr>
                          </w:p>
                          <w:p w14:paraId="6405158C" w14:textId="77777777" w:rsidR="00040D10" w:rsidRPr="00DE02BD" w:rsidRDefault="00040D10" w:rsidP="00040D10">
                            <w:pPr>
                              <w:pStyle w:val="TLKontaktyerven"/>
                            </w:pPr>
                            <w:r w:rsidRPr="00DE02BD">
                              <w:t>INFORMAČNÍ SLUŽBY V REGIONECH</w:t>
                            </w:r>
                          </w:p>
                          <w:p w14:paraId="32188BA8" w14:textId="77777777" w:rsidR="00040D10" w:rsidRPr="00992CF3" w:rsidRDefault="00040D10" w:rsidP="00040D10">
                            <w:pPr>
                              <w:pStyle w:val="TLKontakty"/>
                              <w:spacing w:after="80" w:line="240" w:lineRule="auto"/>
                              <w:rPr>
                                <w:b w:val="0"/>
                                <w:color w:val="auto"/>
                              </w:rPr>
                            </w:pPr>
                            <w:r w:rsidRPr="00EA0987">
                              <w:t>Hl. m. Praha</w:t>
                            </w:r>
                            <w:r w:rsidRPr="00EA0987">
                              <w:rPr>
                                <w:b w:val="0"/>
                              </w:rPr>
                              <w:t xml:space="preserve"> </w:t>
                            </w:r>
                            <w:r w:rsidRPr="00992CF3">
                              <w:rPr>
                                <w:b w:val="0"/>
                                <w:color w:val="auto"/>
                              </w:rPr>
                              <w:t>| Na</w:t>
                            </w:r>
                            <w:r>
                              <w:rPr>
                                <w:b w:val="0"/>
                                <w:color w:val="auto"/>
                              </w:rPr>
                              <w:t xml:space="preserve"> padesátém 81, 100 82 Praha 10, </w:t>
                            </w:r>
                            <w:r w:rsidRPr="00992CF3">
                              <w:rPr>
                                <w:b w:val="0"/>
                                <w:color w:val="auto"/>
                              </w:rPr>
                              <w:t>tel.</w:t>
                            </w:r>
                            <w:r w:rsidRPr="007D40DF">
                              <w:rPr>
                                <w:b w:val="0"/>
                                <w:color w:val="auto"/>
                              </w:rPr>
                              <w:t>:</w:t>
                            </w:r>
                            <w:r>
                              <w:rPr>
                                <w:b w:val="0"/>
                                <w:color w:val="auto"/>
                              </w:rPr>
                              <w:t xml:space="preserve"> 274 052 673</w:t>
                            </w:r>
                          </w:p>
                          <w:p w14:paraId="72B276CF" w14:textId="77777777" w:rsidR="00040D10" w:rsidRPr="00992CF3" w:rsidRDefault="00040D10" w:rsidP="00040D10">
                            <w:pPr>
                              <w:pStyle w:val="TLKontakty"/>
                              <w:spacing w:after="80" w:line="240" w:lineRule="auto"/>
                              <w:rPr>
                                <w:b w:val="0"/>
                                <w:color w:val="auto"/>
                              </w:rPr>
                            </w:pPr>
                            <w:r w:rsidRPr="00992CF3">
                              <w:rPr>
                                <w:b w:val="0"/>
                                <w:color w:val="auto"/>
                              </w:rPr>
                              <w:t>e-mail: infoservispraha@</w:t>
                            </w:r>
                            <w:r>
                              <w:rPr>
                                <w:b w:val="0"/>
                                <w:color w:val="auto"/>
                              </w:rPr>
                              <w:t>csu.gov</w:t>
                            </w:r>
                            <w:r w:rsidRPr="00D235B7">
                              <w:rPr>
                                <w:b w:val="0"/>
                                <w:color w:val="auto"/>
                              </w:rPr>
                              <w:t>.cz</w:t>
                            </w:r>
                            <w:r w:rsidRPr="00992CF3">
                              <w:rPr>
                                <w:b w:val="0"/>
                                <w:color w:val="auto"/>
                              </w:rPr>
                              <w:t xml:space="preserve"> | </w:t>
                            </w:r>
                            <w:r>
                              <w:rPr>
                                <w:color w:val="auto"/>
                              </w:rPr>
                              <w:t>www.csu.gov.cz/praha</w:t>
                            </w:r>
                          </w:p>
                          <w:p w14:paraId="4384C7AE" w14:textId="77777777" w:rsidR="00040D10" w:rsidRPr="004A61C5" w:rsidRDefault="00040D10" w:rsidP="00040D10">
                            <w:pPr>
                              <w:pStyle w:val="TLKontakty"/>
                              <w:spacing w:after="80" w:line="240" w:lineRule="auto"/>
                              <w:rPr>
                                <w:color w:val="auto"/>
                              </w:rPr>
                            </w:pPr>
                          </w:p>
                          <w:p w14:paraId="57ED2804" w14:textId="77777777" w:rsidR="00040D10" w:rsidRPr="00992CF3" w:rsidRDefault="00040D10" w:rsidP="00040D10">
                            <w:pPr>
                              <w:pStyle w:val="TLKontakty"/>
                              <w:spacing w:after="80" w:line="240" w:lineRule="auto"/>
                              <w:rPr>
                                <w:b w:val="0"/>
                                <w:color w:val="auto"/>
                              </w:rPr>
                            </w:pPr>
                            <w:r w:rsidRPr="00EA0987">
                              <w:t>Středočeský kraj</w:t>
                            </w:r>
                            <w:r w:rsidRPr="00EA0987">
                              <w:rPr>
                                <w:b w:val="0"/>
                              </w:rPr>
                              <w:t xml:space="preserve"> </w:t>
                            </w:r>
                            <w:r w:rsidRPr="00992CF3">
                              <w:rPr>
                                <w:b w:val="0"/>
                                <w:color w:val="auto"/>
                              </w:rPr>
                              <w:t>| Na padesátém 81, 100 82 Praha 10, tel.</w:t>
                            </w:r>
                            <w:r>
                              <w:rPr>
                                <w:b w:val="0"/>
                                <w:color w:val="auto"/>
                              </w:rPr>
                              <w:t xml:space="preserve">: </w:t>
                            </w:r>
                            <w:r w:rsidRPr="00992CF3">
                              <w:rPr>
                                <w:b w:val="0"/>
                                <w:color w:val="auto"/>
                              </w:rPr>
                              <w:t>274 054 175</w:t>
                            </w:r>
                          </w:p>
                          <w:p w14:paraId="4024F812" w14:textId="77777777" w:rsidR="00040D10" w:rsidRPr="00992CF3" w:rsidRDefault="00040D10" w:rsidP="00040D10">
                            <w:pPr>
                              <w:pStyle w:val="TLKontakty"/>
                              <w:spacing w:after="80" w:line="240" w:lineRule="auto"/>
                              <w:rPr>
                                <w:color w:val="auto"/>
                              </w:rPr>
                            </w:pPr>
                            <w:r w:rsidRPr="00992CF3">
                              <w:rPr>
                                <w:b w:val="0"/>
                                <w:color w:val="auto"/>
                              </w:rPr>
                              <w:t>e-mail: infoservisstc@</w:t>
                            </w:r>
                            <w:r>
                              <w:rPr>
                                <w:b w:val="0"/>
                                <w:color w:val="auto"/>
                              </w:rPr>
                              <w:t>csu.gov</w:t>
                            </w:r>
                            <w:r w:rsidRPr="00D235B7">
                              <w:rPr>
                                <w:b w:val="0"/>
                                <w:color w:val="auto"/>
                              </w:rPr>
                              <w:t>.cz</w:t>
                            </w:r>
                            <w:r w:rsidRPr="00992CF3">
                              <w:rPr>
                                <w:b w:val="0"/>
                                <w:color w:val="auto"/>
                              </w:rPr>
                              <w:t xml:space="preserve"> | </w:t>
                            </w:r>
                            <w:r w:rsidRPr="00992CF3">
                              <w:rPr>
                                <w:color w:val="auto"/>
                              </w:rPr>
                              <w:t>www.</w:t>
                            </w:r>
                            <w:r>
                              <w:rPr>
                                <w:color w:val="auto"/>
                              </w:rPr>
                              <w:t>csu.gov.cz/stredocesky</w:t>
                            </w:r>
                          </w:p>
                          <w:p w14:paraId="654DA37A" w14:textId="77777777" w:rsidR="00040D10" w:rsidRPr="004A61C5" w:rsidRDefault="00040D10" w:rsidP="00040D10">
                            <w:pPr>
                              <w:pStyle w:val="TLKontakty"/>
                              <w:spacing w:after="80" w:line="240" w:lineRule="auto"/>
                              <w:rPr>
                                <w:color w:val="auto"/>
                              </w:rPr>
                            </w:pPr>
                          </w:p>
                          <w:p w14:paraId="6E857076" w14:textId="77777777" w:rsidR="00040D10" w:rsidRPr="00992CF3" w:rsidRDefault="00040D10" w:rsidP="00040D10">
                            <w:pPr>
                              <w:pStyle w:val="TLKontakty"/>
                              <w:spacing w:after="80" w:line="240" w:lineRule="auto"/>
                              <w:rPr>
                                <w:b w:val="0"/>
                                <w:color w:val="auto"/>
                              </w:rPr>
                            </w:pPr>
                            <w:r w:rsidRPr="00EA0987">
                              <w:t>České Budějovice</w:t>
                            </w:r>
                            <w:r w:rsidRPr="00EA0987">
                              <w:rPr>
                                <w:b w:val="0"/>
                              </w:rPr>
                              <w:t xml:space="preserve"> </w:t>
                            </w:r>
                            <w:r w:rsidRPr="00992CF3">
                              <w:rPr>
                                <w:b w:val="0"/>
                                <w:color w:val="auto"/>
                              </w:rPr>
                              <w:t>| Žižkova 1</w:t>
                            </w:r>
                            <w:r>
                              <w:rPr>
                                <w:b w:val="0"/>
                                <w:color w:val="auto"/>
                              </w:rPr>
                              <w:t>a</w:t>
                            </w:r>
                            <w:r w:rsidRPr="00992CF3">
                              <w:rPr>
                                <w:b w:val="0"/>
                                <w:color w:val="auto"/>
                              </w:rPr>
                              <w:t>, 370 77 České Budějovice</w:t>
                            </w:r>
                            <w:r>
                              <w:rPr>
                                <w:b w:val="0"/>
                                <w:color w:val="auto"/>
                              </w:rPr>
                              <w:t xml:space="preserve">, </w:t>
                            </w:r>
                            <w:r w:rsidRPr="00992CF3">
                              <w:rPr>
                                <w:b w:val="0"/>
                                <w:color w:val="auto"/>
                              </w:rPr>
                              <w:t>tel.</w:t>
                            </w:r>
                            <w:r>
                              <w:rPr>
                                <w:b w:val="0"/>
                                <w:color w:val="auto"/>
                              </w:rPr>
                              <w:t xml:space="preserve">: </w:t>
                            </w:r>
                            <w:r w:rsidRPr="00992CF3">
                              <w:rPr>
                                <w:b w:val="0"/>
                                <w:color w:val="auto"/>
                              </w:rPr>
                              <w:t>386 718 440</w:t>
                            </w:r>
                          </w:p>
                          <w:p w14:paraId="10384359" w14:textId="77777777" w:rsidR="00040D10" w:rsidRPr="00992CF3" w:rsidRDefault="00040D10" w:rsidP="00040D10">
                            <w:pPr>
                              <w:pStyle w:val="TLKontakty"/>
                              <w:spacing w:after="80" w:line="240" w:lineRule="auto"/>
                              <w:rPr>
                                <w:b w:val="0"/>
                                <w:color w:val="auto"/>
                              </w:rPr>
                            </w:pPr>
                            <w:r w:rsidRPr="00992CF3">
                              <w:rPr>
                                <w:b w:val="0"/>
                                <w:color w:val="auto"/>
                              </w:rPr>
                              <w:t>e-mail: infoserviscb@</w:t>
                            </w:r>
                            <w:r>
                              <w:rPr>
                                <w:b w:val="0"/>
                                <w:color w:val="auto"/>
                              </w:rPr>
                              <w:t>csu.gov</w:t>
                            </w:r>
                            <w:r w:rsidRPr="00D235B7">
                              <w:rPr>
                                <w:b w:val="0"/>
                                <w:color w:val="auto"/>
                              </w:rPr>
                              <w:t>.cz</w:t>
                            </w:r>
                            <w:r w:rsidRPr="00992CF3">
                              <w:rPr>
                                <w:b w:val="0"/>
                                <w:color w:val="auto"/>
                              </w:rPr>
                              <w:t xml:space="preserve"> | </w:t>
                            </w:r>
                            <w:r w:rsidRPr="00992CF3">
                              <w:rPr>
                                <w:color w:val="auto"/>
                              </w:rPr>
                              <w:t>www.</w:t>
                            </w:r>
                            <w:r>
                              <w:rPr>
                                <w:color w:val="auto"/>
                              </w:rPr>
                              <w:t>csu.gov.cz/jihocesky</w:t>
                            </w:r>
                          </w:p>
                          <w:p w14:paraId="597C7723" w14:textId="77777777" w:rsidR="00040D10" w:rsidRPr="004A61C5" w:rsidRDefault="00040D10" w:rsidP="00040D10">
                            <w:pPr>
                              <w:pStyle w:val="TLKontakty"/>
                              <w:spacing w:after="80" w:line="240" w:lineRule="auto"/>
                              <w:rPr>
                                <w:color w:val="auto"/>
                              </w:rPr>
                            </w:pPr>
                          </w:p>
                          <w:p w14:paraId="16F35056" w14:textId="77777777" w:rsidR="00040D10" w:rsidRPr="00BC731E" w:rsidRDefault="00040D10" w:rsidP="00040D10">
                            <w:pPr>
                              <w:pStyle w:val="TLKontakty"/>
                              <w:spacing w:after="80" w:line="240" w:lineRule="auto"/>
                              <w:rPr>
                                <w:b w:val="0"/>
                                <w:color w:val="auto"/>
                              </w:rPr>
                            </w:pPr>
                            <w:r w:rsidRPr="00EA0987">
                              <w:t>Plzeň</w:t>
                            </w:r>
                            <w:r w:rsidRPr="00DE02BD">
                              <w:rPr>
                                <w:b w:val="0"/>
                                <w:color w:val="685B7A"/>
                              </w:rPr>
                              <w:t xml:space="preserve"> </w:t>
                            </w:r>
                            <w:r w:rsidRPr="004A61C5">
                              <w:rPr>
                                <w:b w:val="0"/>
                                <w:color w:val="auto"/>
                              </w:rPr>
                              <w:t>| Slovanská alej 36, 326 64 Plzeň</w:t>
                            </w:r>
                            <w:r>
                              <w:rPr>
                                <w:b w:val="0"/>
                                <w:color w:val="auto"/>
                              </w:rPr>
                              <w:t xml:space="preserve">, </w:t>
                            </w:r>
                            <w:r w:rsidRPr="004A61C5">
                              <w:rPr>
                                <w:b w:val="0"/>
                                <w:color w:val="auto"/>
                              </w:rPr>
                              <w:t>tel.</w:t>
                            </w:r>
                            <w:r>
                              <w:rPr>
                                <w:b w:val="0"/>
                                <w:color w:val="auto"/>
                              </w:rPr>
                              <w:t xml:space="preserve">: </w:t>
                            </w:r>
                            <w:r w:rsidRPr="004A61C5">
                              <w:rPr>
                                <w:b w:val="0"/>
                                <w:color w:val="auto"/>
                              </w:rPr>
                              <w:t>377 612 108</w:t>
                            </w:r>
                          </w:p>
                          <w:p w14:paraId="0F5DA5D2" w14:textId="77777777" w:rsidR="00040D10" w:rsidRPr="004A61C5" w:rsidRDefault="00040D10" w:rsidP="00040D10">
                            <w:pPr>
                              <w:pStyle w:val="TLKontakty"/>
                              <w:spacing w:after="80" w:line="240" w:lineRule="auto"/>
                              <w:rPr>
                                <w:b w:val="0"/>
                                <w:color w:val="auto"/>
                              </w:rPr>
                            </w:pPr>
                            <w:r w:rsidRPr="004A61C5">
                              <w:rPr>
                                <w:b w:val="0"/>
                                <w:color w:val="auto"/>
                              </w:rPr>
                              <w:t>e-mail: infoservisplzen@</w:t>
                            </w:r>
                            <w:r>
                              <w:rPr>
                                <w:b w:val="0"/>
                                <w:color w:val="auto"/>
                              </w:rPr>
                              <w:t>csu.gov</w:t>
                            </w:r>
                            <w:r w:rsidRPr="00D235B7">
                              <w:rPr>
                                <w:b w:val="0"/>
                                <w:color w:val="auto"/>
                              </w:rPr>
                              <w:t>.cz</w:t>
                            </w:r>
                            <w:r w:rsidRPr="004A61C5">
                              <w:rPr>
                                <w:b w:val="0"/>
                                <w:color w:val="auto"/>
                              </w:rPr>
                              <w:t xml:space="preserve"> | </w:t>
                            </w:r>
                            <w:r w:rsidRPr="00992CF3">
                              <w:rPr>
                                <w:color w:val="auto"/>
                              </w:rPr>
                              <w:t>www.</w:t>
                            </w:r>
                            <w:r>
                              <w:rPr>
                                <w:color w:val="auto"/>
                              </w:rPr>
                              <w:t>csu.gov.cz/plzensky</w:t>
                            </w:r>
                          </w:p>
                          <w:p w14:paraId="16AF3412" w14:textId="77777777" w:rsidR="00040D10" w:rsidRPr="004A61C5" w:rsidRDefault="00040D10" w:rsidP="00040D10">
                            <w:pPr>
                              <w:pStyle w:val="TLKontakty"/>
                              <w:spacing w:after="80" w:line="240" w:lineRule="auto"/>
                              <w:rPr>
                                <w:color w:val="auto"/>
                              </w:rPr>
                            </w:pPr>
                          </w:p>
                          <w:p w14:paraId="5A6D54A7" w14:textId="77777777" w:rsidR="00040D10" w:rsidRPr="004A61C5" w:rsidRDefault="00040D10" w:rsidP="00040D10">
                            <w:pPr>
                              <w:pStyle w:val="TLKontakty"/>
                              <w:spacing w:after="80" w:line="240" w:lineRule="auto"/>
                              <w:rPr>
                                <w:b w:val="0"/>
                                <w:color w:val="auto"/>
                              </w:rPr>
                            </w:pPr>
                            <w:r w:rsidRPr="00EA0987">
                              <w:t>Karlovy Vary</w:t>
                            </w:r>
                            <w:r w:rsidRPr="00EA0987">
                              <w:rPr>
                                <w:b w:val="0"/>
                              </w:rPr>
                              <w:t xml:space="preserve"> </w:t>
                            </w:r>
                            <w:r w:rsidRPr="004A61C5">
                              <w:rPr>
                                <w:b w:val="0"/>
                                <w:color w:val="auto"/>
                              </w:rPr>
                              <w:t xml:space="preserve">| </w:t>
                            </w:r>
                            <w:r w:rsidRPr="00095135">
                              <w:rPr>
                                <w:b w:val="0"/>
                                <w:color w:val="auto"/>
                              </w:rPr>
                              <w:t>Závodní 360/94, 360 06 Karlovy Vary</w:t>
                            </w:r>
                            <w:r w:rsidRPr="004A61C5">
                              <w:rPr>
                                <w:b w:val="0"/>
                                <w:color w:val="auto"/>
                              </w:rPr>
                              <w:t>, tel.</w:t>
                            </w:r>
                            <w:r>
                              <w:rPr>
                                <w:b w:val="0"/>
                                <w:color w:val="auto"/>
                              </w:rPr>
                              <w:t xml:space="preserve">: </w:t>
                            </w:r>
                            <w:r w:rsidR="00C35666">
                              <w:rPr>
                                <w:b w:val="0"/>
                                <w:color w:val="auto"/>
                              </w:rPr>
                              <w:t>353 114 529</w:t>
                            </w:r>
                          </w:p>
                          <w:p w14:paraId="2F557AC3" w14:textId="77777777" w:rsidR="00040D10" w:rsidRPr="004A61C5" w:rsidRDefault="00040D10" w:rsidP="00040D10">
                            <w:pPr>
                              <w:pStyle w:val="TLKontakty"/>
                              <w:spacing w:after="80" w:line="240" w:lineRule="auto"/>
                              <w:rPr>
                                <w:b w:val="0"/>
                                <w:color w:val="auto"/>
                              </w:rPr>
                            </w:pPr>
                            <w:r w:rsidRPr="004A61C5">
                              <w:rPr>
                                <w:b w:val="0"/>
                                <w:color w:val="auto"/>
                              </w:rPr>
                              <w:t>e-mail: infoserviskv@</w:t>
                            </w:r>
                            <w:r>
                              <w:rPr>
                                <w:b w:val="0"/>
                                <w:color w:val="auto"/>
                              </w:rPr>
                              <w:t>csu.gov</w:t>
                            </w:r>
                            <w:r w:rsidRPr="00D235B7">
                              <w:rPr>
                                <w:b w:val="0"/>
                                <w:color w:val="auto"/>
                              </w:rPr>
                              <w:t>.cz</w:t>
                            </w:r>
                            <w:r w:rsidRPr="004A61C5">
                              <w:rPr>
                                <w:b w:val="0"/>
                                <w:color w:val="auto"/>
                              </w:rPr>
                              <w:t xml:space="preserve"> | </w:t>
                            </w:r>
                            <w:r w:rsidRPr="00992CF3">
                              <w:rPr>
                                <w:color w:val="auto"/>
                              </w:rPr>
                              <w:t>www.</w:t>
                            </w:r>
                            <w:r>
                              <w:rPr>
                                <w:color w:val="auto"/>
                              </w:rPr>
                              <w:t>csu.gov.cz/karlovarsky</w:t>
                            </w:r>
                          </w:p>
                          <w:p w14:paraId="7D535A7C" w14:textId="77777777" w:rsidR="00040D10" w:rsidRPr="004A61C5" w:rsidRDefault="00040D10" w:rsidP="00040D10">
                            <w:pPr>
                              <w:pStyle w:val="TLKontakty"/>
                              <w:spacing w:after="80" w:line="240" w:lineRule="auto"/>
                              <w:rPr>
                                <w:color w:val="auto"/>
                              </w:rPr>
                            </w:pPr>
                          </w:p>
                          <w:p w14:paraId="01C34A7A" w14:textId="77777777" w:rsidR="00040D10" w:rsidRPr="004A61C5" w:rsidRDefault="00040D10" w:rsidP="00040D10">
                            <w:pPr>
                              <w:pStyle w:val="TLKontakty"/>
                              <w:spacing w:after="80" w:line="240" w:lineRule="auto"/>
                              <w:rPr>
                                <w:b w:val="0"/>
                                <w:color w:val="auto"/>
                              </w:rPr>
                            </w:pPr>
                            <w:r w:rsidRPr="00EA0987">
                              <w:t>Ústí nad Labem</w:t>
                            </w:r>
                            <w:r w:rsidRPr="00EA0987">
                              <w:rPr>
                                <w:b w:val="0"/>
                              </w:rPr>
                              <w:t xml:space="preserve"> </w:t>
                            </w:r>
                            <w:r w:rsidRPr="004A61C5">
                              <w:rPr>
                                <w:b w:val="0"/>
                                <w:color w:val="auto"/>
                              </w:rPr>
                              <w:t>| Špálova 2684, 400 11 Ústí nad Labem</w:t>
                            </w:r>
                            <w:r>
                              <w:rPr>
                                <w:b w:val="0"/>
                                <w:color w:val="auto"/>
                              </w:rPr>
                              <w:t xml:space="preserve">, </w:t>
                            </w:r>
                            <w:r w:rsidRPr="004A61C5">
                              <w:rPr>
                                <w:b w:val="0"/>
                                <w:color w:val="auto"/>
                              </w:rPr>
                              <w:t>tel.</w:t>
                            </w:r>
                            <w:r>
                              <w:rPr>
                                <w:b w:val="0"/>
                                <w:color w:val="auto"/>
                              </w:rPr>
                              <w:t>: 472 706 176</w:t>
                            </w:r>
                          </w:p>
                          <w:p w14:paraId="3C0CCE83" w14:textId="77777777" w:rsidR="00040D10" w:rsidRPr="004A61C5" w:rsidRDefault="00040D10" w:rsidP="00040D10">
                            <w:pPr>
                              <w:pStyle w:val="TLKontakty"/>
                              <w:spacing w:after="80" w:line="240" w:lineRule="auto"/>
                              <w:rPr>
                                <w:b w:val="0"/>
                                <w:color w:val="auto"/>
                              </w:rPr>
                            </w:pPr>
                            <w:r w:rsidRPr="004A61C5">
                              <w:rPr>
                                <w:b w:val="0"/>
                                <w:color w:val="auto"/>
                              </w:rPr>
                              <w:t>e-mail: infoservisul@</w:t>
                            </w:r>
                            <w:r>
                              <w:rPr>
                                <w:b w:val="0"/>
                                <w:color w:val="auto"/>
                              </w:rPr>
                              <w:t>csu.gov</w:t>
                            </w:r>
                            <w:r w:rsidRPr="00D235B7">
                              <w:rPr>
                                <w:b w:val="0"/>
                                <w:color w:val="auto"/>
                              </w:rPr>
                              <w:t>.cz</w:t>
                            </w:r>
                            <w:r w:rsidRPr="004A61C5">
                              <w:rPr>
                                <w:b w:val="0"/>
                                <w:color w:val="auto"/>
                              </w:rPr>
                              <w:t xml:space="preserve"> | </w:t>
                            </w:r>
                            <w:r w:rsidRPr="00992CF3">
                              <w:rPr>
                                <w:color w:val="auto"/>
                              </w:rPr>
                              <w:t>www.</w:t>
                            </w:r>
                            <w:r>
                              <w:rPr>
                                <w:color w:val="auto"/>
                              </w:rPr>
                              <w:t>csu.gov.cz/ustecky</w:t>
                            </w:r>
                          </w:p>
                          <w:p w14:paraId="525B472A" w14:textId="77777777" w:rsidR="00040D10" w:rsidRPr="004A61C5" w:rsidRDefault="00040D10" w:rsidP="00040D10">
                            <w:pPr>
                              <w:pStyle w:val="TLKontakty"/>
                              <w:spacing w:after="80" w:line="240" w:lineRule="auto"/>
                              <w:rPr>
                                <w:color w:val="auto"/>
                              </w:rPr>
                            </w:pPr>
                          </w:p>
                          <w:p w14:paraId="12C6035B" w14:textId="77777777" w:rsidR="00040D10" w:rsidRPr="004A61C5" w:rsidRDefault="00040D10" w:rsidP="00040D10">
                            <w:pPr>
                              <w:pStyle w:val="TLKontakty"/>
                              <w:spacing w:after="80" w:line="240" w:lineRule="auto"/>
                              <w:rPr>
                                <w:b w:val="0"/>
                                <w:color w:val="auto"/>
                              </w:rPr>
                            </w:pPr>
                            <w:r w:rsidRPr="00EA0987">
                              <w:t>Liberec</w:t>
                            </w:r>
                            <w:r>
                              <w:rPr>
                                <w:b w:val="0"/>
                                <w:color w:val="auto"/>
                              </w:rPr>
                              <w:t xml:space="preserve"> | n</w:t>
                            </w:r>
                            <w:r w:rsidRPr="004A61C5">
                              <w:rPr>
                                <w:b w:val="0"/>
                                <w:color w:val="auto"/>
                              </w:rPr>
                              <w:t>ám. Dr. Edvarda</w:t>
                            </w:r>
                            <w:r>
                              <w:rPr>
                                <w:b w:val="0"/>
                                <w:color w:val="auto"/>
                              </w:rPr>
                              <w:t xml:space="preserve"> Beneše 585/26, 460 01 Liberec</w:t>
                            </w:r>
                            <w:r w:rsidRPr="004A61C5">
                              <w:rPr>
                                <w:b w:val="0"/>
                                <w:color w:val="auto"/>
                              </w:rPr>
                              <w:t>, tel.</w:t>
                            </w:r>
                            <w:r>
                              <w:rPr>
                                <w:b w:val="0"/>
                                <w:color w:val="auto"/>
                              </w:rPr>
                              <w:t xml:space="preserve">: </w:t>
                            </w:r>
                            <w:r w:rsidR="00C35666">
                              <w:rPr>
                                <w:b w:val="0"/>
                                <w:color w:val="auto"/>
                              </w:rPr>
                              <w:t>704 675 184</w:t>
                            </w:r>
                          </w:p>
                          <w:p w14:paraId="517B7F84" w14:textId="77777777" w:rsidR="00040D10" w:rsidRPr="004A61C5" w:rsidRDefault="00040D10" w:rsidP="00040D10">
                            <w:pPr>
                              <w:pStyle w:val="TLKontakty"/>
                              <w:spacing w:after="80" w:line="240" w:lineRule="auto"/>
                              <w:rPr>
                                <w:b w:val="0"/>
                                <w:color w:val="auto"/>
                              </w:rPr>
                            </w:pPr>
                            <w:r w:rsidRPr="004A61C5">
                              <w:rPr>
                                <w:b w:val="0"/>
                                <w:color w:val="auto"/>
                              </w:rPr>
                              <w:t>e-mail: infoservislbc@</w:t>
                            </w:r>
                            <w:r>
                              <w:rPr>
                                <w:b w:val="0"/>
                                <w:color w:val="auto"/>
                              </w:rPr>
                              <w:t>csu.gov</w:t>
                            </w:r>
                            <w:r w:rsidRPr="00D235B7">
                              <w:rPr>
                                <w:b w:val="0"/>
                                <w:color w:val="auto"/>
                              </w:rPr>
                              <w:t>.cz</w:t>
                            </w:r>
                            <w:r w:rsidRPr="004A61C5">
                              <w:rPr>
                                <w:b w:val="0"/>
                                <w:color w:val="auto"/>
                              </w:rPr>
                              <w:t xml:space="preserve"> | </w:t>
                            </w:r>
                            <w:r w:rsidRPr="00992CF3">
                              <w:rPr>
                                <w:color w:val="auto"/>
                              </w:rPr>
                              <w:t>www.</w:t>
                            </w:r>
                            <w:r>
                              <w:rPr>
                                <w:color w:val="auto"/>
                              </w:rPr>
                              <w:t>csu.gov.cz/liberecky</w:t>
                            </w:r>
                          </w:p>
                          <w:p w14:paraId="09D7D368" w14:textId="77777777" w:rsidR="00040D10" w:rsidRPr="004A61C5" w:rsidRDefault="00040D10" w:rsidP="00040D10">
                            <w:pPr>
                              <w:pStyle w:val="TLKontakty"/>
                              <w:spacing w:after="80" w:line="240" w:lineRule="auto"/>
                              <w:rPr>
                                <w:b w:val="0"/>
                                <w:color w:val="auto"/>
                              </w:rPr>
                            </w:pPr>
                          </w:p>
                          <w:p w14:paraId="37D5F833" w14:textId="77777777" w:rsidR="00040D10" w:rsidRPr="004A61C5" w:rsidRDefault="00040D10" w:rsidP="00040D10">
                            <w:pPr>
                              <w:pStyle w:val="TLKontakty"/>
                              <w:spacing w:after="80" w:line="240" w:lineRule="auto"/>
                              <w:rPr>
                                <w:b w:val="0"/>
                                <w:color w:val="auto"/>
                              </w:rPr>
                            </w:pPr>
                            <w:r w:rsidRPr="00EA0987">
                              <w:t>Hradec Králové</w:t>
                            </w:r>
                            <w:r w:rsidRPr="00EA0987">
                              <w:rPr>
                                <w:b w:val="0"/>
                              </w:rPr>
                              <w:t xml:space="preserve"> </w:t>
                            </w:r>
                            <w:r w:rsidRPr="004A61C5">
                              <w:rPr>
                                <w:b w:val="0"/>
                                <w:color w:val="auto"/>
                              </w:rPr>
                              <w:t>| Myslivečk</w:t>
                            </w:r>
                            <w:r>
                              <w:rPr>
                                <w:b w:val="0"/>
                                <w:color w:val="auto"/>
                              </w:rPr>
                              <w:t>ova 914, 500 03 Hradec Králové</w:t>
                            </w:r>
                            <w:r w:rsidRPr="004A61C5">
                              <w:rPr>
                                <w:b w:val="0"/>
                                <w:color w:val="auto"/>
                              </w:rPr>
                              <w:t xml:space="preserve">, </w:t>
                            </w:r>
                            <w:r>
                              <w:rPr>
                                <w:b w:val="0"/>
                                <w:color w:val="auto"/>
                              </w:rPr>
                              <w:t>tel.</w:t>
                            </w:r>
                            <w:r w:rsidRPr="007D40DF">
                              <w:rPr>
                                <w:b w:val="0"/>
                                <w:color w:val="auto"/>
                              </w:rPr>
                              <w:t>:</w:t>
                            </w:r>
                            <w:r>
                              <w:rPr>
                                <w:b w:val="0"/>
                                <w:color w:val="auto"/>
                              </w:rPr>
                              <w:t xml:space="preserve"> 495 762 322</w:t>
                            </w:r>
                          </w:p>
                          <w:p w14:paraId="269F97F1" w14:textId="77777777" w:rsidR="00040D10" w:rsidRPr="004A61C5" w:rsidRDefault="00040D10" w:rsidP="00040D10">
                            <w:pPr>
                              <w:pStyle w:val="TLKontakty"/>
                              <w:spacing w:after="80" w:line="240" w:lineRule="auto"/>
                              <w:rPr>
                                <w:b w:val="0"/>
                                <w:color w:val="auto"/>
                              </w:rPr>
                            </w:pPr>
                            <w:r w:rsidRPr="004A61C5">
                              <w:rPr>
                                <w:b w:val="0"/>
                                <w:color w:val="auto"/>
                              </w:rPr>
                              <w:t>e-mail: infoservishk@</w:t>
                            </w:r>
                            <w:r>
                              <w:rPr>
                                <w:b w:val="0"/>
                                <w:color w:val="auto"/>
                              </w:rPr>
                              <w:t>csu.gov</w:t>
                            </w:r>
                            <w:r w:rsidRPr="00D235B7">
                              <w:rPr>
                                <w:b w:val="0"/>
                                <w:color w:val="auto"/>
                              </w:rPr>
                              <w:t>.cz</w:t>
                            </w:r>
                            <w:r w:rsidRPr="004A61C5">
                              <w:rPr>
                                <w:b w:val="0"/>
                                <w:color w:val="auto"/>
                              </w:rPr>
                              <w:t xml:space="preserve"> | </w:t>
                            </w:r>
                            <w:r w:rsidRPr="00992CF3">
                              <w:rPr>
                                <w:color w:val="auto"/>
                              </w:rPr>
                              <w:t>www.</w:t>
                            </w:r>
                            <w:r>
                              <w:rPr>
                                <w:color w:val="auto"/>
                              </w:rPr>
                              <w:t>csu.gov.cz/kralovehradecky</w:t>
                            </w:r>
                          </w:p>
                          <w:p w14:paraId="5394C31B" w14:textId="77777777" w:rsidR="00040D10" w:rsidRPr="004A61C5" w:rsidRDefault="00040D10" w:rsidP="00040D10">
                            <w:pPr>
                              <w:pStyle w:val="TLKontakty"/>
                              <w:spacing w:after="80" w:line="240" w:lineRule="auto"/>
                              <w:rPr>
                                <w:color w:val="auto"/>
                              </w:rPr>
                            </w:pPr>
                          </w:p>
                          <w:p w14:paraId="0D0DB263" w14:textId="77777777" w:rsidR="00040D10" w:rsidRPr="004A61C5" w:rsidRDefault="00040D10" w:rsidP="00040D10">
                            <w:pPr>
                              <w:pStyle w:val="TLKontakty"/>
                              <w:spacing w:after="80" w:line="240" w:lineRule="auto"/>
                              <w:rPr>
                                <w:b w:val="0"/>
                                <w:color w:val="auto"/>
                              </w:rPr>
                            </w:pPr>
                            <w:r w:rsidRPr="00EA0987">
                              <w:t>Pardubice</w:t>
                            </w:r>
                            <w:r w:rsidRPr="00EA0987">
                              <w:rPr>
                                <w:b w:val="0"/>
                              </w:rPr>
                              <w:t xml:space="preserve"> </w:t>
                            </w:r>
                            <w:r w:rsidRPr="004A61C5">
                              <w:rPr>
                                <w:b w:val="0"/>
                                <w:color w:val="auto"/>
                              </w:rPr>
                              <w:t>| V Ráji 872, 531 53 Pardubice</w:t>
                            </w:r>
                            <w:r>
                              <w:rPr>
                                <w:b w:val="0"/>
                                <w:color w:val="auto"/>
                              </w:rPr>
                              <w:t xml:space="preserve">, </w:t>
                            </w:r>
                            <w:r w:rsidRPr="004A61C5">
                              <w:rPr>
                                <w:b w:val="0"/>
                                <w:color w:val="auto"/>
                              </w:rPr>
                              <w:t>tel.</w:t>
                            </w:r>
                            <w:r>
                              <w:rPr>
                                <w:b w:val="0"/>
                                <w:color w:val="auto"/>
                              </w:rPr>
                              <w:t>: 466 743 480</w:t>
                            </w:r>
                          </w:p>
                          <w:p w14:paraId="61812FB1" w14:textId="77777777" w:rsidR="00040D10" w:rsidRPr="004A61C5" w:rsidRDefault="00040D10" w:rsidP="00040D10">
                            <w:pPr>
                              <w:pStyle w:val="TLKontakty"/>
                              <w:spacing w:after="80" w:line="240" w:lineRule="auto"/>
                              <w:rPr>
                                <w:b w:val="0"/>
                                <w:color w:val="auto"/>
                              </w:rPr>
                            </w:pPr>
                            <w:r w:rsidRPr="004A61C5">
                              <w:rPr>
                                <w:b w:val="0"/>
                                <w:color w:val="auto"/>
                              </w:rPr>
                              <w:t>e-mail: infoservispa@</w:t>
                            </w:r>
                            <w:r>
                              <w:rPr>
                                <w:b w:val="0"/>
                                <w:color w:val="auto"/>
                              </w:rPr>
                              <w:t>csu.gov</w:t>
                            </w:r>
                            <w:r w:rsidRPr="00D235B7">
                              <w:rPr>
                                <w:b w:val="0"/>
                                <w:color w:val="auto"/>
                              </w:rPr>
                              <w:t>.cz</w:t>
                            </w:r>
                            <w:r w:rsidRPr="004A61C5">
                              <w:rPr>
                                <w:b w:val="0"/>
                                <w:color w:val="auto"/>
                              </w:rPr>
                              <w:t xml:space="preserve"> | </w:t>
                            </w:r>
                            <w:r w:rsidRPr="00992CF3">
                              <w:rPr>
                                <w:color w:val="auto"/>
                              </w:rPr>
                              <w:t>www.</w:t>
                            </w:r>
                            <w:r>
                              <w:rPr>
                                <w:color w:val="auto"/>
                              </w:rPr>
                              <w:t>csu.gov.cz/pardubicky</w:t>
                            </w:r>
                          </w:p>
                          <w:p w14:paraId="340F8E31" w14:textId="77777777" w:rsidR="00040D10" w:rsidRPr="004A61C5" w:rsidRDefault="00040D10" w:rsidP="00040D10">
                            <w:pPr>
                              <w:pStyle w:val="TLKontakty"/>
                              <w:spacing w:after="80" w:line="240" w:lineRule="auto"/>
                              <w:rPr>
                                <w:b w:val="0"/>
                                <w:color w:val="auto"/>
                              </w:rPr>
                            </w:pPr>
                          </w:p>
                          <w:p w14:paraId="53CEAF10" w14:textId="77777777" w:rsidR="00040D10" w:rsidRPr="004A61C5" w:rsidRDefault="00040D10" w:rsidP="00040D10">
                            <w:pPr>
                              <w:pStyle w:val="TLKontakty"/>
                              <w:spacing w:after="80" w:line="240" w:lineRule="auto"/>
                              <w:rPr>
                                <w:b w:val="0"/>
                                <w:color w:val="auto"/>
                              </w:rPr>
                            </w:pPr>
                            <w:r w:rsidRPr="00EA0987">
                              <w:t>Jihlava</w:t>
                            </w:r>
                            <w:r w:rsidRPr="004A61C5">
                              <w:rPr>
                                <w:b w:val="0"/>
                                <w:color w:val="auto"/>
                              </w:rPr>
                              <w:t xml:space="preserve"> | Ke Skalce 30,</w:t>
                            </w:r>
                            <w:r>
                              <w:rPr>
                                <w:b w:val="0"/>
                                <w:color w:val="auto"/>
                              </w:rPr>
                              <w:t xml:space="preserve"> 586 01 Jihlava, tel.: </w:t>
                            </w:r>
                            <w:r w:rsidRPr="004A61C5">
                              <w:rPr>
                                <w:b w:val="0"/>
                                <w:color w:val="auto"/>
                              </w:rPr>
                              <w:t xml:space="preserve">567 109 </w:t>
                            </w:r>
                            <w:r w:rsidR="00C35666">
                              <w:rPr>
                                <w:b w:val="0"/>
                                <w:color w:val="auto"/>
                              </w:rPr>
                              <w:t>080</w:t>
                            </w:r>
                          </w:p>
                          <w:p w14:paraId="3B1EDAAB" w14:textId="77777777" w:rsidR="00040D10" w:rsidRPr="004A61C5" w:rsidRDefault="00040D10" w:rsidP="00040D10">
                            <w:pPr>
                              <w:pStyle w:val="TLKontakty"/>
                              <w:spacing w:after="80" w:line="240" w:lineRule="auto"/>
                              <w:rPr>
                                <w:b w:val="0"/>
                                <w:color w:val="auto"/>
                              </w:rPr>
                            </w:pPr>
                            <w:r w:rsidRPr="004A61C5">
                              <w:rPr>
                                <w:b w:val="0"/>
                                <w:color w:val="auto"/>
                              </w:rPr>
                              <w:t>e-mail: infoservisvys@</w:t>
                            </w:r>
                            <w:r>
                              <w:rPr>
                                <w:b w:val="0"/>
                                <w:color w:val="auto"/>
                              </w:rPr>
                              <w:t>csu.gov</w:t>
                            </w:r>
                            <w:r w:rsidRPr="00D235B7">
                              <w:rPr>
                                <w:b w:val="0"/>
                                <w:color w:val="auto"/>
                              </w:rPr>
                              <w:t>.cz</w:t>
                            </w:r>
                            <w:r w:rsidRPr="004A61C5">
                              <w:rPr>
                                <w:b w:val="0"/>
                                <w:color w:val="auto"/>
                              </w:rPr>
                              <w:t xml:space="preserve"> | </w:t>
                            </w:r>
                            <w:r w:rsidRPr="00992CF3">
                              <w:rPr>
                                <w:color w:val="auto"/>
                              </w:rPr>
                              <w:t>www.</w:t>
                            </w:r>
                            <w:r>
                              <w:rPr>
                                <w:color w:val="auto"/>
                              </w:rPr>
                              <w:t>csu.gov.cz/vysocina</w:t>
                            </w:r>
                          </w:p>
                          <w:p w14:paraId="29B7B481" w14:textId="77777777" w:rsidR="00040D10" w:rsidRDefault="00040D10" w:rsidP="00040D10">
                            <w:pPr>
                              <w:pStyle w:val="TLKontakty"/>
                              <w:spacing w:after="80" w:line="240" w:lineRule="auto"/>
                            </w:pPr>
                          </w:p>
                          <w:p w14:paraId="07947F4D" w14:textId="77777777" w:rsidR="00040D10" w:rsidRPr="00BC731E" w:rsidRDefault="00040D10" w:rsidP="00040D10">
                            <w:pPr>
                              <w:pStyle w:val="TLKontakty"/>
                              <w:spacing w:after="80" w:line="240" w:lineRule="auto"/>
                              <w:rPr>
                                <w:b w:val="0"/>
                                <w:color w:val="auto"/>
                              </w:rPr>
                            </w:pPr>
                            <w:r w:rsidRPr="00EA0987">
                              <w:t>Brno</w:t>
                            </w:r>
                            <w:r w:rsidRPr="00DE02BD">
                              <w:rPr>
                                <w:b w:val="0"/>
                                <w:color w:val="685B7A"/>
                              </w:rPr>
                              <w:t xml:space="preserve"> </w:t>
                            </w:r>
                            <w:r w:rsidRPr="004A61C5">
                              <w:rPr>
                                <w:b w:val="0"/>
                                <w:color w:val="auto"/>
                              </w:rPr>
                              <w:t xml:space="preserve">| Jezuitská 2, 601 59 Brno, </w:t>
                            </w:r>
                            <w:r>
                              <w:rPr>
                                <w:b w:val="0"/>
                                <w:color w:val="auto"/>
                              </w:rPr>
                              <w:t xml:space="preserve">tel: </w:t>
                            </w:r>
                            <w:r w:rsidRPr="00BC731E">
                              <w:rPr>
                                <w:b w:val="0"/>
                                <w:color w:val="auto"/>
                              </w:rPr>
                              <w:t>542 528 200</w:t>
                            </w:r>
                          </w:p>
                          <w:p w14:paraId="66E4568E" w14:textId="77777777" w:rsidR="00040D10" w:rsidRPr="004A61C5" w:rsidRDefault="00040D10" w:rsidP="00040D10">
                            <w:pPr>
                              <w:pStyle w:val="TLKontakty"/>
                              <w:spacing w:after="80" w:line="240" w:lineRule="auto"/>
                              <w:rPr>
                                <w:color w:val="auto"/>
                              </w:rPr>
                            </w:pPr>
                            <w:r w:rsidRPr="004A61C5">
                              <w:rPr>
                                <w:b w:val="0"/>
                                <w:color w:val="auto"/>
                              </w:rPr>
                              <w:t>e-mail: infoservisbrno@</w:t>
                            </w:r>
                            <w:r>
                              <w:rPr>
                                <w:b w:val="0"/>
                                <w:color w:val="auto"/>
                              </w:rPr>
                              <w:t>csu.gov</w:t>
                            </w:r>
                            <w:r w:rsidRPr="00D235B7">
                              <w:rPr>
                                <w:b w:val="0"/>
                                <w:color w:val="auto"/>
                              </w:rPr>
                              <w:t>.cz</w:t>
                            </w:r>
                            <w:r w:rsidRPr="004A61C5">
                              <w:rPr>
                                <w:b w:val="0"/>
                                <w:color w:val="auto"/>
                              </w:rPr>
                              <w:t xml:space="preserve"> | </w:t>
                            </w:r>
                            <w:r w:rsidRPr="00992CF3">
                              <w:rPr>
                                <w:color w:val="auto"/>
                              </w:rPr>
                              <w:t>www.</w:t>
                            </w:r>
                            <w:r>
                              <w:rPr>
                                <w:color w:val="auto"/>
                              </w:rPr>
                              <w:t>csu.gov.cz/jihomoravsky</w:t>
                            </w:r>
                          </w:p>
                          <w:p w14:paraId="60D97E85" w14:textId="77777777" w:rsidR="00040D10" w:rsidRPr="004A61C5" w:rsidRDefault="00040D10" w:rsidP="00040D10">
                            <w:pPr>
                              <w:pStyle w:val="TLKontakty"/>
                              <w:spacing w:after="80" w:line="240" w:lineRule="auto"/>
                              <w:rPr>
                                <w:b w:val="0"/>
                                <w:color w:val="auto"/>
                              </w:rPr>
                            </w:pPr>
                          </w:p>
                          <w:p w14:paraId="12D7949A" w14:textId="77777777" w:rsidR="00040D10" w:rsidRPr="005E7C78" w:rsidRDefault="00040D10" w:rsidP="00040D10">
                            <w:pPr>
                              <w:pStyle w:val="TLKontakty"/>
                              <w:spacing w:after="80" w:line="240" w:lineRule="auto"/>
                              <w:rPr>
                                <w:b w:val="0"/>
                                <w:color w:val="auto"/>
                              </w:rPr>
                            </w:pPr>
                            <w:r w:rsidRPr="00EA0987">
                              <w:t>Olomouc</w:t>
                            </w:r>
                            <w:r w:rsidRPr="005E7C78">
                              <w:rPr>
                                <w:b w:val="0"/>
                                <w:color w:val="auto"/>
                              </w:rPr>
                              <w:t xml:space="preserve"> | Jeremenkova 1142/42, 772 11 Olomouc, </w:t>
                            </w:r>
                            <w:r>
                              <w:rPr>
                                <w:b w:val="0"/>
                                <w:color w:val="auto"/>
                              </w:rPr>
                              <w:t xml:space="preserve">tel.: </w:t>
                            </w:r>
                            <w:r w:rsidRPr="00BC731E">
                              <w:rPr>
                                <w:b w:val="0"/>
                                <w:color w:val="auto"/>
                              </w:rPr>
                              <w:t>585 731 511</w:t>
                            </w:r>
                          </w:p>
                          <w:p w14:paraId="736C9B14" w14:textId="77777777" w:rsidR="00040D10" w:rsidRPr="005E7C78" w:rsidRDefault="00040D10" w:rsidP="00040D10">
                            <w:pPr>
                              <w:pStyle w:val="TLKontakty"/>
                              <w:spacing w:after="80" w:line="240" w:lineRule="auto"/>
                              <w:rPr>
                                <w:b w:val="0"/>
                                <w:color w:val="auto"/>
                              </w:rPr>
                            </w:pPr>
                            <w:r w:rsidRPr="005E7C78">
                              <w:rPr>
                                <w:b w:val="0"/>
                                <w:color w:val="auto"/>
                              </w:rPr>
                              <w:t>e-mail: infoservisolom@</w:t>
                            </w:r>
                            <w:r>
                              <w:rPr>
                                <w:b w:val="0"/>
                                <w:color w:val="auto"/>
                              </w:rPr>
                              <w:t>csu.gov</w:t>
                            </w:r>
                            <w:r w:rsidRPr="00D235B7">
                              <w:rPr>
                                <w:b w:val="0"/>
                                <w:color w:val="auto"/>
                              </w:rPr>
                              <w:t>.cz</w:t>
                            </w:r>
                            <w:r w:rsidRPr="005E7C78">
                              <w:rPr>
                                <w:b w:val="0"/>
                                <w:color w:val="auto"/>
                              </w:rPr>
                              <w:t xml:space="preserve"> | </w:t>
                            </w:r>
                            <w:r w:rsidRPr="00992CF3">
                              <w:rPr>
                                <w:color w:val="auto"/>
                              </w:rPr>
                              <w:t>www.</w:t>
                            </w:r>
                            <w:r>
                              <w:rPr>
                                <w:color w:val="auto"/>
                              </w:rPr>
                              <w:t>csu.gov.cz/olomoucky</w:t>
                            </w:r>
                          </w:p>
                          <w:p w14:paraId="288644E1" w14:textId="77777777" w:rsidR="00040D10" w:rsidRPr="005E7C78" w:rsidRDefault="00040D10" w:rsidP="00040D10">
                            <w:pPr>
                              <w:pStyle w:val="TLKontakty"/>
                              <w:spacing w:after="80" w:line="240" w:lineRule="auto"/>
                              <w:rPr>
                                <w:b w:val="0"/>
                                <w:color w:val="auto"/>
                              </w:rPr>
                            </w:pPr>
                          </w:p>
                          <w:p w14:paraId="420D33E5" w14:textId="77777777" w:rsidR="00040D10" w:rsidRPr="005E7C78" w:rsidRDefault="00040D10" w:rsidP="00040D10">
                            <w:pPr>
                              <w:pStyle w:val="TLKontakty"/>
                              <w:spacing w:after="80" w:line="240" w:lineRule="auto"/>
                              <w:rPr>
                                <w:b w:val="0"/>
                                <w:color w:val="auto"/>
                              </w:rPr>
                            </w:pPr>
                            <w:r w:rsidRPr="00EA0987">
                              <w:t>Zlín</w:t>
                            </w:r>
                            <w:r w:rsidRPr="00EA0987">
                              <w:rPr>
                                <w:b w:val="0"/>
                              </w:rPr>
                              <w:t xml:space="preserve"> </w:t>
                            </w:r>
                            <w:r w:rsidRPr="005E7C78">
                              <w:rPr>
                                <w:b w:val="0"/>
                                <w:color w:val="auto"/>
                              </w:rPr>
                              <w:t>| tř</w:t>
                            </w:r>
                            <w:r>
                              <w:rPr>
                                <w:b w:val="0"/>
                                <w:color w:val="auto"/>
                              </w:rPr>
                              <w:t>ída</w:t>
                            </w:r>
                            <w:r w:rsidRPr="005E7C78">
                              <w:rPr>
                                <w:b w:val="0"/>
                                <w:color w:val="auto"/>
                              </w:rPr>
                              <w:t xml:space="preserve"> Tomáše Bati 1565, 761 76 Zlín, </w:t>
                            </w:r>
                            <w:r>
                              <w:rPr>
                                <w:b w:val="0"/>
                                <w:color w:val="auto"/>
                              </w:rPr>
                              <w:t>tel.: 577 004 936</w:t>
                            </w:r>
                          </w:p>
                          <w:p w14:paraId="0F8CAEF6" w14:textId="77777777" w:rsidR="00040D10" w:rsidRDefault="00040D10" w:rsidP="00040D10">
                            <w:pPr>
                              <w:pStyle w:val="TLKontakty"/>
                              <w:spacing w:after="80" w:line="240" w:lineRule="auto"/>
                              <w:rPr>
                                <w:color w:val="auto"/>
                              </w:rPr>
                            </w:pPr>
                            <w:r>
                              <w:rPr>
                                <w:b w:val="0"/>
                                <w:color w:val="auto"/>
                              </w:rPr>
                              <w:t>e-mail: infoservis</w:t>
                            </w:r>
                            <w:r w:rsidRPr="005E7C78">
                              <w:rPr>
                                <w:b w:val="0"/>
                                <w:color w:val="auto"/>
                              </w:rPr>
                              <w:t>zl@</w:t>
                            </w:r>
                            <w:r>
                              <w:rPr>
                                <w:b w:val="0"/>
                                <w:color w:val="auto"/>
                              </w:rPr>
                              <w:t>csu.gov</w:t>
                            </w:r>
                            <w:r w:rsidRPr="00D235B7">
                              <w:rPr>
                                <w:b w:val="0"/>
                                <w:color w:val="auto"/>
                              </w:rPr>
                              <w:t>.cz</w:t>
                            </w:r>
                            <w:r w:rsidRPr="005E7C78">
                              <w:rPr>
                                <w:b w:val="0"/>
                                <w:color w:val="auto"/>
                              </w:rPr>
                              <w:t xml:space="preserve"> | </w:t>
                            </w:r>
                            <w:r w:rsidRPr="00992CF3">
                              <w:rPr>
                                <w:color w:val="auto"/>
                              </w:rPr>
                              <w:t>www.</w:t>
                            </w:r>
                            <w:r>
                              <w:rPr>
                                <w:color w:val="auto"/>
                              </w:rPr>
                              <w:t>csu.gov.cz/zlinsky</w:t>
                            </w:r>
                          </w:p>
                          <w:p w14:paraId="2320D3E2" w14:textId="77777777" w:rsidR="00040D10" w:rsidRPr="005E7C78" w:rsidRDefault="00040D10" w:rsidP="00040D10">
                            <w:pPr>
                              <w:pStyle w:val="TLKontakty"/>
                              <w:spacing w:after="80" w:line="240" w:lineRule="auto"/>
                              <w:rPr>
                                <w:b w:val="0"/>
                                <w:color w:val="auto"/>
                              </w:rPr>
                            </w:pPr>
                          </w:p>
                          <w:p w14:paraId="3D6D47A3" w14:textId="77777777" w:rsidR="00040D10" w:rsidRPr="005E7C78" w:rsidRDefault="00040D10" w:rsidP="00040D10">
                            <w:pPr>
                              <w:pStyle w:val="TLKontakty"/>
                              <w:spacing w:after="80" w:line="240" w:lineRule="auto"/>
                              <w:rPr>
                                <w:b w:val="0"/>
                                <w:color w:val="auto"/>
                              </w:rPr>
                            </w:pPr>
                            <w:r w:rsidRPr="00EA0987">
                              <w:t>Ostrava</w:t>
                            </w:r>
                            <w:r w:rsidRPr="00EA0987">
                              <w:rPr>
                                <w:b w:val="0"/>
                              </w:rPr>
                              <w:t xml:space="preserve"> </w:t>
                            </w:r>
                            <w:r w:rsidRPr="005E7C78">
                              <w:rPr>
                                <w:b w:val="0"/>
                                <w:color w:val="auto"/>
                              </w:rPr>
                              <w:t>| Repinova 17, 702 03 Ostrava,</w:t>
                            </w:r>
                            <w:r>
                              <w:rPr>
                                <w:b w:val="0"/>
                                <w:color w:val="auto"/>
                              </w:rPr>
                              <w:t xml:space="preserve"> tel: 595 131 230</w:t>
                            </w:r>
                          </w:p>
                          <w:p w14:paraId="24621D72" w14:textId="77777777" w:rsidR="00763B85" w:rsidRPr="00095135" w:rsidRDefault="00040D10" w:rsidP="00825C4D">
                            <w:pPr>
                              <w:pStyle w:val="TLKontakty"/>
                              <w:spacing w:after="80" w:line="240" w:lineRule="auto"/>
                              <w:rPr>
                                <w:b w:val="0"/>
                                <w:color w:val="auto"/>
                              </w:rPr>
                            </w:pPr>
                            <w:r>
                              <w:rPr>
                                <w:b w:val="0"/>
                                <w:color w:val="auto"/>
                              </w:rPr>
                              <w:t>e-mail: infoservis</w:t>
                            </w:r>
                            <w:r w:rsidRPr="005E7C78">
                              <w:rPr>
                                <w:b w:val="0"/>
                                <w:color w:val="auto"/>
                              </w:rPr>
                              <w:t>ov@</w:t>
                            </w:r>
                            <w:r>
                              <w:rPr>
                                <w:b w:val="0"/>
                                <w:color w:val="auto"/>
                              </w:rPr>
                              <w:t>csu.gov</w:t>
                            </w:r>
                            <w:r w:rsidRPr="00D235B7">
                              <w:rPr>
                                <w:b w:val="0"/>
                                <w:color w:val="auto"/>
                              </w:rPr>
                              <w:t>.cz</w:t>
                            </w:r>
                            <w:r w:rsidRPr="005E7C78">
                              <w:rPr>
                                <w:b w:val="0"/>
                                <w:color w:val="auto"/>
                              </w:rPr>
                              <w:t xml:space="preserve"> | </w:t>
                            </w:r>
                            <w:r w:rsidRPr="00992CF3">
                              <w:rPr>
                                <w:color w:val="auto"/>
                              </w:rPr>
                              <w:t>www.</w:t>
                            </w:r>
                            <w:r>
                              <w:rPr>
                                <w:color w:val="auto"/>
                              </w:rPr>
                              <w:t>csu.gov.cz/moravskoslezsky</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C0EEBF9" id="Textové pole 2" o:spid="_x0000_s1037" type="#_x0000_t202" style="position:absolute;margin-left:57pt;margin-top:113.4pt;width:481.85pt;height:604.2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" filled="f" stroked="f">
                <v:textbox style="mso-fit-shape-to-text:t" inset="0,0,0,0">
                  <w:txbxContent>
                    <w:p w14:paraId="35374A72" w14:textId="77777777" w:rsidR="00040D10" w:rsidRPr="00DE02BD" w:rsidRDefault="00040D10" w:rsidP="00040D10">
                      <w:pPr>
                        <w:pStyle w:val="TLKontaktyerven"/>
                      </w:pPr>
                      <w:r w:rsidRPr="00DE02BD">
                        <w:t>KONTAKTY V ÚSTŘEDÍ</w:t>
                      </w:r>
                    </w:p>
                    <w:p w14:paraId="252FB8FA" w14:textId="77777777" w:rsidR="00040D10" w:rsidRPr="007D40DF" w:rsidRDefault="00040D10" w:rsidP="00040D10">
                      <w:pPr>
                        <w:pStyle w:val="TLKontakty"/>
                        <w:spacing w:after="80" w:line="240" w:lineRule="auto"/>
                        <w:contextualSpacing w:val="0"/>
                        <w:rPr>
                          <w:b w:val="0"/>
                          <w:color w:val="auto"/>
                        </w:rPr>
                      </w:pPr>
                      <w:r w:rsidRPr="00EA0987">
                        <w:t>Český statistický úřad</w:t>
                      </w:r>
                      <w:r w:rsidRPr="00EA0987">
                        <w:rPr>
                          <w:b w:val="0"/>
                        </w:rPr>
                        <w:t xml:space="preserve"> </w:t>
                      </w:r>
                      <w:r w:rsidRPr="007D40DF">
                        <w:rPr>
                          <w:b w:val="0"/>
                          <w:color w:val="auto"/>
                        </w:rPr>
                        <w:t>| Na</w:t>
                      </w:r>
                      <w:r>
                        <w:rPr>
                          <w:b w:val="0"/>
                          <w:color w:val="auto"/>
                        </w:rPr>
                        <w:t xml:space="preserve"> padesátém 81, 100 82 Praha</w:t>
                      </w:r>
                      <w:r w:rsidRPr="007D40DF">
                        <w:rPr>
                          <w:b w:val="0"/>
                          <w:color w:val="auto"/>
                        </w:rPr>
                        <w:t> </w:t>
                      </w:r>
                      <w:r>
                        <w:rPr>
                          <w:b w:val="0"/>
                          <w:color w:val="auto"/>
                        </w:rPr>
                        <w:t xml:space="preserve">10, </w:t>
                      </w:r>
                      <w:r w:rsidRPr="007D40DF">
                        <w:rPr>
                          <w:b w:val="0"/>
                          <w:color w:val="auto"/>
                        </w:rPr>
                        <w:t xml:space="preserve">tel.: 274 051 111 | </w:t>
                      </w:r>
                      <w:r>
                        <w:rPr>
                          <w:color w:val="auto"/>
                        </w:rPr>
                        <w:t>www.csu.gov</w:t>
                      </w:r>
                      <w:r w:rsidRPr="007D40DF">
                        <w:rPr>
                          <w:color w:val="auto"/>
                        </w:rPr>
                        <w:t>.cz</w:t>
                      </w:r>
                    </w:p>
                    <w:p w14:paraId="32D82630" w14:textId="77777777" w:rsidR="00040D10" w:rsidRPr="00D235B7" w:rsidRDefault="00040D10" w:rsidP="00040D10">
                      <w:pPr>
                        <w:pStyle w:val="TLKontakty"/>
                        <w:spacing w:after="80" w:line="240" w:lineRule="auto"/>
                        <w:contextualSpacing w:val="0"/>
                        <w:rPr>
                          <w:b w:val="0"/>
                          <w:color w:val="auto"/>
                        </w:rPr>
                      </w:pPr>
                      <w:r w:rsidRPr="00D235B7">
                        <w:rPr>
                          <w:color w:val="auto"/>
                        </w:rPr>
                        <w:t>Oddělení informačních služeb</w:t>
                      </w:r>
                      <w:r>
                        <w:rPr>
                          <w:b w:val="0"/>
                          <w:color w:val="auto"/>
                        </w:rPr>
                        <w:t xml:space="preserve"> | tel.: 274 056 789 | e-mail: infoservis@csu.gov</w:t>
                      </w:r>
                      <w:r w:rsidRPr="00D235B7">
                        <w:rPr>
                          <w:b w:val="0"/>
                          <w:color w:val="auto"/>
                        </w:rPr>
                        <w:t>.cz</w:t>
                      </w:r>
                    </w:p>
                    <w:p w14:paraId="293DD156" w14:textId="77777777" w:rsidR="00040D10" w:rsidRPr="00D235B7" w:rsidRDefault="00040D10" w:rsidP="00040D10">
                      <w:pPr>
                        <w:pStyle w:val="TLKontakty"/>
                        <w:spacing w:after="80" w:line="240" w:lineRule="auto"/>
                        <w:contextualSpacing w:val="0"/>
                        <w:rPr>
                          <w:b w:val="0"/>
                          <w:color w:val="auto"/>
                        </w:rPr>
                      </w:pPr>
                      <w:r w:rsidRPr="00D235B7">
                        <w:rPr>
                          <w:color w:val="auto"/>
                        </w:rPr>
                        <w:t>Prodejna publikací ČSÚ</w:t>
                      </w:r>
                      <w:r w:rsidRPr="00D235B7">
                        <w:rPr>
                          <w:b w:val="0"/>
                          <w:color w:val="auto"/>
                        </w:rPr>
                        <w:t xml:space="preserve"> | tel.: 274</w:t>
                      </w:r>
                      <w:r>
                        <w:rPr>
                          <w:b w:val="0"/>
                          <w:color w:val="auto"/>
                        </w:rPr>
                        <w:t xml:space="preserve"> 052 361 | e-mail: prodejna@csu.gov</w:t>
                      </w:r>
                      <w:r w:rsidRPr="00D235B7">
                        <w:rPr>
                          <w:b w:val="0"/>
                          <w:color w:val="auto"/>
                        </w:rPr>
                        <w:t>.cz</w:t>
                      </w:r>
                    </w:p>
                    <w:p w14:paraId="4394982C" w14:textId="77777777" w:rsidR="00040D10" w:rsidRPr="00D235B7" w:rsidRDefault="00040D10" w:rsidP="00040D10">
                      <w:pPr>
                        <w:pStyle w:val="TLKontakty"/>
                        <w:spacing w:after="80" w:line="240" w:lineRule="auto"/>
                        <w:contextualSpacing w:val="0"/>
                        <w:rPr>
                          <w:b w:val="0"/>
                          <w:color w:val="auto"/>
                        </w:rPr>
                      </w:pPr>
                      <w:r w:rsidRPr="00D235B7">
                        <w:rPr>
                          <w:color w:val="auto"/>
                        </w:rPr>
                        <w:t>Evropská data (ESDS), mezinárodní srovnání</w:t>
                      </w:r>
                      <w:r>
                        <w:rPr>
                          <w:b w:val="0"/>
                          <w:color w:val="auto"/>
                        </w:rPr>
                        <w:t xml:space="preserve"> | tel.: 274 052 732 | e-mail: esds@csu.gov</w:t>
                      </w:r>
                      <w:r w:rsidRPr="00D235B7">
                        <w:rPr>
                          <w:b w:val="0"/>
                          <w:color w:val="auto"/>
                        </w:rPr>
                        <w:t>.cz</w:t>
                      </w:r>
                    </w:p>
                    <w:p w14:paraId="369EB836" w14:textId="77777777" w:rsidR="00040D10" w:rsidRPr="00D235B7" w:rsidRDefault="00040D10" w:rsidP="00040D10">
                      <w:pPr>
                        <w:pStyle w:val="TLKontakty"/>
                        <w:spacing w:after="80" w:line="240" w:lineRule="auto"/>
                        <w:contextualSpacing w:val="0"/>
                        <w:rPr>
                          <w:b w:val="0"/>
                          <w:color w:val="auto"/>
                        </w:rPr>
                      </w:pPr>
                      <w:r w:rsidRPr="00D235B7">
                        <w:rPr>
                          <w:color w:val="auto"/>
                        </w:rPr>
                        <w:t>Ústřední statistická knihovna</w:t>
                      </w:r>
                      <w:r w:rsidRPr="00D235B7">
                        <w:rPr>
                          <w:b w:val="0"/>
                          <w:color w:val="auto"/>
                        </w:rPr>
                        <w:t xml:space="preserve"> | tel.: 274</w:t>
                      </w:r>
                      <w:r>
                        <w:rPr>
                          <w:b w:val="0"/>
                          <w:color w:val="auto"/>
                        </w:rPr>
                        <w:t xml:space="preserve"> 052 361 | e-mail: knihovna@csu.gov</w:t>
                      </w:r>
                      <w:r w:rsidRPr="00D235B7">
                        <w:rPr>
                          <w:b w:val="0"/>
                          <w:color w:val="auto"/>
                        </w:rPr>
                        <w:t>.cz</w:t>
                      </w:r>
                    </w:p>
                    <w:p w14:paraId="020DBC7F" w14:textId="77777777" w:rsidR="00040D10" w:rsidRPr="004A61C5" w:rsidRDefault="00040D10" w:rsidP="00040D10">
                      <w:pPr>
                        <w:pStyle w:val="TLKontakty"/>
                        <w:spacing w:after="80" w:line="240" w:lineRule="auto"/>
                        <w:contextualSpacing w:val="0"/>
                        <w:rPr>
                          <w:color w:val="auto"/>
                        </w:rPr>
                      </w:pPr>
                    </w:p>
                    <w:p w14:paraId="6405158C" w14:textId="77777777" w:rsidR="00040D10" w:rsidRPr="00DE02BD" w:rsidRDefault="00040D10" w:rsidP="00040D10">
                      <w:pPr>
                        <w:pStyle w:val="TLKontaktyerven"/>
                      </w:pPr>
                      <w:r w:rsidRPr="00DE02BD">
                        <w:t>INFORMAČNÍ SLUŽBY V REGIONECH</w:t>
                      </w:r>
                    </w:p>
                    <w:p w14:paraId="32188BA8" w14:textId="77777777" w:rsidR="00040D10" w:rsidRPr="00992CF3" w:rsidRDefault="00040D10" w:rsidP="00040D10">
                      <w:pPr>
                        <w:pStyle w:val="TLKontakty"/>
                        <w:spacing w:after="80" w:line="240" w:lineRule="auto"/>
                        <w:rPr>
                          <w:b w:val="0"/>
                          <w:color w:val="auto"/>
                        </w:rPr>
                      </w:pPr>
                      <w:r w:rsidRPr="00EA0987">
                        <w:t>Hl. m. Praha</w:t>
                      </w:r>
                      <w:r w:rsidRPr="00EA0987">
                        <w:rPr>
                          <w:b w:val="0"/>
                        </w:rPr>
                        <w:t xml:space="preserve"> </w:t>
                      </w:r>
                      <w:r w:rsidRPr="00992CF3">
                        <w:rPr>
                          <w:b w:val="0"/>
                          <w:color w:val="auto"/>
                        </w:rPr>
                        <w:t>| Na</w:t>
                      </w:r>
                      <w:r>
                        <w:rPr>
                          <w:b w:val="0"/>
                          <w:color w:val="auto"/>
                        </w:rPr>
                        <w:t xml:space="preserve"> padesátém 81, 100 82 Praha 10, </w:t>
                      </w:r>
                      <w:r w:rsidRPr="00992CF3">
                        <w:rPr>
                          <w:b w:val="0"/>
                          <w:color w:val="auto"/>
                        </w:rPr>
                        <w:t>tel.</w:t>
                      </w:r>
                      <w:r w:rsidRPr="007D40DF">
                        <w:rPr>
                          <w:b w:val="0"/>
                          <w:color w:val="auto"/>
                        </w:rPr>
                        <w:t>:</w:t>
                      </w:r>
                      <w:r>
                        <w:rPr>
                          <w:b w:val="0"/>
                          <w:color w:val="auto"/>
                        </w:rPr>
                        <w:t xml:space="preserve"> 274 052 673</w:t>
                      </w:r>
                    </w:p>
                    <w:p w14:paraId="72B276CF" w14:textId="77777777" w:rsidR="00040D10" w:rsidRPr="00992CF3" w:rsidRDefault="00040D10" w:rsidP="00040D10">
                      <w:pPr>
                        <w:pStyle w:val="TLKontakty"/>
                        <w:spacing w:after="80" w:line="240" w:lineRule="auto"/>
                        <w:rPr>
                          <w:b w:val="0"/>
                          <w:color w:val="auto"/>
                        </w:rPr>
                      </w:pPr>
                      <w:r w:rsidRPr="00992CF3">
                        <w:rPr>
                          <w:b w:val="0"/>
                          <w:color w:val="auto"/>
                        </w:rPr>
                        <w:t>e-mail: infoservispraha@</w:t>
                      </w:r>
                      <w:r>
                        <w:rPr>
                          <w:b w:val="0"/>
                          <w:color w:val="auto"/>
                        </w:rPr>
                        <w:t>csu.gov</w:t>
                      </w:r>
                      <w:r w:rsidRPr="00D235B7">
                        <w:rPr>
                          <w:b w:val="0"/>
                          <w:color w:val="auto"/>
                        </w:rPr>
                        <w:t>.cz</w:t>
                      </w:r>
                      <w:r w:rsidRPr="00992CF3">
                        <w:rPr>
                          <w:b w:val="0"/>
                          <w:color w:val="auto"/>
                        </w:rPr>
                        <w:t xml:space="preserve"> | </w:t>
                      </w:r>
                      <w:r>
                        <w:rPr>
                          <w:color w:val="auto"/>
                        </w:rPr>
                        <w:t>www.csu.gov.cz/praha</w:t>
                      </w:r>
                    </w:p>
                    <w:p w14:paraId="4384C7AE" w14:textId="77777777" w:rsidR="00040D10" w:rsidRPr="004A61C5" w:rsidRDefault="00040D10" w:rsidP="00040D10">
                      <w:pPr>
                        <w:pStyle w:val="TLKontakty"/>
                        <w:spacing w:after="80" w:line="240" w:lineRule="auto"/>
                        <w:rPr>
                          <w:color w:val="auto"/>
                        </w:rPr>
                      </w:pPr>
                    </w:p>
                    <w:p w14:paraId="57ED2804" w14:textId="77777777" w:rsidR="00040D10" w:rsidRPr="00992CF3" w:rsidRDefault="00040D10" w:rsidP="00040D10">
                      <w:pPr>
                        <w:pStyle w:val="TLKontakty"/>
                        <w:spacing w:after="80" w:line="240" w:lineRule="auto"/>
                        <w:rPr>
                          <w:b w:val="0"/>
                          <w:color w:val="auto"/>
                        </w:rPr>
                      </w:pPr>
                      <w:r w:rsidRPr="00EA0987">
                        <w:t>Středočeský kraj</w:t>
                      </w:r>
                      <w:r w:rsidRPr="00EA0987">
                        <w:rPr>
                          <w:b w:val="0"/>
                        </w:rPr>
                        <w:t xml:space="preserve"> </w:t>
                      </w:r>
                      <w:r w:rsidRPr="00992CF3">
                        <w:rPr>
                          <w:b w:val="0"/>
                          <w:color w:val="auto"/>
                        </w:rPr>
                        <w:t>| Na padesátém 81, 100 82 Praha 10, tel.</w:t>
                      </w:r>
                      <w:r>
                        <w:rPr>
                          <w:b w:val="0"/>
                          <w:color w:val="auto"/>
                        </w:rPr>
                        <w:t xml:space="preserve">: </w:t>
                      </w:r>
                      <w:r w:rsidRPr="00992CF3">
                        <w:rPr>
                          <w:b w:val="0"/>
                          <w:color w:val="auto"/>
                        </w:rPr>
                        <w:t>274 054 175</w:t>
                      </w:r>
                    </w:p>
                    <w:p w14:paraId="4024F812" w14:textId="77777777" w:rsidR="00040D10" w:rsidRPr="00992CF3" w:rsidRDefault="00040D10" w:rsidP="00040D10">
                      <w:pPr>
                        <w:pStyle w:val="TLKontakty"/>
                        <w:spacing w:after="80" w:line="240" w:lineRule="auto"/>
                        <w:rPr>
                          <w:color w:val="auto"/>
                        </w:rPr>
                      </w:pPr>
                      <w:r w:rsidRPr="00992CF3">
                        <w:rPr>
                          <w:b w:val="0"/>
                          <w:color w:val="auto"/>
                        </w:rPr>
                        <w:t>e-mail: infoservisstc@</w:t>
                      </w:r>
                      <w:r>
                        <w:rPr>
                          <w:b w:val="0"/>
                          <w:color w:val="auto"/>
                        </w:rPr>
                        <w:t>csu.gov</w:t>
                      </w:r>
                      <w:r w:rsidRPr="00D235B7">
                        <w:rPr>
                          <w:b w:val="0"/>
                          <w:color w:val="auto"/>
                        </w:rPr>
                        <w:t>.cz</w:t>
                      </w:r>
                      <w:r w:rsidRPr="00992CF3">
                        <w:rPr>
                          <w:b w:val="0"/>
                          <w:color w:val="auto"/>
                        </w:rPr>
                        <w:t xml:space="preserve"> | </w:t>
                      </w:r>
                      <w:r w:rsidRPr="00992CF3">
                        <w:rPr>
                          <w:color w:val="auto"/>
                        </w:rPr>
                        <w:t>www.</w:t>
                      </w:r>
                      <w:r>
                        <w:rPr>
                          <w:color w:val="auto"/>
                        </w:rPr>
                        <w:t>csu.gov.cz/stredocesky</w:t>
                      </w:r>
                    </w:p>
                    <w:p w14:paraId="654DA37A" w14:textId="77777777" w:rsidR="00040D10" w:rsidRPr="004A61C5" w:rsidRDefault="00040D10" w:rsidP="00040D10">
                      <w:pPr>
                        <w:pStyle w:val="TLKontakty"/>
                        <w:spacing w:after="80" w:line="240" w:lineRule="auto"/>
                        <w:rPr>
                          <w:color w:val="auto"/>
                        </w:rPr>
                      </w:pPr>
                    </w:p>
                    <w:p w14:paraId="6E857076" w14:textId="77777777" w:rsidR="00040D10" w:rsidRPr="00992CF3" w:rsidRDefault="00040D10" w:rsidP="00040D10">
                      <w:pPr>
                        <w:pStyle w:val="TLKontakty"/>
                        <w:spacing w:after="80" w:line="240" w:lineRule="auto"/>
                        <w:rPr>
                          <w:b w:val="0"/>
                          <w:color w:val="auto"/>
                        </w:rPr>
                      </w:pPr>
                      <w:r w:rsidRPr="00EA0987">
                        <w:t>České Budějovice</w:t>
                      </w:r>
                      <w:r w:rsidRPr="00EA0987">
                        <w:rPr>
                          <w:b w:val="0"/>
                        </w:rPr>
                        <w:t xml:space="preserve"> </w:t>
                      </w:r>
                      <w:r w:rsidRPr="00992CF3">
                        <w:rPr>
                          <w:b w:val="0"/>
                          <w:color w:val="auto"/>
                        </w:rPr>
                        <w:t>| Žižkova 1</w:t>
                      </w:r>
                      <w:r>
                        <w:rPr>
                          <w:b w:val="0"/>
                          <w:color w:val="auto"/>
                        </w:rPr>
                        <w:t>a</w:t>
                      </w:r>
                      <w:r w:rsidRPr="00992CF3">
                        <w:rPr>
                          <w:b w:val="0"/>
                          <w:color w:val="auto"/>
                        </w:rPr>
                        <w:t>, 370 77 České Budějovice</w:t>
                      </w:r>
                      <w:r>
                        <w:rPr>
                          <w:b w:val="0"/>
                          <w:color w:val="auto"/>
                        </w:rPr>
                        <w:t xml:space="preserve">, </w:t>
                      </w:r>
                      <w:r w:rsidRPr="00992CF3">
                        <w:rPr>
                          <w:b w:val="0"/>
                          <w:color w:val="auto"/>
                        </w:rPr>
                        <w:t>tel.</w:t>
                      </w:r>
                      <w:r>
                        <w:rPr>
                          <w:b w:val="0"/>
                          <w:color w:val="auto"/>
                        </w:rPr>
                        <w:t xml:space="preserve">: </w:t>
                      </w:r>
                      <w:r w:rsidRPr="00992CF3">
                        <w:rPr>
                          <w:b w:val="0"/>
                          <w:color w:val="auto"/>
                        </w:rPr>
                        <w:t>386 718 440</w:t>
                      </w:r>
                    </w:p>
                    <w:p w14:paraId="10384359" w14:textId="77777777" w:rsidR="00040D10" w:rsidRPr="00992CF3" w:rsidRDefault="00040D10" w:rsidP="00040D10">
                      <w:pPr>
                        <w:pStyle w:val="TLKontakty"/>
                        <w:spacing w:after="80" w:line="240" w:lineRule="auto"/>
                        <w:rPr>
                          <w:b w:val="0"/>
                          <w:color w:val="auto"/>
                        </w:rPr>
                      </w:pPr>
                      <w:r w:rsidRPr="00992CF3">
                        <w:rPr>
                          <w:b w:val="0"/>
                          <w:color w:val="auto"/>
                        </w:rPr>
                        <w:t>e-mail: infoserviscb@</w:t>
                      </w:r>
                      <w:r>
                        <w:rPr>
                          <w:b w:val="0"/>
                          <w:color w:val="auto"/>
                        </w:rPr>
                        <w:t>csu.gov</w:t>
                      </w:r>
                      <w:r w:rsidRPr="00D235B7">
                        <w:rPr>
                          <w:b w:val="0"/>
                          <w:color w:val="auto"/>
                        </w:rPr>
                        <w:t>.cz</w:t>
                      </w:r>
                      <w:r w:rsidRPr="00992CF3">
                        <w:rPr>
                          <w:b w:val="0"/>
                          <w:color w:val="auto"/>
                        </w:rPr>
                        <w:t xml:space="preserve"> | </w:t>
                      </w:r>
                      <w:r w:rsidRPr="00992CF3">
                        <w:rPr>
                          <w:color w:val="auto"/>
                        </w:rPr>
                        <w:t>www.</w:t>
                      </w:r>
                      <w:r>
                        <w:rPr>
                          <w:color w:val="auto"/>
                        </w:rPr>
                        <w:t>csu.gov.cz/jihocesky</w:t>
                      </w:r>
                    </w:p>
                    <w:p w14:paraId="597C7723" w14:textId="77777777" w:rsidR="00040D10" w:rsidRPr="004A61C5" w:rsidRDefault="00040D10" w:rsidP="00040D10">
                      <w:pPr>
                        <w:pStyle w:val="TLKontakty"/>
                        <w:spacing w:after="80" w:line="240" w:lineRule="auto"/>
                        <w:rPr>
                          <w:color w:val="auto"/>
                        </w:rPr>
                      </w:pPr>
                    </w:p>
                    <w:p w14:paraId="16F35056" w14:textId="77777777" w:rsidR="00040D10" w:rsidRPr="00BC731E" w:rsidRDefault="00040D10" w:rsidP="00040D10">
                      <w:pPr>
                        <w:pStyle w:val="TLKontakty"/>
                        <w:spacing w:after="80" w:line="240" w:lineRule="auto"/>
                        <w:rPr>
                          <w:b w:val="0"/>
                          <w:color w:val="auto"/>
                        </w:rPr>
                      </w:pPr>
                      <w:r w:rsidRPr="00EA0987">
                        <w:t>Plzeň</w:t>
                      </w:r>
                      <w:r w:rsidRPr="00DE02BD">
                        <w:rPr>
                          <w:b w:val="0"/>
                          <w:color w:val="685B7A"/>
                        </w:rPr>
                        <w:t xml:space="preserve"> </w:t>
                      </w:r>
                      <w:r w:rsidRPr="004A61C5">
                        <w:rPr>
                          <w:b w:val="0"/>
                          <w:color w:val="auto"/>
                        </w:rPr>
                        <w:t>| Slovanská alej 36, 326 64 Plzeň</w:t>
                      </w:r>
                      <w:r>
                        <w:rPr>
                          <w:b w:val="0"/>
                          <w:color w:val="auto"/>
                        </w:rPr>
                        <w:t xml:space="preserve">, </w:t>
                      </w:r>
                      <w:r w:rsidRPr="004A61C5">
                        <w:rPr>
                          <w:b w:val="0"/>
                          <w:color w:val="auto"/>
                        </w:rPr>
                        <w:t>tel.</w:t>
                      </w:r>
                      <w:r>
                        <w:rPr>
                          <w:b w:val="0"/>
                          <w:color w:val="auto"/>
                        </w:rPr>
                        <w:t xml:space="preserve">: </w:t>
                      </w:r>
                      <w:r w:rsidRPr="004A61C5">
                        <w:rPr>
                          <w:b w:val="0"/>
                          <w:color w:val="auto"/>
                        </w:rPr>
                        <w:t>377 612 108</w:t>
                      </w:r>
                    </w:p>
                    <w:p w14:paraId="0F5DA5D2" w14:textId="77777777" w:rsidR="00040D10" w:rsidRPr="004A61C5" w:rsidRDefault="00040D10" w:rsidP="00040D10">
                      <w:pPr>
                        <w:pStyle w:val="TLKontakty"/>
                        <w:spacing w:after="80" w:line="240" w:lineRule="auto"/>
                        <w:rPr>
                          <w:b w:val="0"/>
                          <w:color w:val="auto"/>
                        </w:rPr>
                      </w:pPr>
                      <w:r w:rsidRPr="004A61C5">
                        <w:rPr>
                          <w:b w:val="0"/>
                          <w:color w:val="auto"/>
                        </w:rPr>
                        <w:t>e-mail: infoservisplzen@</w:t>
                      </w:r>
                      <w:r>
                        <w:rPr>
                          <w:b w:val="0"/>
                          <w:color w:val="auto"/>
                        </w:rPr>
                        <w:t>csu.gov</w:t>
                      </w:r>
                      <w:r w:rsidRPr="00D235B7">
                        <w:rPr>
                          <w:b w:val="0"/>
                          <w:color w:val="auto"/>
                        </w:rPr>
                        <w:t>.cz</w:t>
                      </w:r>
                      <w:r w:rsidRPr="004A61C5">
                        <w:rPr>
                          <w:b w:val="0"/>
                          <w:color w:val="auto"/>
                        </w:rPr>
                        <w:t xml:space="preserve"> | </w:t>
                      </w:r>
                      <w:r w:rsidRPr="00992CF3">
                        <w:rPr>
                          <w:color w:val="auto"/>
                        </w:rPr>
                        <w:t>www.</w:t>
                      </w:r>
                      <w:r>
                        <w:rPr>
                          <w:color w:val="auto"/>
                        </w:rPr>
                        <w:t>csu.gov.cz/plzensky</w:t>
                      </w:r>
                    </w:p>
                    <w:p w14:paraId="16AF3412" w14:textId="77777777" w:rsidR="00040D10" w:rsidRPr="004A61C5" w:rsidRDefault="00040D10" w:rsidP="00040D10">
                      <w:pPr>
                        <w:pStyle w:val="TLKontakty"/>
                        <w:spacing w:after="80" w:line="240" w:lineRule="auto"/>
                        <w:rPr>
                          <w:color w:val="auto"/>
                        </w:rPr>
                      </w:pPr>
                    </w:p>
                    <w:p w14:paraId="5A6D54A7" w14:textId="77777777" w:rsidR="00040D10" w:rsidRPr="004A61C5" w:rsidRDefault="00040D10" w:rsidP="00040D10">
                      <w:pPr>
                        <w:pStyle w:val="TLKontakty"/>
                        <w:spacing w:after="80" w:line="240" w:lineRule="auto"/>
                        <w:rPr>
                          <w:b w:val="0"/>
                          <w:color w:val="auto"/>
                        </w:rPr>
                      </w:pPr>
                      <w:r w:rsidRPr="00EA0987">
                        <w:t>Karlovy Vary</w:t>
                      </w:r>
                      <w:r w:rsidRPr="00EA0987">
                        <w:rPr>
                          <w:b w:val="0"/>
                        </w:rPr>
                        <w:t xml:space="preserve"> </w:t>
                      </w:r>
                      <w:r w:rsidRPr="004A61C5">
                        <w:rPr>
                          <w:b w:val="0"/>
                          <w:color w:val="auto"/>
                        </w:rPr>
                        <w:t xml:space="preserve">| </w:t>
                      </w:r>
                      <w:r w:rsidRPr="00095135">
                        <w:rPr>
                          <w:b w:val="0"/>
                          <w:color w:val="auto"/>
                        </w:rPr>
                        <w:t>Závodní 360/94, 360 06 Karlovy Vary</w:t>
                      </w:r>
                      <w:r w:rsidRPr="004A61C5">
                        <w:rPr>
                          <w:b w:val="0"/>
                          <w:color w:val="auto"/>
                        </w:rPr>
                        <w:t>, tel.</w:t>
                      </w:r>
                      <w:r>
                        <w:rPr>
                          <w:b w:val="0"/>
                          <w:color w:val="auto"/>
                        </w:rPr>
                        <w:t xml:space="preserve">: </w:t>
                      </w:r>
                      <w:r w:rsidR="00C35666">
                        <w:rPr>
                          <w:b w:val="0"/>
                          <w:color w:val="auto"/>
                        </w:rPr>
                        <w:t>353 114 529</w:t>
                      </w:r>
                    </w:p>
                    <w:p w14:paraId="2F557AC3" w14:textId="77777777" w:rsidR="00040D10" w:rsidRPr="004A61C5" w:rsidRDefault="00040D10" w:rsidP="00040D10">
                      <w:pPr>
                        <w:pStyle w:val="TLKontakty"/>
                        <w:spacing w:after="80" w:line="240" w:lineRule="auto"/>
                        <w:rPr>
                          <w:b w:val="0"/>
                          <w:color w:val="auto"/>
                        </w:rPr>
                      </w:pPr>
                      <w:r w:rsidRPr="004A61C5">
                        <w:rPr>
                          <w:b w:val="0"/>
                          <w:color w:val="auto"/>
                        </w:rPr>
                        <w:t>e-mail: infoserviskv@</w:t>
                      </w:r>
                      <w:r>
                        <w:rPr>
                          <w:b w:val="0"/>
                          <w:color w:val="auto"/>
                        </w:rPr>
                        <w:t>csu.gov</w:t>
                      </w:r>
                      <w:r w:rsidRPr="00D235B7">
                        <w:rPr>
                          <w:b w:val="0"/>
                          <w:color w:val="auto"/>
                        </w:rPr>
                        <w:t>.cz</w:t>
                      </w:r>
                      <w:r w:rsidRPr="004A61C5">
                        <w:rPr>
                          <w:b w:val="0"/>
                          <w:color w:val="auto"/>
                        </w:rPr>
                        <w:t xml:space="preserve"> | </w:t>
                      </w:r>
                      <w:r w:rsidRPr="00992CF3">
                        <w:rPr>
                          <w:color w:val="auto"/>
                        </w:rPr>
                        <w:t>www.</w:t>
                      </w:r>
                      <w:r>
                        <w:rPr>
                          <w:color w:val="auto"/>
                        </w:rPr>
                        <w:t>csu.gov.cz/karlovarsky</w:t>
                      </w:r>
                    </w:p>
                    <w:p w14:paraId="7D535A7C" w14:textId="77777777" w:rsidR="00040D10" w:rsidRPr="004A61C5" w:rsidRDefault="00040D10" w:rsidP="00040D10">
                      <w:pPr>
                        <w:pStyle w:val="TLKontakty"/>
                        <w:spacing w:after="80" w:line="240" w:lineRule="auto"/>
                        <w:rPr>
                          <w:color w:val="auto"/>
                        </w:rPr>
                      </w:pPr>
                    </w:p>
                    <w:p w14:paraId="01C34A7A" w14:textId="77777777" w:rsidR="00040D10" w:rsidRPr="004A61C5" w:rsidRDefault="00040D10" w:rsidP="00040D10">
                      <w:pPr>
                        <w:pStyle w:val="TLKontakty"/>
                        <w:spacing w:after="80" w:line="240" w:lineRule="auto"/>
                        <w:rPr>
                          <w:b w:val="0"/>
                          <w:color w:val="auto"/>
                        </w:rPr>
                      </w:pPr>
                      <w:r w:rsidRPr="00EA0987">
                        <w:t>Ústí nad Labem</w:t>
                      </w:r>
                      <w:r w:rsidRPr="00EA0987">
                        <w:rPr>
                          <w:b w:val="0"/>
                        </w:rPr>
                        <w:t xml:space="preserve"> </w:t>
                      </w:r>
                      <w:r w:rsidRPr="004A61C5">
                        <w:rPr>
                          <w:b w:val="0"/>
                          <w:color w:val="auto"/>
                        </w:rPr>
                        <w:t>| Špálova 2684, 400 11 Ústí nad Labem</w:t>
                      </w:r>
                      <w:r>
                        <w:rPr>
                          <w:b w:val="0"/>
                          <w:color w:val="auto"/>
                        </w:rPr>
                        <w:t xml:space="preserve">, </w:t>
                      </w:r>
                      <w:r w:rsidRPr="004A61C5">
                        <w:rPr>
                          <w:b w:val="0"/>
                          <w:color w:val="auto"/>
                        </w:rPr>
                        <w:t>tel.</w:t>
                      </w:r>
                      <w:r>
                        <w:rPr>
                          <w:b w:val="0"/>
                          <w:color w:val="auto"/>
                        </w:rPr>
                        <w:t>: 472 706 176</w:t>
                      </w:r>
                    </w:p>
                    <w:p w14:paraId="3C0CCE83" w14:textId="77777777" w:rsidR="00040D10" w:rsidRPr="004A61C5" w:rsidRDefault="00040D10" w:rsidP="00040D10">
                      <w:pPr>
                        <w:pStyle w:val="TLKontakty"/>
                        <w:spacing w:after="80" w:line="240" w:lineRule="auto"/>
                        <w:rPr>
                          <w:b w:val="0"/>
                          <w:color w:val="auto"/>
                        </w:rPr>
                      </w:pPr>
                      <w:r w:rsidRPr="004A61C5">
                        <w:rPr>
                          <w:b w:val="0"/>
                          <w:color w:val="auto"/>
                        </w:rPr>
                        <w:t>e-mail: infoservisul@</w:t>
                      </w:r>
                      <w:r>
                        <w:rPr>
                          <w:b w:val="0"/>
                          <w:color w:val="auto"/>
                        </w:rPr>
                        <w:t>csu.gov</w:t>
                      </w:r>
                      <w:r w:rsidRPr="00D235B7">
                        <w:rPr>
                          <w:b w:val="0"/>
                          <w:color w:val="auto"/>
                        </w:rPr>
                        <w:t>.cz</w:t>
                      </w:r>
                      <w:r w:rsidRPr="004A61C5">
                        <w:rPr>
                          <w:b w:val="0"/>
                          <w:color w:val="auto"/>
                        </w:rPr>
                        <w:t xml:space="preserve"> | </w:t>
                      </w:r>
                      <w:r w:rsidRPr="00992CF3">
                        <w:rPr>
                          <w:color w:val="auto"/>
                        </w:rPr>
                        <w:t>www.</w:t>
                      </w:r>
                      <w:r>
                        <w:rPr>
                          <w:color w:val="auto"/>
                        </w:rPr>
                        <w:t>csu.gov.cz/ustecky</w:t>
                      </w:r>
                    </w:p>
                    <w:p w14:paraId="525B472A" w14:textId="77777777" w:rsidR="00040D10" w:rsidRPr="004A61C5" w:rsidRDefault="00040D10" w:rsidP="00040D10">
                      <w:pPr>
                        <w:pStyle w:val="TLKontakty"/>
                        <w:spacing w:after="80" w:line="240" w:lineRule="auto"/>
                        <w:rPr>
                          <w:color w:val="auto"/>
                        </w:rPr>
                      </w:pPr>
                    </w:p>
                    <w:p w14:paraId="12C6035B" w14:textId="77777777" w:rsidR="00040D10" w:rsidRPr="004A61C5" w:rsidRDefault="00040D10" w:rsidP="00040D10">
                      <w:pPr>
                        <w:pStyle w:val="TLKontakty"/>
                        <w:spacing w:after="80" w:line="240" w:lineRule="auto"/>
                        <w:rPr>
                          <w:b w:val="0"/>
                          <w:color w:val="auto"/>
                        </w:rPr>
                      </w:pPr>
                      <w:r w:rsidRPr="00EA0987">
                        <w:t>Liberec</w:t>
                      </w:r>
                      <w:r>
                        <w:rPr>
                          <w:b w:val="0"/>
                          <w:color w:val="auto"/>
                        </w:rPr>
                        <w:t xml:space="preserve"> | n</w:t>
                      </w:r>
                      <w:r w:rsidRPr="004A61C5">
                        <w:rPr>
                          <w:b w:val="0"/>
                          <w:color w:val="auto"/>
                        </w:rPr>
                        <w:t>ám. Dr. Edvarda</w:t>
                      </w:r>
                      <w:r>
                        <w:rPr>
                          <w:b w:val="0"/>
                          <w:color w:val="auto"/>
                        </w:rPr>
                        <w:t xml:space="preserve"> Beneše 585/26, 460 01 Liberec</w:t>
                      </w:r>
                      <w:r w:rsidRPr="004A61C5">
                        <w:rPr>
                          <w:b w:val="0"/>
                          <w:color w:val="auto"/>
                        </w:rPr>
                        <w:t>, tel.</w:t>
                      </w:r>
                      <w:r>
                        <w:rPr>
                          <w:b w:val="0"/>
                          <w:color w:val="auto"/>
                        </w:rPr>
                        <w:t xml:space="preserve">: </w:t>
                      </w:r>
                      <w:r w:rsidR="00C35666">
                        <w:rPr>
                          <w:b w:val="0"/>
                          <w:color w:val="auto"/>
                        </w:rPr>
                        <w:t>704 675 184</w:t>
                      </w:r>
                    </w:p>
                    <w:p w14:paraId="517B7F84" w14:textId="77777777" w:rsidR="00040D10" w:rsidRPr="004A61C5" w:rsidRDefault="00040D10" w:rsidP="00040D10">
                      <w:pPr>
                        <w:pStyle w:val="TLKontakty"/>
                        <w:spacing w:after="80" w:line="240" w:lineRule="auto"/>
                        <w:rPr>
                          <w:b w:val="0"/>
                          <w:color w:val="auto"/>
                        </w:rPr>
                      </w:pPr>
                      <w:r w:rsidRPr="004A61C5">
                        <w:rPr>
                          <w:b w:val="0"/>
                          <w:color w:val="auto"/>
                        </w:rPr>
                        <w:t>e-mail: infoservislbc@</w:t>
                      </w:r>
                      <w:r>
                        <w:rPr>
                          <w:b w:val="0"/>
                          <w:color w:val="auto"/>
                        </w:rPr>
                        <w:t>csu.gov</w:t>
                      </w:r>
                      <w:r w:rsidRPr="00D235B7">
                        <w:rPr>
                          <w:b w:val="0"/>
                          <w:color w:val="auto"/>
                        </w:rPr>
                        <w:t>.cz</w:t>
                      </w:r>
                      <w:r w:rsidRPr="004A61C5">
                        <w:rPr>
                          <w:b w:val="0"/>
                          <w:color w:val="auto"/>
                        </w:rPr>
                        <w:t xml:space="preserve"> | </w:t>
                      </w:r>
                      <w:r w:rsidRPr="00992CF3">
                        <w:rPr>
                          <w:color w:val="auto"/>
                        </w:rPr>
                        <w:t>www.</w:t>
                      </w:r>
                      <w:r>
                        <w:rPr>
                          <w:color w:val="auto"/>
                        </w:rPr>
                        <w:t>csu.gov.cz/liberecky</w:t>
                      </w:r>
                    </w:p>
                    <w:p w14:paraId="09D7D368" w14:textId="77777777" w:rsidR="00040D10" w:rsidRPr="004A61C5" w:rsidRDefault="00040D10" w:rsidP="00040D10">
                      <w:pPr>
                        <w:pStyle w:val="TLKontakty"/>
                        <w:spacing w:after="80" w:line="240" w:lineRule="auto"/>
                        <w:rPr>
                          <w:b w:val="0"/>
                          <w:color w:val="auto"/>
                        </w:rPr>
                      </w:pPr>
                    </w:p>
                    <w:p w14:paraId="37D5F833" w14:textId="77777777" w:rsidR="00040D10" w:rsidRPr="004A61C5" w:rsidRDefault="00040D10" w:rsidP="00040D10">
                      <w:pPr>
                        <w:pStyle w:val="TLKontakty"/>
                        <w:spacing w:after="80" w:line="240" w:lineRule="auto"/>
                        <w:rPr>
                          <w:b w:val="0"/>
                          <w:color w:val="auto"/>
                        </w:rPr>
                      </w:pPr>
                      <w:r w:rsidRPr="00EA0987">
                        <w:t>Hradec Králové</w:t>
                      </w:r>
                      <w:r w:rsidRPr="00EA0987">
                        <w:rPr>
                          <w:b w:val="0"/>
                        </w:rPr>
                        <w:t xml:space="preserve"> </w:t>
                      </w:r>
                      <w:r w:rsidRPr="004A61C5">
                        <w:rPr>
                          <w:b w:val="0"/>
                          <w:color w:val="auto"/>
                        </w:rPr>
                        <w:t>| Myslivečk</w:t>
                      </w:r>
                      <w:r>
                        <w:rPr>
                          <w:b w:val="0"/>
                          <w:color w:val="auto"/>
                        </w:rPr>
                        <w:t>ova 914, 500 03 Hradec Králové</w:t>
                      </w:r>
                      <w:r w:rsidRPr="004A61C5">
                        <w:rPr>
                          <w:b w:val="0"/>
                          <w:color w:val="auto"/>
                        </w:rPr>
                        <w:t xml:space="preserve">, </w:t>
                      </w:r>
                      <w:r>
                        <w:rPr>
                          <w:b w:val="0"/>
                          <w:color w:val="auto"/>
                        </w:rPr>
                        <w:t>tel.</w:t>
                      </w:r>
                      <w:r w:rsidRPr="007D40DF">
                        <w:rPr>
                          <w:b w:val="0"/>
                          <w:color w:val="auto"/>
                        </w:rPr>
                        <w:t>:</w:t>
                      </w:r>
                      <w:r>
                        <w:rPr>
                          <w:b w:val="0"/>
                          <w:color w:val="auto"/>
                        </w:rPr>
                        <w:t xml:space="preserve"> 495 762 322</w:t>
                      </w:r>
                    </w:p>
                    <w:p w14:paraId="269F97F1" w14:textId="77777777" w:rsidR="00040D10" w:rsidRPr="004A61C5" w:rsidRDefault="00040D10" w:rsidP="00040D10">
                      <w:pPr>
                        <w:pStyle w:val="TLKontakty"/>
                        <w:spacing w:after="80" w:line="240" w:lineRule="auto"/>
                        <w:rPr>
                          <w:b w:val="0"/>
                          <w:color w:val="auto"/>
                        </w:rPr>
                      </w:pPr>
                      <w:r w:rsidRPr="004A61C5">
                        <w:rPr>
                          <w:b w:val="0"/>
                          <w:color w:val="auto"/>
                        </w:rPr>
                        <w:t>e-mail: infoservishk@</w:t>
                      </w:r>
                      <w:r>
                        <w:rPr>
                          <w:b w:val="0"/>
                          <w:color w:val="auto"/>
                        </w:rPr>
                        <w:t>csu.gov</w:t>
                      </w:r>
                      <w:r w:rsidRPr="00D235B7">
                        <w:rPr>
                          <w:b w:val="0"/>
                          <w:color w:val="auto"/>
                        </w:rPr>
                        <w:t>.cz</w:t>
                      </w:r>
                      <w:r w:rsidRPr="004A61C5">
                        <w:rPr>
                          <w:b w:val="0"/>
                          <w:color w:val="auto"/>
                        </w:rPr>
                        <w:t xml:space="preserve"> | </w:t>
                      </w:r>
                      <w:r w:rsidRPr="00992CF3">
                        <w:rPr>
                          <w:color w:val="auto"/>
                        </w:rPr>
                        <w:t>www.</w:t>
                      </w:r>
                      <w:r>
                        <w:rPr>
                          <w:color w:val="auto"/>
                        </w:rPr>
                        <w:t>csu.gov.cz/kralovehradecky</w:t>
                      </w:r>
                    </w:p>
                    <w:p w14:paraId="5394C31B" w14:textId="77777777" w:rsidR="00040D10" w:rsidRPr="004A61C5" w:rsidRDefault="00040D10" w:rsidP="00040D10">
                      <w:pPr>
                        <w:pStyle w:val="TLKontakty"/>
                        <w:spacing w:after="80" w:line="240" w:lineRule="auto"/>
                        <w:rPr>
                          <w:color w:val="auto"/>
                        </w:rPr>
                      </w:pPr>
                    </w:p>
                    <w:p w14:paraId="0D0DB263" w14:textId="77777777" w:rsidR="00040D10" w:rsidRPr="004A61C5" w:rsidRDefault="00040D10" w:rsidP="00040D10">
                      <w:pPr>
                        <w:pStyle w:val="TLKontakty"/>
                        <w:spacing w:after="80" w:line="240" w:lineRule="auto"/>
                        <w:rPr>
                          <w:b w:val="0"/>
                          <w:color w:val="auto"/>
                        </w:rPr>
                      </w:pPr>
                      <w:r w:rsidRPr="00EA0987">
                        <w:t>Pardubice</w:t>
                      </w:r>
                      <w:r w:rsidRPr="00EA0987">
                        <w:rPr>
                          <w:b w:val="0"/>
                        </w:rPr>
                        <w:t xml:space="preserve"> </w:t>
                      </w:r>
                      <w:r w:rsidRPr="004A61C5">
                        <w:rPr>
                          <w:b w:val="0"/>
                          <w:color w:val="auto"/>
                        </w:rPr>
                        <w:t>| V Ráji 872, 531 53 Pardubice</w:t>
                      </w:r>
                      <w:r>
                        <w:rPr>
                          <w:b w:val="0"/>
                          <w:color w:val="auto"/>
                        </w:rPr>
                        <w:t xml:space="preserve">, </w:t>
                      </w:r>
                      <w:r w:rsidRPr="004A61C5">
                        <w:rPr>
                          <w:b w:val="0"/>
                          <w:color w:val="auto"/>
                        </w:rPr>
                        <w:t>tel.</w:t>
                      </w:r>
                      <w:r>
                        <w:rPr>
                          <w:b w:val="0"/>
                          <w:color w:val="auto"/>
                        </w:rPr>
                        <w:t>: 466 743 480</w:t>
                      </w:r>
                    </w:p>
                    <w:p w14:paraId="61812FB1" w14:textId="77777777" w:rsidR="00040D10" w:rsidRPr="004A61C5" w:rsidRDefault="00040D10" w:rsidP="00040D10">
                      <w:pPr>
                        <w:pStyle w:val="TLKontakty"/>
                        <w:spacing w:after="80" w:line="240" w:lineRule="auto"/>
                        <w:rPr>
                          <w:b w:val="0"/>
                          <w:color w:val="auto"/>
                        </w:rPr>
                      </w:pPr>
                      <w:r w:rsidRPr="004A61C5">
                        <w:rPr>
                          <w:b w:val="0"/>
                          <w:color w:val="auto"/>
                        </w:rPr>
                        <w:t>e-mail: infoservispa@</w:t>
                      </w:r>
                      <w:r>
                        <w:rPr>
                          <w:b w:val="0"/>
                          <w:color w:val="auto"/>
                        </w:rPr>
                        <w:t>csu.gov</w:t>
                      </w:r>
                      <w:r w:rsidRPr="00D235B7">
                        <w:rPr>
                          <w:b w:val="0"/>
                          <w:color w:val="auto"/>
                        </w:rPr>
                        <w:t>.cz</w:t>
                      </w:r>
                      <w:r w:rsidRPr="004A61C5">
                        <w:rPr>
                          <w:b w:val="0"/>
                          <w:color w:val="auto"/>
                        </w:rPr>
                        <w:t xml:space="preserve"> | </w:t>
                      </w:r>
                      <w:r w:rsidRPr="00992CF3">
                        <w:rPr>
                          <w:color w:val="auto"/>
                        </w:rPr>
                        <w:t>www.</w:t>
                      </w:r>
                      <w:r>
                        <w:rPr>
                          <w:color w:val="auto"/>
                        </w:rPr>
                        <w:t>csu.gov.cz/pardubicky</w:t>
                      </w:r>
                    </w:p>
                    <w:p w14:paraId="340F8E31" w14:textId="77777777" w:rsidR="00040D10" w:rsidRPr="004A61C5" w:rsidRDefault="00040D10" w:rsidP="00040D10">
                      <w:pPr>
                        <w:pStyle w:val="TLKontakty"/>
                        <w:spacing w:after="80" w:line="240" w:lineRule="auto"/>
                        <w:rPr>
                          <w:b w:val="0"/>
                          <w:color w:val="auto"/>
                        </w:rPr>
                      </w:pPr>
                    </w:p>
                    <w:p w14:paraId="53CEAF10" w14:textId="77777777" w:rsidR="00040D10" w:rsidRPr="004A61C5" w:rsidRDefault="00040D10" w:rsidP="00040D10">
                      <w:pPr>
                        <w:pStyle w:val="TLKontakty"/>
                        <w:spacing w:after="80" w:line="240" w:lineRule="auto"/>
                        <w:rPr>
                          <w:b w:val="0"/>
                          <w:color w:val="auto"/>
                        </w:rPr>
                      </w:pPr>
                      <w:r w:rsidRPr="00EA0987">
                        <w:t>Jihlava</w:t>
                      </w:r>
                      <w:r w:rsidRPr="004A61C5">
                        <w:rPr>
                          <w:b w:val="0"/>
                          <w:color w:val="auto"/>
                        </w:rPr>
                        <w:t xml:space="preserve"> | Ke Skalce 30,</w:t>
                      </w:r>
                      <w:r>
                        <w:rPr>
                          <w:b w:val="0"/>
                          <w:color w:val="auto"/>
                        </w:rPr>
                        <w:t xml:space="preserve"> 586 01 Jihlava, tel.: </w:t>
                      </w:r>
                      <w:r w:rsidRPr="004A61C5">
                        <w:rPr>
                          <w:b w:val="0"/>
                          <w:color w:val="auto"/>
                        </w:rPr>
                        <w:t xml:space="preserve">567 109 </w:t>
                      </w:r>
                      <w:r w:rsidR="00C35666">
                        <w:rPr>
                          <w:b w:val="0"/>
                          <w:color w:val="auto"/>
                        </w:rPr>
                        <w:t>080</w:t>
                      </w:r>
                    </w:p>
                    <w:p w14:paraId="3B1EDAAB" w14:textId="77777777" w:rsidR="00040D10" w:rsidRPr="004A61C5" w:rsidRDefault="00040D10" w:rsidP="00040D10">
                      <w:pPr>
                        <w:pStyle w:val="TLKontakty"/>
                        <w:spacing w:after="80" w:line="240" w:lineRule="auto"/>
                        <w:rPr>
                          <w:b w:val="0"/>
                          <w:color w:val="auto"/>
                        </w:rPr>
                      </w:pPr>
                      <w:r w:rsidRPr="004A61C5">
                        <w:rPr>
                          <w:b w:val="0"/>
                          <w:color w:val="auto"/>
                        </w:rPr>
                        <w:t>e-mail: infoservisvys@</w:t>
                      </w:r>
                      <w:r>
                        <w:rPr>
                          <w:b w:val="0"/>
                          <w:color w:val="auto"/>
                        </w:rPr>
                        <w:t>csu.gov</w:t>
                      </w:r>
                      <w:r w:rsidRPr="00D235B7">
                        <w:rPr>
                          <w:b w:val="0"/>
                          <w:color w:val="auto"/>
                        </w:rPr>
                        <w:t>.cz</w:t>
                      </w:r>
                      <w:r w:rsidRPr="004A61C5">
                        <w:rPr>
                          <w:b w:val="0"/>
                          <w:color w:val="auto"/>
                        </w:rPr>
                        <w:t xml:space="preserve"> | </w:t>
                      </w:r>
                      <w:r w:rsidRPr="00992CF3">
                        <w:rPr>
                          <w:color w:val="auto"/>
                        </w:rPr>
                        <w:t>www.</w:t>
                      </w:r>
                      <w:r>
                        <w:rPr>
                          <w:color w:val="auto"/>
                        </w:rPr>
                        <w:t>csu.gov.cz/vysocina</w:t>
                      </w:r>
                    </w:p>
                    <w:p w14:paraId="29B7B481" w14:textId="77777777" w:rsidR="00040D10" w:rsidRDefault="00040D10" w:rsidP="00040D10">
                      <w:pPr>
                        <w:pStyle w:val="TLKontakty"/>
                        <w:spacing w:after="80" w:line="240" w:lineRule="auto"/>
                      </w:pPr>
                    </w:p>
                    <w:p w14:paraId="07947F4D" w14:textId="77777777" w:rsidR="00040D10" w:rsidRPr="00BC731E" w:rsidRDefault="00040D10" w:rsidP="00040D10">
                      <w:pPr>
                        <w:pStyle w:val="TLKontakty"/>
                        <w:spacing w:after="80" w:line="240" w:lineRule="auto"/>
                        <w:rPr>
                          <w:b w:val="0"/>
                          <w:color w:val="auto"/>
                        </w:rPr>
                      </w:pPr>
                      <w:r w:rsidRPr="00EA0987">
                        <w:t>Brno</w:t>
                      </w:r>
                      <w:r w:rsidRPr="00DE02BD">
                        <w:rPr>
                          <w:b w:val="0"/>
                          <w:color w:val="685B7A"/>
                        </w:rPr>
                        <w:t xml:space="preserve"> </w:t>
                      </w:r>
                      <w:r w:rsidRPr="004A61C5">
                        <w:rPr>
                          <w:b w:val="0"/>
                          <w:color w:val="auto"/>
                        </w:rPr>
                        <w:t xml:space="preserve">| Jezuitská 2, 601 59 Brno, </w:t>
                      </w:r>
                      <w:r>
                        <w:rPr>
                          <w:b w:val="0"/>
                          <w:color w:val="auto"/>
                        </w:rPr>
                        <w:t xml:space="preserve">tel: </w:t>
                      </w:r>
                      <w:r w:rsidRPr="00BC731E">
                        <w:rPr>
                          <w:b w:val="0"/>
                          <w:color w:val="auto"/>
                        </w:rPr>
                        <w:t>542 528 200</w:t>
                      </w:r>
                    </w:p>
                    <w:p w14:paraId="66E4568E" w14:textId="77777777" w:rsidR="00040D10" w:rsidRPr="004A61C5" w:rsidRDefault="00040D10" w:rsidP="00040D10">
                      <w:pPr>
                        <w:pStyle w:val="TLKontakty"/>
                        <w:spacing w:after="80" w:line="240" w:lineRule="auto"/>
                        <w:rPr>
                          <w:color w:val="auto"/>
                        </w:rPr>
                      </w:pPr>
                      <w:r w:rsidRPr="004A61C5">
                        <w:rPr>
                          <w:b w:val="0"/>
                          <w:color w:val="auto"/>
                        </w:rPr>
                        <w:t>e-mail: infoservisbrno@</w:t>
                      </w:r>
                      <w:r>
                        <w:rPr>
                          <w:b w:val="0"/>
                          <w:color w:val="auto"/>
                        </w:rPr>
                        <w:t>csu.gov</w:t>
                      </w:r>
                      <w:r w:rsidRPr="00D235B7">
                        <w:rPr>
                          <w:b w:val="0"/>
                          <w:color w:val="auto"/>
                        </w:rPr>
                        <w:t>.cz</w:t>
                      </w:r>
                      <w:r w:rsidRPr="004A61C5">
                        <w:rPr>
                          <w:b w:val="0"/>
                          <w:color w:val="auto"/>
                        </w:rPr>
                        <w:t xml:space="preserve"> | </w:t>
                      </w:r>
                      <w:r w:rsidRPr="00992CF3">
                        <w:rPr>
                          <w:color w:val="auto"/>
                        </w:rPr>
                        <w:t>www.</w:t>
                      </w:r>
                      <w:r>
                        <w:rPr>
                          <w:color w:val="auto"/>
                        </w:rPr>
                        <w:t>csu.gov.cz/jihomoravsky</w:t>
                      </w:r>
                    </w:p>
                    <w:p w14:paraId="60D97E85" w14:textId="77777777" w:rsidR="00040D10" w:rsidRPr="004A61C5" w:rsidRDefault="00040D10" w:rsidP="00040D10">
                      <w:pPr>
                        <w:pStyle w:val="TLKontakty"/>
                        <w:spacing w:after="80" w:line="240" w:lineRule="auto"/>
                        <w:rPr>
                          <w:b w:val="0"/>
                          <w:color w:val="auto"/>
                        </w:rPr>
                      </w:pPr>
                    </w:p>
                    <w:p w14:paraId="12D7949A" w14:textId="77777777" w:rsidR="00040D10" w:rsidRPr="005E7C78" w:rsidRDefault="00040D10" w:rsidP="00040D10">
                      <w:pPr>
                        <w:pStyle w:val="TLKontakty"/>
                        <w:spacing w:after="80" w:line="240" w:lineRule="auto"/>
                        <w:rPr>
                          <w:b w:val="0"/>
                          <w:color w:val="auto"/>
                        </w:rPr>
                      </w:pPr>
                      <w:r w:rsidRPr="00EA0987">
                        <w:t>Olomouc</w:t>
                      </w:r>
                      <w:r w:rsidRPr="005E7C78">
                        <w:rPr>
                          <w:b w:val="0"/>
                          <w:color w:val="auto"/>
                        </w:rPr>
                        <w:t xml:space="preserve"> | Jeremenkova 1142/42, 772 11 Olomouc, </w:t>
                      </w:r>
                      <w:r>
                        <w:rPr>
                          <w:b w:val="0"/>
                          <w:color w:val="auto"/>
                        </w:rPr>
                        <w:t xml:space="preserve">tel.: </w:t>
                      </w:r>
                      <w:r w:rsidRPr="00BC731E">
                        <w:rPr>
                          <w:b w:val="0"/>
                          <w:color w:val="auto"/>
                        </w:rPr>
                        <w:t>585 731 511</w:t>
                      </w:r>
                    </w:p>
                    <w:p w14:paraId="736C9B14" w14:textId="77777777" w:rsidR="00040D10" w:rsidRPr="005E7C78" w:rsidRDefault="00040D10" w:rsidP="00040D10">
                      <w:pPr>
                        <w:pStyle w:val="TLKontakty"/>
                        <w:spacing w:after="80" w:line="240" w:lineRule="auto"/>
                        <w:rPr>
                          <w:b w:val="0"/>
                          <w:color w:val="auto"/>
                        </w:rPr>
                      </w:pPr>
                      <w:r w:rsidRPr="005E7C78">
                        <w:rPr>
                          <w:b w:val="0"/>
                          <w:color w:val="auto"/>
                        </w:rPr>
                        <w:t>e-mail: infoservisolom@</w:t>
                      </w:r>
                      <w:r>
                        <w:rPr>
                          <w:b w:val="0"/>
                          <w:color w:val="auto"/>
                        </w:rPr>
                        <w:t>csu.gov</w:t>
                      </w:r>
                      <w:r w:rsidRPr="00D235B7">
                        <w:rPr>
                          <w:b w:val="0"/>
                          <w:color w:val="auto"/>
                        </w:rPr>
                        <w:t>.cz</w:t>
                      </w:r>
                      <w:r w:rsidRPr="005E7C78">
                        <w:rPr>
                          <w:b w:val="0"/>
                          <w:color w:val="auto"/>
                        </w:rPr>
                        <w:t xml:space="preserve"> | </w:t>
                      </w:r>
                      <w:r w:rsidRPr="00992CF3">
                        <w:rPr>
                          <w:color w:val="auto"/>
                        </w:rPr>
                        <w:t>www.</w:t>
                      </w:r>
                      <w:r>
                        <w:rPr>
                          <w:color w:val="auto"/>
                        </w:rPr>
                        <w:t>csu.gov.cz/olomoucky</w:t>
                      </w:r>
                    </w:p>
                    <w:p w14:paraId="288644E1" w14:textId="77777777" w:rsidR="00040D10" w:rsidRPr="005E7C78" w:rsidRDefault="00040D10" w:rsidP="00040D10">
                      <w:pPr>
                        <w:pStyle w:val="TLKontakty"/>
                        <w:spacing w:after="80" w:line="240" w:lineRule="auto"/>
                        <w:rPr>
                          <w:b w:val="0"/>
                          <w:color w:val="auto"/>
                        </w:rPr>
                      </w:pPr>
                    </w:p>
                    <w:p w14:paraId="420D33E5" w14:textId="77777777" w:rsidR="00040D10" w:rsidRPr="005E7C78" w:rsidRDefault="00040D10" w:rsidP="00040D10">
                      <w:pPr>
                        <w:pStyle w:val="TLKontakty"/>
                        <w:spacing w:after="80" w:line="240" w:lineRule="auto"/>
                        <w:rPr>
                          <w:b w:val="0"/>
                          <w:color w:val="auto"/>
                        </w:rPr>
                      </w:pPr>
                      <w:r w:rsidRPr="00EA0987">
                        <w:t>Zlín</w:t>
                      </w:r>
                      <w:r w:rsidRPr="00EA0987">
                        <w:rPr>
                          <w:b w:val="0"/>
                        </w:rPr>
                        <w:t xml:space="preserve"> </w:t>
                      </w:r>
                      <w:r w:rsidRPr="005E7C78">
                        <w:rPr>
                          <w:b w:val="0"/>
                          <w:color w:val="auto"/>
                        </w:rPr>
                        <w:t>| tř</w:t>
                      </w:r>
                      <w:r>
                        <w:rPr>
                          <w:b w:val="0"/>
                          <w:color w:val="auto"/>
                        </w:rPr>
                        <w:t>ída</w:t>
                      </w:r>
                      <w:r w:rsidRPr="005E7C78">
                        <w:rPr>
                          <w:b w:val="0"/>
                          <w:color w:val="auto"/>
                        </w:rPr>
                        <w:t xml:space="preserve"> Tomáše Bati 1565, 761 76 Zlín, </w:t>
                      </w:r>
                      <w:r>
                        <w:rPr>
                          <w:b w:val="0"/>
                          <w:color w:val="auto"/>
                        </w:rPr>
                        <w:t>tel.: 577 004 936</w:t>
                      </w:r>
                    </w:p>
                    <w:p w14:paraId="0F8CAEF6" w14:textId="77777777" w:rsidR="00040D10" w:rsidRDefault="00040D10" w:rsidP="00040D10">
                      <w:pPr>
                        <w:pStyle w:val="TLKontakty"/>
                        <w:spacing w:after="80" w:line="240" w:lineRule="auto"/>
                        <w:rPr>
                          <w:color w:val="auto"/>
                        </w:rPr>
                      </w:pPr>
                      <w:r>
                        <w:rPr>
                          <w:b w:val="0"/>
                          <w:color w:val="auto"/>
                        </w:rPr>
                        <w:t>e-mail: infoservis</w:t>
                      </w:r>
                      <w:r w:rsidRPr="005E7C78">
                        <w:rPr>
                          <w:b w:val="0"/>
                          <w:color w:val="auto"/>
                        </w:rPr>
                        <w:t>zl@</w:t>
                      </w:r>
                      <w:r>
                        <w:rPr>
                          <w:b w:val="0"/>
                          <w:color w:val="auto"/>
                        </w:rPr>
                        <w:t>csu.gov</w:t>
                      </w:r>
                      <w:r w:rsidRPr="00D235B7">
                        <w:rPr>
                          <w:b w:val="0"/>
                          <w:color w:val="auto"/>
                        </w:rPr>
                        <w:t>.cz</w:t>
                      </w:r>
                      <w:r w:rsidRPr="005E7C78">
                        <w:rPr>
                          <w:b w:val="0"/>
                          <w:color w:val="auto"/>
                        </w:rPr>
                        <w:t xml:space="preserve"> | </w:t>
                      </w:r>
                      <w:r w:rsidRPr="00992CF3">
                        <w:rPr>
                          <w:color w:val="auto"/>
                        </w:rPr>
                        <w:t>www.</w:t>
                      </w:r>
                      <w:r>
                        <w:rPr>
                          <w:color w:val="auto"/>
                        </w:rPr>
                        <w:t>csu.gov.cz/zlinsky</w:t>
                      </w:r>
                    </w:p>
                    <w:p w14:paraId="2320D3E2" w14:textId="77777777" w:rsidR="00040D10" w:rsidRPr="005E7C78" w:rsidRDefault="00040D10" w:rsidP="00040D10">
                      <w:pPr>
                        <w:pStyle w:val="TLKontakty"/>
                        <w:spacing w:after="80" w:line="240" w:lineRule="auto"/>
                        <w:rPr>
                          <w:b w:val="0"/>
                          <w:color w:val="auto"/>
                        </w:rPr>
                      </w:pPr>
                    </w:p>
                    <w:p w14:paraId="3D6D47A3" w14:textId="77777777" w:rsidR="00040D10" w:rsidRPr="005E7C78" w:rsidRDefault="00040D10" w:rsidP="00040D10">
                      <w:pPr>
                        <w:pStyle w:val="TLKontakty"/>
                        <w:spacing w:after="80" w:line="240" w:lineRule="auto"/>
                        <w:rPr>
                          <w:b w:val="0"/>
                          <w:color w:val="auto"/>
                        </w:rPr>
                      </w:pPr>
                      <w:r w:rsidRPr="00EA0987">
                        <w:t>Ostrava</w:t>
                      </w:r>
                      <w:r w:rsidRPr="00EA0987">
                        <w:rPr>
                          <w:b w:val="0"/>
                        </w:rPr>
                        <w:t xml:space="preserve"> </w:t>
                      </w:r>
                      <w:r w:rsidRPr="005E7C78">
                        <w:rPr>
                          <w:b w:val="0"/>
                          <w:color w:val="auto"/>
                        </w:rPr>
                        <w:t>| Repinova 17, 702 03 Ostrava,</w:t>
                      </w:r>
                      <w:r>
                        <w:rPr>
                          <w:b w:val="0"/>
                          <w:color w:val="auto"/>
                        </w:rPr>
                        <w:t xml:space="preserve"> tel: 595 131 230</w:t>
                      </w:r>
                    </w:p>
                    <w:p w14:paraId="24621D72" w14:textId="77777777" w:rsidR="00763B85" w:rsidRPr="00095135" w:rsidRDefault="00040D10" w:rsidP="00825C4D">
                      <w:pPr>
                        <w:pStyle w:val="TLKontakty"/>
                        <w:spacing w:after="80" w:line="240" w:lineRule="auto"/>
                        <w:rPr>
                          <w:b w:val="0"/>
                          <w:color w:val="auto"/>
                        </w:rPr>
                      </w:pPr>
                      <w:r>
                        <w:rPr>
                          <w:b w:val="0"/>
                          <w:color w:val="auto"/>
                        </w:rPr>
                        <w:t>e-mail: infoservis</w:t>
                      </w:r>
                      <w:r w:rsidRPr="005E7C78">
                        <w:rPr>
                          <w:b w:val="0"/>
                          <w:color w:val="auto"/>
                        </w:rPr>
                        <w:t>ov@</w:t>
                      </w:r>
                      <w:r>
                        <w:rPr>
                          <w:b w:val="0"/>
                          <w:color w:val="auto"/>
                        </w:rPr>
                        <w:t>csu.gov</w:t>
                      </w:r>
                      <w:r w:rsidRPr="00D235B7">
                        <w:rPr>
                          <w:b w:val="0"/>
                          <w:color w:val="auto"/>
                        </w:rPr>
                        <w:t>.cz</w:t>
                      </w:r>
                      <w:r w:rsidRPr="005E7C78">
                        <w:rPr>
                          <w:b w:val="0"/>
                          <w:color w:val="auto"/>
                        </w:rPr>
                        <w:t xml:space="preserve"> | </w:t>
                      </w:r>
                      <w:r w:rsidRPr="00992CF3">
                        <w:rPr>
                          <w:color w:val="auto"/>
                        </w:rPr>
                        <w:t>www.</w:t>
                      </w:r>
                      <w:r>
                        <w:rPr>
                          <w:color w:val="auto"/>
                        </w:rPr>
                        <w:t>csu.gov.cz/moravskoslezsky</w:t>
                      </w:r>
                    </w:p>
                  </w:txbxContent>
                </v:textbox>
                <w10:wrap anchorx="page" anchory="page"/>
                <w10:anchorlock/>
              </v:shape>
            </w:pict>
          </mc:Fallback>
        </mc:AlternateContent>
      </w:r>
      <w:r w:rsidR="00D57677">
        <w:rPr>
          <w:noProof/>
        </w:rPr>
        <mc:AlternateContent>
          <mc:Choice Requires="wps">
            <w:drawing>
              <wp:anchor distT="0" distB="0" distL="114300" distR="114300" simplePos="0" relativeHeight="251661824" behindDoc="0" locked="1" layoutInCell="1" allowOverlap="1" wp14:anchorId="21525CDF" wp14:editId="6FC1A47C">
                <wp:simplePos x="0" y="0"/>
                <wp:positionH relativeFrom="page">
                  <wp:posOffset>720090</wp:posOffset>
                </wp:positionH>
                <wp:positionV relativeFrom="page">
                  <wp:posOffset>9324975</wp:posOffset>
                </wp:positionV>
                <wp:extent cx="6120000" cy="540000"/>
                <wp:effectExtent l="0" t="0" r="14605" b="1270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0" cy="5400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179B330" w14:textId="77777777" w:rsidR="000D3ACB" w:rsidRDefault="000D3ACB" w:rsidP="00884AD6">
                            <w:pPr>
                              <w:rPr>
                                <w:szCs w:val="26"/>
                              </w:rPr>
                            </w:pPr>
                          </w:p>
                          <w:p w14:paraId="51E88E37" w14:textId="07088758" w:rsidR="00884AD6" w:rsidRPr="00321924" w:rsidRDefault="00884AD6" w:rsidP="00884AD6">
                            <w:r w:rsidRPr="00321924">
                              <w:t xml:space="preserve">© Český statistický úřad, </w:t>
                            </w:r>
                            <w:r w:rsidR="000D3ACB">
                              <w:t>Praha, 2026</w:t>
                            </w:r>
                          </w:p>
                          <w:p w14:paraId="61A4ADBE" w14:textId="77777777" w:rsidR="00763B85" w:rsidRDefault="00763B85"/>
                          <w:p w14:paraId="05AA4318" w14:textId="77777777" w:rsidR="00763B85" w:rsidRPr="00841D9F" w:rsidRDefault="00763B85" w:rsidP="000A3A2C">
                            <w:r w:rsidRPr="00841D9F">
                              <w:rPr>
                                <w:szCs w:val="26"/>
                              </w:rPr>
                              <w:t xml:space="preserve">ISBN XX-XXXX-XXX-X  </w:t>
                            </w:r>
                            <w:r w:rsidRPr="00841D9F">
                              <w:t>(pouze u nepravidelných a ročních publikací)</w:t>
                            </w:r>
                          </w:p>
                          <w:p w14:paraId="6FDCA6DD" w14:textId="77777777" w:rsidR="00763B85" w:rsidRPr="00AF2852" w:rsidRDefault="00763B85" w:rsidP="000A3A2C">
                            <w:r w:rsidRPr="00841D9F">
                              <w:t>© Český sta</w:t>
                            </w:r>
                            <w:r>
                              <w:t xml:space="preserve">tistický úřad / </w:t>
                            </w:r>
                            <w:r w:rsidRPr="009A1902">
                              <w:rPr>
                                <w:i/>
                              </w:rPr>
                              <w:t xml:space="preserve">Czech </w:t>
                            </w:r>
                            <w:proofErr w:type="spellStart"/>
                            <w:r w:rsidRPr="009A1902">
                              <w:rPr>
                                <w:rFonts w:cs="Arial"/>
                                <w:i/>
                                <w:szCs w:val="20"/>
                              </w:rPr>
                              <w:t>Statistical</w:t>
                            </w:r>
                            <w:proofErr w:type="spellEnd"/>
                            <w:r w:rsidRPr="009A1902">
                              <w:rPr>
                                <w:rFonts w:cs="Arial"/>
                                <w:i/>
                                <w:szCs w:val="20"/>
                              </w:rPr>
                              <w:t xml:space="preserve"> Office</w:t>
                            </w:r>
                            <w:r>
                              <w:t>, místo, rok vydání</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525CDF" id="_x0000_s1038" type="#_x0000_t202" style="position:absolute;margin-left:56.7pt;margin-top:734.25pt;width:481.9pt;height:42.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" filled="f" stroked="f">
                <v:textbox inset="0,0,0,0">
                  <w:txbxContent>
                    <w:p w14:paraId="3179B330" w14:textId="77777777" w:rsidR="000D3ACB" w:rsidRDefault="000D3ACB" w:rsidP="00884AD6">
                      <w:pPr>
                        <w:rPr>
                          <w:szCs w:val="26"/>
                        </w:rPr>
                      </w:pPr>
                    </w:p>
                    <w:p w14:paraId="51E88E37" w14:textId="07088758" w:rsidR="00884AD6" w:rsidRPr="00321924" w:rsidRDefault="00884AD6" w:rsidP="00884AD6">
                      <w:r w:rsidRPr="00321924">
                        <w:t xml:space="preserve">© Český statistický úřad, </w:t>
                      </w:r>
                      <w:r w:rsidR="000D3ACB">
                        <w:t>Praha, 2026</w:t>
                      </w:r>
                    </w:p>
                    <w:p w14:paraId="61A4ADBE" w14:textId="77777777" w:rsidR="00763B85" w:rsidRDefault="00763B85"/>
                    <w:p w14:paraId="05AA4318" w14:textId="77777777" w:rsidR="00763B85" w:rsidRPr="00841D9F" w:rsidRDefault="00763B85" w:rsidP="000A3A2C">
                      <w:r w:rsidRPr="00841D9F">
                        <w:rPr>
                          <w:szCs w:val="26"/>
                        </w:rPr>
                        <w:t xml:space="preserve">ISBN XX-XXXX-XXX-X  </w:t>
                      </w:r>
                      <w:r w:rsidRPr="00841D9F">
                        <w:t>(pouze u nepravidelných a ročních publikací)</w:t>
                      </w:r>
                    </w:p>
                    <w:p w14:paraId="6FDCA6DD" w14:textId="77777777" w:rsidR="00763B85" w:rsidRPr="00AF2852" w:rsidRDefault="00763B85" w:rsidP="000A3A2C">
                      <w:r w:rsidRPr="00841D9F">
                        <w:t>© Český sta</w:t>
                      </w:r>
                      <w:r>
                        <w:t xml:space="preserve">tistický úřad / </w:t>
                      </w:r>
                      <w:r w:rsidRPr="009A1902">
                        <w:rPr>
                          <w:i/>
                        </w:rPr>
                        <w:t xml:space="preserve">Czech </w:t>
                      </w:r>
                      <w:proofErr w:type="spellStart"/>
                      <w:r w:rsidRPr="009A1902">
                        <w:rPr>
                          <w:rFonts w:cs="Arial"/>
                          <w:i/>
                          <w:szCs w:val="20"/>
                        </w:rPr>
                        <w:t>Statistical</w:t>
                      </w:r>
                      <w:proofErr w:type="spellEnd"/>
                      <w:r w:rsidRPr="009A1902">
                        <w:rPr>
                          <w:rFonts w:cs="Arial"/>
                          <w:i/>
                          <w:szCs w:val="20"/>
                        </w:rPr>
                        <w:t xml:space="preserve"> Office</w:t>
                      </w:r>
                      <w:r>
                        <w:t>, místo, rok vydání</w:t>
                      </w:r>
                    </w:p>
                  </w:txbxContent>
                </v:textbox>
                <w10:wrap anchorx="page" anchory="page"/>
                <w10:anchorlock/>
              </v:shape>
            </w:pict>
          </mc:Fallback>
        </mc:AlternateContent>
      </w:r>
      <w:r w:rsidR="00D57677">
        <w:rPr>
          <w:noProof/>
        </w:rPr>
        <mc:AlternateContent>
          <mc:Choice Requires="wps">
            <w:drawing>
              <wp:anchor distT="0" distB="0" distL="114300" distR="114300" simplePos="0" relativeHeight="251660800" behindDoc="0" locked="1" layoutInCell="1" allowOverlap="1" wp14:anchorId="72D02234" wp14:editId="35BD1A28">
                <wp:simplePos x="0" y="0"/>
                <wp:positionH relativeFrom="page">
                  <wp:posOffset>723265</wp:posOffset>
                </wp:positionH>
                <wp:positionV relativeFrom="page">
                  <wp:posOffset>723265</wp:posOffset>
                </wp:positionV>
                <wp:extent cx="6119495" cy="555625"/>
                <wp:effectExtent l="0" t="0" r="2540" b="0"/>
                <wp:wrapNone/>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55562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654DDD9" w14:textId="77777777" w:rsidR="00763B85" w:rsidRPr="009A1902" w:rsidRDefault="00763B85" w:rsidP="00214CF7">
                            <w:pPr>
                              <w:jc w:val="left"/>
                              <w:rPr>
                                <w:b/>
                                <w:bCs/>
                                <w:i/>
                                <w:sz w:val="24"/>
                              </w:rPr>
                            </w:pPr>
                            <w:r w:rsidRPr="00EA0987">
                              <w:rPr>
                                <w:b/>
                                <w:color w:val="86BF5E"/>
                                <w:sz w:val="24"/>
                              </w:rPr>
                              <w:t xml:space="preserve">Zajímají Vás nejnovější údaje o inflaci, HDP, obyvatelstvu, průměrných mzdách </w:t>
                            </w:r>
                            <w:r w:rsidRPr="00EA0987">
                              <w:rPr>
                                <w:b/>
                                <w:color w:val="86BF5E"/>
                                <w:sz w:val="24"/>
                              </w:rPr>
                              <w:br/>
                              <w:t xml:space="preserve">a mnohé další? Najdete je na stránkách ČSÚ na internetu: </w:t>
                            </w:r>
                            <w:r w:rsidR="00760EA4">
                              <w:rPr>
                                <w:b/>
                                <w:bCs/>
                                <w:sz w:val="24"/>
                              </w:rPr>
                              <w:t>www.csu.gov</w:t>
                            </w:r>
                            <w:r>
                              <w:rPr>
                                <w:b/>
                                <w:bCs/>
                                <w:sz w:val="24"/>
                              </w:rPr>
                              <w:t>.cz</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72D02234" id="_x0000_s1039" type="#_x0000_t202" style="position:absolute;margin-left:56.95pt;margin-top:56.95pt;width:481.85pt;height:43.7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" filled="f" stroked="f">
                <v:textbox style="mso-fit-shape-to-text:t" inset="0,0,0,0">
                  <w:txbxContent>
                    <w:p w14:paraId="6654DDD9" w14:textId="77777777" w:rsidR="00763B85" w:rsidRPr="009A1902" w:rsidRDefault="00763B85" w:rsidP="00214CF7">
                      <w:pPr>
                        <w:jc w:val="left"/>
                        <w:rPr>
                          <w:b/>
                          <w:bCs/>
                          <w:i/>
                          <w:sz w:val="24"/>
                        </w:rPr>
                      </w:pPr>
                      <w:r w:rsidRPr="00EA0987">
                        <w:rPr>
                          <w:b/>
                          <w:color w:val="86BF5E"/>
                          <w:sz w:val="24"/>
                        </w:rPr>
                        <w:t xml:space="preserve">Zajímají Vás nejnovější údaje o inflaci, HDP, obyvatelstvu, průměrných mzdách </w:t>
                      </w:r>
                      <w:r w:rsidRPr="00EA0987">
                        <w:rPr>
                          <w:b/>
                          <w:color w:val="86BF5E"/>
                          <w:sz w:val="24"/>
                        </w:rPr>
                        <w:br/>
                        <w:t xml:space="preserve">a mnohé další? Najdete je na stránkách ČSÚ na internetu: </w:t>
                      </w:r>
                      <w:r w:rsidR="00760EA4">
                        <w:rPr>
                          <w:b/>
                          <w:bCs/>
                          <w:sz w:val="24"/>
                        </w:rPr>
                        <w:t>www.csu.gov</w:t>
                      </w:r>
                      <w:r>
                        <w:rPr>
                          <w:b/>
                          <w:bCs/>
                          <w:sz w:val="24"/>
                        </w:rPr>
                        <w:t>.cz</w:t>
                      </w:r>
                    </w:p>
                  </w:txbxContent>
                </v:textbox>
                <w10:wrap anchorx="page" anchory="page"/>
                <w10:anchorlock/>
              </v:shape>
            </w:pict>
          </mc:Fallback>
        </mc:AlternateContent>
      </w:r>
    </w:p>
    <w:p w14:paraId="360C9632" w14:textId="77777777" w:rsidR="00EE4B1B" w:rsidRPr="006F5416" w:rsidRDefault="00EE4B1B" w:rsidP="006F5416">
      <w:pPr>
        <w:pStyle w:val="Obsah"/>
      </w:pPr>
      <w:r w:rsidRPr="006F5416">
        <w:lastRenderedPageBreak/>
        <w:t>Obsah</w:t>
      </w:r>
    </w:p>
    <w:sdt>
      <w:sdtPr>
        <w:id w:val="1871641961"/>
        <w:docPartObj>
          <w:docPartGallery w:val="Table of Contents"/>
          <w:docPartUnique/>
        </w:docPartObj>
      </w:sdtPr>
      <w:sdtEndPr>
        <w:rPr>
          <w:b/>
          <w:bCs/>
        </w:rPr>
      </w:sdtEndPr>
      <w:sdtContent>
        <w:p w14:paraId="7F20E525" w14:textId="1935F238" w:rsidR="0036073B" w:rsidRDefault="004150B9">
          <w:pPr>
            <w:pStyle w:val="Obsah1"/>
            <w:rPr>
              <w:rFonts w:asciiTheme="minorHAnsi" w:eastAsiaTheme="minorEastAsia" w:hAnsiTheme="minorHAnsi" w:cstheme="minorBidi"/>
              <w:noProof/>
              <w:kern w:val="2"/>
              <w:sz w:val="24"/>
              <w:lang w:eastAsia="ko-KR"/>
              <w14:ligatures w14:val="standardContextual"/>
            </w:rPr>
          </w:pPr>
          <w:r>
            <w:fldChar w:fldCharType="begin"/>
          </w:r>
          <w:r>
            <w:instrText xml:space="preserve"> TOC \o "1-3" \h \z \u </w:instrText>
          </w:r>
          <w:r>
            <w:fldChar w:fldCharType="separate"/>
          </w:r>
          <w:hyperlink w:anchor="_Toc240366892" w:history="1">
            <w:r w:rsidR="0036073B" w:rsidRPr="00AC5F78">
              <w:rPr>
                <w:rStyle w:val="Hypertextovodkaz"/>
                <w:noProof/>
              </w:rPr>
              <w:t>1. Shrnutí</w:t>
            </w:r>
            <w:r w:rsidR="0036073B">
              <w:rPr>
                <w:noProof/>
                <w:webHidden/>
              </w:rPr>
              <w:tab/>
            </w:r>
            <w:r w:rsidR="0036073B">
              <w:rPr>
                <w:noProof/>
                <w:webHidden/>
              </w:rPr>
              <w:fldChar w:fldCharType="begin"/>
            </w:r>
            <w:r w:rsidR="0036073B">
              <w:rPr>
                <w:noProof/>
                <w:webHidden/>
              </w:rPr>
              <w:instrText xml:space="preserve"> PAGEREF _Toc240366892 \h </w:instrText>
            </w:r>
            <w:r w:rsidR="0036073B">
              <w:rPr>
                <w:noProof/>
                <w:webHidden/>
              </w:rPr>
            </w:r>
            <w:r w:rsidR="0036073B">
              <w:rPr>
                <w:noProof/>
                <w:webHidden/>
              </w:rPr>
              <w:fldChar w:fldCharType="separate"/>
            </w:r>
            <w:r w:rsidR="0036073B">
              <w:rPr>
                <w:noProof/>
                <w:webHidden/>
              </w:rPr>
              <w:t>4</w:t>
            </w:r>
            <w:r w:rsidR="0036073B">
              <w:rPr>
                <w:noProof/>
                <w:webHidden/>
              </w:rPr>
              <w:fldChar w:fldCharType="end"/>
            </w:r>
          </w:hyperlink>
        </w:p>
        <w:p w14:paraId="2C03BC69" w14:textId="41641A07" w:rsidR="0036073B" w:rsidRDefault="0036073B">
          <w:pPr>
            <w:pStyle w:val="Obsah1"/>
            <w:rPr>
              <w:rFonts w:asciiTheme="minorHAnsi" w:eastAsiaTheme="minorEastAsia" w:hAnsiTheme="minorHAnsi" w:cstheme="minorBidi"/>
              <w:noProof/>
              <w:kern w:val="2"/>
              <w:sz w:val="24"/>
              <w:lang w:eastAsia="ko-KR"/>
              <w14:ligatures w14:val="standardContextual"/>
            </w:rPr>
          </w:pPr>
          <w:hyperlink w:anchor="_Toc240366893" w:history="1">
            <w:r w:rsidRPr="00AC5F78">
              <w:rPr>
                <w:rStyle w:val="Hypertextovodkaz"/>
                <w:noProof/>
              </w:rPr>
              <w:t>2. Souhrnná výkonnost</w:t>
            </w:r>
            <w:r>
              <w:rPr>
                <w:noProof/>
                <w:webHidden/>
              </w:rPr>
              <w:tab/>
            </w:r>
            <w:r>
              <w:rPr>
                <w:noProof/>
                <w:webHidden/>
              </w:rPr>
              <w:fldChar w:fldCharType="begin"/>
            </w:r>
            <w:r>
              <w:rPr>
                <w:noProof/>
                <w:webHidden/>
              </w:rPr>
              <w:instrText xml:space="preserve"> PAGEREF _Toc240366893 \h </w:instrText>
            </w:r>
            <w:r>
              <w:rPr>
                <w:noProof/>
                <w:webHidden/>
              </w:rPr>
            </w:r>
            <w:r>
              <w:rPr>
                <w:noProof/>
                <w:webHidden/>
              </w:rPr>
              <w:fldChar w:fldCharType="separate"/>
            </w:r>
            <w:r>
              <w:rPr>
                <w:noProof/>
                <w:webHidden/>
              </w:rPr>
              <w:t>6</w:t>
            </w:r>
            <w:r>
              <w:rPr>
                <w:noProof/>
                <w:webHidden/>
              </w:rPr>
              <w:fldChar w:fldCharType="end"/>
            </w:r>
          </w:hyperlink>
        </w:p>
        <w:p w14:paraId="265FDC24" w14:textId="2580A8FB" w:rsidR="0036073B" w:rsidRDefault="0036073B">
          <w:pPr>
            <w:pStyle w:val="Obsah1"/>
            <w:rPr>
              <w:rFonts w:asciiTheme="minorHAnsi" w:eastAsiaTheme="minorEastAsia" w:hAnsiTheme="minorHAnsi" w:cstheme="minorBidi"/>
              <w:noProof/>
              <w:kern w:val="2"/>
              <w:sz w:val="24"/>
              <w:lang w:eastAsia="ko-KR"/>
              <w14:ligatures w14:val="standardContextual"/>
            </w:rPr>
          </w:pPr>
          <w:hyperlink w:anchor="_Toc240366894" w:history="1">
            <w:r w:rsidRPr="00AC5F78">
              <w:rPr>
                <w:rStyle w:val="Hypertextovodkaz"/>
                <w:noProof/>
              </w:rPr>
              <w:t>3. Výkonnost odvětví</w:t>
            </w:r>
            <w:r>
              <w:rPr>
                <w:noProof/>
                <w:webHidden/>
              </w:rPr>
              <w:tab/>
            </w:r>
            <w:r>
              <w:rPr>
                <w:noProof/>
                <w:webHidden/>
              </w:rPr>
              <w:fldChar w:fldCharType="begin"/>
            </w:r>
            <w:r>
              <w:rPr>
                <w:noProof/>
                <w:webHidden/>
              </w:rPr>
              <w:instrText xml:space="preserve"> PAGEREF _Toc240366894 \h </w:instrText>
            </w:r>
            <w:r>
              <w:rPr>
                <w:noProof/>
                <w:webHidden/>
              </w:rPr>
            </w:r>
            <w:r>
              <w:rPr>
                <w:noProof/>
                <w:webHidden/>
              </w:rPr>
              <w:fldChar w:fldCharType="separate"/>
            </w:r>
            <w:r>
              <w:rPr>
                <w:noProof/>
                <w:webHidden/>
              </w:rPr>
              <w:t>12</w:t>
            </w:r>
            <w:r>
              <w:rPr>
                <w:noProof/>
                <w:webHidden/>
              </w:rPr>
              <w:fldChar w:fldCharType="end"/>
            </w:r>
          </w:hyperlink>
        </w:p>
        <w:p w14:paraId="468D1C4E" w14:textId="3CF3FF10" w:rsidR="0036073B" w:rsidRDefault="0036073B">
          <w:pPr>
            <w:pStyle w:val="Obsah3"/>
            <w:rPr>
              <w:rFonts w:asciiTheme="minorHAnsi" w:eastAsiaTheme="minorEastAsia" w:hAnsiTheme="minorHAnsi" w:cstheme="minorBidi"/>
              <w:noProof/>
              <w:kern w:val="2"/>
              <w:sz w:val="24"/>
              <w:lang w:eastAsia="ko-KR"/>
              <w14:ligatures w14:val="standardContextual"/>
            </w:rPr>
          </w:pPr>
          <w:hyperlink w:anchor="_Toc240366895" w:history="1">
            <w:r w:rsidRPr="00AC5F78">
              <w:rPr>
                <w:rStyle w:val="Hypertextovodkaz"/>
                <w:noProof/>
                <w:lang w:eastAsia="en-US"/>
              </w:rPr>
              <w:t>3.1 Zemědělství a průmysl</w:t>
            </w:r>
            <w:r>
              <w:rPr>
                <w:noProof/>
                <w:webHidden/>
              </w:rPr>
              <w:tab/>
            </w:r>
            <w:r>
              <w:rPr>
                <w:noProof/>
                <w:webHidden/>
              </w:rPr>
              <w:fldChar w:fldCharType="begin"/>
            </w:r>
            <w:r>
              <w:rPr>
                <w:noProof/>
                <w:webHidden/>
              </w:rPr>
              <w:instrText xml:space="preserve"> PAGEREF _Toc240366895 \h </w:instrText>
            </w:r>
            <w:r>
              <w:rPr>
                <w:noProof/>
                <w:webHidden/>
              </w:rPr>
            </w:r>
            <w:r>
              <w:rPr>
                <w:noProof/>
                <w:webHidden/>
              </w:rPr>
              <w:fldChar w:fldCharType="separate"/>
            </w:r>
            <w:r>
              <w:rPr>
                <w:noProof/>
                <w:webHidden/>
              </w:rPr>
              <w:t>12</w:t>
            </w:r>
            <w:r>
              <w:rPr>
                <w:noProof/>
                <w:webHidden/>
              </w:rPr>
              <w:fldChar w:fldCharType="end"/>
            </w:r>
          </w:hyperlink>
        </w:p>
        <w:p w14:paraId="2E83C443" w14:textId="7341ADF1" w:rsidR="0036073B" w:rsidRDefault="0036073B">
          <w:pPr>
            <w:pStyle w:val="Obsah3"/>
            <w:rPr>
              <w:rFonts w:asciiTheme="minorHAnsi" w:eastAsiaTheme="minorEastAsia" w:hAnsiTheme="minorHAnsi" w:cstheme="minorBidi"/>
              <w:noProof/>
              <w:kern w:val="2"/>
              <w:sz w:val="24"/>
              <w:lang w:eastAsia="ko-KR"/>
              <w14:ligatures w14:val="standardContextual"/>
            </w:rPr>
          </w:pPr>
          <w:hyperlink w:anchor="_Toc240366896" w:history="1">
            <w:r w:rsidRPr="00AC5F78">
              <w:rPr>
                <w:rStyle w:val="Hypertextovodkaz"/>
                <w:noProof/>
                <w:lang w:eastAsia="en-US"/>
              </w:rPr>
              <w:t>3.2 Stavebnictví</w:t>
            </w:r>
            <w:r>
              <w:rPr>
                <w:noProof/>
                <w:webHidden/>
              </w:rPr>
              <w:tab/>
            </w:r>
            <w:r>
              <w:rPr>
                <w:noProof/>
                <w:webHidden/>
              </w:rPr>
              <w:fldChar w:fldCharType="begin"/>
            </w:r>
            <w:r>
              <w:rPr>
                <w:noProof/>
                <w:webHidden/>
              </w:rPr>
              <w:instrText xml:space="preserve"> PAGEREF _Toc240366896 \h </w:instrText>
            </w:r>
            <w:r>
              <w:rPr>
                <w:noProof/>
                <w:webHidden/>
              </w:rPr>
            </w:r>
            <w:r>
              <w:rPr>
                <w:noProof/>
                <w:webHidden/>
              </w:rPr>
              <w:fldChar w:fldCharType="separate"/>
            </w:r>
            <w:r>
              <w:rPr>
                <w:noProof/>
                <w:webHidden/>
              </w:rPr>
              <w:t>16</w:t>
            </w:r>
            <w:r>
              <w:rPr>
                <w:noProof/>
                <w:webHidden/>
              </w:rPr>
              <w:fldChar w:fldCharType="end"/>
            </w:r>
          </w:hyperlink>
        </w:p>
        <w:p w14:paraId="100D15B6" w14:textId="50C7C7D5" w:rsidR="0036073B" w:rsidRDefault="0036073B">
          <w:pPr>
            <w:pStyle w:val="Obsah3"/>
            <w:rPr>
              <w:rFonts w:asciiTheme="minorHAnsi" w:eastAsiaTheme="minorEastAsia" w:hAnsiTheme="minorHAnsi" w:cstheme="minorBidi"/>
              <w:noProof/>
              <w:kern w:val="2"/>
              <w:sz w:val="24"/>
              <w:lang w:eastAsia="ko-KR"/>
              <w14:ligatures w14:val="standardContextual"/>
            </w:rPr>
          </w:pPr>
          <w:hyperlink w:anchor="_Toc240366897" w:history="1">
            <w:r w:rsidRPr="00AC5F78">
              <w:rPr>
                <w:rStyle w:val="Hypertextovodkaz"/>
                <w:noProof/>
                <w:lang w:eastAsia="en-US"/>
              </w:rPr>
              <w:t>3.3 Služby, cestovní ruch a maloobchod</w:t>
            </w:r>
            <w:r>
              <w:rPr>
                <w:noProof/>
                <w:webHidden/>
              </w:rPr>
              <w:tab/>
            </w:r>
            <w:r>
              <w:rPr>
                <w:noProof/>
                <w:webHidden/>
              </w:rPr>
              <w:fldChar w:fldCharType="begin"/>
            </w:r>
            <w:r>
              <w:rPr>
                <w:noProof/>
                <w:webHidden/>
              </w:rPr>
              <w:instrText xml:space="preserve"> PAGEREF _Toc240366897 \h </w:instrText>
            </w:r>
            <w:r>
              <w:rPr>
                <w:noProof/>
                <w:webHidden/>
              </w:rPr>
            </w:r>
            <w:r>
              <w:rPr>
                <w:noProof/>
                <w:webHidden/>
              </w:rPr>
              <w:fldChar w:fldCharType="separate"/>
            </w:r>
            <w:r>
              <w:rPr>
                <w:noProof/>
                <w:webHidden/>
              </w:rPr>
              <w:t>18</w:t>
            </w:r>
            <w:r>
              <w:rPr>
                <w:noProof/>
                <w:webHidden/>
              </w:rPr>
              <w:fldChar w:fldCharType="end"/>
            </w:r>
          </w:hyperlink>
        </w:p>
        <w:p w14:paraId="610692A6" w14:textId="0199BA53" w:rsidR="0036073B" w:rsidRDefault="0036073B">
          <w:pPr>
            <w:pStyle w:val="Obsah1"/>
            <w:rPr>
              <w:rFonts w:asciiTheme="minorHAnsi" w:eastAsiaTheme="minorEastAsia" w:hAnsiTheme="minorHAnsi" w:cstheme="minorBidi"/>
              <w:noProof/>
              <w:kern w:val="2"/>
              <w:sz w:val="24"/>
              <w:lang w:eastAsia="ko-KR"/>
              <w14:ligatures w14:val="standardContextual"/>
            </w:rPr>
          </w:pPr>
          <w:hyperlink w:anchor="_Toc240366898" w:history="1">
            <w:r w:rsidRPr="00AC5F78">
              <w:rPr>
                <w:rStyle w:val="Hypertextovodkaz"/>
                <w:noProof/>
              </w:rPr>
              <w:t>4. Vnější vztahy</w:t>
            </w:r>
            <w:r>
              <w:rPr>
                <w:noProof/>
                <w:webHidden/>
              </w:rPr>
              <w:tab/>
            </w:r>
            <w:r>
              <w:rPr>
                <w:noProof/>
                <w:webHidden/>
              </w:rPr>
              <w:fldChar w:fldCharType="begin"/>
            </w:r>
            <w:r>
              <w:rPr>
                <w:noProof/>
                <w:webHidden/>
              </w:rPr>
              <w:instrText xml:space="preserve"> PAGEREF _Toc240366898 \h </w:instrText>
            </w:r>
            <w:r>
              <w:rPr>
                <w:noProof/>
                <w:webHidden/>
              </w:rPr>
            </w:r>
            <w:r>
              <w:rPr>
                <w:noProof/>
                <w:webHidden/>
              </w:rPr>
              <w:fldChar w:fldCharType="separate"/>
            </w:r>
            <w:r>
              <w:rPr>
                <w:noProof/>
                <w:webHidden/>
              </w:rPr>
              <w:t>24</w:t>
            </w:r>
            <w:r>
              <w:rPr>
                <w:noProof/>
                <w:webHidden/>
              </w:rPr>
              <w:fldChar w:fldCharType="end"/>
            </w:r>
          </w:hyperlink>
        </w:p>
        <w:p w14:paraId="5434D899" w14:textId="33A61CDD" w:rsidR="0036073B" w:rsidRDefault="0036073B">
          <w:pPr>
            <w:pStyle w:val="Obsah1"/>
            <w:rPr>
              <w:rFonts w:asciiTheme="minorHAnsi" w:eastAsiaTheme="minorEastAsia" w:hAnsiTheme="minorHAnsi" w:cstheme="minorBidi"/>
              <w:noProof/>
              <w:kern w:val="2"/>
              <w:sz w:val="24"/>
              <w:lang w:eastAsia="ko-KR"/>
              <w14:ligatures w14:val="standardContextual"/>
            </w:rPr>
          </w:pPr>
          <w:hyperlink w:anchor="_Toc240366899" w:history="1">
            <w:r w:rsidRPr="00AC5F78">
              <w:rPr>
                <w:rStyle w:val="Hypertextovodkaz"/>
                <w:noProof/>
              </w:rPr>
              <w:t>5. Ceny</w:t>
            </w:r>
            <w:r>
              <w:rPr>
                <w:noProof/>
                <w:webHidden/>
              </w:rPr>
              <w:tab/>
            </w:r>
            <w:r>
              <w:rPr>
                <w:noProof/>
                <w:webHidden/>
              </w:rPr>
              <w:fldChar w:fldCharType="begin"/>
            </w:r>
            <w:r>
              <w:rPr>
                <w:noProof/>
                <w:webHidden/>
              </w:rPr>
              <w:instrText xml:space="preserve"> PAGEREF _Toc240366899 \h </w:instrText>
            </w:r>
            <w:r>
              <w:rPr>
                <w:noProof/>
                <w:webHidden/>
              </w:rPr>
            </w:r>
            <w:r>
              <w:rPr>
                <w:noProof/>
                <w:webHidden/>
              </w:rPr>
              <w:fldChar w:fldCharType="separate"/>
            </w:r>
            <w:r>
              <w:rPr>
                <w:noProof/>
                <w:webHidden/>
              </w:rPr>
              <w:t>28</w:t>
            </w:r>
            <w:r>
              <w:rPr>
                <w:noProof/>
                <w:webHidden/>
              </w:rPr>
              <w:fldChar w:fldCharType="end"/>
            </w:r>
          </w:hyperlink>
        </w:p>
        <w:p w14:paraId="0A664DD0" w14:textId="5DE835AE" w:rsidR="0036073B" w:rsidRDefault="0036073B">
          <w:pPr>
            <w:pStyle w:val="Obsah3"/>
            <w:rPr>
              <w:rFonts w:asciiTheme="minorHAnsi" w:eastAsiaTheme="minorEastAsia" w:hAnsiTheme="minorHAnsi" w:cstheme="minorBidi"/>
              <w:noProof/>
              <w:kern w:val="2"/>
              <w:sz w:val="24"/>
              <w:lang w:eastAsia="ko-KR"/>
              <w14:ligatures w14:val="standardContextual"/>
            </w:rPr>
          </w:pPr>
          <w:hyperlink w:anchor="_Toc240366900" w:history="1">
            <w:r w:rsidRPr="00AC5F78">
              <w:rPr>
                <w:rStyle w:val="Hypertextovodkaz"/>
                <w:noProof/>
                <w:lang w:eastAsia="en-US"/>
              </w:rPr>
              <w:t>5.1 Spotřebitelské ceny</w:t>
            </w:r>
            <w:r>
              <w:rPr>
                <w:noProof/>
                <w:webHidden/>
              </w:rPr>
              <w:tab/>
            </w:r>
            <w:r>
              <w:rPr>
                <w:noProof/>
                <w:webHidden/>
              </w:rPr>
              <w:fldChar w:fldCharType="begin"/>
            </w:r>
            <w:r>
              <w:rPr>
                <w:noProof/>
                <w:webHidden/>
              </w:rPr>
              <w:instrText xml:space="preserve"> PAGEREF _Toc240366900 \h </w:instrText>
            </w:r>
            <w:r>
              <w:rPr>
                <w:noProof/>
                <w:webHidden/>
              </w:rPr>
            </w:r>
            <w:r>
              <w:rPr>
                <w:noProof/>
                <w:webHidden/>
              </w:rPr>
              <w:fldChar w:fldCharType="separate"/>
            </w:r>
            <w:r>
              <w:rPr>
                <w:noProof/>
                <w:webHidden/>
              </w:rPr>
              <w:t>28</w:t>
            </w:r>
            <w:r>
              <w:rPr>
                <w:noProof/>
                <w:webHidden/>
              </w:rPr>
              <w:fldChar w:fldCharType="end"/>
            </w:r>
          </w:hyperlink>
        </w:p>
        <w:p w14:paraId="11C3CB14" w14:textId="7938D7CC" w:rsidR="0036073B" w:rsidRDefault="0036073B">
          <w:pPr>
            <w:pStyle w:val="Obsah3"/>
            <w:rPr>
              <w:rFonts w:asciiTheme="minorHAnsi" w:eastAsiaTheme="minorEastAsia" w:hAnsiTheme="minorHAnsi" w:cstheme="minorBidi"/>
              <w:noProof/>
              <w:kern w:val="2"/>
              <w:sz w:val="24"/>
              <w:lang w:eastAsia="ko-KR"/>
              <w14:ligatures w14:val="standardContextual"/>
            </w:rPr>
          </w:pPr>
          <w:hyperlink w:anchor="_Toc240366901" w:history="1">
            <w:r w:rsidRPr="00AC5F78">
              <w:rPr>
                <w:rStyle w:val="Hypertextovodkaz"/>
                <w:noProof/>
                <w:lang w:eastAsia="en-US"/>
              </w:rPr>
              <w:t>5.2 Ceny výrobců</w:t>
            </w:r>
            <w:r>
              <w:rPr>
                <w:noProof/>
                <w:webHidden/>
              </w:rPr>
              <w:tab/>
            </w:r>
            <w:r>
              <w:rPr>
                <w:noProof/>
                <w:webHidden/>
              </w:rPr>
              <w:fldChar w:fldCharType="begin"/>
            </w:r>
            <w:r>
              <w:rPr>
                <w:noProof/>
                <w:webHidden/>
              </w:rPr>
              <w:instrText xml:space="preserve"> PAGEREF _Toc240366901 \h </w:instrText>
            </w:r>
            <w:r>
              <w:rPr>
                <w:noProof/>
                <w:webHidden/>
              </w:rPr>
            </w:r>
            <w:r>
              <w:rPr>
                <w:noProof/>
                <w:webHidden/>
              </w:rPr>
              <w:fldChar w:fldCharType="separate"/>
            </w:r>
            <w:r>
              <w:rPr>
                <w:noProof/>
                <w:webHidden/>
              </w:rPr>
              <w:t>30</w:t>
            </w:r>
            <w:r>
              <w:rPr>
                <w:noProof/>
                <w:webHidden/>
              </w:rPr>
              <w:fldChar w:fldCharType="end"/>
            </w:r>
          </w:hyperlink>
        </w:p>
        <w:p w14:paraId="1F527FAE" w14:textId="7F172641" w:rsidR="0036073B" w:rsidRDefault="0036073B">
          <w:pPr>
            <w:pStyle w:val="Obsah3"/>
            <w:rPr>
              <w:rFonts w:asciiTheme="minorHAnsi" w:eastAsiaTheme="minorEastAsia" w:hAnsiTheme="minorHAnsi" w:cstheme="minorBidi"/>
              <w:noProof/>
              <w:kern w:val="2"/>
              <w:sz w:val="24"/>
              <w:lang w:eastAsia="ko-KR"/>
              <w14:ligatures w14:val="standardContextual"/>
            </w:rPr>
          </w:pPr>
          <w:hyperlink w:anchor="_Toc240366902" w:history="1">
            <w:r w:rsidRPr="00AC5F78">
              <w:rPr>
                <w:rStyle w:val="Hypertextovodkaz"/>
                <w:noProof/>
                <w:lang w:eastAsia="en-US"/>
              </w:rPr>
              <w:t>5.3 Ceny zahraničního obchodu</w:t>
            </w:r>
            <w:r>
              <w:rPr>
                <w:noProof/>
                <w:webHidden/>
              </w:rPr>
              <w:tab/>
            </w:r>
            <w:r>
              <w:rPr>
                <w:noProof/>
                <w:webHidden/>
              </w:rPr>
              <w:fldChar w:fldCharType="begin"/>
            </w:r>
            <w:r>
              <w:rPr>
                <w:noProof/>
                <w:webHidden/>
              </w:rPr>
              <w:instrText xml:space="preserve"> PAGEREF _Toc240366902 \h </w:instrText>
            </w:r>
            <w:r>
              <w:rPr>
                <w:noProof/>
                <w:webHidden/>
              </w:rPr>
            </w:r>
            <w:r>
              <w:rPr>
                <w:noProof/>
                <w:webHidden/>
              </w:rPr>
              <w:fldChar w:fldCharType="separate"/>
            </w:r>
            <w:r>
              <w:rPr>
                <w:noProof/>
                <w:webHidden/>
              </w:rPr>
              <w:t>33</w:t>
            </w:r>
            <w:r>
              <w:rPr>
                <w:noProof/>
                <w:webHidden/>
              </w:rPr>
              <w:fldChar w:fldCharType="end"/>
            </w:r>
          </w:hyperlink>
        </w:p>
        <w:p w14:paraId="3AF8FFA4" w14:textId="0C084AA4" w:rsidR="0036073B" w:rsidRDefault="0036073B">
          <w:pPr>
            <w:pStyle w:val="Obsah1"/>
            <w:rPr>
              <w:rFonts w:asciiTheme="minorHAnsi" w:eastAsiaTheme="minorEastAsia" w:hAnsiTheme="minorHAnsi" w:cstheme="minorBidi"/>
              <w:noProof/>
              <w:kern w:val="2"/>
              <w:sz w:val="24"/>
              <w:lang w:eastAsia="ko-KR"/>
              <w14:ligatures w14:val="standardContextual"/>
            </w:rPr>
          </w:pPr>
          <w:hyperlink w:anchor="_Toc240366903" w:history="1">
            <w:r w:rsidRPr="00AC5F78">
              <w:rPr>
                <w:rStyle w:val="Hypertextovodkaz"/>
                <w:noProof/>
              </w:rPr>
              <w:t>6. Trh práce</w:t>
            </w:r>
            <w:r>
              <w:rPr>
                <w:noProof/>
                <w:webHidden/>
              </w:rPr>
              <w:tab/>
            </w:r>
            <w:r>
              <w:rPr>
                <w:noProof/>
                <w:webHidden/>
              </w:rPr>
              <w:fldChar w:fldCharType="begin"/>
            </w:r>
            <w:r>
              <w:rPr>
                <w:noProof/>
                <w:webHidden/>
              </w:rPr>
              <w:instrText xml:space="preserve"> PAGEREF _Toc240366903 \h </w:instrText>
            </w:r>
            <w:r>
              <w:rPr>
                <w:noProof/>
                <w:webHidden/>
              </w:rPr>
            </w:r>
            <w:r>
              <w:rPr>
                <w:noProof/>
                <w:webHidden/>
              </w:rPr>
              <w:fldChar w:fldCharType="separate"/>
            </w:r>
            <w:r>
              <w:rPr>
                <w:noProof/>
                <w:webHidden/>
              </w:rPr>
              <w:t>35</w:t>
            </w:r>
            <w:r>
              <w:rPr>
                <w:noProof/>
                <w:webHidden/>
              </w:rPr>
              <w:fldChar w:fldCharType="end"/>
            </w:r>
          </w:hyperlink>
        </w:p>
        <w:p w14:paraId="7D7410B7" w14:textId="46BAF618" w:rsidR="0036073B" w:rsidRDefault="0036073B">
          <w:pPr>
            <w:pStyle w:val="Obsah3"/>
            <w:rPr>
              <w:rFonts w:asciiTheme="minorHAnsi" w:eastAsiaTheme="minorEastAsia" w:hAnsiTheme="minorHAnsi" w:cstheme="minorBidi"/>
              <w:noProof/>
              <w:kern w:val="2"/>
              <w:sz w:val="24"/>
              <w:lang w:eastAsia="ko-KR"/>
              <w14:ligatures w14:val="standardContextual"/>
            </w:rPr>
          </w:pPr>
          <w:hyperlink w:anchor="_Toc240366904" w:history="1">
            <w:r w:rsidRPr="00AC5F78">
              <w:rPr>
                <w:rStyle w:val="Hypertextovodkaz"/>
                <w:noProof/>
                <w:lang w:eastAsia="en-US"/>
              </w:rPr>
              <w:t>6.1 Zaměstnanost a nezaměstnanost</w:t>
            </w:r>
            <w:r>
              <w:rPr>
                <w:noProof/>
                <w:webHidden/>
              </w:rPr>
              <w:tab/>
            </w:r>
            <w:r>
              <w:rPr>
                <w:noProof/>
                <w:webHidden/>
              </w:rPr>
              <w:fldChar w:fldCharType="begin"/>
            </w:r>
            <w:r>
              <w:rPr>
                <w:noProof/>
                <w:webHidden/>
              </w:rPr>
              <w:instrText xml:space="preserve"> PAGEREF _Toc240366904 \h </w:instrText>
            </w:r>
            <w:r>
              <w:rPr>
                <w:noProof/>
                <w:webHidden/>
              </w:rPr>
            </w:r>
            <w:r>
              <w:rPr>
                <w:noProof/>
                <w:webHidden/>
              </w:rPr>
              <w:fldChar w:fldCharType="separate"/>
            </w:r>
            <w:r>
              <w:rPr>
                <w:noProof/>
                <w:webHidden/>
              </w:rPr>
              <w:t>35</w:t>
            </w:r>
            <w:r>
              <w:rPr>
                <w:noProof/>
                <w:webHidden/>
              </w:rPr>
              <w:fldChar w:fldCharType="end"/>
            </w:r>
          </w:hyperlink>
        </w:p>
        <w:p w14:paraId="68B22A06" w14:textId="7CE39EEF" w:rsidR="0036073B" w:rsidRDefault="0036073B">
          <w:pPr>
            <w:pStyle w:val="Obsah3"/>
            <w:rPr>
              <w:rFonts w:asciiTheme="minorHAnsi" w:eastAsiaTheme="minorEastAsia" w:hAnsiTheme="minorHAnsi" w:cstheme="minorBidi"/>
              <w:noProof/>
              <w:kern w:val="2"/>
              <w:sz w:val="24"/>
              <w:lang w:eastAsia="ko-KR"/>
              <w14:ligatures w14:val="standardContextual"/>
            </w:rPr>
          </w:pPr>
          <w:hyperlink w:anchor="_Toc240366905" w:history="1">
            <w:r w:rsidRPr="00AC5F78">
              <w:rPr>
                <w:rStyle w:val="Hypertextovodkaz"/>
                <w:noProof/>
                <w:lang w:eastAsia="en-US"/>
              </w:rPr>
              <w:t>6.2 Mzdy</w:t>
            </w:r>
            <w:r>
              <w:rPr>
                <w:noProof/>
                <w:webHidden/>
              </w:rPr>
              <w:tab/>
            </w:r>
            <w:r>
              <w:rPr>
                <w:noProof/>
                <w:webHidden/>
              </w:rPr>
              <w:fldChar w:fldCharType="begin"/>
            </w:r>
            <w:r>
              <w:rPr>
                <w:noProof/>
                <w:webHidden/>
              </w:rPr>
              <w:instrText xml:space="preserve"> PAGEREF _Toc240366905 \h </w:instrText>
            </w:r>
            <w:r>
              <w:rPr>
                <w:noProof/>
                <w:webHidden/>
              </w:rPr>
            </w:r>
            <w:r>
              <w:rPr>
                <w:noProof/>
                <w:webHidden/>
              </w:rPr>
              <w:fldChar w:fldCharType="separate"/>
            </w:r>
            <w:r>
              <w:rPr>
                <w:noProof/>
                <w:webHidden/>
              </w:rPr>
              <w:t>40</w:t>
            </w:r>
            <w:r>
              <w:rPr>
                <w:noProof/>
                <w:webHidden/>
              </w:rPr>
              <w:fldChar w:fldCharType="end"/>
            </w:r>
          </w:hyperlink>
        </w:p>
        <w:p w14:paraId="1603179A" w14:textId="37ED70B3" w:rsidR="0036073B" w:rsidRDefault="0036073B">
          <w:pPr>
            <w:pStyle w:val="Obsah1"/>
            <w:rPr>
              <w:rFonts w:asciiTheme="minorHAnsi" w:eastAsiaTheme="minorEastAsia" w:hAnsiTheme="minorHAnsi" w:cstheme="minorBidi"/>
              <w:noProof/>
              <w:kern w:val="2"/>
              <w:sz w:val="24"/>
              <w:lang w:eastAsia="ko-KR"/>
              <w14:ligatures w14:val="standardContextual"/>
            </w:rPr>
          </w:pPr>
          <w:hyperlink w:anchor="_Toc240366906" w:history="1">
            <w:r w:rsidRPr="00AC5F78">
              <w:rPr>
                <w:rStyle w:val="Hypertextovodkaz"/>
                <w:noProof/>
              </w:rPr>
              <w:t>7. Měnové podmínky</w:t>
            </w:r>
            <w:r>
              <w:rPr>
                <w:noProof/>
                <w:webHidden/>
              </w:rPr>
              <w:tab/>
            </w:r>
            <w:r>
              <w:rPr>
                <w:noProof/>
                <w:webHidden/>
              </w:rPr>
              <w:fldChar w:fldCharType="begin"/>
            </w:r>
            <w:r>
              <w:rPr>
                <w:noProof/>
                <w:webHidden/>
              </w:rPr>
              <w:instrText xml:space="preserve"> PAGEREF _Toc240366906 \h </w:instrText>
            </w:r>
            <w:r>
              <w:rPr>
                <w:noProof/>
                <w:webHidden/>
              </w:rPr>
            </w:r>
            <w:r>
              <w:rPr>
                <w:noProof/>
                <w:webHidden/>
              </w:rPr>
              <w:fldChar w:fldCharType="separate"/>
            </w:r>
            <w:r>
              <w:rPr>
                <w:noProof/>
                <w:webHidden/>
              </w:rPr>
              <w:t>43</w:t>
            </w:r>
            <w:r>
              <w:rPr>
                <w:noProof/>
                <w:webHidden/>
              </w:rPr>
              <w:fldChar w:fldCharType="end"/>
            </w:r>
          </w:hyperlink>
        </w:p>
        <w:p w14:paraId="0FAD263F" w14:textId="221F981B" w:rsidR="0036073B" w:rsidRDefault="0036073B">
          <w:pPr>
            <w:pStyle w:val="Obsah1"/>
            <w:rPr>
              <w:rFonts w:asciiTheme="minorHAnsi" w:eastAsiaTheme="minorEastAsia" w:hAnsiTheme="minorHAnsi" w:cstheme="minorBidi"/>
              <w:noProof/>
              <w:kern w:val="2"/>
              <w:sz w:val="24"/>
              <w:lang w:eastAsia="ko-KR"/>
              <w14:ligatures w14:val="standardContextual"/>
            </w:rPr>
          </w:pPr>
          <w:hyperlink w:anchor="_Toc240366907" w:history="1">
            <w:r w:rsidRPr="00AC5F78">
              <w:rPr>
                <w:rStyle w:val="Hypertextovodkaz"/>
                <w:noProof/>
              </w:rPr>
              <w:t>8. Veřejné finance</w:t>
            </w:r>
            <w:r>
              <w:rPr>
                <w:noProof/>
                <w:webHidden/>
              </w:rPr>
              <w:tab/>
            </w:r>
            <w:r>
              <w:rPr>
                <w:noProof/>
                <w:webHidden/>
              </w:rPr>
              <w:fldChar w:fldCharType="begin"/>
            </w:r>
            <w:r>
              <w:rPr>
                <w:noProof/>
                <w:webHidden/>
              </w:rPr>
              <w:instrText xml:space="preserve"> PAGEREF _Toc240366907 \h </w:instrText>
            </w:r>
            <w:r>
              <w:rPr>
                <w:noProof/>
                <w:webHidden/>
              </w:rPr>
            </w:r>
            <w:r>
              <w:rPr>
                <w:noProof/>
                <w:webHidden/>
              </w:rPr>
              <w:fldChar w:fldCharType="separate"/>
            </w:r>
            <w:r>
              <w:rPr>
                <w:noProof/>
                <w:webHidden/>
              </w:rPr>
              <w:t>45</w:t>
            </w:r>
            <w:r>
              <w:rPr>
                <w:noProof/>
                <w:webHidden/>
              </w:rPr>
              <w:fldChar w:fldCharType="end"/>
            </w:r>
          </w:hyperlink>
        </w:p>
        <w:p w14:paraId="00A0F451" w14:textId="75703BF4" w:rsidR="0036073B" w:rsidRDefault="0036073B">
          <w:pPr>
            <w:pStyle w:val="Obsah3"/>
            <w:rPr>
              <w:rFonts w:asciiTheme="minorHAnsi" w:eastAsiaTheme="minorEastAsia" w:hAnsiTheme="minorHAnsi" w:cstheme="minorBidi"/>
              <w:noProof/>
              <w:kern w:val="2"/>
              <w:sz w:val="24"/>
              <w:lang w:eastAsia="ko-KR"/>
              <w14:ligatures w14:val="standardContextual"/>
            </w:rPr>
          </w:pPr>
          <w:hyperlink w:anchor="_Toc240366908" w:history="1">
            <w:r w:rsidRPr="00AC5F78">
              <w:rPr>
                <w:rStyle w:val="Hypertextovodkaz"/>
                <w:noProof/>
                <w:lang w:eastAsia="en-US"/>
              </w:rPr>
              <w:t>8.1 Hospodaření sektoru vládních institucí</w:t>
            </w:r>
            <w:r>
              <w:rPr>
                <w:noProof/>
                <w:webHidden/>
              </w:rPr>
              <w:tab/>
            </w:r>
            <w:r>
              <w:rPr>
                <w:noProof/>
                <w:webHidden/>
              </w:rPr>
              <w:fldChar w:fldCharType="begin"/>
            </w:r>
            <w:r>
              <w:rPr>
                <w:noProof/>
                <w:webHidden/>
              </w:rPr>
              <w:instrText xml:space="preserve"> PAGEREF _Toc240366908 \h </w:instrText>
            </w:r>
            <w:r>
              <w:rPr>
                <w:noProof/>
                <w:webHidden/>
              </w:rPr>
            </w:r>
            <w:r>
              <w:rPr>
                <w:noProof/>
                <w:webHidden/>
              </w:rPr>
              <w:fldChar w:fldCharType="separate"/>
            </w:r>
            <w:r>
              <w:rPr>
                <w:noProof/>
                <w:webHidden/>
              </w:rPr>
              <w:t>45</w:t>
            </w:r>
            <w:r>
              <w:rPr>
                <w:noProof/>
                <w:webHidden/>
              </w:rPr>
              <w:fldChar w:fldCharType="end"/>
            </w:r>
          </w:hyperlink>
        </w:p>
        <w:p w14:paraId="39C96818" w14:textId="69AC9C49" w:rsidR="0036073B" w:rsidRDefault="0036073B">
          <w:pPr>
            <w:pStyle w:val="Obsah3"/>
            <w:rPr>
              <w:rFonts w:asciiTheme="minorHAnsi" w:eastAsiaTheme="minorEastAsia" w:hAnsiTheme="minorHAnsi" w:cstheme="minorBidi"/>
              <w:noProof/>
              <w:kern w:val="2"/>
              <w:sz w:val="24"/>
              <w:lang w:eastAsia="ko-KR"/>
              <w14:ligatures w14:val="standardContextual"/>
            </w:rPr>
          </w:pPr>
          <w:hyperlink w:anchor="_Toc240366909" w:history="1">
            <w:r w:rsidRPr="00AC5F78">
              <w:rPr>
                <w:rStyle w:val="Hypertextovodkaz"/>
                <w:noProof/>
                <w:lang w:eastAsia="en-US"/>
              </w:rPr>
              <w:t>8.2 Příjmy státního rozpočtu</w:t>
            </w:r>
            <w:r>
              <w:rPr>
                <w:noProof/>
                <w:webHidden/>
              </w:rPr>
              <w:tab/>
            </w:r>
            <w:r>
              <w:rPr>
                <w:noProof/>
                <w:webHidden/>
              </w:rPr>
              <w:fldChar w:fldCharType="begin"/>
            </w:r>
            <w:r>
              <w:rPr>
                <w:noProof/>
                <w:webHidden/>
              </w:rPr>
              <w:instrText xml:space="preserve"> PAGEREF _Toc240366909 \h </w:instrText>
            </w:r>
            <w:r>
              <w:rPr>
                <w:noProof/>
                <w:webHidden/>
              </w:rPr>
            </w:r>
            <w:r>
              <w:rPr>
                <w:noProof/>
                <w:webHidden/>
              </w:rPr>
              <w:fldChar w:fldCharType="separate"/>
            </w:r>
            <w:r>
              <w:rPr>
                <w:noProof/>
                <w:webHidden/>
              </w:rPr>
              <w:t>47</w:t>
            </w:r>
            <w:r>
              <w:rPr>
                <w:noProof/>
                <w:webHidden/>
              </w:rPr>
              <w:fldChar w:fldCharType="end"/>
            </w:r>
          </w:hyperlink>
        </w:p>
        <w:p w14:paraId="7EAB420C" w14:textId="48C35E32" w:rsidR="0036073B" w:rsidRDefault="0036073B">
          <w:pPr>
            <w:pStyle w:val="Obsah3"/>
            <w:rPr>
              <w:rFonts w:asciiTheme="minorHAnsi" w:eastAsiaTheme="minorEastAsia" w:hAnsiTheme="minorHAnsi" w:cstheme="minorBidi"/>
              <w:noProof/>
              <w:kern w:val="2"/>
              <w:sz w:val="24"/>
              <w:lang w:eastAsia="ko-KR"/>
              <w14:ligatures w14:val="standardContextual"/>
            </w:rPr>
          </w:pPr>
          <w:hyperlink w:anchor="_Toc240366910" w:history="1">
            <w:r w:rsidRPr="00AC5F78">
              <w:rPr>
                <w:rStyle w:val="Hypertextovodkaz"/>
                <w:noProof/>
                <w:lang w:eastAsia="en-US"/>
              </w:rPr>
              <w:t>8.3 Výdaje státního rozpočtu</w:t>
            </w:r>
            <w:r>
              <w:rPr>
                <w:noProof/>
                <w:webHidden/>
              </w:rPr>
              <w:tab/>
            </w:r>
            <w:r>
              <w:rPr>
                <w:noProof/>
                <w:webHidden/>
              </w:rPr>
              <w:fldChar w:fldCharType="begin"/>
            </w:r>
            <w:r>
              <w:rPr>
                <w:noProof/>
                <w:webHidden/>
              </w:rPr>
              <w:instrText xml:space="preserve"> PAGEREF _Toc240366910 \h </w:instrText>
            </w:r>
            <w:r>
              <w:rPr>
                <w:noProof/>
                <w:webHidden/>
              </w:rPr>
            </w:r>
            <w:r>
              <w:rPr>
                <w:noProof/>
                <w:webHidden/>
              </w:rPr>
              <w:fldChar w:fldCharType="separate"/>
            </w:r>
            <w:r>
              <w:rPr>
                <w:noProof/>
                <w:webHidden/>
              </w:rPr>
              <w:t>49</w:t>
            </w:r>
            <w:r>
              <w:rPr>
                <w:noProof/>
                <w:webHidden/>
              </w:rPr>
              <w:fldChar w:fldCharType="end"/>
            </w:r>
          </w:hyperlink>
        </w:p>
        <w:p w14:paraId="5C0D453E" w14:textId="0B11D028" w:rsidR="004150B9" w:rsidRDefault="004150B9" w:rsidP="00C27D07">
          <w:pPr>
            <w:pStyle w:val="Obsahpoloky"/>
          </w:pPr>
          <w:r>
            <w:rPr>
              <w:b/>
              <w:bCs/>
            </w:rPr>
            <w:fldChar w:fldCharType="end"/>
          </w:r>
        </w:p>
      </w:sdtContent>
    </w:sdt>
    <w:p w14:paraId="1FB029E5" w14:textId="77777777" w:rsidR="009203C8" w:rsidRDefault="009203C8" w:rsidP="009203C8">
      <w:pPr>
        <w:pStyle w:val="Textpoznpodarou"/>
        <w:jc w:val="both"/>
        <w:rPr>
          <w:rFonts w:cs="Arial"/>
          <w:color w:val="000000"/>
        </w:rPr>
      </w:pPr>
    </w:p>
    <w:p w14:paraId="4444088A" w14:textId="77777777" w:rsidR="009203C8" w:rsidRPr="00C27D07" w:rsidRDefault="009203C8" w:rsidP="00C27D07">
      <w:pPr>
        <w:pStyle w:val="Textpoznpodarou"/>
      </w:pPr>
      <w:r w:rsidRPr="00C27D07">
        <w:t>Hlavní zdroje dat v celé analýze: ČSÚ, MF ČR, ČNB, MPSV, ČSSZ, Eurostat, propočty ČSÚ.</w:t>
      </w:r>
    </w:p>
    <w:p w14:paraId="18691556" w14:textId="09FCDE9C" w:rsidR="008E2C57" w:rsidRPr="00C27D07" w:rsidRDefault="009203C8" w:rsidP="00C27D07">
      <w:pPr>
        <w:pStyle w:val="Textpoznpodarou"/>
      </w:pPr>
      <w:r w:rsidRPr="00C27D07">
        <w:t>Poslední informace uváděné v této publikaci pocházejí ze 7. září 2026.</w:t>
      </w:r>
    </w:p>
    <w:p w14:paraId="4634F8DC" w14:textId="77777777" w:rsidR="009324EF" w:rsidRPr="00E3122E" w:rsidRDefault="00852217" w:rsidP="009324EF">
      <w:pPr>
        <w:pStyle w:val="Nadpis1"/>
      </w:pPr>
      <w:r>
        <w:br w:type="page"/>
      </w:r>
      <w:bookmarkStart w:id="0" w:name="_Toc231908258"/>
      <w:bookmarkStart w:id="1" w:name="_Toc232503732"/>
      <w:bookmarkStart w:id="2" w:name="_Toc145318531"/>
      <w:bookmarkStart w:id="3" w:name="_Toc153531174"/>
      <w:bookmarkStart w:id="4" w:name="_Toc169258114"/>
      <w:bookmarkStart w:id="5" w:name="_Toc137233026"/>
      <w:bookmarkStart w:id="6" w:name="_Toc130286019"/>
      <w:bookmarkStart w:id="7" w:name="_Toc114134050"/>
      <w:bookmarkStart w:id="8" w:name="_Toc145318534"/>
      <w:bookmarkStart w:id="9" w:name="_Toc153531177"/>
      <w:bookmarkStart w:id="10" w:name="_Toc121993822"/>
      <w:bookmarkStart w:id="11" w:name="_Toc137233031"/>
      <w:bookmarkStart w:id="12" w:name="_Toc240366892"/>
      <w:r w:rsidR="009324EF" w:rsidRPr="00E3122E">
        <w:lastRenderedPageBreak/>
        <w:t>1. Shrnutí</w:t>
      </w:r>
      <w:bookmarkEnd w:id="0"/>
      <w:bookmarkEnd w:id="1"/>
      <w:bookmarkEnd w:id="12"/>
    </w:p>
    <w:p w14:paraId="793BDB4C" w14:textId="77777777" w:rsidR="009324EF" w:rsidRPr="00E3122E" w:rsidRDefault="009324EF" w:rsidP="009324EF">
      <w:pPr>
        <w:pStyle w:val="Normalodrka"/>
        <w:shd w:val="clear" w:color="auto" w:fill="FFFFFF" w:themeFill="background1"/>
        <w:ind w:left="363" w:hanging="363"/>
      </w:pPr>
      <w:r w:rsidRPr="003B56FF">
        <w:t xml:space="preserve">Česká ekonomika na zpomalení z 1. kvartálu navázala ve 2. čtvrtletí mírným posílením </w:t>
      </w:r>
      <w:r>
        <w:t xml:space="preserve">reálného </w:t>
      </w:r>
      <w:r w:rsidRPr="003B56FF">
        <w:t>mezičtvrtletní</w:t>
      </w:r>
      <w:r>
        <w:t>ho růstu na 0,4 %.</w:t>
      </w:r>
      <w:r w:rsidRPr="00E3122E">
        <w:t xml:space="preserve"> </w:t>
      </w:r>
      <w:r>
        <w:t>O</w:t>
      </w:r>
      <w:r w:rsidRPr="007B777E">
        <w:t xml:space="preserve">živení napomohla především zahraniční poptávka. </w:t>
      </w:r>
      <w:r>
        <w:t>Pokračoval výrazný růst investiční aktivity a mírně posílila i spotřeba. Výraznějšímu mezičtvrtletnímu přírůstku HDP ale bránil vývoj zásob.</w:t>
      </w:r>
      <w:r w:rsidRPr="007B777E">
        <w:t xml:space="preserve"> Meziroční </w:t>
      </w:r>
      <w:r>
        <w:t xml:space="preserve">růst české ekonomiky ve 2. čtvrtletí zvolnil na </w:t>
      </w:r>
      <w:r w:rsidRPr="007B777E">
        <w:t xml:space="preserve">1,9 %. Nejvíce </w:t>
      </w:r>
      <w:r>
        <w:t xml:space="preserve">růst </w:t>
      </w:r>
      <w:r w:rsidRPr="007B777E">
        <w:t>podpořily investice</w:t>
      </w:r>
      <w:r>
        <w:t>, m</w:t>
      </w:r>
      <w:r w:rsidRPr="007B777E">
        <w:t>írněji ale stále výrazně přispívala také spotřeba domácností</w:t>
      </w:r>
      <w:r>
        <w:t xml:space="preserve"> a vyšší byla i spotřeba vládních institucí a </w:t>
      </w:r>
      <w:r w:rsidRPr="007B777E">
        <w:t xml:space="preserve">zahraniční poptávka. </w:t>
      </w:r>
      <w:r>
        <w:t xml:space="preserve">Naopak </w:t>
      </w:r>
      <w:r w:rsidRPr="007B777E">
        <w:t>negativn</w:t>
      </w:r>
      <w:r>
        <w:t xml:space="preserve">ě působil vývoj </w:t>
      </w:r>
      <w:r w:rsidRPr="007B777E">
        <w:t>zásob.</w:t>
      </w:r>
      <w:r>
        <w:t xml:space="preserve"> Rovněž v EU došlo ve 2. čtvrtletí k posílení ekonomického růstu, když se HDP zvýšil mezičtvrtletně o 0,7 % a meziročně o 1,4 %.</w:t>
      </w:r>
    </w:p>
    <w:p w14:paraId="0858E87A" w14:textId="572A840E" w:rsidR="006B1AFC" w:rsidRPr="000B4895" w:rsidRDefault="009324EF" w:rsidP="009324EF">
      <w:pPr>
        <w:pStyle w:val="Normalodrka"/>
        <w:shd w:val="clear" w:color="auto" w:fill="FFFFFF" w:themeFill="background1"/>
        <w:ind w:left="363" w:hanging="363"/>
      </w:pPr>
      <w:r>
        <w:t xml:space="preserve">Z pohledu nabídkové strany ekonomiky oživení mezičtvrtletního růstu ovlivnil </w:t>
      </w:r>
      <w:r w:rsidRPr="00FE1412">
        <w:t>především vývoj v průmyslu, kde na pokles ze začátku roku sekce navázala výrazným přírůstkem</w:t>
      </w:r>
      <w:r>
        <w:t xml:space="preserve"> hrubé přidané hodnoty</w:t>
      </w:r>
      <w:r w:rsidRPr="00FE1412">
        <w:t xml:space="preserve">. </w:t>
      </w:r>
      <w:r>
        <w:t>K</w:t>
      </w:r>
      <w:r w:rsidRPr="00FE1412">
        <w:t xml:space="preserve"> celkovému růstu </w:t>
      </w:r>
      <w:r>
        <w:t xml:space="preserve">přitom </w:t>
      </w:r>
      <w:r w:rsidRPr="00FE1412">
        <w:t>více přispěla odvětví mimo zpracovatelsk</w:t>
      </w:r>
      <w:r>
        <w:t xml:space="preserve">ý </w:t>
      </w:r>
      <w:r w:rsidRPr="00FE1412">
        <w:t>průmysl</w:t>
      </w:r>
      <w:r>
        <w:t xml:space="preserve">, který ale také rostl. </w:t>
      </w:r>
      <w:r w:rsidRPr="00FE1412">
        <w:t xml:space="preserve">Hlavním tahounem </w:t>
      </w:r>
      <w:r>
        <w:t xml:space="preserve">růstu české ekonomiky </w:t>
      </w:r>
      <w:r w:rsidRPr="00FE1412">
        <w:t>nadále zůstaly služby, které si tuto roli drží více než dva roky. Ve 2. čtvrtletí</w:t>
      </w:r>
      <w:r>
        <w:t xml:space="preserve"> nejvíce rostlo </w:t>
      </w:r>
      <w:r w:rsidRPr="00FE1412">
        <w:t xml:space="preserve">peněžnictví a pojišťovnictví, dále činnosti v oblasti nemovitostí a </w:t>
      </w:r>
      <w:r>
        <w:t xml:space="preserve">vliv mělo i </w:t>
      </w:r>
      <w:r w:rsidRPr="00FE1412">
        <w:t xml:space="preserve">mírně rostoucí, ale váhově významné uskupení obchod, doprava, ubytování a pohostinství. </w:t>
      </w:r>
      <w:r>
        <w:t xml:space="preserve">Oslabily naopak </w:t>
      </w:r>
      <w:r w:rsidRPr="00FE1412">
        <w:t>ostatní činnost</w:t>
      </w:r>
      <w:r>
        <w:t>i</w:t>
      </w:r>
      <w:bookmarkEnd w:id="2"/>
      <w:bookmarkEnd w:id="3"/>
      <w:bookmarkEnd w:id="4"/>
      <w:bookmarkEnd w:id="5"/>
      <w:bookmarkEnd w:id="6"/>
      <w:bookmarkEnd w:id="7"/>
      <w:bookmarkEnd w:id="8"/>
      <w:bookmarkEnd w:id="9"/>
      <w:bookmarkEnd w:id="10"/>
      <w:bookmarkEnd w:id="11"/>
      <w:r w:rsidR="006B1AFC">
        <w:rPr>
          <w:rStyle w:val="Znakapoznpodarou"/>
        </w:rPr>
        <w:footnoteReference w:id="1"/>
      </w:r>
      <w:r w:rsidR="006B1AFC">
        <w:t xml:space="preserve"> a </w:t>
      </w:r>
      <w:r w:rsidR="006B1AFC" w:rsidRPr="00FE1412">
        <w:t>informační a komunikační činnost</w:t>
      </w:r>
      <w:r w:rsidR="006B1AFC">
        <w:t>i</w:t>
      </w:r>
      <w:r w:rsidR="006B1AFC" w:rsidRPr="00FE1412">
        <w:t xml:space="preserve">. </w:t>
      </w:r>
      <w:r w:rsidR="006B1AFC">
        <w:t>Z pohledu hrubé přidané hodnoty ve 2. čtvrtletí m</w:t>
      </w:r>
      <w:r w:rsidR="006B1AFC" w:rsidRPr="00FE1412">
        <w:t>eziročn</w:t>
      </w:r>
      <w:r w:rsidR="006B1AFC">
        <w:t xml:space="preserve">ě rostla </w:t>
      </w:r>
      <w:r w:rsidR="006B1AFC" w:rsidRPr="000B4895">
        <w:t xml:space="preserve">všechna hlavní odvětví s výjimkou zemědělství, lesnictví a rybářství.   </w:t>
      </w:r>
    </w:p>
    <w:p w14:paraId="55DB3928" w14:textId="77777777" w:rsidR="006B1AFC" w:rsidRPr="00005FB6" w:rsidRDefault="006B1AFC" w:rsidP="009324EF">
      <w:pPr>
        <w:pStyle w:val="Normalodrka"/>
        <w:shd w:val="clear" w:color="auto" w:fill="FFFFFF" w:themeFill="background1"/>
        <w:ind w:left="363" w:hanging="363"/>
      </w:pPr>
      <w:r w:rsidRPr="000B4895">
        <w:t xml:space="preserve">Vývoz zboží a služeb ve 2. čtvrtletí reálně mezičtvrtletně vzrostl o 0,9 % a meziročně o 3,3 %. Dovoz mezičtvrtletně stagnoval a meziročně vzrostl o 3,7 %. </w:t>
      </w:r>
      <w:r>
        <w:t>Přebytek b</w:t>
      </w:r>
      <w:r w:rsidRPr="000B4895">
        <w:t>ilance zahraničního obchodu dosáhl 99,0</w:t>
      </w:r>
      <w:r>
        <w:t> </w:t>
      </w:r>
      <w:r w:rsidRPr="000B4895">
        <w:t>mld. korun</w:t>
      </w:r>
      <w:r>
        <w:t xml:space="preserve"> a </w:t>
      </w:r>
      <w:r w:rsidRPr="000B4895">
        <w:t xml:space="preserve">mezičtvrtletně </w:t>
      </w:r>
      <w:r>
        <w:t xml:space="preserve">se </w:t>
      </w:r>
      <w:r w:rsidRPr="000B4895">
        <w:t xml:space="preserve">snížil o 9,6 mld. a meziročně o 20,5 mld. Na meziročním zhoršení bilance v samotném 2. čtvrtletí se výrazně </w:t>
      </w:r>
      <w:r>
        <w:t>podílelo</w:t>
      </w:r>
      <w:r w:rsidRPr="000B4895">
        <w:t xml:space="preserve"> zvýšení cen ropy a souvisejících výrobků. Zhoršila se tak bilance obchodu s koksem a rafinovanými ropnými produkty, ropou a zemním plynem nebo základními kovy. </w:t>
      </w:r>
      <w:r>
        <w:t xml:space="preserve">Negativně na bilanci </w:t>
      </w:r>
      <w:r w:rsidRPr="000B4895">
        <w:t xml:space="preserve">působil i obchod s elektrickými zařízeními a základními farmaceutickými výrobky a přípravky. </w:t>
      </w:r>
      <w:r>
        <w:t xml:space="preserve">Zlepšoval se naopak výsledek obchodu s </w:t>
      </w:r>
      <w:r w:rsidRPr="000B4895">
        <w:t>motorovými vozidly</w:t>
      </w:r>
      <w:r>
        <w:t xml:space="preserve"> nebo </w:t>
      </w:r>
      <w:r w:rsidRPr="00005FB6">
        <w:t xml:space="preserve">počítači, elektronickými a optickými přístroji a zařízeními.  </w:t>
      </w:r>
    </w:p>
    <w:p w14:paraId="562C8D25" w14:textId="77777777" w:rsidR="006B1AFC" w:rsidRPr="00005FB6" w:rsidRDefault="006B1AFC" w:rsidP="009324EF">
      <w:pPr>
        <w:pStyle w:val="Normalodrka"/>
        <w:shd w:val="clear" w:color="auto" w:fill="FFFFFF" w:themeFill="background1"/>
        <w:ind w:left="363" w:hanging="363"/>
      </w:pPr>
      <w:r>
        <w:t>Zvýšení cen ropy ve 2. čtvrtletí přispělo ke zrychlení m</w:t>
      </w:r>
      <w:r w:rsidRPr="00005FB6">
        <w:t>eziroční</w:t>
      </w:r>
      <w:r>
        <w:t>ho</w:t>
      </w:r>
      <w:r w:rsidRPr="00005FB6">
        <w:t xml:space="preserve"> přírůstk</w:t>
      </w:r>
      <w:r>
        <w:t>u</w:t>
      </w:r>
      <w:r w:rsidRPr="00005FB6">
        <w:t xml:space="preserve"> spotřebitelských cen</w:t>
      </w:r>
      <w:r>
        <w:t xml:space="preserve"> na 2,0 % a m</w:t>
      </w:r>
      <w:r w:rsidRPr="00005FB6">
        <w:t>ezičtvrtletn</w:t>
      </w:r>
      <w:r>
        <w:t xml:space="preserve">ího na </w:t>
      </w:r>
      <w:r w:rsidRPr="00005FB6">
        <w:t>0,</w:t>
      </w:r>
      <w:r>
        <w:t>9</w:t>
      </w:r>
      <w:r w:rsidRPr="00005FB6">
        <w:t xml:space="preserve"> %. </w:t>
      </w:r>
      <w:r>
        <w:t xml:space="preserve">Většímu cenovému růstu bránily zejména klesající </w:t>
      </w:r>
      <w:r w:rsidRPr="00005FB6">
        <w:rPr>
          <w:lang w:eastAsia="en-US"/>
        </w:rPr>
        <w:t xml:space="preserve">ceny potravin </w:t>
      </w:r>
      <w:r>
        <w:rPr>
          <w:lang w:eastAsia="en-US"/>
        </w:rPr>
        <w:br/>
      </w:r>
      <w:r w:rsidRPr="00005FB6">
        <w:rPr>
          <w:lang w:eastAsia="en-US"/>
        </w:rPr>
        <w:t>a nealkoholických nápojů</w:t>
      </w:r>
      <w:r>
        <w:rPr>
          <w:lang w:eastAsia="en-US"/>
        </w:rPr>
        <w:t xml:space="preserve">. Ceny ropy ovlivnily i opětovný meziroční i mezičtvrtletní růst </w:t>
      </w:r>
      <w:r w:rsidRPr="00005FB6">
        <w:rPr>
          <w:lang w:eastAsia="en-US"/>
        </w:rPr>
        <w:t>cen průmyslových výrobců</w:t>
      </w:r>
      <w:r>
        <w:rPr>
          <w:lang w:eastAsia="en-US"/>
        </w:rPr>
        <w:t>. C</w:t>
      </w:r>
      <w:r w:rsidRPr="00005FB6">
        <w:rPr>
          <w:lang w:eastAsia="en-US"/>
        </w:rPr>
        <w:t>eny zemědělských výrobců</w:t>
      </w:r>
      <w:r>
        <w:rPr>
          <w:lang w:eastAsia="en-US"/>
        </w:rPr>
        <w:t xml:space="preserve"> naopak pokračovaly v meziročním poklesu</w:t>
      </w:r>
      <w:r w:rsidRPr="00005FB6">
        <w:rPr>
          <w:lang w:eastAsia="en-US"/>
        </w:rPr>
        <w:t xml:space="preserve">. </w:t>
      </w:r>
    </w:p>
    <w:p w14:paraId="062FA793" w14:textId="77777777" w:rsidR="006B1AFC" w:rsidRPr="007B69C8" w:rsidRDefault="006B1AFC" w:rsidP="009324EF">
      <w:pPr>
        <w:pStyle w:val="Normalodrka"/>
        <w:shd w:val="clear" w:color="auto" w:fill="FFFFFF" w:themeFill="background1"/>
        <w:ind w:left="363" w:hanging="363"/>
      </w:pPr>
      <w:r w:rsidRPr="007B69C8">
        <w:t>Celková zaměstnanost</w:t>
      </w:r>
      <w:r w:rsidRPr="007B69C8">
        <w:rPr>
          <w:rStyle w:val="Znakapoznpodarou"/>
        </w:rPr>
        <w:footnoteReference w:id="2"/>
      </w:r>
      <w:r w:rsidRPr="007B69C8">
        <w:t xml:space="preserve"> v</w:t>
      </w:r>
      <w:r>
        <w:t>e</w:t>
      </w:r>
      <w:r w:rsidRPr="007B69C8">
        <w:t> </w:t>
      </w:r>
      <w:r>
        <w:t>2</w:t>
      </w:r>
      <w:r w:rsidRPr="007B69C8">
        <w:t>. čtvrtletí 2026 byla meziročně vyšší o 1,</w:t>
      </w:r>
      <w:r>
        <w:t>5</w:t>
      </w:r>
      <w:r w:rsidRPr="007B69C8">
        <w:t> % a mezičtvrtletně o 0,</w:t>
      </w:r>
      <w:r>
        <w:t>9</w:t>
      </w:r>
      <w:r w:rsidRPr="007B69C8">
        <w:t xml:space="preserve"> %. Celková míra nezaměstnanosti se udržovala stabilně těsně nad 3 %. Průměrná hrubá měsíční mzda v</w:t>
      </w:r>
      <w:r>
        <w:t>e</w:t>
      </w:r>
      <w:r w:rsidRPr="007B69C8">
        <w:t xml:space="preserve"> </w:t>
      </w:r>
      <w:r>
        <w:t>2</w:t>
      </w:r>
      <w:r w:rsidRPr="007B69C8">
        <w:t>. čtvrtletí dosáhla 5</w:t>
      </w:r>
      <w:r>
        <w:t>1 966</w:t>
      </w:r>
      <w:r w:rsidRPr="007B69C8">
        <w:t xml:space="preserve"> korun, meziročně byla vyšší o </w:t>
      </w:r>
      <w:r>
        <w:t>6,4</w:t>
      </w:r>
      <w:r w:rsidRPr="007B69C8">
        <w:t xml:space="preserve"> % a mezičtvrtletně o </w:t>
      </w:r>
      <w:r>
        <w:t>1,6</w:t>
      </w:r>
      <w:r w:rsidRPr="007B69C8">
        <w:t xml:space="preserve"> %. Reálně průměrná mzda meziročně posílila o </w:t>
      </w:r>
      <w:r>
        <w:t>4,3</w:t>
      </w:r>
      <w:r w:rsidRPr="007B69C8">
        <w:t xml:space="preserve"> %.</w:t>
      </w:r>
    </w:p>
    <w:p w14:paraId="6D3C71CA" w14:textId="77777777" w:rsidR="006B1AFC" w:rsidRPr="00860449" w:rsidRDefault="006B1AFC" w:rsidP="009324EF">
      <w:pPr>
        <w:pStyle w:val="Normalodrka"/>
        <w:ind w:left="363" w:hanging="363"/>
      </w:pPr>
      <w:r w:rsidRPr="00860449">
        <w:t>Základní měnověpolitické úrokové sazby</w:t>
      </w:r>
      <w:r>
        <w:t xml:space="preserve"> byly ke konci </w:t>
      </w:r>
      <w:r w:rsidRPr="00860449">
        <w:t xml:space="preserve">1. čtvrtletí 2026 </w:t>
      </w:r>
      <w:r>
        <w:t xml:space="preserve">zvýšeny. </w:t>
      </w:r>
      <w:r w:rsidRPr="00860449">
        <w:t xml:space="preserve">Výrazně rostl objem nových hypotečních smluv, ze kterých ale více než polovinu tvořily </w:t>
      </w:r>
      <w:r>
        <w:t>dříve existující smlouvy sjednané s novými úrokovými podmínkami.</w:t>
      </w:r>
      <w:r w:rsidRPr="00860449">
        <w:t xml:space="preserve"> </w:t>
      </w:r>
    </w:p>
    <w:p w14:paraId="42E645D9" w14:textId="77777777" w:rsidR="006B1AFC" w:rsidRPr="00EE0A80" w:rsidRDefault="006B1AFC" w:rsidP="00E76A3F">
      <w:pPr>
        <w:pStyle w:val="Normalodrka"/>
        <w:spacing w:after="0"/>
        <w:ind w:left="363" w:hanging="363"/>
      </w:pPr>
      <w:r>
        <w:t xml:space="preserve">Vládní instituce v 1. čtvrtletí 2026 hospodařily s deficitem 72,3 mld. korun. Schodek se meziročně mírně prohloubil. Zatímco meziroční růst celkových příjmů lehce zrychlil na 5,2 %, u výdajů tempo nepatrně opadlo na 4,9 %. </w:t>
      </w:r>
      <w:r w:rsidRPr="00424CF4">
        <w:rPr>
          <w:color w:val="0D0D0D" w:themeColor="text1" w:themeTint="F2"/>
          <w:spacing w:val="-2"/>
        </w:rPr>
        <w:t xml:space="preserve">K posílení příjmů nejvíce přispěly přijaté sociální příspěvky. Navýšení výdajů ovlivnily sociální dávky a investice. Hospodaření státního rozpočtu skončilo v 1. pololetí 2026 schodkem </w:t>
      </w:r>
      <w:r>
        <w:rPr>
          <w:color w:val="0D0D0D" w:themeColor="text1" w:themeTint="F2"/>
          <w:spacing w:val="-2"/>
        </w:rPr>
        <w:br/>
      </w:r>
      <w:r w:rsidRPr="00424CF4">
        <w:rPr>
          <w:color w:val="0D0D0D" w:themeColor="text1" w:themeTint="F2"/>
          <w:spacing w:val="-2"/>
        </w:rPr>
        <w:t>183,6 mld. korun. Dosavadní letošní deficit byl nejvyšší za poslední tři roky. Vyšší</w:t>
      </w:r>
      <w:r>
        <w:rPr>
          <w:color w:val="0D0D0D" w:themeColor="text1" w:themeTint="F2"/>
          <w:spacing w:val="-2"/>
        </w:rPr>
        <w:t>mu</w:t>
      </w:r>
      <w:r w:rsidRPr="00424CF4">
        <w:rPr>
          <w:color w:val="0D0D0D" w:themeColor="text1" w:themeTint="F2"/>
          <w:spacing w:val="-2"/>
        </w:rPr>
        <w:t xml:space="preserve"> růst</w:t>
      </w:r>
      <w:r>
        <w:rPr>
          <w:color w:val="0D0D0D" w:themeColor="text1" w:themeTint="F2"/>
          <w:spacing w:val="-2"/>
        </w:rPr>
        <w:t>u</w:t>
      </w:r>
      <w:r w:rsidRPr="00424CF4">
        <w:rPr>
          <w:color w:val="0D0D0D" w:themeColor="text1" w:themeTint="F2"/>
          <w:spacing w:val="-2"/>
        </w:rPr>
        <w:t xml:space="preserve"> daňových příjmů</w:t>
      </w:r>
      <w:r>
        <w:rPr>
          <w:color w:val="0D0D0D" w:themeColor="text1" w:themeTint="F2"/>
          <w:spacing w:val="-2"/>
        </w:rPr>
        <w:t xml:space="preserve"> rozpočtu</w:t>
      </w:r>
      <w:r w:rsidRPr="00424CF4">
        <w:rPr>
          <w:color w:val="0D0D0D" w:themeColor="text1" w:themeTint="F2"/>
          <w:spacing w:val="-2"/>
        </w:rPr>
        <w:t xml:space="preserve">, které </w:t>
      </w:r>
      <w:r>
        <w:rPr>
          <w:color w:val="0D0D0D" w:themeColor="text1" w:themeTint="F2"/>
          <w:spacing w:val="-2"/>
        </w:rPr>
        <w:t xml:space="preserve">jinak </w:t>
      </w:r>
      <w:r w:rsidRPr="00424CF4">
        <w:rPr>
          <w:color w:val="0D0D0D" w:themeColor="text1" w:themeTint="F2"/>
          <w:spacing w:val="-2"/>
        </w:rPr>
        <w:t xml:space="preserve">podporoval přetrvávající mírný růst tuzemské ekonomiky, </w:t>
      </w:r>
      <w:r>
        <w:rPr>
          <w:color w:val="0D0D0D" w:themeColor="text1" w:themeTint="F2"/>
          <w:spacing w:val="-2"/>
        </w:rPr>
        <w:t xml:space="preserve">bránila </w:t>
      </w:r>
      <w:r w:rsidRPr="00424CF4">
        <w:rPr>
          <w:color w:val="0D0D0D" w:themeColor="text1" w:themeTint="F2"/>
          <w:spacing w:val="-2"/>
        </w:rPr>
        <w:t>změna rozpočtového určení daní. Naopak</w:t>
      </w:r>
      <w:r>
        <w:rPr>
          <w:color w:val="0D0D0D" w:themeColor="text1" w:themeTint="F2"/>
          <w:spacing w:val="-2"/>
        </w:rPr>
        <w:t xml:space="preserve"> posílil růst výdajů. Výrazně se na tom </w:t>
      </w:r>
      <w:r w:rsidRPr="00ED12B1">
        <w:rPr>
          <w:color w:val="0D0D0D" w:themeColor="text1" w:themeTint="F2"/>
          <w:spacing w:val="-2"/>
        </w:rPr>
        <w:t>podílely běžné výdaje,</w:t>
      </w:r>
      <w:r>
        <w:rPr>
          <w:color w:val="0D0D0D" w:themeColor="text1" w:themeTint="F2"/>
          <w:spacing w:val="-2"/>
        </w:rPr>
        <w:t xml:space="preserve"> zejména sociální dávky. Významnou roli</w:t>
      </w:r>
      <w:r w:rsidRPr="00ED12B1">
        <w:rPr>
          <w:color w:val="0D0D0D" w:themeColor="text1" w:themeTint="F2"/>
          <w:spacing w:val="-2"/>
        </w:rPr>
        <w:t xml:space="preserve"> však měly i investice.</w:t>
      </w:r>
    </w:p>
    <w:p w14:paraId="17126C3A" w14:textId="77777777" w:rsidR="006B1AFC" w:rsidRPr="00B95CC9" w:rsidRDefault="006B1AFC" w:rsidP="009324EF">
      <w:pPr>
        <w:pStyle w:val="Nadpis1"/>
        <w:rPr>
          <w:color w:val="auto"/>
          <w:sz w:val="2"/>
          <w:szCs w:val="2"/>
          <w:highlight w:val="yellow"/>
        </w:rPr>
      </w:pPr>
    </w:p>
    <w:p w14:paraId="38CEB11B" w14:textId="77777777" w:rsidR="006B1AFC" w:rsidRPr="00B95CC9" w:rsidRDefault="006B1AFC" w:rsidP="009324EF">
      <w:pPr>
        <w:pStyle w:val="Nadpis1"/>
        <w:rPr>
          <w:sz w:val="2"/>
          <w:szCs w:val="2"/>
          <w:highlight w:val="yellow"/>
        </w:rPr>
      </w:pPr>
    </w:p>
    <w:p w14:paraId="6C6D2FF3" w14:textId="77777777" w:rsidR="006B1AFC" w:rsidRPr="00B95CC9" w:rsidRDefault="006B1AFC" w:rsidP="009324EF">
      <w:pPr>
        <w:pStyle w:val="Normalodrka"/>
        <w:numPr>
          <w:ilvl w:val="0"/>
          <w:numId w:val="0"/>
        </w:numPr>
        <w:spacing w:after="0"/>
        <w:jc w:val="center"/>
        <w:rPr>
          <w:highlight w:val="yellow"/>
        </w:rPr>
      </w:pPr>
      <w:r w:rsidRPr="006A3632">
        <w:rPr>
          <w:noProof/>
        </w:rPr>
        <w:drawing>
          <wp:inline distT="0" distB="0" distL="0" distR="0" wp14:anchorId="195F45DD" wp14:editId="7707E0D0">
            <wp:extent cx="5857875" cy="8867775"/>
            <wp:effectExtent l="0" t="0" r="9525" b="0"/>
            <wp:docPr id="14390861"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57875" cy="8867775"/>
                    </a:xfrm>
                    <a:prstGeom prst="rect">
                      <a:avLst/>
                    </a:prstGeom>
                    <a:noFill/>
                    <a:ln>
                      <a:noFill/>
                    </a:ln>
                  </pic:spPr>
                </pic:pic>
              </a:graphicData>
            </a:graphic>
          </wp:inline>
        </w:drawing>
      </w:r>
    </w:p>
    <w:p w14:paraId="33D560A2" w14:textId="77777777" w:rsidR="006B1AFC" w:rsidRPr="009110F7" w:rsidRDefault="006B1AFC" w:rsidP="009324EF">
      <w:pPr>
        <w:pStyle w:val="Nadpis1"/>
      </w:pPr>
      <w:bookmarkStart w:id="13" w:name="_Toc239947444"/>
      <w:bookmarkStart w:id="14" w:name="_Toc169258116"/>
      <w:bookmarkStart w:id="15" w:name="_Toc153531176"/>
      <w:bookmarkStart w:id="16" w:name="_Toc176767107"/>
      <w:bookmarkStart w:id="17" w:name="_Toc161914427"/>
      <w:bookmarkStart w:id="18" w:name="_Toc193366678"/>
      <w:bookmarkStart w:id="19" w:name="_Toc176767109"/>
      <w:bookmarkStart w:id="20" w:name="_Toc224903148"/>
      <w:bookmarkStart w:id="21" w:name="_Toc193366677"/>
      <w:bookmarkStart w:id="22" w:name="_Toc240366893"/>
      <w:r>
        <w:lastRenderedPageBreak/>
        <w:t>2. Souhrnná výkonnost</w:t>
      </w:r>
      <w:bookmarkEnd w:id="13"/>
      <w:bookmarkEnd w:id="22"/>
    </w:p>
    <w:tbl>
      <w:tblPr>
        <w:tblW w:w="9639" w:type="dxa"/>
        <w:tblInd w:w="-20" w:type="dxa"/>
        <w:tblLayout w:type="fixed"/>
        <w:tblCellMar>
          <w:left w:w="0" w:type="dxa"/>
          <w:right w:w="0" w:type="dxa"/>
        </w:tblCellMar>
        <w:tblLook w:val="00A0" w:firstRow="1" w:lastRow="0" w:firstColumn="1" w:lastColumn="0" w:noHBand="0" w:noVBand="0"/>
      </w:tblPr>
      <w:tblGrid>
        <w:gridCol w:w="1806"/>
        <w:gridCol w:w="210"/>
        <w:gridCol w:w="7623"/>
      </w:tblGrid>
      <w:tr w:rsidR="006B1AFC" w:rsidRPr="009110F7" w14:paraId="5AB0F875" w14:textId="77777777" w:rsidTr="003C4A79">
        <w:trPr>
          <w:trHeight w:val="145"/>
        </w:trPr>
        <w:tc>
          <w:tcPr>
            <w:tcW w:w="1806" w:type="dxa"/>
            <w:tcMar>
              <w:left w:w="0" w:type="dxa"/>
            </w:tcMar>
          </w:tcPr>
          <w:p w14:paraId="1BE8FB4C" w14:textId="77777777" w:rsidR="006B1AFC" w:rsidRDefault="006B1AFC" w:rsidP="003C4A79">
            <w:pPr>
              <w:pStyle w:val="Marginlie"/>
            </w:pPr>
            <w:r>
              <w:t>Mezičtvrtletní růst HDP ve 2. kvartálu zrychlil.</w:t>
            </w:r>
          </w:p>
        </w:tc>
        <w:tc>
          <w:tcPr>
            <w:tcW w:w="210" w:type="dxa"/>
            <w:tcMar>
              <w:left w:w="0" w:type="dxa"/>
            </w:tcMar>
          </w:tcPr>
          <w:p w14:paraId="53FD6148" w14:textId="77777777" w:rsidR="006B1AFC" w:rsidRDefault="006B1AFC" w:rsidP="003C4A79">
            <w:pPr>
              <w:pStyle w:val="Textpoznpodarou"/>
              <w:jc w:val="both"/>
              <w:rPr>
                <w:spacing w:val="-4"/>
              </w:rPr>
            </w:pPr>
          </w:p>
        </w:tc>
        <w:tc>
          <w:tcPr>
            <w:tcW w:w="7623" w:type="dxa"/>
            <w:tcMar>
              <w:left w:w="0" w:type="dxa"/>
            </w:tcMar>
          </w:tcPr>
          <w:p w14:paraId="3A89FCB8" w14:textId="77777777" w:rsidR="006B1AFC" w:rsidRPr="00014ED0" w:rsidRDefault="006B1AFC" w:rsidP="003C4A79">
            <w:pPr>
              <w:rPr>
                <w:spacing w:val="-2"/>
              </w:rPr>
            </w:pPr>
            <w:r>
              <w:rPr>
                <w:spacing w:val="-2"/>
              </w:rPr>
              <w:t>Česká ekonomika na výrazné zpomalení z 1. kvartálu navázala ve 2. čtvrtletí mírným posílením mezičtvrtletní dynamiky. Mezičtvrtletní přírůstek hrubého domácího produktu (HDP)</w:t>
            </w:r>
            <w:r w:rsidRPr="00014ED0">
              <w:rPr>
                <w:rStyle w:val="Znakapoznpodarou"/>
                <w:rFonts w:cs="Arial"/>
                <w:spacing w:val="-2"/>
              </w:rPr>
              <w:footnoteReference w:id="3"/>
            </w:r>
            <w:r>
              <w:rPr>
                <w:spacing w:val="-2"/>
              </w:rPr>
              <w:t xml:space="preserve"> ve 2. čtvrtletí zrychlil na 0,4 %, ale úrovní loňského roku nedosáhl. Tomuto oživení napomohla především zahraniční poptávka. Domácí poptávka v posledních dvou letech byla a zůstává klíčovým tahounem růstu HDP, ale v posledních dvou kvartálech se umenšil pozitivní vliv spotřeby, a naopak hlavní roli v růstu HDP převzalo oživení investiční aktivity. Ve směru mezičtvrtletního poklesu HDP ve 2. čtvrtletí působila změna zásob. Meziroční přírůstek HDP zvolnil na 1,9 %. Nejvíce podpořily meziroční růst HDP investice. Mírněji ale stále výrazně přispívala také spotřeba domácností a drobný příspěvek vykázala i spotřeba vládních institucí a zahraniční poptávka. Tyto příznivé vlivy kompenzovalo negativní působení změny zásob. </w:t>
            </w:r>
          </w:p>
        </w:tc>
      </w:tr>
      <w:tr w:rsidR="006B1AFC" w:rsidRPr="009110F7" w14:paraId="205B3877" w14:textId="77777777" w:rsidTr="003C4A79">
        <w:trPr>
          <w:trHeight w:val="170"/>
        </w:trPr>
        <w:tc>
          <w:tcPr>
            <w:tcW w:w="1806" w:type="dxa"/>
            <w:vMerge w:val="restart"/>
            <w:tcMar>
              <w:left w:w="0" w:type="dxa"/>
            </w:tcMar>
          </w:tcPr>
          <w:p w14:paraId="523883A2" w14:textId="77777777" w:rsidR="006B1AFC" w:rsidRDefault="006B1AFC" w:rsidP="003C4A79">
            <w:pPr>
              <w:pStyle w:val="Marginlie"/>
            </w:pPr>
          </w:p>
        </w:tc>
        <w:tc>
          <w:tcPr>
            <w:tcW w:w="210" w:type="dxa"/>
            <w:vMerge w:val="restart"/>
            <w:tcMar>
              <w:left w:w="0" w:type="dxa"/>
            </w:tcMar>
          </w:tcPr>
          <w:p w14:paraId="5D1EC39A" w14:textId="77777777" w:rsidR="006B1AFC" w:rsidRDefault="006B1AFC" w:rsidP="003C4A79">
            <w:pPr>
              <w:pStyle w:val="Textpoznpodarou"/>
              <w:jc w:val="both"/>
              <w:rPr>
                <w:spacing w:val="-4"/>
              </w:rPr>
            </w:pPr>
          </w:p>
        </w:tc>
        <w:tc>
          <w:tcPr>
            <w:tcW w:w="7623" w:type="dxa"/>
            <w:tcMar>
              <w:left w:w="0" w:type="dxa"/>
            </w:tcMar>
          </w:tcPr>
          <w:p w14:paraId="0042DE6A" w14:textId="77777777" w:rsidR="006B1AFC" w:rsidRPr="00D721B4" w:rsidRDefault="006B1AFC" w:rsidP="003C4A79">
            <w:pPr>
              <w:spacing w:after="0"/>
              <w:rPr>
                <w:b/>
                <w:bCs/>
              </w:rPr>
            </w:pPr>
            <w:r w:rsidRPr="00D721B4">
              <w:rPr>
                <w:b/>
                <w:szCs w:val="20"/>
              </w:rPr>
              <w:t>Graf č. </w:t>
            </w:r>
            <w:r>
              <w:rPr>
                <w:b/>
                <w:szCs w:val="20"/>
              </w:rPr>
              <w:t xml:space="preserve">1 </w:t>
            </w:r>
            <w:r w:rsidRPr="00D721B4">
              <w:rPr>
                <w:rFonts w:cs="Arial"/>
                <w:b/>
                <w:szCs w:val="20"/>
                <w:lang w:eastAsia="en-US"/>
              </w:rPr>
              <w:t xml:space="preserve">Příspěvky výdajových složek k reálné změně HDP* </w:t>
            </w:r>
            <w:r w:rsidRPr="00D721B4">
              <w:rPr>
                <w:rFonts w:cs="Arial"/>
                <w:bCs/>
                <w:szCs w:val="20"/>
                <w:lang w:eastAsia="en-US"/>
              </w:rPr>
              <w:t>(mez</w:t>
            </w:r>
            <w:r>
              <w:rPr>
                <w:rFonts w:cs="Arial"/>
                <w:bCs/>
                <w:szCs w:val="20"/>
                <w:lang w:eastAsia="en-US"/>
              </w:rPr>
              <w:t xml:space="preserve">ičtvrtletní </w:t>
            </w:r>
            <w:r w:rsidRPr="00D721B4">
              <w:rPr>
                <w:rFonts w:cs="Arial"/>
                <w:bCs/>
                <w:szCs w:val="20"/>
                <w:lang w:eastAsia="en-US"/>
              </w:rPr>
              <w:t>růst, příspěvky v p. b., HDP v</w:t>
            </w:r>
            <w:r>
              <w:rPr>
                <w:rFonts w:cs="Arial"/>
                <w:bCs/>
                <w:szCs w:val="20"/>
                <w:lang w:eastAsia="en-US"/>
              </w:rPr>
              <w:t> %</w:t>
            </w:r>
            <w:r w:rsidRPr="00D721B4">
              <w:rPr>
                <w:rFonts w:cs="Arial"/>
                <w:bCs/>
                <w:szCs w:val="20"/>
                <w:lang w:eastAsia="en-US"/>
              </w:rPr>
              <w:t>)</w:t>
            </w:r>
          </w:p>
        </w:tc>
      </w:tr>
      <w:tr w:rsidR="006B1AFC" w:rsidRPr="009110F7" w14:paraId="5ABA8C18" w14:textId="77777777" w:rsidTr="003C4A79">
        <w:tblPrEx>
          <w:tblCellMar>
            <w:left w:w="70" w:type="dxa"/>
            <w:right w:w="70" w:type="dxa"/>
          </w:tblCellMar>
        </w:tblPrEx>
        <w:trPr>
          <w:trHeight w:val="170"/>
        </w:trPr>
        <w:tc>
          <w:tcPr>
            <w:tcW w:w="1806" w:type="dxa"/>
            <w:vMerge/>
          </w:tcPr>
          <w:p w14:paraId="6691EA4C" w14:textId="77777777" w:rsidR="006B1AFC" w:rsidRPr="009110F7" w:rsidRDefault="006B1AFC" w:rsidP="003C4A79">
            <w:pPr>
              <w:pStyle w:val="Marginlie"/>
            </w:pPr>
          </w:p>
        </w:tc>
        <w:tc>
          <w:tcPr>
            <w:tcW w:w="210" w:type="dxa"/>
            <w:vMerge/>
          </w:tcPr>
          <w:p w14:paraId="06D64F43" w14:textId="77777777" w:rsidR="006B1AFC" w:rsidRPr="009110F7" w:rsidRDefault="006B1AFC" w:rsidP="003C4A79">
            <w:pPr>
              <w:pStyle w:val="Textpoznpodarou"/>
              <w:jc w:val="both"/>
              <w:rPr>
                <w:spacing w:val="-4"/>
              </w:rPr>
            </w:pPr>
          </w:p>
        </w:tc>
        <w:tc>
          <w:tcPr>
            <w:tcW w:w="7623" w:type="dxa"/>
          </w:tcPr>
          <w:p w14:paraId="66AB7529" w14:textId="77777777" w:rsidR="006B1AFC" w:rsidRPr="009110F7" w:rsidRDefault="006B1AFC" w:rsidP="003C4A79">
            <w:pPr>
              <w:spacing w:after="0"/>
            </w:pPr>
            <w:r>
              <w:rPr>
                <w:noProof/>
              </w:rPr>
              <w:drawing>
                <wp:inline distT="0" distB="0" distL="0" distR="0" wp14:anchorId="04487EE2" wp14:editId="441F34FF">
                  <wp:extent cx="4737600" cy="3420000"/>
                  <wp:effectExtent l="0" t="0" r="6350" b="0"/>
                  <wp:docPr id="795513378" name="Graf 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r w:rsidR="006B1AFC" w:rsidRPr="009110F7" w14:paraId="0983659E" w14:textId="77777777" w:rsidTr="003C4A79">
        <w:trPr>
          <w:trHeight w:val="170"/>
        </w:trPr>
        <w:tc>
          <w:tcPr>
            <w:tcW w:w="1806" w:type="dxa"/>
            <w:vMerge/>
            <w:tcMar>
              <w:left w:w="0" w:type="dxa"/>
            </w:tcMar>
          </w:tcPr>
          <w:p w14:paraId="419D6BA1" w14:textId="77777777" w:rsidR="006B1AFC" w:rsidRPr="009110F7" w:rsidRDefault="006B1AFC" w:rsidP="003C4A79">
            <w:pPr>
              <w:pStyle w:val="Marginlie"/>
            </w:pPr>
          </w:p>
        </w:tc>
        <w:tc>
          <w:tcPr>
            <w:tcW w:w="210" w:type="dxa"/>
            <w:vMerge/>
            <w:tcMar>
              <w:left w:w="0" w:type="dxa"/>
            </w:tcMar>
          </w:tcPr>
          <w:p w14:paraId="4F36E371" w14:textId="77777777" w:rsidR="006B1AFC" w:rsidRPr="009110F7" w:rsidRDefault="006B1AFC" w:rsidP="003C4A79">
            <w:pPr>
              <w:pStyle w:val="Textpoznpodarou"/>
              <w:jc w:val="both"/>
              <w:rPr>
                <w:spacing w:val="-4"/>
              </w:rPr>
            </w:pPr>
          </w:p>
        </w:tc>
        <w:tc>
          <w:tcPr>
            <w:tcW w:w="7623" w:type="dxa"/>
            <w:tcMar>
              <w:left w:w="0" w:type="dxa"/>
            </w:tcMar>
          </w:tcPr>
          <w:p w14:paraId="07C04BBB" w14:textId="77777777" w:rsidR="006B1AFC" w:rsidRPr="00947786" w:rsidRDefault="006B1AFC" w:rsidP="003C4A79">
            <w:pPr>
              <w:spacing w:after="0"/>
              <w:rPr>
                <w:sz w:val="16"/>
                <w:szCs w:val="16"/>
              </w:rPr>
            </w:pPr>
            <w:r w:rsidRPr="00947786">
              <w:rPr>
                <w:sz w:val="16"/>
                <w:szCs w:val="16"/>
              </w:rPr>
              <w:t>Zdroj: ČSÚ</w:t>
            </w:r>
          </w:p>
          <w:p w14:paraId="77260B10" w14:textId="77777777" w:rsidR="006B1AFC" w:rsidRPr="00947786" w:rsidRDefault="006B1AFC" w:rsidP="003C4A79">
            <w:pPr>
              <w:spacing w:after="220"/>
              <w:rPr>
                <w:sz w:val="16"/>
                <w:szCs w:val="16"/>
              </w:rPr>
            </w:pPr>
            <w:r w:rsidRPr="00947786">
              <w:rPr>
                <w:sz w:val="16"/>
                <w:szCs w:val="16"/>
              </w:rPr>
              <w:t>* po vyloučení dovozu pro konečné užití</w:t>
            </w:r>
          </w:p>
        </w:tc>
      </w:tr>
      <w:tr w:rsidR="006B1AFC" w:rsidRPr="009110F7" w14:paraId="7D116E1D" w14:textId="77777777" w:rsidTr="003C4A79">
        <w:trPr>
          <w:trHeight w:val="145"/>
        </w:trPr>
        <w:tc>
          <w:tcPr>
            <w:tcW w:w="1806" w:type="dxa"/>
            <w:tcMar>
              <w:left w:w="0" w:type="dxa"/>
            </w:tcMar>
          </w:tcPr>
          <w:p w14:paraId="10DE1B2B" w14:textId="77777777" w:rsidR="006B1AFC" w:rsidRDefault="006B1AFC" w:rsidP="003C4A79">
            <w:pPr>
              <w:pStyle w:val="Marginlie"/>
            </w:pPr>
            <w:r>
              <w:t>Dynamika ekonomiky EU rovněž posílila.</w:t>
            </w:r>
          </w:p>
        </w:tc>
        <w:tc>
          <w:tcPr>
            <w:tcW w:w="210" w:type="dxa"/>
            <w:tcMar>
              <w:left w:w="0" w:type="dxa"/>
            </w:tcMar>
          </w:tcPr>
          <w:p w14:paraId="33C50003" w14:textId="77777777" w:rsidR="006B1AFC" w:rsidRDefault="006B1AFC" w:rsidP="003C4A79">
            <w:pPr>
              <w:pStyle w:val="Textpoznpodarou"/>
              <w:jc w:val="both"/>
              <w:rPr>
                <w:spacing w:val="-4"/>
              </w:rPr>
            </w:pPr>
          </w:p>
        </w:tc>
        <w:tc>
          <w:tcPr>
            <w:tcW w:w="7623" w:type="dxa"/>
            <w:tcMar>
              <w:left w:w="0" w:type="dxa"/>
            </w:tcMar>
          </w:tcPr>
          <w:p w14:paraId="279E4031" w14:textId="77777777" w:rsidR="006B1AFC" w:rsidRDefault="006B1AFC" w:rsidP="003C4A79">
            <w:r>
              <w:t>Také v Evropské unii po slabém začátku roku mezičtvrtletní růst HDP posílil a dosáhl ve 2. čtvrtletí 0,7 %</w:t>
            </w:r>
            <w:r>
              <w:rPr>
                <w:rStyle w:val="Znakapoznpodarou"/>
              </w:rPr>
              <w:footnoteReference w:id="4"/>
            </w:r>
            <w:r>
              <w:t xml:space="preserve">. Meziroční růst HDP v EU zrychlil na 1,4 %. Oživení mezičtvrtletního růstu v EU pozitivně ovlivnila především bilance zahraničního obchodu. Spotřeba a investice v EU rostly mírně, výrazně negativně naopak působila změna zásob. Posílení mezičtvrtletního růstu HDP bylo plošné – jen v Rakousku došlo k poklesu o 0,1 % a v Rumunsku, Belgii a Francii ve 2. čtvrtletí HDP stagnoval. Z velkých ekonomik EU nejvíce mezičtvrtletně vzrostlo Španělsko (0,7 %). Německá ekonomika si třetí kvartál v řadě udržovala mírný přírůstek (0,3 %). Ve 2. čtvrtletí zde k růstu přispěla téměř výhradně zahraniční poptávka. Mírně nad hranou stagnace se pohybovala dynamika HDP v Itálii (0,2 %). V rámci středoevropského prostoru nejvíce rostlo Polsko (1,0 %), kde mohutně rostly investice, ale dařilo se i spotřebě. </w:t>
            </w:r>
            <w:r>
              <w:lastRenderedPageBreak/>
              <w:t>Následovaly Maďarsko (0,5 %) a Česko. Na Slovensku pokračovala utlumená dynamika HDP (0,2 %).</w:t>
            </w:r>
          </w:p>
        </w:tc>
      </w:tr>
      <w:tr w:rsidR="006B1AFC" w:rsidRPr="009110F7" w14:paraId="5D89F123" w14:textId="77777777" w:rsidTr="003C4A79">
        <w:trPr>
          <w:trHeight w:val="170"/>
        </w:trPr>
        <w:tc>
          <w:tcPr>
            <w:tcW w:w="1806" w:type="dxa"/>
            <w:vMerge w:val="restart"/>
            <w:tcMar>
              <w:left w:w="0" w:type="dxa"/>
            </w:tcMar>
          </w:tcPr>
          <w:p w14:paraId="20BA5855" w14:textId="77777777" w:rsidR="006B1AFC" w:rsidRDefault="006B1AFC" w:rsidP="003C4A79">
            <w:pPr>
              <w:pStyle w:val="Marginlie"/>
            </w:pPr>
          </w:p>
        </w:tc>
        <w:tc>
          <w:tcPr>
            <w:tcW w:w="210" w:type="dxa"/>
            <w:vMerge w:val="restart"/>
            <w:tcMar>
              <w:left w:w="0" w:type="dxa"/>
            </w:tcMar>
          </w:tcPr>
          <w:p w14:paraId="27DB69DB" w14:textId="77777777" w:rsidR="006B1AFC" w:rsidRDefault="006B1AFC" w:rsidP="003C4A79">
            <w:pPr>
              <w:pStyle w:val="Textpoznpodarou"/>
              <w:jc w:val="both"/>
              <w:rPr>
                <w:spacing w:val="-4"/>
              </w:rPr>
            </w:pPr>
          </w:p>
        </w:tc>
        <w:tc>
          <w:tcPr>
            <w:tcW w:w="7623" w:type="dxa"/>
            <w:tcMar>
              <w:left w:w="0" w:type="dxa"/>
            </w:tcMar>
          </w:tcPr>
          <w:p w14:paraId="2778BA25" w14:textId="77777777" w:rsidR="006B1AFC" w:rsidRPr="00947786" w:rsidRDefault="006B1AFC" w:rsidP="003C4A79">
            <w:pPr>
              <w:spacing w:after="0"/>
              <w:rPr>
                <w:b/>
                <w:bCs/>
              </w:rPr>
            </w:pPr>
            <w:r>
              <w:rPr>
                <w:b/>
                <w:bCs/>
              </w:rPr>
              <w:t xml:space="preserve">Graf č. 2 Vývoj HDP v zemích EU ve 2. čtvrtletí 2026 </w:t>
            </w:r>
            <w:r w:rsidRPr="00562186">
              <w:t>(v %)</w:t>
            </w:r>
          </w:p>
        </w:tc>
      </w:tr>
      <w:tr w:rsidR="006B1AFC" w:rsidRPr="009110F7" w14:paraId="2DF02C39" w14:textId="77777777" w:rsidTr="003C4A79">
        <w:tblPrEx>
          <w:tblCellMar>
            <w:left w:w="70" w:type="dxa"/>
            <w:right w:w="70" w:type="dxa"/>
          </w:tblCellMar>
        </w:tblPrEx>
        <w:trPr>
          <w:trHeight w:val="170"/>
        </w:trPr>
        <w:tc>
          <w:tcPr>
            <w:tcW w:w="1806" w:type="dxa"/>
            <w:vMerge/>
          </w:tcPr>
          <w:p w14:paraId="0FF4A170" w14:textId="77777777" w:rsidR="006B1AFC" w:rsidRDefault="006B1AFC" w:rsidP="003C4A79">
            <w:pPr>
              <w:pStyle w:val="Marginlie"/>
            </w:pPr>
          </w:p>
        </w:tc>
        <w:tc>
          <w:tcPr>
            <w:tcW w:w="210" w:type="dxa"/>
            <w:vMerge/>
          </w:tcPr>
          <w:p w14:paraId="36E1F15F" w14:textId="77777777" w:rsidR="006B1AFC" w:rsidRDefault="006B1AFC" w:rsidP="003C4A79">
            <w:pPr>
              <w:pStyle w:val="Textpoznpodarou"/>
              <w:jc w:val="both"/>
              <w:rPr>
                <w:spacing w:val="-4"/>
              </w:rPr>
            </w:pPr>
          </w:p>
        </w:tc>
        <w:tc>
          <w:tcPr>
            <w:tcW w:w="7623" w:type="dxa"/>
          </w:tcPr>
          <w:p w14:paraId="14F59F62" w14:textId="77777777" w:rsidR="006B1AFC" w:rsidRDefault="006B1AFC" w:rsidP="003C4A79">
            <w:pPr>
              <w:spacing w:after="0"/>
            </w:pPr>
            <w:r>
              <w:rPr>
                <w:noProof/>
              </w:rPr>
              <w:drawing>
                <wp:inline distT="0" distB="0" distL="0" distR="0" wp14:anchorId="45E9B871" wp14:editId="61F029F2">
                  <wp:extent cx="4737600" cy="3420000"/>
                  <wp:effectExtent l="0" t="0" r="6350" b="0"/>
                  <wp:docPr id="1137296817" name="Graf 1">
                    <a:extLst xmlns:a="http://schemas.openxmlformats.org/drawingml/2006/main">
                      <a:ext uri="{FF2B5EF4-FFF2-40B4-BE49-F238E27FC236}">
                        <a16:creationId xmlns:a16="http://schemas.microsoft.com/office/drawing/2014/main" id="{8B686C90-D366-64D4-793D-60F329569B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6B1AFC" w:rsidRPr="009110F7" w14:paraId="0CBD4D28" w14:textId="77777777" w:rsidTr="003C4A79">
        <w:trPr>
          <w:trHeight w:val="170"/>
        </w:trPr>
        <w:tc>
          <w:tcPr>
            <w:tcW w:w="1806" w:type="dxa"/>
            <w:vMerge/>
            <w:tcMar>
              <w:left w:w="0" w:type="dxa"/>
            </w:tcMar>
          </w:tcPr>
          <w:p w14:paraId="71DD5454" w14:textId="77777777" w:rsidR="006B1AFC" w:rsidRDefault="006B1AFC" w:rsidP="003C4A79">
            <w:pPr>
              <w:pStyle w:val="Marginlie"/>
            </w:pPr>
          </w:p>
        </w:tc>
        <w:tc>
          <w:tcPr>
            <w:tcW w:w="210" w:type="dxa"/>
            <w:vMerge/>
            <w:tcMar>
              <w:left w:w="0" w:type="dxa"/>
            </w:tcMar>
          </w:tcPr>
          <w:p w14:paraId="52F9219C" w14:textId="77777777" w:rsidR="006B1AFC" w:rsidRDefault="006B1AFC" w:rsidP="003C4A79">
            <w:pPr>
              <w:pStyle w:val="Textpoznpodarou"/>
              <w:jc w:val="both"/>
              <w:rPr>
                <w:spacing w:val="-4"/>
              </w:rPr>
            </w:pPr>
          </w:p>
        </w:tc>
        <w:tc>
          <w:tcPr>
            <w:tcW w:w="7623" w:type="dxa"/>
            <w:tcMar>
              <w:left w:w="0" w:type="dxa"/>
            </w:tcMar>
          </w:tcPr>
          <w:p w14:paraId="3A8B4AB1" w14:textId="77777777" w:rsidR="006B1AFC" w:rsidRDefault="006B1AFC" w:rsidP="003C4A79">
            <w:r w:rsidRPr="00947786">
              <w:rPr>
                <w:sz w:val="16"/>
                <w:szCs w:val="16"/>
              </w:rPr>
              <w:t>Zdroj: ČSÚ</w:t>
            </w:r>
            <w:r>
              <w:t xml:space="preserve"> </w:t>
            </w:r>
          </w:p>
        </w:tc>
      </w:tr>
      <w:tr w:rsidR="006B1AFC" w:rsidRPr="009110F7" w14:paraId="314F7568" w14:textId="77777777" w:rsidTr="003C4A79">
        <w:trPr>
          <w:trHeight w:val="145"/>
        </w:trPr>
        <w:tc>
          <w:tcPr>
            <w:tcW w:w="1806" w:type="dxa"/>
            <w:tcMar>
              <w:left w:w="0" w:type="dxa"/>
            </w:tcMar>
          </w:tcPr>
          <w:p w14:paraId="5545BDBD" w14:textId="77777777" w:rsidR="006B1AFC" w:rsidRDefault="006B1AFC" w:rsidP="003C4A79">
            <w:pPr>
              <w:pStyle w:val="Marginlie"/>
            </w:pPr>
            <w:r>
              <w:t>Spotřeba domácností posílila.</w:t>
            </w:r>
          </w:p>
        </w:tc>
        <w:tc>
          <w:tcPr>
            <w:tcW w:w="210" w:type="dxa"/>
            <w:tcMar>
              <w:left w:w="0" w:type="dxa"/>
            </w:tcMar>
          </w:tcPr>
          <w:p w14:paraId="6F8CDD10" w14:textId="77777777" w:rsidR="006B1AFC" w:rsidRDefault="006B1AFC" w:rsidP="003C4A79">
            <w:pPr>
              <w:pStyle w:val="Textpoznpodarou"/>
              <w:jc w:val="both"/>
              <w:rPr>
                <w:spacing w:val="-4"/>
              </w:rPr>
            </w:pPr>
          </w:p>
        </w:tc>
        <w:tc>
          <w:tcPr>
            <w:tcW w:w="7623" w:type="dxa"/>
            <w:tcMar>
              <w:left w:w="0" w:type="dxa"/>
            </w:tcMar>
          </w:tcPr>
          <w:p w14:paraId="0A09B41D" w14:textId="77777777" w:rsidR="006B1AFC" w:rsidRPr="004B6F8C" w:rsidRDefault="006B1AFC" w:rsidP="003C4A79">
            <w:pPr>
              <w:rPr>
                <w:spacing w:val="-2"/>
              </w:rPr>
            </w:pPr>
            <w:r>
              <w:rPr>
                <w:spacing w:val="-2"/>
              </w:rPr>
              <w:t>Mezičtvrtletní růst výdajů na konečnou spotřebu ve 2. čtvrtletí zrychlil na 0,5 %. Přispěla k tomu zejména spotřeba domácností (0,5 %), zatímco u vládních institucí přírůstek setrval na hranici stagnace (0,1 %). Na rozdíl od předchozího kvartálu posílení růstu spotřeby domácností nebylo saturováno dovozem a plně tak přispělo k celkovému navýšení HDP. Meziroční tempo růstu spotřeby zvolnilo na 2,2 %. Méně se zvyšovala spotřeba domácností (2,7 %) i vládních institucí (1,0 %). Vývoj výdajů na spotřebu z hlediska trvanlivosti</w:t>
            </w:r>
            <w:r>
              <w:rPr>
                <w:rStyle w:val="Znakapoznpodarou"/>
              </w:rPr>
              <w:footnoteReference w:id="5"/>
            </w:r>
            <w:r>
              <w:rPr>
                <w:spacing w:val="-2"/>
              </w:rPr>
              <w:t xml:space="preserve"> ukázal na zrychlení v oblasti dlouhodobé spotřeby (mezičtvrtletní přírůstek 3,3 % a meziroční 6,8 %) a na solidní nárůst střednědobé spotřeby (mezičtvrtletně o 1,3 %, meziročně 5,8 %). Na pokles z 1. kvartálu navázaly mezičtvrtletním přírůstkem o 0,8 % a zrychlením meziročního nárůstu na 1,9 % výdaje na služby. Naproti tomu krátkodobá spotřeba mezičtvrtletně vzrostla jen o 0,2 % a meziroční přírůstek zde oslabil na 2,0 %.</w:t>
            </w:r>
          </w:p>
        </w:tc>
      </w:tr>
      <w:tr w:rsidR="006B1AFC" w:rsidRPr="009110F7" w14:paraId="7F5C88B6" w14:textId="77777777" w:rsidTr="003C4A79">
        <w:trPr>
          <w:trHeight w:val="145"/>
        </w:trPr>
        <w:tc>
          <w:tcPr>
            <w:tcW w:w="1806" w:type="dxa"/>
            <w:tcMar>
              <w:left w:w="0" w:type="dxa"/>
            </w:tcMar>
          </w:tcPr>
          <w:p w14:paraId="5057EB73" w14:textId="77777777" w:rsidR="006B1AFC" w:rsidRDefault="006B1AFC" w:rsidP="003C4A79">
            <w:pPr>
              <w:pStyle w:val="Marginlie"/>
            </w:pPr>
            <w:r>
              <w:t xml:space="preserve">Růst investiční aktivity zrychloval. </w:t>
            </w:r>
          </w:p>
        </w:tc>
        <w:tc>
          <w:tcPr>
            <w:tcW w:w="210" w:type="dxa"/>
            <w:tcMar>
              <w:left w:w="0" w:type="dxa"/>
            </w:tcMar>
          </w:tcPr>
          <w:p w14:paraId="57F07E5B" w14:textId="77777777" w:rsidR="006B1AFC" w:rsidRDefault="006B1AFC" w:rsidP="003C4A79">
            <w:pPr>
              <w:pStyle w:val="Textpoznpodarou"/>
              <w:jc w:val="both"/>
              <w:rPr>
                <w:spacing w:val="-4"/>
              </w:rPr>
            </w:pPr>
          </w:p>
        </w:tc>
        <w:tc>
          <w:tcPr>
            <w:tcW w:w="7623" w:type="dxa"/>
            <w:tcMar>
              <w:left w:w="0" w:type="dxa"/>
            </w:tcMar>
          </w:tcPr>
          <w:p w14:paraId="402C5242" w14:textId="77777777" w:rsidR="006B1AFC" w:rsidRDefault="006B1AFC" w:rsidP="003C4A79">
            <w:r>
              <w:rPr>
                <w:spacing w:val="-2"/>
              </w:rPr>
              <w:t>Výdaje na tvorbu hrubého kapitálu ve 2. kvartálu mezičtvrtletně reálně klesly o 2,1 % a jejich meziroční přírůstek zpomalil na 2,0 %. Šlo o první mezičtvrtletní propad od začátku roku 2024 a zcela se na něm podílela tvorba zásob</w:t>
            </w:r>
            <w:r>
              <w:rPr>
                <w:rStyle w:val="Znakapoznpodarou"/>
              </w:rPr>
              <w:footnoteReference w:id="6"/>
            </w:r>
            <w:r>
              <w:rPr>
                <w:spacing w:val="-2"/>
              </w:rPr>
              <w:t xml:space="preserve">. Naopak výdaje na tvorbu hrubého fixního kapitálu (investiční aktivita) mezičtvrtletně vzrostly o 1,5 % a prodloužily tak více než rok trvající sérii výrazných mezičtvrtletních nárůstů investic. Meziroční přírůstek investic ve 2. čtvrtletí posílil na 7,1 %. Mezičtvrtletní růst investiční aktivity z většiny podpořily výdaje na budovy a stavby. Po slabém 1. kvartálu totiž značně mezičtvrtletně posílily investice do obydlí (9,2 %) i ostatních budov a staveb (4,5 %). Vliv na mezičtvrtletní růst investic měly i produkty duševního vlastnictví (3,5 %) a jinak okrajová kategorie pěstované biologické zdroje (61,7 %). Naopak výdaje na dopravní prostředky a zařízení (−4,3 %) ani na ICT a ostatní stroje a zařízení (−7,8 %) nenavázaly na silnou mezičtvrtletní dynamiku z 1. kvartálu. Největší meziroční nárůst výdajů byl </w:t>
            </w:r>
            <w:r>
              <w:rPr>
                <w:spacing w:val="-2"/>
              </w:rPr>
              <w:lastRenderedPageBreak/>
              <w:t xml:space="preserve">zachycen u zmíněných pěstovaných biologických zdrojů (53,4 %), u dopravních prostředků a zařízení (16,9 %), ostatních budov a staveb (13,5 %) a obydlí (11,6 %). Mírně meziročně vzrostly také výdaje na produkty duševního vlastnictví (1,6 %). Jedinou kategorií, kde investice meziročně klesly, byly výdaje na ICT a ostatní stroje a zařízení (−3,5 %). </w:t>
            </w:r>
          </w:p>
        </w:tc>
      </w:tr>
      <w:tr w:rsidR="006B1AFC" w:rsidRPr="009110F7" w14:paraId="7C3B3388" w14:textId="77777777" w:rsidTr="003C4A79">
        <w:trPr>
          <w:trHeight w:val="154"/>
        </w:trPr>
        <w:tc>
          <w:tcPr>
            <w:tcW w:w="1806" w:type="dxa"/>
            <w:vMerge w:val="restart"/>
            <w:tcMar>
              <w:left w:w="0" w:type="dxa"/>
            </w:tcMar>
          </w:tcPr>
          <w:p w14:paraId="1BF5AD0C" w14:textId="77777777" w:rsidR="006B1AFC" w:rsidRDefault="006B1AFC" w:rsidP="003C4A79">
            <w:pPr>
              <w:pStyle w:val="Marginlie"/>
            </w:pPr>
          </w:p>
        </w:tc>
        <w:tc>
          <w:tcPr>
            <w:tcW w:w="210" w:type="dxa"/>
            <w:vMerge w:val="restart"/>
            <w:tcMar>
              <w:left w:w="0" w:type="dxa"/>
            </w:tcMar>
          </w:tcPr>
          <w:p w14:paraId="3AFC73CF" w14:textId="77777777" w:rsidR="006B1AFC" w:rsidRDefault="006B1AFC" w:rsidP="003C4A79">
            <w:pPr>
              <w:pStyle w:val="Textpoznpodarou"/>
              <w:jc w:val="both"/>
              <w:rPr>
                <w:spacing w:val="-4"/>
              </w:rPr>
            </w:pPr>
          </w:p>
        </w:tc>
        <w:tc>
          <w:tcPr>
            <w:tcW w:w="7623" w:type="dxa"/>
            <w:tcMar>
              <w:left w:w="0" w:type="dxa"/>
            </w:tcMar>
          </w:tcPr>
          <w:p w14:paraId="01F3ACDC" w14:textId="77777777" w:rsidR="006B1AFC" w:rsidRPr="009110F7" w:rsidRDefault="006B1AFC" w:rsidP="003C4A79">
            <w:pPr>
              <w:spacing w:after="0"/>
              <w:rPr>
                <w:rStyle w:val="Znakapoznpodarou"/>
              </w:rPr>
            </w:pPr>
            <w:r>
              <w:rPr>
                <w:b/>
                <w:bCs/>
              </w:rPr>
              <w:t xml:space="preserve">Graf. č. 3 </w:t>
            </w:r>
            <w:r w:rsidRPr="0040773B">
              <w:rPr>
                <w:b/>
                <w:bCs/>
              </w:rPr>
              <w:t>Struktura mezičtvrtletního růstu výdajů na tvorbu hrubého fixního kapitálu</w:t>
            </w:r>
            <w:r>
              <w:t xml:space="preserve"> (růst THFK v %, příspěvky v p. b.)</w:t>
            </w:r>
          </w:p>
        </w:tc>
      </w:tr>
      <w:tr w:rsidR="006B1AFC" w:rsidRPr="009110F7" w14:paraId="67B93312" w14:textId="77777777" w:rsidTr="003C4A79">
        <w:tblPrEx>
          <w:tblCellMar>
            <w:left w:w="70" w:type="dxa"/>
            <w:right w:w="70" w:type="dxa"/>
          </w:tblCellMar>
        </w:tblPrEx>
        <w:trPr>
          <w:trHeight w:val="154"/>
        </w:trPr>
        <w:tc>
          <w:tcPr>
            <w:tcW w:w="1806" w:type="dxa"/>
            <w:vMerge/>
          </w:tcPr>
          <w:p w14:paraId="0634F0C8" w14:textId="77777777" w:rsidR="006B1AFC" w:rsidRDefault="006B1AFC" w:rsidP="003C4A79">
            <w:pPr>
              <w:pStyle w:val="Marginlie"/>
            </w:pPr>
          </w:p>
        </w:tc>
        <w:tc>
          <w:tcPr>
            <w:tcW w:w="210" w:type="dxa"/>
            <w:vMerge/>
          </w:tcPr>
          <w:p w14:paraId="3805E353" w14:textId="77777777" w:rsidR="006B1AFC" w:rsidRDefault="006B1AFC" w:rsidP="003C4A79">
            <w:pPr>
              <w:pStyle w:val="Textpoznpodarou"/>
              <w:jc w:val="both"/>
              <w:rPr>
                <w:spacing w:val="-4"/>
              </w:rPr>
            </w:pPr>
          </w:p>
        </w:tc>
        <w:tc>
          <w:tcPr>
            <w:tcW w:w="7623" w:type="dxa"/>
          </w:tcPr>
          <w:p w14:paraId="54EEC99B" w14:textId="77777777" w:rsidR="006B1AFC" w:rsidRPr="009110F7" w:rsidRDefault="006B1AFC" w:rsidP="003C4A79">
            <w:pPr>
              <w:spacing w:after="0"/>
              <w:rPr>
                <w:rStyle w:val="Znakapoznpodarou"/>
              </w:rPr>
            </w:pPr>
            <w:r>
              <w:rPr>
                <w:noProof/>
              </w:rPr>
              <w:drawing>
                <wp:inline distT="0" distB="0" distL="0" distR="0" wp14:anchorId="198BA231" wp14:editId="2A1404EC">
                  <wp:extent cx="4737600" cy="3420000"/>
                  <wp:effectExtent l="0" t="0" r="6350" b="0"/>
                  <wp:docPr id="1398539040" name="Graf 1">
                    <a:extLst xmlns:a="http://schemas.openxmlformats.org/drawingml/2006/main">
                      <a:ext uri="{FF2B5EF4-FFF2-40B4-BE49-F238E27FC236}">
                        <a16:creationId xmlns:a16="http://schemas.microsoft.com/office/drawing/2014/main" id="{85F44D72-D079-690D-0F95-389286699F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6B1AFC" w:rsidRPr="009110F7" w14:paraId="04B3368C" w14:textId="77777777" w:rsidTr="003C4A79">
        <w:trPr>
          <w:trHeight w:val="154"/>
        </w:trPr>
        <w:tc>
          <w:tcPr>
            <w:tcW w:w="1806" w:type="dxa"/>
            <w:vMerge/>
            <w:tcMar>
              <w:left w:w="0" w:type="dxa"/>
            </w:tcMar>
          </w:tcPr>
          <w:p w14:paraId="46E92BBB" w14:textId="77777777" w:rsidR="006B1AFC" w:rsidRDefault="006B1AFC" w:rsidP="003C4A79">
            <w:pPr>
              <w:pStyle w:val="Marginlie"/>
            </w:pPr>
          </w:p>
        </w:tc>
        <w:tc>
          <w:tcPr>
            <w:tcW w:w="210" w:type="dxa"/>
            <w:vMerge/>
            <w:tcMar>
              <w:left w:w="0" w:type="dxa"/>
            </w:tcMar>
          </w:tcPr>
          <w:p w14:paraId="7A3F77E0" w14:textId="77777777" w:rsidR="006B1AFC" w:rsidRDefault="006B1AFC" w:rsidP="003C4A79">
            <w:pPr>
              <w:pStyle w:val="Textpoznpodarou"/>
              <w:jc w:val="both"/>
              <w:rPr>
                <w:spacing w:val="-4"/>
              </w:rPr>
            </w:pPr>
          </w:p>
        </w:tc>
        <w:tc>
          <w:tcPr>
            <w:tcW w:w="7623" w:type="dxa"/>
            <w:tcMar>
              <w:left w:w="0" w:type="dxa"/>
            </w:tcMar>
          </w:tcPr>
          <w:p w14:paraId="6FE6CF7F" w14:textId="77777777" w:rsidR="006B1AFC" w:rsidRPr="0079502C" w:rsidRDefault="006B1AFC" w:rsidP="003C4A79">
            <w:pPr>
              <w:rPr>
                <w:rStyle w:val="Znakapoznpodarou"/>
                <w:sz w:val="16"/>
                <w:szCs w:val="16"/>
              </w:rPr>
            </w:pPr>
            <w:r w:rsidRPr="0079502C">
              <w:rPr>
                <w:sz w:val="16"/>
                <w:szCs w:val="16"/>
              </w:rPr>
              <w:t>Zdroj: ČSÚ</w:t>
            </w:r>
          </w:p>
        </w:tc>
      </w:tr>
      <w:tr w:rsidR="00F3443C" w:rsidRPr="009110F7" w14:paraId="2CFE3A50" w14:textId="77777777" w:rsidTr="003C4A79">
        <w:trPr>
          <w:trHeight w:val="145"/>
        </w:trPr>
        <w:tc>
          <w:tcPr>
            <w:tcW w:w="1806" w:type="dxa"/>
            <w:tcMar>
              <w:left w:w="0" w:type="dxa"/>
            </w:tcMar>
          </w:tcPr>
          <w:p w14:paraId="6A4052A0" w14:textId="77777777" w:rsidR="00F3443C" w:rsidRDefault="00F3443C" w:rsidP="00F3443C">
            <w:pPr>
              <w:pStyle w:val="Marginlie"/>
            </w:pPr>
            <w:r>
              <w:t xml:space="preserve">Bilance zahraničního obchodu v běžných cenách se meziročně </w:t>
            </w:r>
            <w:r>
              <w:br/>
              <w:t>i mezičtvrtletně zhoršila.</w:t>
            </w:r>
          </w:p>
        </w:tc>
        <w:tc>
          <w:tcPr>
            <w:tcW w:w="210" w:type="dxa"/>
            <w:tcMar>
              <w:left w:w="0" w:type="dxa"/>
            </w:tcMar>
          </w:tcPr>
          <w:p w14:paraId="40AEC60D" w14:textId="77777777" w:rsidR="00F3443C" w:rsidRDefault="00F3443C" w:rsidP="00F3443C">
            <w:pPr>
              <w:pStyle w:val="Textpoznpodarou"/>
              <w:jc w:val="both"/>
              <w:rPr>
                <w:spacing w:val="-4"/>
              </w:rPr>
            </w:pPr>
          </w:p>
        </w:tc>
        <w:tc>
          <w:tcPr>
            <w:tcW w:w="7623" w:type="dxa"/>
            <w:tcMar>
              <w:left w:w="0" w:type="dxa"/>
            </w:tcMar>
          </w:tcPr>
          <w:p w14:paraId="0BF0B937" w14:textId="3864FEF8" w:rsidR="00F3443C" w:rsidRDefault="00F3443C" w:rsidP="00F3443C">
            <w:r>
              <w:t>Výrazně pozitivní působení zahraniční poptávky na mezičtvrtletní růst HDP bylo ve 2. čtvrtletí způsobeno posílením mezičtvrtletního růstu exportu zboží a služeb</w:t>
            </w:r>
            <w:r w:rsidRPr="009110F7">
              <w:rPr>
                <w:rStyle w:val="Znakapoznpodarou"/>
              </w:rPr>
              <w:footnoteReference w:id="7"/>
            </w:r>
            <w:r>
              <w:t xml:space="preserve"> na 0,9 % za současné stagnace dovozu. Oživení se týkalo především vývozu zboží (mezičtvrtletně 1,1 %), zatímco u služeb se export reálně nezměnil. Naproti tomu se mezičtvrtletní růst dovozu zboží zmírnil na 0,2 % a u služeb došlo k poklesu o 0,9 %. Meziroční růst exportu zboží a služeb zrychlil na 3,3 %. Navzdory oslabení přírůstku importu na 3,7 % ale meziroční dynamika vývozu za dovozem sedmý kvartál v řadě zaostala. Bilance zahraničního obchodu se zbožím a službami dosáhla ve 2. čtvrtletí přebytku 99,0 mld. korun. Kladné saldo se meziročně zhoršilo o 20,5 mld. korun, a to výhradně vlivem horšího výsledku zahraničního obchodu se zbožím (−23,5 mld.). Mezičtvrtletně se přebytek bilance snížil o 9,6 mld. korun a opět výhradně vlivem obchodu se zbožím (−10,1 mld.).</w:t>
            </w:r>
          </w:p>
        </w:tc>
      </w:tr>
      <w:tr w:rsidR="00F3443C" w:rsidRPr="009110F7" w14:paraId="7AE9B813" w14:textId="77777777" w:rsidTr="003C4A79">
        <w:trPr>
          <w:trHeight w:val="145"/>
        </w:trPr>
        <w:tc>
          <w:tcPr>
            <w:tcW w:w="1806" w:type="dxa"/>
            <w:tcMar>
              <w:left w:w="0" w:type="dxa"/>
            </w:tcMar>
          </w:tcPr>
          <w:p w14:paraId="300FE5E8" w14:textId="77777777" w:rsidR="00F3443C" w:rsidRDefault="00F3443C" w:rsidP="00F3443C">
            <w:pPr>
              <w:pStyle w:val="Marginlie"/>
            </w:pPr>
            <w:r>
              <w:t>K růstu nabídkové strany ekonomiky přispíval průmysl i služby.</w:t>
            </w:r>
          </w:p>
        </w:tc>
        <w:tc>
          <w:tcPr>
            <w:tcW w:w="210" w:type="dxa"/>
            <w:tcMar>
              <w:left w:w="0" w:type="dxa"/>
            </w:tcMar>
          </w:tcPr>
          <w:p w14:paraId="6CF3BCC3" w14:textId="77777777" w:rsidR="00F3443C" w:rsidRDefault="00F3443C" w:rsidP="00F3443C">
            <w:pPr>
              <w:pStyle w:val="Textpoznpodarou"/>
              <w:jc w:val="both"/>
              <w:rPr>
                <w:spacing w:val="-4"/>
              </w:rPr>
            </w:pPr>
          </w:p>
        </w:tc>
        <w:tc>
          <w:tcPr>
            <w:tcW w:w="7623" w:type="dxa"/>
            <w:tcMar>
              <w:left w:w="0" w:type="dxa"/>
            </w:tcMar>
          </w:tcPr>
          <w:p w14:paraId="5D9D699E" w14:textId="37CFCB73" w:rsidR="00F3443C" w:rsidRDefault="00F3443C" w:rsidP="00F3443C">
            <w:r>
              <w:t xml:space="preserve">I v případě hrubé přidané hodnoty (HPH) mezičtvrtletní přírůstek po zpomalení ze začátku roku zrychlil a dosáhl ve 2. kvartálu 0,4 %. Za oživením růstu HPH stál především vývoj v průmyslu, kde na pokles ze začátku roku sekce navázala výrazným přírůstkem (viz Tabulka č. 1). V samotném zpracovatelském průmyslu bylo oživení mírnější a k celkovému růstu HPH tak poměrně netypicky více přispěla odvětví mimo něj. Hlavním tahounem mezičtvrtletního růstu HPH nadále zůstaly služby, které si tuto roli drží více než dva roky. Ve 2. čtvrtletí mezičtvrtletní růst HPH podpořily především peněžnictví a pojišťovnictví, kde HPH ze všech sledovaných odvětví vzrostla nejvíce, </w:t>
            </w:r>
            <w:r>
              <w:lastRenderedPageBreak/>
              <w:t>dále činnosti v oblasti nemovitostí a rovněž mírně rostoucí, ale váhově významné uskupení obchod, doprava, ubytování a pohostinství. Mezičtvrtletní pokles byl zaznamenán v zemědělství, lesnictví a rybářství, ostatních činnostech a v informačních a komunikačních činnostech. Meziroční přírůstek HPH ve 2. čtvrtletí zmírnil na 1,8 %. S výjimkou zemědělství, lesnictví a rybářství hladinu loňského roku překonala všechna odvětví. K celkovému růstu HPH nejvíce přispěl průmysl a dále uskupení obchod, doprava, ubytování a pohostinství. Největší meziroční přírůstek HPH zaznamenalo peněžnictví a pojišťovnictví. Informační a komunikační činnosti v pořadí následovaly, ale dynamika odvětví od začátku letošního roku zpomalovala. Podobně zvolňovala meziroční dynamika také v ostatních činnostech.</w:t>
            </w:r>
          </w:p>
        </w:tc>
      </w:tr>
      <w:tr w:rsidR="006B1AFC" w:rsidRPr="009110F7" w14:paraId="72CE43AB" w14:textId="77777777" w:rsidTr="003C4A79">
        <w:trPr>
          <w:trHeight w:val="170"/>
        </w:trPr>
        <w:tc>
          <w:tcPr>
            <w:tcW w:w="1806" w:type="dxa"/>
            <w:vMerge w:val="restart"/>
            <w:tcMar>
              <w:left w:w="0" w:type="dxa"/>
            </w:tcMar>
          </w:tcPr>
          <w:p w14:paraId="73479D65" w14:textId="77777777" w:rsidR="006B1AFC" w:rsidRDefault="006B1AFC" w:rsidP="003C4A79">
            <w:pPr>
              <w:pStyle w:val="Marginlie"/>
            </w:pPr>
          </w:p>
        </w:tc>
        <w:tc>
          <w:tcPr>
            <w:tcW w:w="210" w:type="dxa"/>
            <w:vMerge w:val="restart"/>
            <w:tcMar>
              <w:left w:w="0" w:type="dxa"/>
            </w:tcMar>
          </w:tcPr>
          <w:p w14:paraId="1D6E2C7F" w14:textId="77777777" w:rsidR="006B1AFC" w:rsidRDefault="006B1AFC" w:rsidP="003C4A79">
            <w:pPr>
              <w:pStyle w:val="Textpoznpodarou"/>
              <w:jc w:val="both"/>
              <w:rPr>
                <w:spacing w:val="-4"/>
              </w:rPr>
            </w:pPr>
          </w:p>
        </w:tc>
        <w:tc>
          <w:tcPr>
            <w:tcW w:w="7623" w:type="dxa"/>
            <w:tcMar>
              <w:left w:w="0" w:type="dxa"/>
            </w:tcMar>
          </w:tcPr>
          <w:p w14:paraId="26ADC0E8" w14:textId="77777777" w:rsidR="006B1AFC" w:rsidRDefault="006B1AFC" w:rsidP="003C4A79">
            <w:pPr>
              <w:spacing w:after="0"/>
            </w:pPr>
            <w:r w:rsidRPr="00D721B4">
              <w:rPr>
                <w:b/>
                <w:szCs w:val="20"/>
              </w:rPr>
              <w:t>Graf č. </w:t>
            </w:r>
            <w:r>
              <w:rPr>
                <w:b/>
                <w:szCs w:val="20"/>
              </w:rPr>
              <w:t xml:space="preserve">4 </w:t>
            </w:r>
            <w:r w:rsidRPr="00D721B4">
              <w:rPr>
                <w:rFonts w:cs="Arial"/>
                <w:b/>
                <w:szCs w:val="20"/>
                <w:lang w:eastAsia="en-US"/>
              </w:rPr>
              <w:t xml:space="preserve">Příspěvky odvětví k reálné změně </w:t>
            </w:r>
            <w:r>
              <w:rPr>
                <w:rFonts w:cs="Arial"/>
                <w:b/>
                <w:szCs w:val="20"/>
                <w:lang w:eastAsia="en-US"/>
              </w:rPr>
              <w:t>hrubé přidané hodnoty</w:t>
            </w:r>
            <w:r w:rsidRPr="00D721B4">
              <w:rPr>
                <w:rFonts w:cs="Arial"/>
                <w:b/>
                <w:szCs w:val="20"/>
                <w:lang w:eastAsia="en-US"/>
              </w:rPr>
              <w:t xml:space="preserve"> </w:t>
            </w:r>
            <w:r w:rsidRPr="00D721B4">
              <w:rPr>
                <w:rFonts w:cs="Arial"/>
                <w:bCs/>
                <w:szCs w:val="20"/>
                <w:lang w:eastAsia="en-US"/>
              </w:rPr>
              <w:t>(mezi</w:t>
            </w:r>
            <w:r>
              <w:rPr>
                <w:rFonts w:cs="Arial"/>
                <w:bCs/>
                <w:szCs w:val="20"/>
                <w:lang w:eastAsia="en-US"/>
              </w:rPr>
              <w:t xml:space="preserve">čtvrtletní růst, </w:t>
            </w:r>
            <w:r w:rsidRPr="00D721B4">
              <w:rPr>
                <w:rFonts w:cs="Arial"/>
                <w:bCs/>
                <w:szCs w:val="20"/>
                <w:lang w:eastAsia="en-US"/>
              </w:rPr>
              <w:t>příspěvky v p. b., HPH v</w:t>
            </w:r>
            <w:r>
              <w:rPr>
                <w:rFonts w:cs="Arial"/>
                <w:bCs/>
                <w:szCs w:val="20"/>
                <w:lang w:eastAsia="en-US"/>
              </w:rPr>
              <w:t> %</w:t>
            </w:r>
            <w:r w:rsidRPr="00D721B4">
              <w:rPr>
                <w:rFonts w:cs="Arial"/>
                <w:bCs/>
                <w:szCs w:val="20"/>
                <w:lang w:eastAsia="en-US"/>
              </w:rPr>
              <w:t>)</w:t>
            </w:r>
          </w:p>
        </w:tc>
      </w:tr>
      <w:tr w:rsidR="006B1AFC" w:rsidRPr="009110F7" w14:paraId="688DEF83" w14:textId="77777777" w:rsidTr="003C4A79">
        <w:tblPrEx>
          <w:tblCellMar>
            <w:left w:w="70" w:type="dxa"/>
            <w:right w:w="70" w:type="dxa"/>
          </w:tblCellMar>
        </w:tblPrEx>
        <w:trPr>
          <w:trHeight w:val="170"/>
        </w:trPr>
        <w:tc>
          <w:tcPr>
            <w:tcW w:w="1806" w:type="dxa"/>
            <w:vMerge/>
          </w:tcPr>
          <w:p w14:paraId="6E06EA95" w14:textId="77777777" w:rsidR="006B1AFC" w:rsidRDefault="006B1AFC" w:rsidP="003C4A79">
            <w:pPr>
              <w:pStyle w:val="Marginlie"/>
            </w:pPr>
          </w:p>
        </w:tc>
        <w:tc>
          <w:tcPr>
            <w:tcW w:w="210" w:type="dxa"/>
            <w:vMerge/>
          </w:tcPr>
          <w:p w14:paraId="1A6252E3" w14:textId="77777777" w:rsidR="006B1AFC" w:rsidRDefault="006B1AFC" w:rsidP="003C4A79">
            <w:pPr>
              <w:pStyle w:val="Textpoznpodarou"/>
              <w:jc w:val="both"/>
              <w:rPr>
                <w:spacing w:val="-4"/>
              </w:rPr>
            </w:pPr>
          </w:p>
        </w:tc>
        <w:tc>
          <w:tcPr>
            <w:tcW w:w="7623" w:type="dxa"/>
          </w:tcPr>
          <w:p w14:paraId="49129293" w14:textId="77777777" w:rsidR="006B1AFC" w:rsidRDefault="006B1AFC" w:rsidP="003C4A79">
            <w:pPr>
              <w:spacing w:after="0"/>
            </w:pPr>
            <w:r>
              <w:rPr>
                <w:noProof/>
              </w:rPr>
              <w:drawing>
                <wp:inline distT="0" distB="0" distL="0" distR="0" wp14:anchorId="7259B721" wp14:editId="7FD70B4B">
                  <wp:extent cx="4737600" cy="3420000"/>
                  <wp:effectExtent l="0" t="0" r="6350" b="0"/>
                  <wp:docPr id="1732063483" name="Graf 1">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6B1AFC" w:rsidRPr="009110F7" w14:paraId="6667426C" w14:textId="77777777" w:rsidTr="003C4A79">
        <w:trPr>
          <w:trHeight w:val="170"/>
        </w:trPr>
        <w:tc>
          <w:tcPr>
            <w:tcW w:w="1806" w:type="dxa"/>
            <w:vMerge/>
            <w:tcMar>
              <w:left w:w="0" w:type="dxa"/>
            </w:tcMar>
          </w:tcPr>
          <w:p w14:paraId="282A53D3" w14:textId="77777777" w:rsidR="006B1AFC" w:rsidRDefault="006B1AFC" w:rsidP="003C4A79">
            <w:pPr>
              <w:pStyle w:val="Marginlie"/>
            </w:pPr>
          </w:p>
        </w:tc>
        <w:tc>
          <w:tcPr>
            <w:tcW w:w="210" w:type="dxa"/>
            <w:vMerge/>
            <w:tcMar>
              <w:left w:w="0" w:type="dxa"/>
            </w:tcMar>
          </w:tcPr>
          <w:p w14:paraId="7ADE9A51" w14:textId="77777777" w:rsidR="006B1AFC" w:rsidRDefault="006B1AFC" w:rsidP="003C4A79">
            <w:pPr>
              <w:pStyle w:val="Textpoznpodarou"/>
              <w:jc w:val="both"/>
              <w:rPr>
                <w:spacing w:val="-4"/>
              </w:rPr>
            </w:pPr>
          </w:p>
        </w:tc>
        <w:tc>
          <w:tcPr>
            <w:tcW w:w="7623" w:type="dxa"/>
            <w:tcMar>
              <w:left w:w="0" w:type="dxa"/>
            </w:tcMar>
          </w:tcPr>
          <w:p w14:paraId="48D31F5E" w14:textId="77777777" w:rsidR="006B1AFC" w:rsidRPr="00947786" w:rsidRDefault="006B1AFC" w:rsidP="003C4A79">
            <w:pPr>
              <w:rPr>
                <w:sz w:val="16"/>
                <w:szCs w:val="16"/>
              </w:rPr>
            </w:pPr>
            <w:r w:rsidRPr="00947786">
              <w:rPr>
                <w:sz w:val="16"/>
                <w:szCs w:val="16"/>
              </w:rPr>
              <w:t>Zdroj: ČSÚ</w:t>
            </w:r>
          </w:p>
        </w:tc>
      </w:tr>
      <w:tr w:rsidR="006B1AFC" w:rsidRPr="009110F7" w14:paraId="25EC93FF" w14:textId="77777777" w:rsidTr="003C4A79">
        <w:trPr>
          <w:trHeight w:val="154"/>
        </w:trPr>
        <w:tc>
          <w:tcPr>
            <w:tcW w:w="9639" w:type="dxa"/>
            <w:gridSpan w:val="3"/>
            <w:tcMar>
              <w:left w:w="0" w:type="dxa"/>
            </w:tcMar>
          </w:tcPr>
          <w:p w14:paraId="226C0AF1" w14:textId="77777777" w:rsidR="006B1AFC" w:rsidRPr="005377D9" w:rsidRDefault="006B1AFC" w:rsidP="003C4A79">
            <w:pPr>
              <w:spacing w:after="0"/>
              <w:rPr>
                <w:b/>
                <w:bCs/>
              </w:rPr>
            </w:pPr>
            <w:r>
              <w:rPr>
                <w:b/>
                <w:bCs/>
              </w:rPr>
              <w:t xml:space="preserve">Tabulka č. 1 Dynamika hrubé přidané hodnoty </w:t>
            </w:r>
            <w:r w:rsidRPr="00DC095E">
              <w:t>(v %)</w:t>
            </w:r>
          </w:p>
        </w:tc>
      </w:tr>
      <w:tr w:rsidR="006B1AFC" w:rsidRPr="009110F7" w14:paraId="53FC810D" w14:textId="77777777" w:rsidTr="003C4A79">
        <w:trPr>
          <w:trHeight w:val="154"/>
        </w:trPr>
        <w:tc>
          <w:tcPr>
            <w:tcW w:w="9639" w:type="dxa"/>
            <w:gridSpan w:val="3"/>
            <w:tcMar>
              <w:left w:w="0" w:type="dxa"/>
            </w:tcMar>
          </w:tcPr>
          <w:tbl>
            <w:tblPr>
              <w:tblW w:w="9658" w:type="dxa"/>
              <w:tblLayout w:type="fixed"/>
              <w:tblCellMar>
                <w:left w:w="70" w:type="dxa"/>
                <w:right w:w="70" w:type="dxa"/>
              </w:tblCellMar>
              <w:tblLook w:val="04A0" w:firstRow="1" w:lastRow="0" w:firstColumn="1" w:lastColumn="0" w:noHBand="0" w:noVBand="1"/>
            </w:tblPr>
            <w:tblGrid>
              <w:gridCol w:w="4466"/>
              <w:gridCol w:w="649"/>
              <w:gridCol w:w="649"/>
              <w:gridCol w:w="649"/>
              <w:gridCol w:w="649"/>
              <w:gridCol w:w="684"/>
              <w:gridCol w:w="684"/>
              <w:gridCol w:w="614"/>
              <w:gridCol w:w="614"/>
            </w:tblGrid>
            <w:tr w:rsidR="006B1AFC" w:rsidRPr="00920A55" w14:paraId="297B12A5" w14:textId="77777777" w:rsidTr="003C4A79">
              <w:trPr>
                <w:trHeight w:val="255"/>
              </w:trPr>
              <w:tc>
                <w:tcPr>
                  <w:tcW w:w="4466" w:type="dxa"/>
                  <w:tcBorders>
                    <w:top w:val="nil"/>
                    <w:left w:val="nil"/>
                    <w:bottom w:val="nil"/>
                    <w:right w:val="nil"/>
                  </w:tcBorders>
                  <w:noWrap/>
                  <w:vAlign w:val="bottom"/>
                  <w:hideMark/>
                </w:tcPr>
                <w:p w14:paraId="7FF66C4F" w14:textId="77777777" w:rsidR="006B1AFC" w:rsidRPr="00920A55" w:rsidRDefault="006B1AFC" w:rsidP="003C4A79">
                  <w:pPr>
                    <w:spacing w:after="0" w:line="240" w:lineRule="auto"/>
                    <w:jc w:val="left"/>
                    <w:rPr>
                      <w:rFonts w:ascii="Times New Roman" w:hAnsi="Times New Roman"/>
                      <w:sz w:val="24"/>
                      <w:szCs w:val="20"/>
                      <w:lang w:eastAsia="ko-KR"/>
                    </w:rPr>
                  </w:pPr>
                </w:p>
              </w:tc>
              <w:tc>
                <w:tcPr>
                  <w:tcW w:w="2596" w:type="dxa"/>
                  <w:gridSpan w:val="4"/>
                  <w:tcBorders>
                    <w:top w:val="nil"/>
                    <w:left w:val="nil"/>
                    <w:bottom w:val="nil"/>
                    <w:right w:val="nil"/>
                  </w:tcBorders>
                  <w:noWrap/>
                  <w:vAlign w:val="bottom"/>
                  <w:hideMark/>
                </w:tcPr>
                <w:p w14:paraId="2BA60843" w14:textId="77777777" w:rsidR="006B1AFC" w:rsidRPr="00920A55" w:rsidRDefault="006B1AFC" w:rsidP="003C4A79">
                  <w:pPr>
                    <w:spacing w:after="0" w:line="240" w:lineRule="auto"/>
                    <w:jc w:val="center"/>
                    <w:rPr>
                      <w:rFonts w:cs="Arial"/>
                      <w:color w:val="000000"/>
                      <w:sz w:val="16"/>
                      <w:szCs w:val="16"/>
                      <w:lang w:eastAsia="ko-KR"/>
                    </w:rPr>
                  </w:pPr>
                  <w:r w:rsidRPr="00920A55">
                    <w:rPr>
                      <w:rFonts w:cs="Arial"/>
                      <w:color w:val="000000"/>
                      <w:sz w:val="16"/>
                      <w:szCs w:val="16"/>
                      <w:lang w:eastAsia="ko-KR"/>
                    </w:rPr>
                    <w:t xml:space="preserve">mezičtvrtletně </w:t>
                  </w:r>
                </w:p>
              </w:tc>
              <w:tc>
                <w:tcPr>
                  <w:tcW w:w="2596" w:type="dxa"/>
                  <w:gridSpan w:val="4"/>
                  <w:tcBorders>
                    <w:top w:val="nil"/>
                    <w:left w:val="nil"/>
                    <w:bottom w:val="nil"/>
                    <w:right w:val="nil"/>
                  </w:tcBorders>
                  <w:noWrap/>
                  <w:vAlign w:val="bottom"/>
                  <w:hideMark/>
                </w:tcPr>
                <w:p w14:paraId="1B97CC08" w14:textId="77777777" w:rsidR="006B1AFC" w:rsidRPr="00920A55" w:rsidRDefault="006B1AFC" w:rsidP="003C4A79">
                  <w:pPr>
                    <w:spacing w:after="0" w:line="240" w:lineRule="auto"/>
                    <w:jc w:val="center"/>
                    <w:rPr>
                      <w:rFonts w:cs="Arial"/>
                      <w:color w:val="000000"/>
                      <w:sz w:val="16"/>
                      <w:szCs w:val="16"/>
                      <w:lang w:eastAsia="ko-KR"/>
                    </w:rPr>
                  </w:pPr>
                  <w:r w:rsidRPr="00920A55">
                    <w:rPr>
                      <w:rFonts w:cs="Arial"/>
                      <w:color w:val="000000"/>
                      <w:sz w:val="16"/>
                      <w:szCs w:val="16"/>
                      <w:lang w:eastAsia="ko-KR"/>
                    </w:rPr>
                    <w:t xml:space="preserve">meziročně </w:t>
                  </w:r>
                </w:p>
              </w:tc>
            </w:tr>
            <w:tr w:rsidR="006B1AFC" w:rsidRPr="00920A55" w14:paraId="6C301735" w14:textId="77777777" w:rsidTr="003C4A79">
              <w:trPr>
                <w:trHeight w:val="255"/>
              </w:trPr>
              <w:tc>
                <w:tcPr>
                  <w:tcW w:w="4466" w:type="dxa"/>
                  <w:tcBorders>
                    <w:top w:val="nil"/>
                    <w:left w:val="nil"/>
                    <w:bottom w:val="nil"/>
                    <w:right w:val="nil"/>
                  </w:tcBorders>
                  <w:noWrap/>
                  <w:vAlign w:val="bottom"/>
                  <w:hideMark/>
                </w:tcPr>
                <w:p w14:paraId="7186FF35" w14:textId="77777777" w:rsidR="006B1AFC" w:rsidRPr="00920A55" w:rsidRDefault="006B1AFC" w:rsidP="003C4A79">
                  <w:pPr>
                    <w:spacing w:after="0" w:line="240" w:lineRule="auto"/>
                    <w:jc w:val="center"/>
                    <w:rPr>
                      <w:rFonts w:cs="Arial"/>
                      <w:color w:val="000000"/>
                      <w:sz w:val="16"/>
                      <w:szCs w:val="16"/>
                      <w:lang w:eastAsia="ko-KR"/>
                    </w:rPr>
                  </w:pPr>
                </w:p>
              </w:tc>
              <w:tc>
                <w:tcPr>
                  <w:tcW w:w="649" w:type="dxa"/>
                  <w:tcBorders>
                    <w:top w:val="nil"/>
                    <w:left w:val="nil"/>
                    <w:bottom w:val="nil"/>
                    <w:right w:val="nil"/>
                  </w:tcBorders>
                  <w:noWrap/>
                  <w:vAlign w:val="bottom"/>
                  <w:hideMark/>
                </w:tcPr>
                <w:p w14:paraId="62F98817"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Q3</w:t>
                  </w:r>
                  <w:r>
                    <w:rPr>
                      <w:rFonts w:cs="Arial"/>
                      <w:color w:val="000000"/>
                      <w:sz w:val="16"/>
                      <w:szCs w:val="16"/>
                      <w:lang w:eastAsia="ko-KR"/>
                    </w:rPr>
                    <w:t xml:space="preserve"> 25</w:t>
                  </w:r>
                </w:p>
              </w:tc>
              <w:tc>
                <w:tcPr>
                  <w:tcW w:w="649" w:type="dxa"/>
                  <w:tcBorders>
                    <w:top w:val="nil"/>
                    <w:left w:val="nil"/>
                    <w:bottom w:val="nil"/>
                    <w:right w:val="nil"/>
                  </w:tcBorders>
                  <w:noWrap/>
                  <w:vAlign w:val="bottom"/>
                  <w:hideMark/>
                </w:tcPr>
                <w:p w14:paraId="19E6D3AB"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Q4</w:t>
                  </w:r>
                  <w:r>
                    <w:rPr>
                      <w:rFonts w:cs="Arial"/>
                      <w:color w:val="000000"/>
                      <w:sz w:val="16"/>
                      <w:szCs w:val="16"/>
                      <w:lang w:eastAsia="ko-KR"/>
                    </w:rPr>
                    <w:t xml:space="preserve"> 25</w:t>
                  </w:r>
                </w:p>
              </w:tc>
              <w:tc>
                <w:tcPr>
                  <w:tcW w:w="649" w:type="dxa"/>
                  <w:tcBorders>
                    <w:top w:val="nil"/>
                    <w:left w:val="nil"/>
                    <w:bottom w:val="nil"/>
                    <w:right w:val="nil"/>
                  </w:tcBorders>
                  <w:noWrap/>
                  <w:vAlign w:val="bottom"/>
                  <w:hideMark/>
                </w:tcPr>
                <w:p w14:paraId="4752FD85"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Q1</w:t>
                  </w:r>
                  <w:r>
                    <w:rPr>
                      <w:rFonts w:cs="Arial"/>
                      <w:color w:val="000000"/>
                      <w:sz w:val="16"/>
                      <w:szCs w:val="16"/>
                      <w:lang w:eastAsia="ko-KR"/>
                    </w:rPr>
                    <w:t xml:space="preserve"> 26</w:t>
                  </w:r>
                </w:p>
              </w:tc>
              <w:tc>
                <w:tcPr>
                  <w:tcW w:w="649" w:type="dxa"/>
                  <w:tcBorders>
                    <w:top w:val="nil"/>
                    <w:left w:val="nil"/>
                    <w:bottom w:val="nil"/>
                    <w:right w:val="nil"/>
                  </w:tcBorders>
                  <w:noWrap/>
                  <w:vAlign w:val="bottom"/>
                  <w:hideMark/>
                </w:tcPr>
                <w:p w14:paraId="55D4AC36"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Q2</w:t>
                  </w:r>
                  <w:r>
                    <w:rPr>
                      <w:rFonts w:cs="Arial"/>
                      <w:color w:val="000000"/>
                      <w:sz w:val="16"/>
                      <w:szCs w:val="16"/>
                      <w:lang w:eastAsia="ko-KR"/>
                    </w:rPr>
                    <w:t xml:space="preserve"> 26</w:t>
                  </w:r>
                </w:p>
              </w:tc>
              <w:tc>
                <w:tcPr>
                  <w:tcW w:w="684" w:type="dxa"/>
                  <w:tcBorders>
                    <w:top w:val="nil"/>
                    <w:left w:val="nil"/>
                    <w:bottom w:val="nil"/>
                    <w:right w:val="nil"/>
                  </w:tcBorders>
                  <w:noWrap/>
                  <w:vAlign w:val="bottom"/>
                  <w:hideMark/>
                </w:tcPr>
                <w:p w14:paraId="5ADF65BD"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Q3</w:t>
                  </w:r>
                  <w:r>
                    <w:rPr>
                      <w:rFonts w:cs="Arial"/>
                      <w:color w:val="000000"/>
                      <w:sz w:val="16"/>
                      <w:szCs w:val="16"/>
                      <w:lang w:eastAsia="ko-KR"/>
                    </w:rPr>
                    <w:t xml:space="preserve"> 25</w:t>
                  </w:r>
                </w:p>
              </w:tc>
              <w:tc>
                <w:tcPr>
                  <w:tcW w:w="684" w:type="dxa"/>
                  <w:tcBorders>
                    <w:top w:val="nil"/>
                    <w:left w:val="nil"/>
                    <w:bottom w:val="nil"/>
                    <w:right w:val="nil"/>
                  </w:tcBorders>
                  <w:noWrap/>
                  <w:vAlign w:val="bottom"/>
                  <w:hideMark/>
                </w:tcPr>
                <w:p w14:paraId="474EE07F"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Q4</w:t>
                  </w:r>
                  <w:r>
                    <w:rPr>
                      <w:rFonts w:cs="Arial"/>
                      <w:color w:val="000000"/>
                      <w:sz w:val="16"/>
                      <w:szCs w:val="16"/>
                      <w:lang w:eastAsia="ko-KR"/>
                    </w:rPr>
                    <w:t xml:space="preserve"> 25</w:t>
                  </w:r>
                </w:p>
              </w:tc>
              <w:tc>
                <w:tcPr>
                  <w:tcW w:w="614" w:type="dxa"/>
                  <w:tcBorders>
                    <w:top w:val="nil"/>
                    <w:left w:val="nil"/>
                    <w:bottom w:val="nil"/>
                    <w:right w:val="nil"/>
                  </w:tcBorders>
                  <w:noWrap/>
                  <w:vAlign w:val="bottom"/>
                  <w:hideMark/>
                </w:tcPr>
                <w:p w14:paraId="38074400"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Q1</w:t>
                  </w:r>
                  <w:r>
                    <w:rPr>
                      <w:rFonts w:cs="Arial"/>
                      <w:color w:val="000000"/>
                      <w:sz w:val="16"/>
                      <w:szCs w:val="16"/>
                      <w:lang w:eastAsia="ko-KR"/>
                    </w:rPr>
                    <w:t xml:space="preserve"> 26</w:t>
                  </w:r>
                </w:p>
              </w:tc>
              <w:tc>
                <w:tcPr>
                  <w:tcW w:w="614" w:type="dxa"/>
                  <w:tcBorders>
                    <w:top w:val="nil"/>
                    <w:left w:val="nil"/>
                    <w:bottom w:val="nil"/>
                    <w:right w:val="nil"/>
                  </w:tcBorders>
                  <w:noWrap/>
                  <w:vAlign w:val="bottom"/>
                  <w:hideMark/>
                </w:tcPr>
                <w:p w14:paraId="09C88201"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Q2</w:t>
                  </w:r>
                  <w:r>
                    <w:rPr>
                      <w:rFonts w:cs="Arial"/>
                      <w:color w:val="000000"/>
                      <w:sz w:val="16"/>
                      <w:szCs w:val="16"/>
                      <w:lang w:eastAsia="ko-KR"/>
                    </w:rPr>
                    <w:t xml:space="preserve"> 26</w:t>
                  </w:r>
                </w:p>
              </w:tc>
            </w:tr>
            <w:tr w:rsidR="006B1AFC" w:rsidRPr="00920A55" w14:paraId="543C0E18" w14:textId="77777777" w:rsidTr="003C4A79">
              <w:trPr>
                <w:trHeight w:val="255"/>
              </w:trPr>
              <w:tc>
                <w:tcPr>
                  <w:tcW w:w="4466" w:type="dxa"/>
                  <w:tcBorders>
                    <w:top w:val="single" w:sz="4" w:space="0" w:color="auto"/>
                    <w:left w:val="nil"/>
                    <w:bottom w:val="nil"/>
                    <w:right w:val="nil"/>
                  </w:tcBorders>
                  <w:vAlign w:val="bottom"/>
                  <w:hideMark/>
                </w:tcPr>
                <w:p w14:paraId="0BF74AF6" w14:textId="77777777" w:rsidR="006B1AFC" w:rsidRPr="00920A55" w:rsidRDefault="006B1AFC" w:rsidP="003C4A79">
                  <w:pPr>
                    <w:spacing w:after="0" w:line="240" w:lineRule="auto"/>
                    <w:jc w:val="left"/>
                    <w:rPr>
                      <w:rFonts w:cs="Arial"/>
                      <w:color w:val="000000"/>
                      <w:sz w:val="16"/>
                      <w:szCs w:val="16"/>
                      <w:lang w:eastAsia="ko-KR"/>
                    </w:rPr>
                  </w:pPr>
                  <w:r w:rsidRPr="00920A55">
                    <w:rPr>
                      <w:rFonts w:cs="Arial"/>
                      <w:color w:val="000000"/>
                      <w:sz w:val="16"/>
                      <w:szCs w:val="16"/>
                      <w:lang w:eastAsia="ko-KR"/>
                    </w:rPr>
                    <w:t>Celkem</w:t>
                  </w:r>
                </w:p>
              </w:tc>
              <w:tc>
                <w:tcPr>
                  <w:tcW w:w="649" w:type="dxa"/>
                  <w:tcBorders>
                    <w:top w:val="single" w:sz="4" w:space="0" w:color="auto"/>
                    <w:left w:val="nil"/>
                    <w:bottom w:val="nil"/>
                    <w:right w:val="nil"/>
                  </w:tcBorders>
                  <w:noWrap/>
                  <w:vAlign w:val="bottom"/>
                  <w:hideMark/>
                </w:tcPr>
                <w:p w14:paraId="290378D7"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0,7</w:t>
                  </w:r>
                </w:p>
              </w:tc>
              <w:tc>
                <w:tcPr>
                  <w:tcW w:w="649" w:type="dxa"/>
                  <w:tcBorders>
                    <w:top w:val="single" w:sz="4" w:space="0" w:color="auto"/>
                    <w:left w:val="nil"/>
                    <w:bottom w:val="nil"/>
                    <w:right w:val="nil"/>
                  </w:tcBorders>
                  <w:noWrap/>
                  <w:vAlign w:val="bottom"/>
                  <w:hideMark/>
                </w:tcPr>
                <w:p w14:paraId="053F8FCC"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0,5</w:t>
                  </w:r>
                </w:p>
              </w:tc>
              <w:tc>
                <w:tcPr>
                  <w:tcW w:w="649" w:type="dxa"/>
                  <w:tcBorders>
                    <w:top w:val="single" w:sz="4" w:space="0" w:color="auto"/>
                    <w:left w:val="nil"/>
                    <w:bottom w:val="nil"/>
                    <w:right w:val="nil"/>
                  </w:tcBorders>
                  <w:noWrap/>
                  <w:vAlign w:val="bottom"/>
                  <w:hideMark/>
                </w:tcPr>
                <w:p w14:paraId="727C47B8"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0,1</w:t>
                  </w:r>
                </w:p>
              </w:tc>
              <w:tc>
                <w:tcPr>
                  <w:tcW w:w="649" w:type="dxa"/>
                  <w:tcBorders>
                    <w:top w:val="single" w:sz="4" w:space="0" w:color="auto"/>
                    <w:left w:val="nil"/>
                    <w:bottom w:val="nil"/>
                    <w:right w:val="nil"/>
                  </w:tcBorders>
                  <w:noWrap/>
                  <w:vAlign w:val="bottom"/>
                  <w:hideMark/>
                </w:tcPr>
                <w:p w14:paraId="24D84A0B"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0,4</w:t>
                  </w:r>
                </w:p>
              </w:tc>
              <w:tc>
                <w:tcPr>
                  <w:tcW w:w="684" w:type="dxa"/>
                  <w:tcBorders>
                    <w:top w:val="single" w:sz="4" w:space="0" w:color="auto"/>
                    <w:left w:val="nil"/>
                    <w:bottom w:val="nil"/>
                    <w:right w:val="nil"/>
                  </w:tcBorders>
                  <w:noWrap/>
                  <w:vAlign w:val="bottom"/>
                  <w:hideMark/>
                </w:tcPr>
                <w:p w14:paraId="189D4690"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2,8</w:t>
                  </w:r>
                </w:p>
              </w:tc>
              <w:tc>
                <w:tcPr>
                  <w:tcW w:w="684" w:type="dxa"/>
                  <w:tcBorders>
                    <w:top w:val="single" w:sz="4" w:space="0" w:color="auto"/>
                    <w:left w:val="nil"/>
                    <w:bottom w:val="nil"/>
                    <w:right w:val="nil"/>
                  </w:tcBorders>
                  <w:noWrap/>
                  <w:vAlign w:val="bottom"/>
                  <w:hideMark/>
                </w:tcPr>
                <w:p w14:paraId="64A8CF7D"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2,8</w:t>
                  </w:r>
                </w:p>
              </w:tc>
              <w:tc>
                <w:tcPr>
                  <w:tcW w:w="614" w:type="dxa"/>
                  <w:tcBorders>
                    <w:top w:val="single" w:sz="4" w:space="0" w:color="auto"/>
                    <w:left w:val="nil"/>
                    <w:bottom w:val="nil"/>
                    <w:right w:val="nil"/>
                  </w:tcBorders>
                  <w:noWrap/>
                  <w:vAlign w:val="bottom"/>
                  <w:hideMark/>
                </w:tcPr>
                <w:p w14:paraId="3B2CCBB2"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2,0</w:t>
                  </w:r>
                </w:p>
              </w:tc>
              <w:tc>
                <w:tcPr>
                  <w:tcW w:w="614" w:type="dxa"/>
                  <w:tcBorders>
                    <w:top w:val="single" w:sz="4" w:space="0" w:color="auto"/>
                    <w:left w:val="nil"/>
                    <w:bottom w:val="nil"/>
                    <w:right w:val="nil"/>
                  </w:tcBorders>
                  <w:noWrap/>
                  <w:vAlign w:val="bottom"/>
                  <w:hideMark/>
                </w:tcPr>
                <w:p w14:paraId="408F4AF9"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1,8</w:t>
                  </w:r>
                </w:p>
              </w:tc>
            </w:tr>
            <w:tr w:rsidR="006B1AFC" w:rsidRPr="00920A55" w14:paraId="442280E5" w14:textId="77777777" w:rsidTr="003C4A79">
              <w:trPr>
                <w:trHeight w:val="255"/>
              </w:trPr>
              <w:tc>
                <w:tcPr>
                  <w:tcW w:w="4466" w:type="dxa"/>
                  <w:tcBorders>
                    <w:top w:val="nil"/>
                    <w:left w:val="nil"/>
                    <w:bottom w:val="nil"/>
                    <w:right w:val="nil"/>
                  </w:tcBorders>
                  <w:vAlign w:val="bottom"/>
                  <w:hideMark/>
                </w:tcPr>
                <w:p w14:paraId="1EF58E2E" w14:textId="77777777" w:rsidR="006B1AFC" w:rsidRPr="00920A55" w:rsidRDefault="006B1AFC" w:rsidP="003C4A79">
                  <w:pPr>
                    <w:spacing w:after="0" w:line="240" w:lineRule="auto"/>
                    <w:ind w:left="88"/>
                    <w:jc w:val="left"/>
                    <w:rPr>
                      <w:rFonts w:cs="Arial"/>
                      <w:color w:val="000000"/>
                      <w:sz w:val="16"/>
                      <w:szCs w:val="16"/>
                      <w:lang w:eastAsia="ko-KR"/>
                    </w:rPr>
                  </w:pPr>
                  <w:r w:rsidRPr="00920A55">
                    <w:rPr>
                      <w:rFonts w:cs="Arial"/>
                      <w:color w:val="000000"/>
                      <w:sz w:val="16"/>
                      <w:szCs w:val="16"/>
                      <w:lang w:eastAsia="ko-KR"/>
                    </w:rPr>
                    <w:t>Zemědělství, lesnictví a rybářství</w:t>
                  </w:r>
                </w:p>
              </w:tc>
              <w:tc>
                <w:tcPr>
                  <w:tcW w:w="649" w:type="dxa"/>
                  <w:tcBorders>
                    <w:top w:val="nil"/>
                    <w:left w:val="nil"/>
                    <w:bottom w:val="nil"/>
                    <w:right w:val="nil"/>
                  </w:tcBorders>
                  <w:noWrap/>
                  <w:vAlign w:val="bottom"/>
                  <w:hideMark/>
                </w:tcPr>
                <w:p w14:paraId="4D5C3DEC"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0,1</w:t>
                  </w:r>
                </w:p>
              </w:tc>
              <w:tc>
                <w:tcPr>
                  <w:tcW w:w="649" w:type="dxa"/>
                  <w:tcBorders>
                    <w:top w:val="nil"/>
                    <w:left w:val="nil"/>
                    <w:bottom w:val="nil"/>
                    <w:right w:val="nil"/>
                  </w:tcBorders>
                  <w:noWrap/>
                  <w:vAlign w:val="bottom"/>
                  <w:hideMark/>
                </w:tcPr>
                <w:p w14:paraId="66C05DF3"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1,0</w:t>
                  </w:r>
                </w:p>
              </w:tc>
              <w:tc>
                <w:tcPr>
                  <w:tcW w:w="649" w:type="dxa"/>
                  <w:tcBorders>
                    <w:top w:val="nil"/>
                    <w:left w:val="nil"/>
                    <w:bottom w:val="nil"/>
                    <w:right w:val="nil"/>
                  </w:tcBorders>
                  <w:noWrap/>
                  <w:vAlign w:val="bottom"/>
                  <w:hideMark/>
                </w:tcPr>
                <w:p w14:paraId="7CE11D99"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0,2</w:t>
                  </w:r>
                </w:p>
              </w:tc>
              <w:tc>
                <w:tcPr>
                  <w:tcW w:w="649" w:type="dxa"/>
                  <w:tcBorders>
                    <w:top w:val="nil"/>
                    <w:left w:val="nil"/>
                    <w:bottom w:val="nil"/>
                    <w:right w:val="nil"/>
                  </w:tcBorders>
                  <w:noWrap/>
                  <w:vAlign w:val="bottom"/>
                  <w:hideMark/>
                </w:tcPr>
                <w:p w14:paraId="63396D1E" w14:textId="77777777" w:rsidR="006B1AFC" w:rsidRPr="00920A55"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20A55">
                    <w:rPr>
                      <w:rFonts w:cs="Arial"/>
                      <w:color w:val="000000"/>
                      <w:sz w:val="16"/>
                      <w:szCs w:val="16"/>
                      <w:lang w:eastAsia="ko-KR"/>
                    </w:rPr>
                    <w:t>1,4</w:t>
                  </w:r>
                </w:p>
              </w:tc>
              <w:tc>
                <w:tcPr>
                  <w:tcW w:w="684" w:type="dxa"/>
                  <w:tcBorders>
                    <w:top w:val="nil"/>
                    <w:left w:val="nil"/>
                    <w:bottom w:val="nil"/>
                    <w:right w:val="nil"/>
                  </w:tcBorders>
                  <w:noWrap/>
                  <w:vAlign w:val="bottom"/>
                  <w:hideMark/>
                </w:tcPr>
                <w:p w14:paraId="2D1BFF87"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1,8</w:t>
                  </w:r>
                </w:p>
              </w:tc>
              <w:tc>
                <w:tcPr>
                  <w:tcW w:w="684" w:type="dxa"/>
                  <w:tcBorders>
                    <w:top w:val="nil"/>
                    <w:left w:val="nil"/>
                    <w:bottom w:val="nil"/>
                    <w:right w:val="nil"/>
                  </w:tcBorders>
                  <w:noWrap/>
                  <w:vAlign w:val="bottom"/>
                  <w:hideMark/>
                </w:tcPr>
                <w:p w14:paraId="2626998A"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3,4</w:t>
                  </w:r>
                </w:p>
              </w:tc>
              <w:tc>
                <w:tcPr>
                  <w:tcW w:w="614" w:type="dxa"/>
                  <w:tcBorders>
                    <w:top w:val="nil"/>
                    <w:left w:val="nil"/>
                    <w:bottom w:val="nil"/>
                    <w:right w:val="nil"/>
                  </w:tcBorders>
                  <w:noWrap/>
                  <w:vAlign w:val="bottom"/>
                  <w:hideMark/>
                </w:tcPr>
                <w:p w14:paraId="31DCFF27"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2,1</w:t>
                  </w:r>
                </w:p>
              </w:tc>
              <w:tc>
                <w:tcPr>
                  <w:tcW w:w="614" w:type="dxa"/>
                  <w:tcBorders>
                    <w:top w:val="nil"/>
                    <w:left w:val="nil"/>
                    <w:bottom w:val="nil"/>
                    <w:right w:val="nil"/>
                  </w:tcBorders>
                  <w:noWrap/>
                  <w:vAlign w:val="bottom"/>
                  <w:hideMark/>
                </w:tcPr>
                <w:p w14:paraId="0635419B" w14:textId="77777777" w:rsidR="006B1AFC" w:rsidRPr="00920A55"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20A55">
                    <w:rPr>
                      <w:rFonts w:cs="Arial"/>
                      <w:color w:val="000000"/>
                      <w:sz w:val="16"/>
                      <w:szCs w:val="16"/>
                      <w:lang w:eastAsia="ko-KR"/>
                    </w:rPr>
                    <w:t>0,1</w:t>
                  </w:r>
                </w:p>
              </w:tc>
            </w:tr>
            <w:tr w:rsidR="006B1AFC" w:rsidRPr="00920A55" w14:paraId="3E8D8A8C" w14:textId="77777777" w:rsidTr="003C4A79">
              <w:trPr>
                <w:trHeight w:val="255"/>
              </w:trPr>
              <w:tc>
                <w:tcPr>
                  <w:tcW w:w="4466" w:type="dxa"/>
                  <w:tcBorders>
                    <w:top w:val="nil"/>
                    <w:left w:val="nil"/>
                    <w:bottom w:val="nil"/>
                    <w:right w:val="nil"/>
                  </w:tcBorders>
                  <w:vAlign w:val="bottom"/>
                  <w:hideMark/>
                </w:tcPr>
                <w:p w14:paraId="7AB7A3C2" w14:textId="77777777" w:rsidR="006B1AFC" w:rsidRPr="00920A55" w:rsidRDefault="006B1AFC" w:rsidP="003C4A79">
                  <w:pPr>
                    <w:spacing w:after="0" w:line="240" w:lineRule="auto"/>
                    <w:ind w:left="88"/>
                    <w:jc w:val="left"/>
                    <w:rPr>
                      <w:rFonts w:cs="Arial"/>
                      <w:color w:val="000000"/>
                      <w:sz w:val="16"/>
                      <w:szCs w:val="16"/>
                      <w:lang w:eastAsia="ko-KR"/>
                    </w:rPr>
                  </w:pPr>
                  <w:r w:rsidRPr="00920A55">
                    <w:rPr>
                      <w:rFonts w:cs="Arial"/>
                      <w:color w:val="000000"/>
                      <w:sz w:val="16"/>
                      <w:szCs w:val="16"/>
                      <w:lang w:eastAsia="ko-KR"/>
                    </w:rPr>
                    <w:t>Průmysl</w:t>
                  </w:r>
                </w:p>
              </w:tc>
              <w:tc>
                <w:tcPr>
                  <w:tcW w:w="649" w:type="dxa"/>
                  <w:tcBorders>
                    <w:top w:val="nil"/>
                    <w:left w:val="nil"/>
                    <w:bottom w:val="nil"/>
                    <w:right w:val="nil"/>
                  </w:tcBorders>
                  <w:noWrap/>
                  <w:vAlign w:val="bottom"/>
                  <w:hideMark/>
                </w:tcPr>
                <w:p w14:paraId="7212501F"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0,8</w:t>
                  </w:r>
                </w:p>
              </w:tc>
              <w:tc>
                <w:tcPr>
                  <w:tcW w:w="649" w:type="dxa"/>
                  <w:tcBorders>
                    <w:top w:val="nil"/>
                    <w:left w:val="nil"/>
                    <w:bottom w:val="nil"/>
                    <w:right w:val="nil"/>
                  </w:tcBorders>
                  <w:noWrap/>
                  <w:vAlign w:val="bottom"/>
                  <w:hideMark/>
                </w:tcPr>
                <w:p w14:paraId="43989ED6"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0,7</w:t>
                  </w:r>
                </w:p>
              </w:tc>
              <w:tc>
                <w:tcPr>
                  <w:tcW w:w="649" w:type="dxa"/>
                  <w:tcBorders>
                    <w:top w:val="nil"/>
                    <w:left w:val="nil"/>
                    <w:bottom w:val="nil"/>
                    <w:right w:val="nil"/>
                  </w:tcBorders>
                  <w:noWrap/>
                  <w:vAlign w:val="bottom"/>
                  <w:hideMark/>
                </w:tcPr>
                <w:p w14:paraId="51124F08" w14:textId="77777777" w:rsidR="006B1AFC" w:rsidRPr="00920A55"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20A55">
                    <w:rPr>
                      <w:rFonts w:cs="Arial"/>
                      <w:color w:val="000000"/>
                      <w:sz w:val="16"/>
                      <w:szCs w:val="16"/>
                      <w:lang w:eastAsia="ko-KR"/>
                    </w:rPr>
                    <w:t>0,7</w:t>
                  </w:r>
                </w:p>
              </w:tc>
              <w:tc>
                <w:tcPr>
                  <w:tcW w:w="649" w:type="dxa"/>
                  <w:tcBorders>
                    <w:top w:val="nil"/>
                    <w:left w:val="nil"/>
                    <w:bottom w:val="nil"/>
                    <w:right w:val="nil"/>
                  </w:tcBorders>
                  <w:noWrap/>
                  <w:vAlign w:val="bottom"/>
                  <w:hideMark/>
                </w:tcPr>
                <w:p w14:paraId="466ED733"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0,9</w:t>
                  </w:r>
                </w:p>
              </w:tc>
              <w:tc>
                <w:tcPr>
                  <w:tcW w:w="684" w:type="dxa"/>
                  <w:tcBorders>
                    <w:top w:val="nil"/>
                    <w:left w:val="nil"/>
                    <w:bottom w:val="nil"/>
                    <w:right w:val="nil"/>
                  </w:tcBorders>
                  <w:noWrap/>
                  <w:vAlign w:val="bottom"/>
                  <w:hideMark/>
                </w:tcPr>
                <w:p w14:paraId="25428B95"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1,8</w:t>
                  </w:r>
                </w:p>
              </w:tc>
              <w:tc>
                <w:tcPr>
                  <w:tcW w:w="684" w:type="dxa"/>
                  <w:tcBorders>
                    <w:top w:val="nil"/>
                    <w:left w:val="nil"/>
                    <w:bottom w:val="nil"/>
                    <w:right w:val="nil"/>
                  </w:tcBorders>
                  <w:noWrap/>
                  <w:vAlign w:val="bottom"/>
                  <w:hideMark/>
                </w:tcPr>
                <w:p w14:paraId="04F1949F"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2,8</w:t>
                  </w:r>
                </w:p>
              </w:tc>
              <w:tc>
                <w:tcPr>
                  <w:tcW w:w="614" w:type="dxa"/>
                  <w:tcBorders>
                    <w:top w:val="nil"/>
                    <w:left w:val="nil"/>
                    <w:bottom w:val="nil"/>
                    <w:right w:val="nil"/>
                  </w:tcBorders>
                  <w:noWrap/>
                  <w:vAlign w:val="bottom"/>
                  <w:hideMark/>
                </w:tcPr>
                <w:p w14:paraId="42DF41CC"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1,7</w:t>
                  </w:r>
                </w:p>
              </w:tc>
              <w:tc>
                <w:tcPr>
                  <w:tcW w:w="614" w:type="dxa"/>
                  <w:tcBorders>
                    <w:top w:val="nil"/>
                    <w:left w:val="nil"/>
                    <w:bottom w:val="nil"/>
                    <w:right w:val="nil"/>
                  </w:tcBorders>
                  <w:noWrap/>
                  <w:vAlign w:val="bottom"/>
                  <w:hideMark/>
                </w:tcPr>
                <w:p w14:paraId="09EC0521"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1,8</w:t>
                  </w:r>
                </w:p>
              </w:tc>
            </w:tr>
            <w:tr w:rsidR="006B1AFC" w:rsidRPr="00920A55" w14:paraId="3D851B4B" w14:textId="77777777" w:rsidTr="003C4A79">
              <w:trPr>
                <w:trHeight w:val="255"/>
              </w:trPr>
              <w:tc>
                <w:tcPr>
                  <w:tcW w:w="4466" w:type="dxa"/>
                  <w:tcBorders>
                    <w:top w:val="nil"/>
                    <w:left w:val="nil"/>
                    <w:bottom w:val="nil"/>
                    <w:right w:val="nil"/>
                  </w:tcBorders>
                  <w:vAlign w:val="bottom"/>
                  <w:hideMark/>
                </w:tcPr>
                <w:p w14:paraId="5708E23E" w14:textId="77777777" w:rsidR="006B1AFC" w:rsidRPr="00920A55" w:rsidRDefault="006B1AFC" w:rsidP="003C4A79">
                  <w:pPr>
                    <w:spacing w:after="0" w:line="240" w:lineRule="auto"/>
                    <w:ind w:left="88" w:firstLine="142"/>
                    <w:jc w:val="left"/>
                    <w:rPr>
                      <w:rFonts w:cs="Arial"/>
                      <w:color w:val="000000"/>
                      <w:sz w:val="16"/>
                      <w:szCs w:val="16"/>
                      <w:lang w:eastAsia="ko-KR"/>
                    </w:rPr>
                  </w:pPr>
                  <w:r w:rsidRPr="00920A55">
                    <w:rPr>
                      <w:rFonts w:cs="Arial"/>
                      <w:color w:val="000000"/>
                      <w:sz w:val="16"/>
                      <w:szCs w:val="16"/>
                      <w:lang w:eastAsia="ko-KR"/>
                    </w:rPr>
                    <w:t>z toho: Zpracovatelský průmysl</w:t>
                  </w:r>
                </w:p>
              </w:tc>
              <w:tc>
                <w:tcPr>
                  <w:tcW w:w="649" w:type="dxa"/>
                  <w:tcBorders>
                    <w:top w:val="nil"/>
                    <w:left w:val="nil"/>
                    <w:bottom w:val="nil"/>
                    <w:right w:val="nil"/>
                  </w:tcBorders>
                  <w:noWrap/>
                  <w:vAlign w:val="bottom"/>
                  <w:hideMark/>
                </w:tcPr>
                <w:p w14:paraId="0ADC4602"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1,0</w:t>
                  </w:r>
                </w:p>
              </w:tc>
              <w:tc>
                <w:tcPr>
                  <w:tcW w:w="649" w:type="dxa"/>
                  <w:tcBorders>
                    <w:top w:val="nil"/>
                    <w:left w:val="nil"/>
                    <w:bottom w:val="nil"/>
                    <w:right w:val="nil"/>
                  </w:tcBorders>
                  <w:noWrap/>
                  <w:vAlign w:val="bottom"/>
                  <w:hideMark/>
                </w:tcPr>
                <w:p w14:paraId="3F767A44"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1,1</w:t>
                  </w:r>
                </w:p>
              </w:tc>
              <w:tc>
                <w:tcPr>
                  <w:tcW w:w="649" w:type="dxa"/>
                  <w:tcBorders>
                    <w:top w:val="nil"/>
                    <w:left w:val="nil"/>
                    <w:bottom w:val="nil"/>
                    <w:right w:val="nil"/>
                  </w:tcBorders>
                  <w:noWrap/>
                  <w:vAlign w:val="bottom"/>
                  <w:hideMark/>
                </w:tcPr>
                <w:p w14:paraId="3F3D5DBE" w14:textId="77777777" w:rsidR="006B1AFC" w:rsidRPr="00920A55"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20A55">
                    <w:rPr>
                      <w:rFonts w:cs="Arial"/>
                      <w:color w:val="000000"/>
                      <w:sz w:val="16"/>
                      <w:szCs w:val="16"/>
                      <w:lang w:eastAsia="ko-KR"/>
                    </w:rPr>
                    <w:t>0,8</w:t>
                  </w:r>
                </w:p>
              </w:tc>
              <w:tc>
                <w:tcPr>
                  <w:tcW w:w="649" w:type="dxa"/>
                  <w:tcBorders>
                    <w:top w:val="nil"/>
                    <w:left w:val="nil"/>
                    <w:bottom w:val="nil"/>
                    <w:right w:val="nil"/>
                  </w:tcBorders>
                  <w:noWrap/>
                  <w:vAlign w:val="bottom"/>
                  <w:hideMark/>
                </w:tcPr>
                <w:p w14:paraId="3042101A"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0,3</w:t>
                  </w:r>
                </w:p>
              </w:tc>
              <w:tc>
                <w:tcPr>
                  <w:tcW w:w="684" w:type="dxa"/>
                  <w:tcBorders>
                    <w:top w:val="nil"/>
                    <w:left w:val="nil"/>
                    <w:bottom w:val="nil"/>
                    <w:right w:val="nil"/>
                  </w:tcBorders>
                  <w:noWrap/>
                  <w:vAlign w:val="bottom"/>
                  <w:hideMark/>
                </w:tcPr>
                <w:p w14:paraId="71707342"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1,6</w:t>
                  </w:r>
                </w:p>
              </w:tc>
              <w:tc>
                <w:tcPr>
                  <w:tcW w:w="684" w:type="dxa"/>
                  <w:tcBorders>
                    <w:top w:val="nil"/>
                    <w:left w:val="nil"/>
                    <w:bottom w:val="nil"/>
                    <w:right w:val="nil"/>
                  </w:tcBorders>
                  <w:noWrap/>
                  <w:vAlign w:val="bottom"/>
                  <w:hideMark/>
                </w:tcPr>
                <w:p w14:paraId="0202A590"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2,8</w:t>
                  </w:r>
                </w:p>
              </w:tc>
              <w:tc>
                <w:tcPr>
                  <w:tcW w:w="614" w:type="dxa"/>
                  <w:tcBorders>
                    <w:top w:val="nil"/>
                    <w:left w:val="nil"/>
                    <w:bottom w:val="nil"/>
                    <w:right w:val="nil"/>
                  </w:tcBorders>
                  <w:noWrap/>
                  <w:vAlign w:val="bottom"/>
                  <w:hideMark/>
                </w:tcPr>
                <w:p w14:paraId="3A963F15"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2,1</w:t>
                  </w:r>
                </w:p>
              </w:tc>
              <w:tc>
                <w:tcPr>
                  <w:tcW w:w="614" w:type="dxa"/>
                  <w:tcBorders>
                    <w:top w:val="nil"/>
                    <w:left w:val="nil"/>
                    <w:bottom w:val="nil"/>
                    <w:right w:val="nil"/>
                  </w:tcBorders>
                  <w:noWrap/>
                  <w:vAlign w:val="bottom"/>
                  <w:hideMark/>
                </w:tcPr>
                <w:p w14:paraId="30FEE432"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1,6</w:t>
                  </w:r>
                </w:p>
              </w:tc>
            </w:tr>
            <w:tr w:rsidR="006B1AFC" w:rsidRPr="00920A55" w14:paraId="32E4C1E1" w14:textId="77777777" w:rsidTr="003C4A79">
              <w:trPr>
                <w:trHeight w:val="255"/>
              </w:trPr>
              <w:tc>
                <w:tcPr>
                  <w:tcW w:w="4466" w:type="dxa"/>
                  <w:tcBorders>
                    <w:top w:val="nil"/>
                    <w:left w:val="nil"/>
                    <w:bottom w:val="nil"/>
                    <w:right w:val="nil"/>
                  </w:tcBorders>
                  <w:vAlign w:val="bottom"/>
                  <w:hideMark/>
                </w:tcPr>
                <w:p w14:paraId="3674F0E0" w14:textId="77777777" w:rsidR="006B1AFC" w:rsidRPr="00920A55" w:rsidRDefault="006B1AFC" w:rsidP="003C4A79">
                  <w:pPr>
                    <w:spacing w:after="0" w:line="240" w:lineRule="auto"/>
                    <w:ind w:left="88"/>
                    <w:jc w:val="left"/>
                    <w:rPr>
                      <w:rFonts w:cs="Arial"/>
                      <w:color w:val="000000"/>
                      <w:sz w:val="16"/>
                      <w:szCs w:val="16"/>
                      <w:lang w:eastAsia="ko-KR"/>
                    </w:rPr>
                  </w:pPr>
                  <w:r w:rsidRPr="00920A55">
                    <w:rPr>
                      <w:rFonts w:cs="Arial"/>
                      <w:color w:val="000000"/>
                      <w:sz w:val="16"/>
                      <w:szCs w:val="16"/>
                      <w:lang w:eastAsia="ko-KR"/>
                    </w:rPr>
                    <w:t>Stavebnictví</w:t>
                  </w:r>
                </w:p>
              </w:tc>
              <w:tc>
                <w:tcPr>
                  <w:tcW w:w="649" w:type="dxa"/>
                  <w:tcBorders>
                    <w:top w:val="nil"/>
                    <w:left w:val="nil"/>
                    <w:bottom w:val="nil"/>
                    <w:right w:val="nil"/>
                  </w:tcBorders>
                  <w:noWrap/>
                  <w:vAlign w:val="bottom"/>
                  <w:hideMark/>
                </w:tcPr>
                <w:p w14:paraId="3F49990B"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0,9</w:t>
                  </w:r>
                </w:p>
              </w:tc>
              <w:tc>
                <w:tcPr>
                  <w:tcW w:w="649" w:type="dxa"/>
                  <w:tcBorders>
                    <w:top w:val="nil"/>
                    <w:left w:val="nil"/>
                    <w:bottom w:val="nil"/>
                    <w:right w:val="nil"/>
                  </w:tcBorders>
                  <w:noWrap/>
                  <w:vAlign w:val="bottom"/>
                  <w:hideMark/>
                </w:tcPr>
                <w:p w14:paraId="05810268" w14:textId="77777777" w:rsidR="006B1AFC" w:rsidRPr="00920A55"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20A55">
                    <w:rPr>
                      <w:rFonts w:cs="Arial"/>
                      <w:color w:val="000000"/>
                      <w:sz w:val="16"/>
                      <w:szCs w:val="16"/>
                      <w:lang w:eastAsia="ko-KR"/>
                    </w:rPr>
                    <w:t>0,5</w:t>
                  </w:r>
                </w:p>
              </w:tc>
              <w:tc>
                <w:tcPr>
                  <w:tcW w:w="649" w:type="dxa"/>
                  <w:tcBorders>
                    <w:top w:val="nil"/>
                    <w:left w:val="nil"/>
                    <w:bottom w:val="nil"/>
                    <w:right w:val="nil"/>
                  </w:tcBorders>
                  <w:noWrap/>
                  <w:vAlign w:val="bottom"/>
                  <w:hideMark/>
                </w:tcPr>
                <w:p w14:paraId="4146073A"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0,7</w:t>
                  </w:r>
                </w:p>
              </w:tc>
              <w:tc>
                <w:tcPr>
                  <w:tcW w:w="649" w:type="dxa"/>
                  <w:tcBorders>
                    <w:top w:val="nil"/>
                    <w:left w:val="nil"/>
                    <w:bottom w:val="nil"/>
                    <w:right w:val="nil"/>
                  </w:tcBorders>
                  <w:noWrap/>
                  <w:vAlign w:val="bottom"/>
                  <w:hideMark/>
                </w:tcPr>
                <w:p w14:paraId="369025CC"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0,3</w:t>
                  </w:r>
                </w:p>
              </w:tc>
              <w:tc>
                <w:tcPr>
                  <w:tcW w:w="684" w:type="dxa"/>
                  <w:tcBorders>
                    <w:top w:val="nil"/>
                    <w:left w:val="nil"/>
                    <w:bottom w:val="nil"/>
                    <w:right w:val="nil"/>
                  </w:tcBorders>
                  <w:noWrap/>
                  <w:vAlign w:val="bottom"/>
                  <w:hideMark/>
                </w:tcPr>
                <w:p w14:paraId="5306C1E6"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4,1</w:t>
                  </w:r>
                </w:p>
              </w:tc>
              <w:tc>
                <w:tcPr>
                  <w:tcW w:w="684" w:type="dxa"/>
                  <w:tcBorders>
                    <w:top w:val="nil"/>
                    <w:left w:val="nil"/>
                    <w:bottom w:val="nil"/>
                    <w:right w:val="nil"/>
                  </w:tcBorders>
                  <w:noWrap/>
                  <w:vAlign w:val="bottom"/>
                  <w:hideMark/>
                </w:tcPr>
                <w:p w14:paraId="454976A3"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1,6</w:t>
                  </w:r>
                </w:p>
              </w:tc>
              <w:tc>
                <w:tcPr>
                  <w:tcW w:w="614" w:type="dxa"/>
                  <w:tcBorders>
                    <w:top w:val="nil"/>
                    <w:left w:val="nil"/>
                    <w:bottom w:val="nil"/>
                    <w:right w:val="nil"/>
                  </w:tcBorders>
                  <w:noWrap/>
                  <w:vAlign w:val="bottom"/>
                  <w:hideMark/>
                </w:tcPr>
                <w:p w14:paraId="2E591C24"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1,7</w:t>
                  </w:r>
                </w:p>
              </w:tc>
              <w:tc>
                <w:tcPr>
                  <w:tcW w:w="614" w:type="dxa"/>
                  <w:tcBorders>
                    <w:top w:val="nil"/>
                    <w:left w:val="nil"/>
                    <w:bottom w:val="nil"/>
                    <w:right w:val="nil"/>
                  </w:tcBorders>
                  <w:noWrap/>
                  <w:vAlign w:val="bottom"/>
                  <w:hideMark/>
                </w:tcPr>
                <w:p w14:paraId="2B994B26"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1,4</w:t>
                  </w:r>
                </w:p>
              </w:tc>
            </w:tr>
            <w:tr w:rsidR="006B1AFC" w:rsidRPr="00920A55" w14:paraId="435559CB" w14:textId="77777777" w:rsidTr="003C4A79">
              <w:trPr>
                <w:trHeight w:val="255"/>
              </w:trPr>
              <w:tc>
                <w:tcPr>
                  <w:tcW w:w="4466" w:type="dxa"/>
                  <w:tcBorders>
                    <w:top w:val="nil"/>
                    <w:left w:val="nil"/>
                    <w:bottom w:val="nil"/>
                    <w:right w:val="nil"/>
                  </w:tcBorders>
                  <w:vAlign w:val="bottom"/>
                  <w:hideMark/>
                </w:tcPr>
                <w:p w14:paraId="0CEE9CBF" w14:textId="77777777" w:rsidR="006B1AFC" w:rsidRPr="00920A55" w:rsidRDefault="006B1AFC" w:rsidP="003C4A79">
                  <w:pPr>
                    <w:spacing w:after="0" w:line="240" w:lineRule="auto"/>
                    <w:ind w:left="88"/>
                    <w:jc w:val="left"/>
                    <w:rPr>
                      <w:rFonts w:cs="Arial"/>
                      <w:color w:val="000000"/>
                      <w:sz w:val="16"/>
                      <w:szCs w:val="16"/>
                      <w:lang w:eastAsia="ko-KR"/>
                    </w:rPr>
                  </w:pPr>
                  <w:r w:rsidRPr="00920A55">
                    <w:rPr>
                      <w:rFonts w:cs="Arial"/>
                      <w:color w:val="000000"/>
                      <w:sz w:val="16"/>
                      <w:szCs w:val="16"/>
                      <w:lang w:eastAsia="ko-KR"/>
                    </w:rPr>
                    <w:t xml:space="preserve">Obchod, doprava, ubytování a pohostinství </w:t>
                  </w:r>
                </w:p>
              </w:tc>
              <w:tc>
                <w:tcPr>
                  <w:tcW w:w="649" w:type="dxa"/>
                  <w:tcBorders>
                    <w:top w:val="nil"/>
                    <w:left w:val="nil"/>
                    <w:bottom w:val="nil"/>
                    <w:right w:val="nil"/>
                  </w:tcBorders>
                  <w:noWrap/>
                  <w:vAlign w:val="bottom"/>
                  <w:hideMark/>
                </w:tcPr>
                <w:p w14:paraId="39001438"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0,5</w:t>
                  </w:r>
                </w:p>
              </w:tc>
              <w:tc>
                <w:tcPr>
                  <w:tcW w:w="649" w:type="dxa"/>
                  <w:tcBorders>
                    <w:top w:val="nil"/>
                    <w:left w:val="nil"/>
                    <w:bottom w:val="nil"/>
                    <w:right w:val="nil"/>
                  </w:tcBorders>
                  <w:noWrap/>
                  <w:vAlign w:val="bottom"/>
                  <w:hideMark/>
                </w:tcPr>
                <w:p w14:paraId="53147119"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0,8</w:t>
                  </w:r>
                </w:p>
              </w:tc>
              <w:tc>
                <w:tcPr>
                  <w:tcW w:w="649" w:type="dxa"/>
                  <w:tcBorders>
                    <w:top w:val="nil"/>
                    <w:left w:val="nil"/>
                    <w:bottom w:val="nil"/>
                    <w:right w:val="nil"/>
                  </w:tcBorders>
                  <w:noWrap/>
                  <w:vAlign w:val="bottom"/>
                  <w:hideMark/>
                </w:tcPr>
                <w:p w14:paraId="5243B43B"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0,7</w:t>
                  </w:r>
                </w:p>
              </w:tc>
              <w:tc>
                <w:tcPr>
                  <w:tcW w:w="649" w:type="dxa"/>
                  <w:tcBorders>
                    <w:top w:val="nil"/>
                    <w:left w:val="nil"/>
                    <w:bottom w:val="nil"/>
                    <w:right w:val="nil"/>
                  </w:tcBorders>
                  <w:noWrap/>
                  <w:vAlign w:val="bottom"/>
                  <w:hideMark/>
                </w:tcPr>
                <w:p w14:paraId="0A6627B5"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0,4</w:t>
                  </w:r>
                </w:p>
              </w:tc>
              <w:tc>
                <w:tcPr>
                  <w:tcW w:w="684" w:type="dxa"/>
                  <w:tcBorders>
                    <w:top w:val="nil"/>
                    <w:left w:val="nil"/>
                    <w:bottom w:val="nil"/>
                    <w:right w:val="nil"/>
                  </w:tcBorders>
                  <w:noWrap/>
                  <w:vAlign w:val="bottom"/>
                  <w:hideMark/>
                </w:tcPr>
                <w:p w14:paraId="0C0E104A"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5,3</w:t>
                  </w:r>
                </w:p>
              </w:tc>
              <w:tc>
                <w:tcPr>
                  <w:tcW w:w="684" w:type="dxa"/>
                  <w:tcBorders>
                    <w:top w:val="nil"/>
                    <w:left w:val="nil"/>
                    <w:bottom w:val="nil"/>
                    <w:right w:val="nil"/>
                  </w:tcBorders>
                  <w:noWrap/>
                  <w:vAlign w:val="bottom"/>
                  <w:hideMark/>
                </w:tcPr>
                <w:p w14:paraId="1293AFF1"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6,0</w:t>
                  </w:r>
                </w:p>
              </w:tc>
              <w:tc>
                <w:tcPr>
                  <w:tcW w:w="614" w:type="dxa"/>
                  <w:tcBorders>
                    <w:top w:val="nil"/>
                    <w:left w:val="nil"/>
                    <w:bottom w:val="nil"/>
                    <w:right w:val="nil"/>
                  </w:tcBorders>
                  <w:noWrap/>
                  <w:vAlign w:val="bottom"/>
                  <w:hideMark/>
                </w:tcPr>
                <w:p w14:paraId="46D167D9"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3,4</w:t>
                  </w:r>
                </w:p>
              </w:tc>
              <w:tc>
                <w:tcPr>
                  <w:tcW w:w="614" w:type="dxa"/>
                  <w:tcBorders>
                    <w:top w:val="nil"/>
                    <w:left w:val="nil"/>
                    <w:bottom w:val="nil"/>
                    <w:right w:val="nil"/>
                  </w:tcBorders>
                  <w:noWrap/>
                  <w:vAlign w:val="bottom"/>
                  <w:hideMark/>
                </w:tcPr>
                <w:p w14:paraId="6A89CB9E"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2,4</w:t>
                  </w:r>
                </w:p>
              </w:tc>
            </w:tr>
            <w:tr w:rsidR="006B1AFC" w:rsidRPr="00920A55" w14:paraId="32DABF76" w14:textId="77777777" w:rsidTr="003C4A79">
              <w:trPr>
                <w:trHeight w:val="255"/>
              </w:trPr>
              <w:tc>
                <w:tcPr>
                  <w:tcW w:w="4466" w:type="dxa"/>
                  <w:tcBorders>
                    <w:top w:val="nil"/>
                    <w:left w:val="nil"/>
                    <w:bottom w:val="nil"/>
                    <w:right w:val="nil"/>
                  </w:tcBorders>
                  <w:vAlign w:val="bottom"/>
                  <w:hideMark/>
                </w:tcPr>
                <w:p w14:paraId="3C62A214" w14:textId="77777777" w:rsidR="006B1AFC" w:rsidRPr="00920A55" w:rsidRDefault="006B1AFC" w:rsidP="003C4A79">
                  <w:pPr>
                    <w:spacing w:after="0" w:line="240" w:lineRule="auto"/>
                    <w:ind w:left="88"/>
                    <w:jc w:val="left"/>
                    <w:rPr>
                      <w:rFonts w:cs="Arial"/>
                      <w:color w:val="000000"/>
                      <w:sz w:val="16"/>
                      <w:szCs w:val="16"/>
                      <w:lang w:eastAsia="ko-KR"/>
                    </w:rPr>
                  </w:pPr>
                  <w:r w:rsidRPr="00920A55">
                    <w:rPr>
                      <w:rFonts w:cs="Arial"/>
                      <w:color w:val="000000"/>
                      <w:sz w:val="16"/>
                      <w:szCs w:val="16"/>
                      <w:lang w:eastAsia="ko-KR"/>
                    </w:rPr>
                    <w:t>Informační a komunikační činnosti</w:t>
                  </w:r>
                </w:p>
              </w:tc>
              <w:tc>
                <w:tcPr>
                  <w:tcW w:w="649" w:type="dxa"/>
                  <w:tcBorders>
                    <w:top w:val="nil"/>
                    <w:left w:val="nil"/>
                    <w:bottom w:val="nil"/>
                    <w:right w:val="nil"/>
                  </w:tcBorders>
                  <w:noWrap/>
                  <w:vAlign w:val="bottom"/>
                  <w:hideMark/>
                </w:tcPr>
                <w:p w14:paraId="2EF0B13C"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2,7</w:t>
                  </w:r>
                </w:p>
              </w:tc>
              <w:tc>
                <w:tcPr>
                  <w:tcW w:w="649" w:type="dxa"/>
                  <w:tcBorders>
                    <w:top w:val="nil"/>
                    <w:left w:val="nil"/>
                    <w:bottom w:val="nil"/>
                    <w:right w:val="nil"/>
                  </w:tcBorders>
                  <w:noWrap/>
                  <w:vAlign w:val="bottom"/>
                  <w:hideMark/>
                </w:tcPr>
                <w:p w14:paraId="62CC07B6"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1,1</w:t>
                  </w:r>
                </w:p>
              </w:tc>
              <w:tc>
                <w:tcPr>
                  <w:tcW w:w="649" w:type="dxa"/>
                  <w:tcBorders>
                    <w:top w:val="nil"/>
                    <w:left w:val="nil"/>
                    <w:bottom w:val="nil"/>
                    <w:right w:val="nil"/>
                  </w:tcBorders>
                  <w:noWrap/>
                  <w:vAlign w:val="bottom"/>
                  <w:hideMark/>
                </w:tcPr>
                <w:p w14:paraId="4850C4CE"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0,5</w:t>
                  </w:r>
                </w:p>
              </w:tc>
              <w:tc>
                <w:tcPr>
                  <w:tcW w:w="649" w:type="dxa"/>
                  <w:tcBorders>
                    <w:top w:val="nil"/>
                    <w:left w:val="nil"/>
                    <w:bottom w:val="nil"/>
                    <w:right w:val="nil"/>
                  </w:tcBorders>
                  <w:noWrap/>
                  <w:vAlign w:val="bottom"/>
                  <w:hideMark/>
                </w:tcPr>
                <w:p w14:paraId="5D9AFE0F" w14:textId="77777777" w:rsidR="006B1AFC" w:rsidRPr="00920A55"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20A55">
                    <w:rPr>
                      <w:rFonts w:cs="Arial"/>
                      <w:color w:val="000000"/>
                      <w:sz w:val="16"/>
                      <w:szCs w:val="16"/>
                      <w:lang w:eastAsia="ko-KR"/>
                    </w:rPr>
                    <w:t>0,3</w:t>
                  </w:r>
                </w:p>
              </w:tc>
              <w:tc>
                <w:tcPr>
                  <w:tcW w:w="684" w:type="dxa"/>
                  <w:tcBorders>
                    <w:top w:val="nil"/>
                    <w:left w:val="nil"/>
                    <w:bottom w:val="nil"/>
                    <w:right w:val="nil"/>
                  </w:tcBorders>
                  <w:noWrap/>
                  <w:vAlign w:val="bottom"/>
                  <w:hideMark/>
                </w:tcPr>
                <w:p w14:paraId="1E115C85"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11,3</w:t>
                  </w:r>
                </w:p>
              </w:tc>
              <w:tc>
                <w:tcPr>
                  <w:tcW w:w="684" w:type="dxa"/>
                  <w:tcBorders>
                    <w:top w:val="nil"/>
                    <w:left w:val="nil"/>
                    <w:bottom w:val="nil"/>
                    <w:right w:val="nil"/>
                  </w:tcBorders>
                  <w:noWrap/>
                  <w:vAlign w:val="bottom"/>
                  <w:hideMark/>
                </w:tcPr>
                <w:p w14:paraId="1B171058"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10,4</w:t>
                  </w:r>
                </w:p>
              </w:tc>
              <w:tc>
                <w:tcPr>
                  <w:tcW w:w="614" w:type="dxa"/>
                  <w:tcBorders>
                    <w:top w:val="nil"/>
                    <w:left w:val="nil"/>
                    <w:bottom w:val="nil"/>
                    <w:right w:val="nil"/>
                  </w:tcBorders>
                  <w:noWrap/>
                  <w:vAlign w:val="bottom"/>
                  <w:hideMark/>
                </w:tcPr>
                <w:p w14:paraId="5EDAB205"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6,2</w:t>
                  </w:r>
                </w:p>
              </w:tc>
              <w:tc>
                <w:tcPr>
                  <w:tcW w:w="614" w:type="dxa"/>
                  <w:tcBorders>
                    <w:top w:val="nil"/>
                    <w:left w:val="nil"/>
                    <w:bottom w:val="nil"/>
                    <w:right w:val="nil"/>
                  </w:tcBorders>
                  <w:noWrap/>
                  <w:vAlign w:val="bottom"/>
                  <w:hideMark/>
                </w:tcPr>
                <w:p w14:paraId="06EC508C"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4,1</w:t>
                  </w:r>
                </w:p>
              </w:tc>
            </w:tr>
            <w:tr w:rsidR="006B1AFC" w:rsidRPr="00920A55" w14:paraId="125F9F3F" w14:textId="77777777" w:rsidTr="003C4A79">
              <w:trPr>
                <w:trHeight w:val="255"/>
              </w:trPr>
              <w:tc>
                <w:tcPr>
                  <w:tcW w:w="4466" w:type="dxa"/>
                  <w:tcBorders>
                    <w:top w:val="nil"/>
                    <w:left w:val="nil"/>
                    <w:bottom w:val="nil"/>
                    <w:right w:val="nil"/>
                  </w:tcBorders>
                  <w:vAlign w:val="bottom"/>
                  <w:hideMark/>
                </w:tcPr>
                <w:p w14:paraId="0CEFD8FA" w14:textId="77777777" w:rsidR="006B1AFC" w:rsidRPr="00920A55" w:rsidRDefault="006B1AFC" w:rsidP="003C4A79">
                  <w:pPr>
                    <w:spacing w:after="0" w:line="240" w:lineRule="auto"/>
                    <w:ind w:left="88"/>
                    <w:jc w:val="left"/>
                    <w:rPr>
                      <w:rFonts w:cs="Arial"/>
                      <w:color w:val="000000"/>
                      <w:sz w:val="16"/>
                      <w:szCs w:val="16"/>
                      <w:lang w:eastAsia="ko-KR"/>
                    </w:rPr>
                  </w:pPr>
                  <w:r w:rsidRPr="00920A55">
                    <w:rPr>
                      <w:rFonts w:cs="Arial"/>
                      <w:color w:val="000000"/>
                      <w:sz w:val="16"/>
                      <w:szCs w:val="16"/>
                      <w:lang w:eastAsia="ko-KR"/>
                    </w:rPr>
                    <w:t>Peněžnictví a pojišťovnictví</w:t>
                  </w:r>
                </w:p>
              </w:tc>
              <w:tc>
                <w:tcPr>
                  <w:tcW w:w="649" w:type="dxa"/>
                  <w:tcBorders>
                    <w:top w:val="nil"/>
                    <w:left w:val="nil"/>
                    <w:bottom w:val="nil"/>
                    <w:right w:val="nil"/>
                  </w:tcBorders>
                  <w:noWrap/>
                  <w:vAlign w:val="bottom"/>
                  <w:hideMark/>
                </w:tcPr>
                <w:p w14:paraId="6863B0C1" w14:textId="77777777" w:rsidR="006B1AFC" w:rsidRPr="00920A55"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20A55">
                    <w:rPr>
                      <w:rFonts w:cs="Arial"/>
                      <w:color w:val="000000"/>
                      <w:sz w:val="16"/>
                      <w:szCs w:val="16"/>
                      <w:lang w:eastAsia="ko-KR"/>
                    </w:rPr>
                    <w:t>0,7</w:t>
                  </w:r>
                </w:p>
              </w:tc>
              <w:tc>
                <w:tcPr>
                  <w:tcW w:w="649" w:type="dxa"/>
                  <w:tcBorders>
                    <w:top w:val="nil"/>
                    <w:left w:val="nil"/>
                    <w:bottom w:val="nil"/>
                    <w:right w:val="nil"/>
                  </w:tcBorders>
                  <w:noWrap/>
                  <w:vAlign w:val="bottom"/>
                  <w:hideMark/>
                </w:tcPr>
                <w:p w14:paraId="5380D652"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1,7</w:t>
                  </w:r>
                </w:p>
              </w:tc>
              <w:tc>
                <w:tcPr>
                  <w:tcW w:w="649" w:type="dxa"/>
                  <w:tcBorders>
                    <w:top w:val="nil"/>
                    <w:left w:val="nil"/>
                    <w:bottom w:val="nil"/>
                    <w:right w:val="nil"/>
                  </w:tcBorders>
                  <w:noWrap/>
                  <w:vAlign w:val="bottom"/>
                  <w:hideMark/>
                </w:tcPr>
                <w:p w14:paraId="10AAEB72"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1,9</w:t>
                  </w:r>
                </w:p>
              </w:tc>
              <w:tc>
                <w:tcPr>
                  <w:tcW w:w="649" w:type="dxa"/>
                  <w:tcBorders>
                    <w:top w:val="nil"/>
                    <w:left w:val="nil"/>
                    <w:bottom w:val="nil"/>
                    <w:right w:val="nil"/>
                  </w:tcBorders>
                  <w:noWrap/>
                  <w:vAlign w:val="bottom"/>
                  <w:hideMark/>
                </w:tcPr>
                <w:p w14:paraId="08173E39"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2,7</w:t>
                  </w:r>
                </w:p>
              </w:tc>
              <w:tc>
                <w:tcPr>
                  <w:tcW w:w="684" w:type="dxa"/>
                  <w:tcBorders>
                    <w:top w:val="nil"/>
                    <w:left w:val="nil"/>
                    <w:bottom w:val="nil"/>
                    <w:right w:val="nil"/>
                  </w:tcBorders>
                  <w:noWrap/>
                  <w:vAlign w:val="bottom"/>
                  <w:hideMark/>
                </w:tcPr>
                <w:p w14:paraId="7EBAC0F5"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3,9</w:t>
                  </w:r>
                </w:p>
              </w:tc>
              <w:tc>
                <w:tcPr>
                  <w:tcW w:w="684" w:type="dxa"/>
                  <w:tcBorders>
                    <w:top w:val="nil"/>
                    <w:left w:val="nil"/>
                    <w:bottom w:val="nil"/>
                    <w:right w:val="nil"/>
                  </w:tcBorders>
                  <w:noWrap/>
                  <w:vAlign w:val="bottom"/>
                  <w:hideMark/>
                </w:tcPr>
                <w:p w14:paraId="5D89764E"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4,3</w:t>
                  </w:r>
                </w:p>
              </w:tc>
              <w:tc>
                <w:tcPr>
                  <w:tcW w:w="614" w:type="dxa"/>
                  <w:tcBorders>
                    <w:top w:val="nil"/>
                    <w:left w:val="nil"/>
                    <w:bottom w:val="nil"/>
                    <w:right w:val="nil"/>
                  </w:tcBorders>
                  <w:noWrap/>
                  <w:vAlign w:val="bottom"/>
                  <w:hideMark/>
                </w:tcPr>
                <w:p w14:paraId="7D8C7F8D"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2,8</w:t>
                  </w:r>
                </w:p>
              </w:tc>
              <w:tc>
                <w:tcPr>
                  <w:tcW w:w="614" w:type="dxa"/>
                  <w:tcBorders>
                    <w:top w:val="nil"/>
                    <w:left w:val="nil"/>
                    <w:bottom w:val="nil"/>
                    <w:right w:val="nil"/>
                  </w:tcBorders>
                  <w:noWrap/>
                  <w:vAlign w:val="bottom"/>
                  <w:hideMark/>
                </w:tcPr>
                <w:p w14:paraId="12062FAC"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5,7</w:t>
                  </w:r>
                </w:p>
              </w:tc>
            </w:tr>
            <w:tr w:rsidR="006B1AFC" w:rsidRPr="00920A55" w14:paraId="4CB22028" w14:textId="77777777" w:rsidTr="003C4A79">
              <w:trPr>
                <w:trHeight w:val="255"/>
              </w:trPr>
              <w:tc>
                <w:tcPr>
                  <w:tcW w:w="4466" w:type="dxa"/>
                  <w:tcBorders>
                    <w:top w:val="nil"/>
                    <w:left w:val="nil"/>
                    <w:bottom w:val="nil"/>
                    <w:right w:val="nil"/>
                  </w:tcBorders>
                  <w:vAlign w:val="bottom"/>
                  <w:hideMark/>
                </w:tcPr>
                <w:p w14:paraId="796CEB7B" w14:textId="77777777" w:rsidR="006B1AFC" w:rsidRPr="00920A55" w:rsidRDefault="006B1AFC" w:rsidP="003C4A79">
                  <w:pPr>
                    <w:spacing w:after="0" w:line="240" w:lineRule="auto"/>
                    <w:ind w:left="88"/>
                    <w:jc w:val="left"/>
                    <w:rPr>
                      <w:rFonts w:cs="Arial"/>
                      <w:color w:val="000000"/>
                      <w:sz w:val="16"/>
                      <w:szCs w:val="16"/>
                      <w:lang w:eastAsia="ko-KR"/>
                    </w:rPr>
                  </w:pPr>
                  <w:r w:rsidRPr="00920A55">
                    <w:rPr>
                      <w:rFonts w:cs="Arial"/>
                      <w:color w:val="000000"/>
                      <w:sz w:val="16"/>
                      <w:szCs w:val="16"/>
                      <w:lang w:eastAsia="ko-KR"/>
                    </w:rPr>
                    <w:t>Činnosti v oblasti nemovitostí</w:t>
                  </w:r>
                </w:p>
              </w:tc>
              <w:tc>
                <w:tcPr>
                  <w:tcW w:w="649" w:type="dxa"/>
                  <w:tcBorders>
                    <w:top w:val="nil"/>
                    <w:left w:val="nil"/>
                    <w:bottom w:val="nil"/>
                    <w:right w:val="nil"/>
                  </w:tcBorders>
                  <w:noWrap/>
                  <w:vAlign w:val="bottom"/>
                  <w:hideMark/>
                </w:tcPr>
                <w:p w14:paraId="6292C558"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0,0</w:t>
                  </w:r>
                </w:p>
              </w:tc>
              <w:tc>
                <w:tcPr>
                  <w:tcW w:w="649" w:type="dxa"/>
                  <w:tcBorders>
                    <w:top w:val="nil"/>
                    <w:left w:val="nil"/>
                    <w:bottom w:val="nil"/>
                    <w:right w:val="nil"/>
                  </w:tcBorders>
                  <w:noWrap/>
                  <w:vAlign w:val="bottom"/>
                  <w:hideMark/>
                </w:tcPr>
                <w:p w14:paraId="33A99DF5" w14:textId="77777777" w:rsidR="006B1AFC" w:rsidRPr="00920A55"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20A55">
                    <w:rPr>
                      <w:rFonts w:cs="Arial"/>
                      <w:color w:val="000000"/>
                      <w:sz w:val="16"/>
                      <w:szCs w:val="16"/>
                      <w:lang w:eastAsia="ko-KR"/>
                    </w:rPr>
                    <w:t>0,5</w:t>
                  </w:r>
                </w:p>
              </w:tc>
              <w:tc>
                <w:tcPr>
                  <w:tcW w:w="649" w:type="dxa"/>
                  <w:tcBorders>
                    <w:top w:val="nil"/>
                    <w:left w:val="nil"/>
                    <w:bottom w:val="nil"/>
                    <w:right w:val="nil"/>
                  </w:tcBorders>
                  <w:noWrap/>
                  <w:vAlign w:val="bottom"/>
                  <w:hideMark/>
                </w:tcPr>
                <w:p w14:paraId="0D1D8371"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0,2</w:t>
                  </w:r>
                </w:p>
              </w:tc>
              <w:tc>
                <w:tcPr>
                  <w:tcW w:w="649" w:type="dxa"/>
                  <w:tcBorders>
                    <w:top w:val="nil"/>
                    <w:left w:val="nil"/>
                    <w:bottom w:val="nil"/>
                    <w:right w:val="nil"/>
                  </w:tcBorders>
                  <w:noWrap/>
                  <w:vAlign w:val="bottom"/>
                  <w:hideMark/>
                </w:tcPr>
                <w:p w14:paraId="40484BCF"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0,6</w:t>
                  </w:r>
                </w:p>
              </w:tc>
              <w:tc>
                <w:tcPr>
                  <w:tcW w:w="684" w:type="dxa"/>
                  <w:tcBorders>
                    <w:top w:val="nil"/>
                    <w:left w:val="nil"/>
                    <w:bottom w:val="nil"/>
                    <w:right w:val="nil"/>
                  </w:tcBorders>
                  <w:noWrap/>
                  <w:vAlign w:val="bottom"/>
                  <w:hideMark/>
                </w:tcPr>
                <w:p w14:paraId="30912229" w14:textId="77777777" w:rsidR="006B1AFC" w:rsidRPr="00920A55"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20A55">
                    <w:rPr>
                      <w:rFonts w:cs="Arial"/>
                      <w:color w:val="000000"/>
                      <w:sz w:val="16"/>
                      <w:szCs w:val="16"/>
                      <w:lang w:eastAsia="ko-KR"/>
                    </w:rPr>
                    <w:t>1,1</w:t>
                  </w:r>
                </w:p>
              </w:tc>
              <w:tc>
                <w:tcPr>
                  <w:tcW w:w="684" w:type="dxa"/>
                  <w:tcBorders>
                    <w:top w:val="nil"/>
                    <w:left w:val="nil"/>
                    <w:bottom w:val="nil"/>
                    <w:right w:val="nil"/>
                  </w:tcBorders>
                  <w:noWrap/>
                  <w:vAlign w:val="bottom"/>
                  <w:hideMark/>
                </w:tcPr>
                <w:p w14:paraId="4AD85031" w14:textId="77777777" w:rsidR="006B1AFC" w:rsidRPr="00920A55"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20A55">
                    <w:rPr>
                      <w:rFonts w:cs="Arial"/>
                      <w:color w:val="000000"/>
                      <w:sz w:val="16"/>
                      <w:szCs w:val="16"/>
                      <w:lang w:eastAsia="ko-KR"/>
                    </w:rPr>
                    <w:t>2,3</w:t>
                  </w:r>
                </w:p>
              </w:tc>
              <w:tc>
                <w:tcPr>
                  <w:tcW w:w="614" w:type="dxa"/>
                  <w:tcBorders>
                    <w:top w:val="nil"/>
                    <w:left w:val="nil"/>
                    <w:bottom w:val="nil"/>
                    <w:right w:val="nil"/>
                  </w:tcBorders>
                  <w:noWrap/>
                  <w:vAlign w:val="bottom"/>
                  <w:hideMark/>
                </w:tcPr>
                <w:p w14:paraId="678944B6" w14:textId="77777777" w:rsidR="006B1AFC" w:rsidRPr="00920A55"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20A55">
                    <w:rPr>
                      <w:rFonts w:cs="Arial"/>
                      <w:color w:val="000000"/>
                      <w:sz w:val="16"/>
                      <w:szCs w:val="16"/>
                      <w:lang w:eastAsia="ko-KR"/>
                    </w:rPr>
                    <w:t>1,0</w:t>
                  </w:r>
                </w:p>
              </w:tc>
              <w:tc>
                <w:tcPr>
                  <w:tcW w:w="614" w:type="dxa"/>
                  <w:tcBorders>
                    <w:top w:val="nil"/>
                    <w:left w:val="nil"/>
                    <w:bottom w:val="nil"/>
                    <w:right w:val="nil"/>
                  </w:tcBorders>
                  <w:noWrap/>
                  <w:vAlign w:val="bottom"/>
                  <w:hideMark/>
                </w:tcPr>
                <w:p w14:paraId="181DDCF3"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0,4</w:t>
                  </w:r>
                </w:p>
              </w:tc>
            </w:tr>
            <w:tr w:rsidR="006B1AFC" w:rsidRPr="00920A55" w14:paraId="49C2DCB9" w14:textId="77777777" w:rsidTr="003C4A79">
              <w:trPr>
                <w:trHeight w:val="255"/>
              </w:trPr>
              <w:tc>
                <w:tcPr>
                  <w:tcW w:w="4466" w:type="dxa"/>
                  <w:tcBorders>
                    <w:top w:val="nil"/>
                    <w:left w:val="nil"/>
                    <w:bottom w:val="nil"/>
                    <w:right w:val="nil"/>
                  </w:tcBorders>
                  <w:vAlign w:val="bottom"/>
                  <w:hideMark/>
                </w:tcPr>
                <w:p w14:paraId="68887C1D" w14:textId="77777777" w:rsidR="006B1AFC" w:rsidRPr="00920A55" w:rsidRDefault="006B1AFC" w:rsidP="003C4A79">
                  <w:pPr>
                    <w:spacing w:after="0" w:line="240" w:lineRule="auto"/>
                    <w:ind w:left="88"/>
                    <w:jc w:val="left"/>
                    <w:rPr>
                      <w:rFonts w:cs="Arial"/>
                      <w:color w:val="000000"/>
                      <w:sz w:val="16"/>
                      <w:szCs w:val="16"/>
                      <w:lang w:eastAsia="ko-KR"/>
                    </w:rPr>
                  </w:pPr>
                  <w:r w:rsidRPr="00920A55">
                    <w:rPr>
                      <w:rFonts w:cs="Arial"/>
                      <w:color w:val="000000"/>
                      <w:sz w:val="16"/>
                      <w:szCs w:val="16"/>
                      <w:lang w:eastAsia="ko-KR"/>
                    </w:rPr>
                    <w:t>Profesní, vědecké, technické a administrativní činnosti</w:t>
                  </w:r>
                </w:p>
              </w:tc>
              <w:tc>
                <w:tcPr>
                  <w:tcW w:w="649" w:type="dxa"/>
                  <w:tcBorders>
                    <w:top w:val="nil"/>
                    <w:left w:val="nil"/>
                    <w:bottom w:val="nil"/>
                    <w:right w:val="nil"/>
                  </w:tcBorders>
                  <w:noWrap/>
                  <w:vAlign w:val="bottom"/>
                  <w:hideMark/>
                </w:tcPr>
                <w:p w14:paraId="570E5FB7"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0,3</w:t>
                  </w:r>
                </w:p>
              </w:tc>
              <w:tc>
                <w:tcPr>
                  <w:tcW w:w="649" w:type="dxa"/>
                  <w:tcBorders>
                    <w:top w:val="nil"/>
                    <w:left w:val="nil"/>
                    <w:bottom w:val="nil"/>
                    <w:right w:val="nil"/>
                  </w:tcBorders>
                  <w:noWrap/>
                  <w:vAlign w:val="bottom"/>
                  <w:hideMark/>
                </w:tcPr>
                <w:p w14:paraId="5D7AE0FF"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1,1</w:t>
                  </w:r>
                </w:p>
              </w:tc>
              <w:tc>
                <w:tcPr>
                  <w:tcW w:w="649" w:type="dxa"/>
                  <w:tcBorders>
                    <w:top w:val="nil"/>
                    <w:left w:val="nil"/>
                    <w:bottom w:val="nil"/>
                    <w:right w:val="nil"/>
                  </w:tcBorders>
                  <w:noWrap/>
                  <w:vAlign w:val="bottom"/>
                  <w:hideMark/>
                </w:tcPr>
                <w:p w14:paraId="4E167798"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0,3</w:t>
                  </w:r>
                </w:p>
              </w:tc>
              <w:tc>
                <w:tcPr>
                  <w:tcW w:w="649" w:type="dxa"/>
                  <w:tcBorders>
                    <w:top w:val="nil"/>
                    <w:left w:val="nil"/>
                    <w:bottom w:val="nil"/>
                    <w:right w:val="nil"/>
                  </w:tcBorders>
                  <w:noWrap/>
                  <w:vAlign w:val="bottom"/>
                  <w:hideMark/>
                </w:tcPr>
                <w:p w14:paraId="4EF6DDB5"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0,2</w:t>
                  </w:r>
                </w:p>
              </w:tc>
              <w:tc>
                <w:tcPr>
                  <w:tcW w:w="684" w:type="dxa"/>
                  <w:tcBorders>
                    <w:top w:val="nil"/>
                    <w:left w:val="nil"/>
                    <w:bottom w:val="nil"/>
                    <w:right w:val="nil"/>
                  </w:tcBorders>
                  <w:noWrap/>
                  <w:vAlign w:val="bottom"/>
                  <w:hideMark/>
                </w:tcPr>
                <w:p w14:paraId="6FA43A46"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0,6</w:t>
                  </w:r>
                </w:p>
              </w:tc>
              <w:tc>
                <w:tcPr>
                  <w:tcW w:w="684" w:type="dxa"/>
                  <w:tcBorders>
                    <w:top w:val="nil"/>
                    <w:left w:val="nil"/>
                    <w:bottom w:val="nil"/>
                    <w:right w:val="nil"/>
                  </w:tcBorders>
                  <w:noWrap/>
                  <w:vAlign w:val="bottom"/>
                  <w:hideMark/>
                </w:tcPr>
                <w:p w14:paraId="0A5C8140"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0,1</w:t>
                  </w:r>
                </w:p>
              </w:tc>
              <w:tc>
                <w:tcPr>
                  <w:tcW w:w="614" w:type="dxa"/>
                  <w:tcBorders>
                    <w:top w:val="nil"/>
                    <w:left w:val="nil"/>
                    <w:bottom w:val="nil"/>
                    <w:right w:val="nil"/>
                  </w:tcBorders>
                  <w:noWrap/>
                  <w:vAlign w:val="bottom"/>
                  <w:hideMark/>
                </w:tcPr>
                <w:p w14:paraId="19D7246E"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2,1</w:t>
                  </w:r>
                </w:p>
              </w:tc>
              <w:tc>
                <w:tcPr>
                  <w:tcW w:w="614" w:type="dxa"/>
                  <w:tcBorders>
                    <w:top w:val="nil"/>
                    <w:left w:val="nil"/>
                    <w:bottom w:val="nil"/>
                    <w:right w:val="nil"/>
                  </w:tcBorders>
                  <w:noWrap/>
                  <w:vAlign w:val="bottom"/>
                  <w:hideMark/>
                </w:tcPr>
                <w:p w14:paraId="6D9D61EE"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2,0</w:t>
                  </w:r>
                </w:p>
              </w:tc>
            </w:tr>
            <w:tr w:rsidR="006B1AFC" w:rsidRPr="00920A55" w14:paraId="6DDFFD6C" w14:textId="77777777" w:rsidTr="003C4A79">
              <w:trPr>
                <w:trHeight w:val="255"/>
              </w:trPr>
              <w:tc>
                <w:tcPr>
                  <w:tcW w:w="4466" w:type="dxa"/>
                  <w:tcBorders>
                    <w:top w:val="nil"/>
                    <w:left w:val="nil"/>
                    <w:bottom w:val="nil"/>
                    <w:right w:val="nil"/>
                  </w:tcBorders>
                  <w:vAlign w:val="bottom"/>
                  <w:hideMark/>
                </w:tcPr>
                <w:p w14:paraId="539A8963" w14:textId="77777777" w:rsidR="006B1AFC" w:rsidRPr="00920A55" w:rsidRDefault="006B1AFC" w:rsidP="003C4A79">
                  <w:pPr>
                    <w:spacing w:after="0" w:line="240" w:lineRule="auto"/>
                    <w:ind w:left="88"/>
                    <w:jc w:val="left"/>
                    <w:rPr>
                      <w:rFonts w:cs="Arial"/>
                      <w:color w:val="000000"/>
                      <w:sz w:val="16"/>
                      <w:szCs w:val="16"/>
                      <w:lang w:eastAsia="ko-KR"/>
                    </w:rPr>
                  </w:pPr>
                  <w:r w:rsidRPr="00920A55">
                    <w:rPr>
                      <w:rFonts w:cs="Arial"/>
                      <w:color w:val="000000"/>
                      <w:sz w:val="16"/>
                      <w:szCs w:val="16"/>
                      <w:lang w:eastAsia="ko-KR"/>
                    </w:rPr>
                    <w:t>Veřejná správa a obrana, vzdělávání, zdrav</w:t>
                  </w:r>
                  <w:r>
                    <w:rPr>
                      <w:rFonts w:cs="Arial"/>
                      <w:color w:val="000000"/>
                      <w:sz w:val="16"/>
                      <w:szCs w:val="16"/>
                      <w:lang w:eastAsia="ko-KR"/>
                    </w:rPr>
                    <w:t>.</w:t>
                  </w:r>
                  <w:r w:rsidRPr="00920A55">
                    <w:rPr>
                      <w:rFonts w:cs="Arial"/>
                      <w:color w:val="000000"/>
                      <w:sz w:val="16"/>
                      <w:szCs w:val="16"/>
                      <w:lang w:eastAsia="ko-KR"/>
                    </w:rPr>
                    <w:t xml:space="preserve"> a soc</w:t>
                  </w:r>
                  <w:r>
                    <w:rPr>
                      <w:rFonts w:cs="Arial"/>
                      <w:color w:val="000000"/>
                      <w:sz w:val="16"/>
                      <w:szCs w:val="16"/>
                      <w:lang w:eastAsia="ko-KR"/>
                    </w:rPr>
                    <w:t xml:space="preserve">. </w:t>
                  </w:r>
                  <w:r w:rsidRPr="00920A55">
                    <w:rPr>
                      <w:rFonts w:cs="Arial"/>
                      <w:color w:val="000000"/>
                      <w:sz w:val="16"/>
                      <w:szCs w:val="16"/>
                      <w:lang w:eastAsia="ko-KR"/>
                    </w:rPr>
                    <w:t>péče</w:t>
                  </w:r>
                </w:p>
              </w:tc>
              <w:tc>
                <w:tcPr>
                  <w:tcW w:w="649" w:type="dxa"/>
                  <w:tcBorders>
                    <w:top w:val="nil"/>
                    <w:left w:val="nil"/>
                    <w:bottom w:val="nil"/>
                    <w:right w:val="nil"/>
                  </w:tcBorders>
                  <w:noWrap/>
                  <w:vAlign w:val="bottom"/>
                  <w:hideMark/>
                </w:tcPr>
                <w:p w14:paraId="6A956F2F"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0,2</w:t>
                  </w:r>
                </w:p>
              </w:tc>
              <w:tc>
                <w:tcPr>
                  <w:tcW w:w="649" w:type="dxa"/>
                  <w:tcBorders>
                    <w:top w:val="nil"/>
                    <w:left w:val="nil"/>
                    <w:bottom w:val="nil"/>
                    <w:right w:val="nil"/>
                  </w:tcBorders>
                  <w:noWrap/>
                  <w:vAlign w:val="bottom"/>
                  <w:hideMark/>
                </w:tcPr>
                <w:p w14:paraId="01D73E36"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0,1</w:t>
                  </w:r>
                </w:p>
              </w:tc>
              <w:tc>
                <w:tcPr>
                  <w:tcW w:w="649" w:type="dxa"/>
                  <w:tcBorders>
                    <w:top w:val="nil"/>
                    <w:left w:val="nil"/>
                    <w:bottom w:val="nil"/>
                    <w:right w:val="nil"/>
                  </w:tcBorders>
                  <w:noWrap/>
                  <w:vAlign w:val="bottom"/>
                  <w:hideMark/>
                </w:tcPr>
                <w:p w14:paraId="397A52D1"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0,0</w:t>
                  </w:r>
                </w:p>
              </w:tc>
              <w:tc>
                <w:tcPr>
                  <w:tcW w:w="649" w:type="dxa"/>
                  <w:tcBorders>
                    <w:top w:val="nil"/>
                    <w:left w:val="nil"/>
                    <w:bottom w:val="nil"/>
                    <w:right w:val="nil"/>
                  </w:tcBorders>
                  <w:noWrap/>
                  <w:vAlign w:val="bottom"/>
                  <w:hideMark/>
                </w:tcPr>
                <w:p w14:paraId="24C7F46C"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0,0</w:t>
                  </w:r>
                </w:p>
              </w:tc>
              <w:tc>
                <w:tcPr>
                  <w:tcW w:w="684" w:type="dxa"/>
                  <w:tcBorders>
                    <w:top w:val="nil"/>
                    <w:left w:val="nil"/>
                    <w:bottom w:val="nil"/>
                    <w:right w:val="nil"/>
                  </w:tcBorders>
                  <w:noWrap/>
                  <w:vAlign w:val="bottom"/>
                  <w:hideMark/>
                </w:tcPr>
                <w:p w14:paraId="25F88B35"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0,8</w:t>
                  </w:r>
                </w:p>
              </w:tc>
              <w:tc>
                <w:tcPr>
                  <w:tcW w:w="684" w:type="dxa"/>
                  <w:tcBorders>
                    <w:top w:val="nil"/>
                    <w:left w:val="nil"/>
                    <w:bottom w:val="nil"/>
                    <w:right w:val="nil"/>
                  </w:tcBorders>
                  <w:noWrap/>
                  <w:vAlign w:val="bottom"/>
                  <w:hideMark/>
                </w:tcPr>
                <w:p w14:paraId="4B013E07"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0,6</w:t>
                  </w:r>
                </w:p>
              </w:tc>
              <w:tc>
                <w:tcPr>
                  <w:tcW w:w="614" w:type="dxa"/>
                  <w:tcBorders>
                    <w:top w:val="nil"/>
                    <w:left w:val="nil"/>
                    <w:bottom w:val="nil"/>
                    <w:right w:val="nil"/>
                  </w:tcBorders>
                  <w:noWrap/>
                  <w:vAlign w:val="bottom"/>
                  <w:hideMark/>
                </w:tcPr>
                <w:p w14:paraId="09B58137"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0,5</w:t>
                  </w:r>
                </w:p>
              </w:tc>
              <w:tc>
                <w:tcPr>
                  <w:tcW w:w="614" w:type="dxa"/>
                  <w:tcBorders>
                    <w:top w:val="nil"/>
                    <w:left w:val="nil"/>
                    <w:bottom w:val="nil"/>
                    <w:right w:val="nil"/>
                  </w:tcBorders>
                  <w:noWrap/>
                  <w:vAlign w:val="bottom"/>
                  <w:hideMark/>
                </w:tcPr>
                <w:p w14:paraId="132AD953"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0,4</w:t>
                  </w:r>
                </w:p>
              </w:tc>
            </w:tr>
            <w:tr w:rsidR="006B1AFC" w:rsidRPr="00920A55" w14:paraId="3AA923DC" w14:textId="77777777" w:rsidTr="003C4A79">
              <w:trPr>
                <w:trHeight w:val="255"/>
              </w:trPr>
              <w:tc>
                <w:tcPr>
                  <w:tcW w:w="4466" w:type="dxa"/>
                  <w:tcBorders>
                    <w:top w:val="nil"/>
                    <w:left w:val="nil"/>
                    <w:bottom w:val="nil"/>
                    <w:right w:val="nil"/>
                  </w:tcBorders>
                  <w:vAlign w:val="bottom"/>
                  <w:hideMark/>
                </w:tcPr>
                <w:p w14:paraId="450A01E2" w14:textId="77777777" w:rsidR="006B1AFC" w:rsidRPr="00920A55" w:rsidRDefault="006B1AFC" w:rsidP="003C4A79">
                  <w:pPr>
                    <w:spacing w:after="0" w:line="240" w:lineRule="auto"/>
                    <w:ind w:left="82"/>
                    <w:jc w:val="left"/>
                    <w:rPr>
                      <w:rFonts w:cs="Arial"/>
                      <w:color w:val="000000"/>
                      <w:sz w:val="16"/>
                      <w:szCs w:val="16"/>
                      <w:lang w:eastAsia="ko-KR"/>
                    </w:rPr>
                  </w:pPr>
                  <w:r w:rsidRPr="00920A55">
                    <w:rPr>
                      <w:rFonts w:cs="Arial"/>
                      <w:color w:val="000000"/>
                      <w:sz w:val="16"/>
                      <w:szCs w:val="16"/>
                      <w:lang w:eastAsia="ko-KR"/>
                    </w:rPr>
                    <w:t>Ostatní činnosti</w:t>
                  </w:r>
                </w:p>
              </w:tc>
              <w:tc>
                <w:tcPr>
                  <w:tcW w:w="649" w:type="dxa"/>
                  <w:tcBorders>
                    <w:top w:val="nil"/>
                    <w:left w:val="nil"/>
                    <w:bottom w:val="nil"/>
                    <w:right w:val="nil"/>
                  </w:tcBorders>
                  <w:noWrap/>
                  <w:vAlign w:val="bottom"/>
                  <w:hideMark/>
                </w:tcPr>
                <w:p w14:paraId="2BF71970"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2,2</w:t>
                  </w:r>
                </w:p>
              </w:tc>
              <w:tc>
                <w:tcPr>
                  <w:tcW w:w="649" w:type="dxa"/>
                  <w:tcBorders>
                    <w:top w:val="nil"/>
                    <w:left w:val="nil"/>
                    <w:bottom w:val="nil"/>
                    <w:right w:val="nil"/>
                  </w:tcBorders>
                  <w:noWrap/>
                  <w:vAlign w:val="bottom"/>
                  <w:hideMark/>
                </w:tcPr>
                <w:p w14:paraId="4197AB77"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1,3</w:t>
                  </w:r>
                </w:p>
              </w:tc>
              <w:tc>
                <w:tcPr>
                  <w:tcW w:w="649" w:type="dxa"/>
                  <w:tcBorders>
                    <w:top w:val="nil"/>
                    <w:left w:val="nil"/>
                    <w:bottom w:val="nil"/>
                    <w:right w:val="nil"/>
                  </w:tcBorders>
                  <w:noWrap/>
                  <w:vAlign w:val="bottom"/>
                  <w:hideMark/>
                </w:tcPr>
                <w:p w14:paraId="7299BC89" w14:textId="77777777" w:rsidR="006B1AFC" w:rsidRPr="00920A55"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20A55">
                    <w:rPr>
                      <w:rFonts w:cs="Arial"/>
                      <w:color w:val="000000"/>
                      <w:sz w:val="16"/>
                      <w:szCs w:val="16"/>
                      <w:lang w:eastAsia="ko-KR"/>
                    </w:rPr>
                    <w:t>0,1</w:t>
                  </w:r>
                </w:p>
              </w:tc>
              <w:tc>
                <w:tcPr>
                  <w:tcW w:w="649" w:type="dxa"/>
                  <w:tcBorders>
                    <w:top w:val="nil"/>
                    <w:left w:val="nil"/>
                    <w:bottom w:val="nil"/>
                    <w:right w:val="nil"/>
                  </w:tcBorders>
                  <w:noWrap/>
                  <w:vAlign w:val="bottom"/>
                  <w:hideMark/>
                </w:tcPr>
                <w:p w14:paraId="0EE2B87A" w14:textId="77777777" w:rsidR="006B1AFC" w:rsidRPr="00920A55"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20A55">
                    <w:rPr>
                      <w:rFonts w:cs="Arial"/>
                      <w:color w:val="000000"/>
                      <w:sz w:val="16"/>
                      <w:szCs w:val="16"/>
                      <w:lang w:eastAsia="ko-KR"/>
                    </w:rPr>
                    <w:t>0,9</w:t>
                  </w:r>
                </w:p>
              </w:tc>
              <w:tc>
                <w:tcPr>
                  <w:tcW w:w="684" w:type="dxa"/>
                  <w:tcBorders>
                    <w:top w:val="nil"/>
                    <w:left w:val="nil"/>
                    <w:bottom w:val="nil"/>
                    <w:right w:val="nil"/>
                  </w:tcBorders>
                  <w:noWrap/>
                  <w:vAlign w:val="bottom"/>
                  <w:hideMark/>
                </w:tcPr>
                <w:p w14:paraId="2ACBD898"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8,2</w:t>
                  </w:r>
                </w:p>
              </w:tc>
              <w:tc>
                <w:tcPr>
                  <w:tcW w:w="684" w:type="dxa"/>
                  <w:tcBorders>
                    <w:top w:val="nil"/>
                    <w:left w:val="nil"/>
                    <w:bottom w:val="nil"/>
                    <w:right w:val="nil"/>
                  </w:tcBorders>
                  <w:noWrap/>
                  <w:vAlign w:val="bottom"/>
                  <w:hideMark/>
                </w:tcPr>
                <w:p w14:paraId="69410281"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8,0</w:t>
                  </w:r>
                </w:p>
              </w:tc>
              <w:tc>
                <w:tcPr>
                  <w:tcW w:w="614" w:type="dxa"/>
                  <w:tcBorders>
                    <w:top w:val="nil"/>
                    <w:left w:val="nil"/>
                    <w:bottom w:val="nil"/>
                    <w:right w:val="nil"/>
                  </w:tcBorders>
                  <w:noWrap/>
                  <w:vAlign w:val="bottom"/>
                  <w:hideMark/>
                </w:tcPr>
                <w:p w14:paraId="7E09ED0B"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5,2</w:t>
                  </w:r>
                </w:p>
              </w:tc>
              <w:tc>
                <w:tcPr>
                  <w:tcW w:w="614" w:type="dxa"/>
                  <w:tcBorders>
                    <w:top w:val="nil"/>
                    <w:left w:val="nil"/>
                    <w:bottom w:val="nil"/>
                    <w:right w:val="nil"/>
                  </w:tcBorders>
                  <w:noWrap/>
                  <w:vAlign w:val="bottom"/>
                  <w:hideMark/>
                </w:tcPr>
                <w:p w14:paraId="5DD7CB8F" w14:textId="77777777" w:rsidR="006B1AFC" w:rsidRPr="00920A55" w:rsidRDefault="006B1AFC" w:rsidP="003C4A79">
                  <w:pPr>
                    <w:spacing w:after="0" w:line="240" w:lineRule="auto"/>
                    <w:jc w:val="right"/>
                    <w:rPr>
                      <w:rFonts w:cs="Arial"/>
                      <w:color w:val="000000"/>
                      <w:sz w:val="16"/>
                      <w:szCs w:val="16"/>
                      <w:lang w:eastAsia="ko-KR"/>
                    </w:rPr>
                  </w:pPr>
                  <w:r w:rsidRPr="00920A55">
                    <w:rPr>
                      <w:rFonts w:cs="Arial"/>
                      <w:color w:val="000000"/>
                      <w:sz w:val="16"/>
                      <w:szCs w:val="16"/>
                      <w:lang w:eastAsia="ko-KR"/>
                    </w:rPr>
                    <w:t>2,6</w:t>
                  </w:r>
                </w:p>
              </w:tc>
            </w:tr>
          </w:tbl>
          <w:p w14:paraId="05D192E1" w14:textId="77777777" w:rsidR="006B1AFC" w:rsidRDefault="006B1AFC" w:rsidP="003C4A79"/>
        </w:tc>
      </w:tr>
      <w:tr w:rsidR="006B1AFC" w:rsidRPr="009110F7" w14:paraId="40148AC8" w14:textId="77777777" w:rsidTr="003C4A79">
        <w:trPr>
          <w:trHeight w:val="154"/>
        </w:trPr>
        <w:tc>
          <w:tcPr>
            <w:tcW w:w="9639" w:type="dxa"/>
            <w:gridSpan w:val="3"/>
            <w:tcMar>
              <w:left w:w="0" w:type="dxa"/>
            </w:tcMar>
          </w:tcPr>
          <w:p w14:paraId="18EFBC39" w14:textId="77777777" w:rsidR="006B1AFC" w:rsidRPr="00947786" w:rsidRDefault="006B1AFC" w:rsidP="003C4A79">
            <w:pPr>
              <w:spacing w:before="120"/>
              <w:rPr>
                <w:sz w:val="16"/>
                <w:szCs w:val="16"/>
              </w:rPr>
            </w:pPr>
            <w:r w:rsidRPr="00947786">
              <w:rPr>
                <w:sz w:val="16"/>
                <w:szCs w:val="16"/>
              </w:rPr>
              <w:t>Zdroj: ČSÚ</w:t>
            </w:r>
          </w:p>
        </w:tc>
      </w:tr>
      <w:tr w:rsidR="006B1AFC" w:rsidRPr="009110F7" w14:paraId="2F1BA2E5" w14:textId="77777777" w:rsidTr="003C4A79">
        <w:trPr>
          <w:trHeight w:val="145"/>
        </w:trPr>
        <w:tc>
          <w:tcPr>
            <w:tcW w:w="1806" w:type="dxa"/>
            <w:tcMar>
              <w:left w:w="0" w:type="dxa"/>
            </w:tcMar>
          </w:tcPr>
          <w:p w14:paraId="6F1CFDB5" w14:textId="77777777" w:rsidR="006B1AFC" w:rsidRDefault="006B1AFC" w:rsidP="003C4A79">
            <w:pPr>
              <w:pStyle w:val="Marginlie"/>
            </w:pPr>
            <w:r>
              <w:lastRenderedPageBreak/>
              <w:t>Růst celkové cenové hladiny ve 2. čtvrtletí posílil.</w:t>
            </w:r>
          </w:p>
        </w:tc>
        <w:tc>
          <w:tcPr>
            <w:tcW w:w="210" w:type="dxa"/>
            <w:tcMar>
              <w:left w:w="0" w:type="dxa"/>
            </w:tcMar>
          </w:tcPr>
          <w:p w14:paraId="463E0DE7" w14:textId="77777777" w:rsidR="006B1AFC" w:rsidRDefault="006B1AFC" w:rsidP="003C4A79">
            <w:pPr>
              <w:pStyle w:val="Textpoznpodarou"/>
              <w:jc w:val="both"/>
              <w:rPr>
                <w:spacing w:val="-4"/>
              </w:rPr>
            </w:pPr>
          </w:p>
        </w:tc>
        <w:tc>
          <w:tcPr>
            <w:tcW w:w="7623" w:type="dxa"/>
            <w:tcMar>
              <w:left w:w="0" w:type="dxa"/>
            </w:tcMar>
          </w:tcPr>
          <w:p w14:paraId="55A82837" w14:textId="77777777" w:rsidR="006B1AFC" w:rsidRDefault="006B1AFC" w:rsidP="003C4A79">
            <w:r>
              <w:t>Celková cenová hladina měřená deflátorem HDP se ve 2. čtvrtletí zvýšila mezičtvrtletně o 1,0 %. Výrazné navýšení cenové hladiny spotřeby (1,7 %) ovlivnil zejména sektor vládních institucí (4,0 %), zatímco u přírůstku cenové hladiny spotřeby domácností bylo zrychlení jen mírné (0,8 %). Ceny kapitálových výdajů byly mezičtvrtletně vyšší o 3,4 %, z toho cenová hladina u investic vzrostla o 1,4 %. Ve 2. kvartálu mezičtvrtletní růst cen vývozu zboží a služeb (2,2 %) značně zaostával za růstem cen dovozu (4,2 %) a směnné relace tak byly záporné (98,1 %). Meziroční přírůstek cenové hladiny zvolnil na 2,6 %. Vyšší byl růst cen spotřeby (3,4 %, z toho ceny spotřeby domácností stabilně rostly o 2,4 %) i kapitálových výdajů (4,5 %, z toho investice zvolnily růst cen na 3,1 %). Meziroční směnné relace zahraničního obchodu se zbožím a službami dosáhly 98,6 %.</w:t>
            </w:r>
          </w:p>
        </w:tc>
      </w:tr>
      <w:tr w:rsidR="006B1AFC" w:rsidRPr="009110F7" w14:paraId="5631C545" w14:textId="77777777" w:rsidTr="003C4A79">
        <w:trPr>
          <w:trHeight w:val="145"/>
        </w:trPr>
        <w:tc>
          <w:tcPr>
            <w:tcW w:w="1806" w:type="dxa"/>
            <w:tcMar>
              <w:left w:w="0" w:type="dxa"/>
            </w:tcMar>
          </w:tcPr>
          <w:p w14:paraId="5244E7A8" w14:textId="77777777" w:rsidR="006B1AFC" w:rsidRDefault="006B1AFC" w:rsidP="003C4A79">
            <w:pPr>
              <w:pStyle w:val="Marginlie"/>
            </w:pPr>
            <w:r>
              <w:t>Nominální růst mezd zrychlil v porovnání se začátkem roku.</w:t>
            </w:r>
          </w:p>
        </w:tc>
        <w:tc>
          <w:tcPr>
            <w:tcW w:w="210" w:type="dxa"/>
            <w:tcMar>
              <w:left w:w="0" w:type="dxa"/>
            </w:tcMar>
          </w:tcPr>
          <w:p w14:paraId="38780846" w14:textId="77777777" w:rsidR="006B1AFC" w:rsidRDefault="006B1AFC" w:rsidP="003C4A79">
            <w:pPr>
              <w:pStyle w:val="Textpoznpodarou"/>
              <w:jc w:val="both"/>
              <w:rPr>
                <w:spacing w:val="-4"/>
              </w:rPr>
            </w:pPr>
          </w:p>
        </w:tc>
        <w:tc>
          <w:tcPr>
            <w:tcW w:w="7623" w:type="dxa"/>
            <w:tcMar>
              <w:left w:w="0" w:type="dxa"/>
            </w:tcMar>
          </w:tcPr>
          <w:p w14:paraId="6FE24303" w14:textId="77777777" w:rsidR="006B1AFC" w:rsidRDefault="006B1AFC" w:rsidP="003C4A79">
            <w:r>
              <w:t>Mezičtvrtletní přírůstek objemu vyplacených mezd a platů v 1. kvartálu zpomalil na nejnižší hodnotu za pět let, ale ve 2. čtvrtletí došlo k jeho výraznému zrychlení na 2,7 %. Zčásti byl tento vývoj podpořen značným oživením mezičtvrtletního růstu celkové zaměstnanosti</w:t>
            </w:r>
            <w:r w:rsidRPr="00014ED0">
              <w:rPr>
                <w:rStyle w:val="Znakapoznpodarou"/>
                <w:spacing w:val="-2"/>
              </w:rPr>
              <w:footnoteReference w:id="8"/>
            </w:r>
            <w:r>
              <w:t xml:space="preserve"> (0,9 %, což bylo největším navýšením od 3. kvartálu 2021). Silnou nominální dynamiku mezd a platů vykompenzoval také výraznější růst cenové hladiny ve 2. čtvrtletí, takže reálné navýšení</w:t>
            </w:r>
            <w:r>
              <w:rPr>
                <w:rStyle w:val="Znakapoznpodarou"/>
                <w:spacing w:val="-2"/>
              </w:rPr>
              <w:footnoteReference w:id="9"/>
            </w:r>
            <w:r>
              <w:t xml:space="preserve"> výdělků vystoupalo na dlouhodobě nadprůměrná 2,0 %. Meziroční nominální růst objemu vyplacených mezd a platů také zrychlil a dosáhl 7,4 % při růstu zaměstnanosti o 1,5 %. Reálný meziroční přírůstek činil 4,9 %.</w:t>
            </w:r>
          </w:p>
        </w:tc>
      </w:tr>
      <w:tr w:rsidR="006B1AFC" w:rsidRPr="009110F7" w14:paraId="4DCD0A16" w14:textId="77777777" w:rsidTr="003C4A79">
        <w:trPr>
          <w:trHeight w:val="170"/>
        </w:trPr>
        <w:tc>
          <w:tcPr>
            <w:tcW w:w="9639" w:type="dxa"/>
            <w:gridSpan w:val="3"/>
            <w:tcMar>
              <w:left w:w="0" w:type="dxa"/>
            </w:tcMar>
          </w:tcPr>
          <w:p w14:paraId="4E69D995" w14:textId="77777777" w:rsidR="006B1AFC" w:rsidRPr="00E6552A" w:rsidRDefault="006B1AFC" w:rsidP="003C4A79">
            <w:pPr>
              <w:spacing w:after="0"/>
              <w:rPr>
                <w:b/>
                <w:bCs/>
              </w:rPr>
            </w:pPr>
            <w:r>
              <w:rPr>
                <w:b/>
                <w:bCs/>
              </w:rPr>
              <w:t xml:space="preserve">Tabulka č. 2 Dynamika </w:t>
            </w:r>
            <w:r w:rsidRPr="00E6552A">
              <w:rPr>
                <w:b/>
                <w:bCs/>
              </w:rPr>
              <w:t>trh</w:t>
            </w:r>
            <w:r>
              <w:rPr>
                <w:b/>
                <w:bCs/>
              </w:rPr>
              <w:t>u</w:t>
            </w:r>
            <w:r w:rsidRPr="00E6552A">
              <w:rPr>
                <w:b/>
                <w:bCs/>
              </w:rPr>
              <w:t xml:space="preserve"> práce ve 2. čtvrtletí 2026</w:t>
            </w:r>
            <w:r>
              <w:rPr>
                <w:b/>
                <w:bCs/>
              </w:rPr>
              <w:t xml:space="preserve"> </w:t>
            </w:r>
            <w:r w:rsidRPr="00E6552A">
              <w:t>(v %)</w:t>
            </w:r>
          </w:p>
        </w:tc>
      </w:tr>
      <w:tr w:rsidR="006B1AFC" w:rsidRPr="009110F7" w14:paraId="301B676C" w14:textId="77777777" w:rsidTr="003C4A79">
        <w:trPr>
          <w:trHeight w:val="170"/>
        </w:trPr>
        <w:tc>
          <w:tcPr>
            <w:tcW w:w="9639" w:type="dxa"/>
            <w:gridSpan w:val="3"/>
            <w:tcMar>
              <w:left w:w="0" w:type="dxa"/>
            </w:tcMar>
          </w:tcPr>
          <w:tbl>
            <w:tblPr>
              <w:tblW w:w="9653" w:type="dxa"/>
              <w:tblLayout w:type="fixed"/>
              <w:tblCellMar>
                <w:left w:w="70" w:type="dxa"/>
                <w:right w:w="70" w:type="dxa"/>
              </w:tblCellMar>
              <w:tblLook w:val="04A0" w:firstRow="1" w:lastRow="0" w:firstColumn="1" w:lastColumn="0" w:noHBand="0" w:noVBand="1"/>
            </w:tblPr>
            <w:tblGrid>
              <w:gridCol w:w="4840"/>
              <w:gridCol w:w="1203"/>
              <w:gridCol w:w="1203"/>
              <w:gridCol w:w="1203"/>
              <w:gridCol w:w="1204"/>
            </w:tblGrid>
            <w:tr w:rsidR="006B1AFC" w:rsidRPr="008352DC" w14:paraId="31956F39" w14:textId="77777777" w:rsidTr="003C4A79">
              <w:trPr>
                <w:trHeight w:val="255"/>
              </w:trPr>
              <w:tc>
                <w:tcPr>
                  <w:tcW w:w="4840" w:type="dxa"/>
                  <w:tcBorders>
                    <w:top w:val="nil"/>
                    <w:left w:val="nil"/>
                    <w:bottom w:val="nil"/>
                    <w:right w:val="nil"/>
                  </w:tcBorders>
                  <w:noWrap/>
                  <w:vAlign w:val="bottom"/>
                  <w:hideMark/>
                </w:tcPr>
                <w:p w14:paraId="4E08C97B" w14:textId="77777777" w:rsidR="006B1AFC" w:rsidRPr="008352DC" w:rsidRDefault="006B1AFC" w:rsidP="003C4A79">
                  <w:pPr>
                    <w:spacing w:after="0" w:line="240" w:lineRule="auto"/>
                    <w:jc w:val="left"/>
                    <w:rPr>
                      <w:rFonts w:ascii="Times New Roman" w:hAnsi="Times New Roman"/>
                      <w:sz w:val="24"/>
                      <w:szCs w:val="20"/>
                      <w:lang w:eastAsia="ko-KR"/>
                    </w:rPr>
                  </w:pPr>
                </w:p>
              </w:tc>
              <w:tc>
                <w:tcPr>
                  <w:tcW w:w="2406" w:type="dxa"/>
                  <w:gridSpan w:val="2"/>
                  <w:tcBorders>
                    <w:top w:val="nil"/>
                    <w:left w:val="nil"/>
                    <w:bottom w:val="nil"/>
                    <w:right w:val="nil"/>
                  </w:tcBorders>
                  <w:noWrap/>
                  <w:vAlign w:val="bottom"/>
                  <w:hideMark/>
                </w:tcPr>
                <w:p w14:paraId="42264535" w14:textId="77777777" w:rsidR="006B1AFC" w:rsidRPr="008352DC" w:rsidRDefault="006B1AFC" w:rsidP="003C4A79">
                  <w:pPr>
                    <w:spacing w:after="0" w:line="240" w:lineRule="auto"/>
                    <w:jc w:val="center"/>
                    <w:rPr>
                      <w:rFonts w:cs="Arial"/>
                      <w:color w:val="000000"/>
                      <w:sz w:val="16"/>
                      <w:szCs w:val="16"/>
                      <w:lang w:eastAsia="ko-KR"/>
                    </w:rPr>
                  </w:pPr>
                  <w:r w:rsidRPr="008352DC">
                    <w:rPr>
                      <w:rFonts w:cs="Arial"/>
                      <w:color w:val="000000"/>
                      <w:sz w:val="16"/>
                      <w:szCs w:val="16"/>
                      <w:lang w:eastAsia="ko-KR"/>
                    </w:rPr>
                    <w:t>Mzdy a platy</w:t>
                  </w:r>
                </w:p>
              </w:tc>
              <w:tc>
                <w:tcPr>
                  <w:tcW w:w="2407" w:type="dxa"/>
                  <w:gridSpan w:val="2"/>
                  <w:tcBorders>
                    <w:top w:val="nil"/>
                    <w:left w:val="nil"/>
                    <w:bottom w:val="nil"/>
                    <w:right w:val="nil"/>
                  </w:tcBorders>
                  <w:noWrap/>
                  <w:vAlign w:val="bottom"/>
                  <w:hideMark/>
                </w:tcPr>
                <w:p w14:paraId="5139CDB5" w14:textId="77777777" w:rsidR="006B1AFC" w:rsidRPr="008352DC" w:rsidRDefault="006B1AFC" w:rsidP="003C4A79">
                  <w:pPr>
                    <w:spacing w:after="0" w:line="240" w:lineRule="auto"/>
                    <w:jc w:val="center"/>
                    <w:rPr>
                      <w:rFonts w:cs="Arial"/>
                      <w:color w:val="000000"/>
                      <w:sz w:val="16"/>
                      <w:szCs w:val="16"/>
                      <w:lang w:eastAsia="ko-KR"/>
                    </w:rPr>
                  </w:pPr>
                  <w:r w:rsidRPr="008352DC">
                    <w:rPr>
                      <w:rFonts w:cs="Arial"/>
                      <w:color w:val="000000"/>
                      <w:sz w:val="16"/>
                      <w:szCs w:val="16"/>
                      <w:lang w:eastAsia="ko-KR"/>
                    </w:rPr>
                    <w:t>Celková zaměstnanost</w:t>
                  </w:r>
                </w:p>
              </w:tc>
            </w:tr>
            <w:tr w:rsidR="006B1AFC" w:rsidRPr="008352DC" w14:paraId="76D8F236" w14:textId="77777777" w:rsidTr="003C4A79">
              <w:trPr>
                <w:trHeight w:val="255"/>
              </w:trPr>
              <w:tc>
                <w:tcPr>
                  <w:tcW w:w="4840" w:type="dxa"/>
                  <w:tcBorders>
                    <w:top w:val="nil"/>
                    <w:left w:val="nil"/>
                    <w:bottom w:val="nil"/>
                    <w:right w:val="nil"/>
                  </w:tcBorders>
                  <w:noWrap/>
                  <w:vAlign w:val="bottom"/>
                  <w:hideMark/>
                </w:tcPr>
                <w:p w14:paraId="4CD8A8B6" w14:textId="77777777" w:rsidR="006B1AFC" w:rsidRPr="008352DC" w:rsidRDefault="006B1AFC" w:rsidP="003C4A79">
                  <w:pPr>
                    <w:spacing w:after="0" w:line="240" w:lineRule="auto"/>
                    <w:jc w:val="center"/>
                    <w:rPr>
                      <w:rFonts w:cs="Arial"/>
                      <w:color w:val="000000"/>
                      <w:sz w:val="16"/>
                      <w:szCs w:val="16"/>
                      <w:lang w:eastAsia="ko-KR"/>
                    </w:rPr>
                  </w:pPr>
                </w:p>
              </w:tc>
              <w:tc>
                <w:tcPr>
                  <w:tcW w:w="1203" w:type="dxa"/>
                  <w:tcBorders>
                    <w:top w:val="nil"/>
                    <w:left w:val="nil"/>
                    <w:bottom w:val="single" w:sz="4" w:space="0" w:color="auto"/>
                    <w:right w:val="nil"/>
                  </w:tcBorders>
                  <w:noWrap/>
                  <w:vAlign w:val="bottom"/>
                  <w:hideMark/>
                </w:tcPr>
                <w:p w14:paraId="2ECD2124" w14:textId="77777777" w:rsidR="006B1AFC" w:rsidRPr="008352DC" w:rsidRDefault="006B1AFC" w:rsidP="003C4A79">
                  <w:pPr>
                    <w:spacing w:after="0" w:line="240" w:lineRule="auto"/>
                    <w:jc w:val="center"/>
                    <w:rPr>
                      <w:rFonts w:cs="Arial"/>
                      <w:color w:val="000000"/>
                      <w:sz w:val="16"/>
                      <w:szCs w:val="16"/>
                      <w:lang w:eastAsia="ko-KR"/>
                    </w:rPr>
                  </w:pPr>
                  <w:r w:rsidRPr="008352DC">
                    <w:rPr>
                      <w:rFonts w:cs="Arial"/>
                      <w:color w:val="000000"/>
                      <w:sz w:val="16"/>
                      <w:szCs w:val="16"/>
                      <w:lang w:eastAsia="ko-KR"/>
                    </w:rPr>
                    <w:t>mezičtvrtletně</w:t>
                  </w:r>
                </w:p>
              </w:tc>
              <w:tc>
                <w:tcPr>
                  <w:tcW w:w="1203" w:type="dxa"/>
                  <w:tcBorders>
                    <w:top w:val="nil"/>
                    <w:left w:val="nil"/>
                    <w:bottom w:val="single" w:sz="4" w:space="0" w:color="auto"/>
                    <w:right w:val="nil"/>
                  </w:tcBorders>
                  <w:noWrap/>
                  <w:vAlign w:val="bottom"/>
                  <w:hideMark/>
                </w:tcPr>
                <w:p w14:paraId="0E7D1F73" w14:textId="77777777" w:rsidR="006B1AFC" w:rsidRPr="008352DC" w:rsidRDefault="006B1AFC" w:rsidP="003C4A79">
                  <w:pPr>
                    <w:spacing w:after="0" w:line="240" w:lineRule="auto"/>
                    <w:jc w:val="center"/>
                    <w:rPr>
                      <w:rFonts w:cs="Arial"/>
                      <w:color w:val="000000"/>
                      <w:sz w:val="16"/>
                      <w:szCs w:val="16"/>
                      <w:lang w:eastAsia="ko-KR"/>
                    </w:rPr>
                  </w:pPr>
                  <w:r w:rsidRPr="008352DC">
                    <w:rPr>
                      <w:rFonts w:cs="Arial"/>
                      <w:color w:val="000000"/>
                      <w:sz w:val="16"/>
                      <w:szCs w:val="16"/>
                      <w:lang w:eastAsia="ko-KR"/>
                    </w:rPr>
                    <w:t>meziročně</w:t>
                  </w:r>
                </w:p>
              </w:tc>
              <w:tc>
                <w:tcPr>
                  <w:tcW w:w="1203" w:type="dxa"/>
                  <w:tcBorders>
                    <w:top w:val="nil"/>
                    <w:left w:val="nil"/>
                    <w:bottom w:val="single" w:sz="4" w:space="0" w:color="auto"/>
                    <w:right w:val="nil"/>
                  </w:tcBorders>
                  <w:noWrap/>
                  <w:vAlign w:val="bottom"/>
                  <w:hideMark/>
                </w:tcPr>
                <w:p w14:paraId="712C292F" w14:textId="77777777" w:rsidR="006B1AFC" w:rsidRPr="008352DC" w:rsidRDefault="006B1AFC" w:rsidP="003C4A79">
                  <w:pPr>
                    <w:spacing w:after="0" w:line="240" w:lineRule="auto"/>
                    <w:jc w:val="center"/>
                    <w:rPr>
                      <w:rFonts w:cs="Arial"/>
                      <w:color w:val="000000"/>
                      <w:sz w:val="16"/>
                      <w:szCs w:val="16"/>
                      <w:lang w:eastAsia="ko-KR"/>
                    </w:rPr>
                  </w:pPr>
                  <w:r w:rsidRPr="008352DC">
                    <w:rPr>
                      <w:rFonts w:cs="Arial"/>
                      <w:color w:val="000000"/>
                      <w:sz w:val="16"/>
                      <w:szCs w:val="16"/>
                      <w:lang w:eastAsia="ko-KR"/>
                    </w:rPr>
                    <w:t>mezičtvrtletně</w:t>
                  </w:r>
                </w:p>
              </w:tc>
              <w:tc>
                <w:tcPr>
                  <w:tcW w:w="1204" w:type="dxa"/>
                  <w:tcBorders>
                    <w:top w:val="nil"/>
                    <w:left w:val="nil"/>
                    <w:bottom w:val="single" w:sz="4" w:space="0" w:color="auto"/>
                    <w:right w:val="nil"/>
                  </w:tcBorders>
                  <w:noWrap/>
                  <w:vAlign w:val="bottom"/>
                  <w:hideMark/>
                </w:tcPr>
                <w:p w14:paraId="4634E8EF" w14:textId="77777777" w:rsidR="006B1AFC" w:rsidRPr="008352DC" w:rsidRDefault="006B1AFC" w:rsidP="003C4A79">
                  <w:pPr>
                    <w:spacing w:after="0" w:line="240" w:lineRule="auto"/>
                    <w:jc w:val="center"/>
                    <w:rPr>
                      <w:rFonts w:cs="Arial"/>
                      <w:color w:val="000000"/>
                      <w:sz w:val="16"/>
                      <w:szCs w:val="16"/>
                      <w:lang w:eastAsia="ko-KR"/>
                    </w:rPr>
                  </w:pPr>
                  <w:r w:rsidRPr="008352DC">
                    <w:rPr>
                      <w:rFonts w:cs="Arial"/>
                      <w:color w:val="000000"/>
                      <w:sz w:val="16"/>
                      <w:szCs w:val="16"/>
                      <w:lang w:eastAsia="ko-KR"/>
                    </w:rPr>
                    <w:t>meziročně</w:t>
                  </w:r>
                </w:p>
              </w:tc>
            </w:tr>
            <w:tr w:rsidR="006B1AFC" w:rsidRPr="008352DC" w14:paraId="374EAA20" w14:textId="77777777" w:rsidTr="003C4A79">
              <w:trPr>
                <w:trHeight w:val="255"/>
              </w:trPr>
              <w:tc>
                <w:tcPr>
                  <w:tcW w:w="4840" w:type="dxa"/>
                  <w:tcBorders>
                    <w:top w:val="single" w:sz="4" w:space="0" w:color="auto"/>
                    <w:left w:val="nil"/>
                    <w:bottom w:val="nil"/>
                    <w:right w:val="nil"/>
                  </w:tcBorders>
                  <w:vAlign w:val="bottom"/>
                  <w:hideMark/>
                </w:tcPr>
                <w:p w14:paraId="7BD0F634" w14:textId="77777777" w:rsidR="006B1AFC" w:rsidRPr="008352DC" w:rsidRDefault="006B1AFC" w:rsidP="003C4A79">
                  <w:pPr>
                    <w:spacing w:after="0" w:line="240" w:lineRule="auto"/>
                    <w:jc w:val="left"/>
                    <w:rPr>
                      <w:rFonts w:cs="Arial"/>
                      <w:color w:val="000000"/>
                      <w:sz w:val="16"/>
                      <w:szCs w:val="16"/>
                      <w:lang w:eastAsia="ko-KR"/>
                    </w:rPr>
                  </w:pPr>
                  <w:r w:rsidRPr="008352DC">
                    <w:rPr>
                      <w:rFonts w:cs="Arial"/>
                      <w:color w:val="000000"/>
                      <w:sz w:val="16"/>
                      <w:szCs w:val="16"/>
                      <w:lang w:eastAsia="ko-KR"/>
                    </w:rPr>
                    <w:t>Celkem</w:t>
                  </w:r>
                </w:p>
              </w:tc>
              <w:tc>
                <w:tcPr>
                  <w:tcW w:w="1203" w:type="dxa"/>
                  <w:tcBorders>
                    <w:top w:val="nil"/>
                    <w:left w:val="nil"/>
                    <w:bottom w:val="nil"/>
                    <w:right w:val="nil"/>
                  </w:tcBorders>
                  <w:noWrap/>
                  <w:vAlign w:val="bottom"/>
                  <w:hideMark/>
                </w:tcPr>
                <w:p w14:paraId="1A821B02"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2,7</w:t>
                  </w:r>
                </w:p>
              </w:tc>
              <w:tc>
                <w:tcPr>
                  <w:tcW w:w="1203" w:type="dxa"/>
                  <w:tcBorders>
                    <w:top w:val="nil"/>
                    <w:left w:val="nil"/>
                    <w:bottom w:val="nil"/>
                    <w:right w:val="nil"/>
                  </w:tcBorders>
                  <w:noWrap/>
                  <w:vAlign w:val="bottom"/>
                  <w:hideMark/>
                </w:tcPr>
                <w:p w14:paraId="0C52E7C8"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7,4</w:t>
                  </w:r>
                </w:p>
              </w:tc>
              <w:tc>
                <w:tcPr>
                  <w:tcW w:w="1203" w:type="dxa"/>
                  <w:tcBorders>
                    <w:top w:val="nil"/>
                    <w:left w:val="nil"/>
                    <w:bottom w:val="nil"/>
                    <w:right w:val="nil"/>
                  </w:tcBorders>
                  <w:noWrap/>
                  <w:vAlign w:val="bottom"/>
                  <w:hideMark/>
                </w:tcPr>
                <w:p w14:paraId="6392A524"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0,9</w:t>
                  </w:r>
                </w:p>
              </w:tc>
              <w:tc>
                <w:tcPr>
                  <w:tcW w:w="1204" w:type="dxa"/>
                  <w:tcBorders>
                    <w:top w:val="nil"/>
                    <w:left w:val="nil"/>
                    <w:bottom w:val="nil"/>
                    <w:right w:val="nil"/>
                  </w:tcBorders>
                  <w:noWrap/>
                  <w:vAlign w:val="bottom"/>
                  <w:hideMark/>
                </w:tcPr>
                <w:p w14:paraId="0BD64CD8"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1,5</w:t>
                  </w:r>
                </w:p>
              </w:tc>
            </w:tr>
            <w:tr w:rsidR="006B1AFC" w:rsidRPr="008352DC" w14:paraId="316E5D01" w14:textId="77777777" w:rsidTr="003C4A79">
              <w:trPr>
                <w:trHeight w:val="255"/>
              </w:trPr>
              <w:tc>
                <w:tcPr>
                  <w:tcW w:w="4840" w:type="dxa"/>
                  <w:tcBorders>
                    <w:top w:val="nil"/>
                    <w:left w:val="nil"/>
                    <w:bottom w:val="nil"/>
                    <w:right w:val="nil"/>
                  </w:tcBorders>
                  <w:vAlign w:val="bottom"/>
                  <w:hideMark/>
                </w:tcPr>
                <w:p w14:paraId="5FE1552E" w14:textId="77777777" w:rsidR="006B1AFC" w:rsidRPr="008352DC" w:rsidRDefault="006B1AFC" w:rsidP="003C4A79">
                  <w:pPr>
                    <w:spacing w:after="0" w:line="240" w:lineRule="auto"/>
                    <w:ind w:left="88"/>
                    <w:jc w:val="left"/>
                    <w:rPr>
                      <w:rFonts w:cs="Arial"/>
                      <w:color w:val="000000"/>
                      <w:sz w:val="16"/>
                      <w:szCs w:val="16"/>
                      <w:lang w:eastAsia="ko-KR"/>
                    </w:rPr>
                  </w:pPr>
                  <w:r w:rsidRPr="008352DC">
                    <w:rPr>
                      <w:rFonts w:cs="Arial"/>
                      <w:color w:val="000000"/>
                      <w:sz w:val="16"/>
                      <w:szCs w:val="16"/>
                      <w:lang w:eastAsia="ko-KR"/>
                    </w:rPr>
                    <w:t>Zemědělství, lesnictví a rybářství</w:t>
                  </w:r>
                </w:p>
              </w:tc>
              <w:tc>
                <w:tcPr>
                  <w:tcW w:w="1203" w:type="dxa"/>
                  <w:tcBorders>
                    <w:top w:val="nil"/>
                    <w:left w:val="nil"/>
                    <w:bottom w:val="nil"/>
                    <w:right w:val="nil"/>
                  </w:tcBorders>
                  <w:noWrap/>
                  <w:vAlign w:val="bottom"/>
                  <w:hideMark/>
                </w:tcPr>
                <w:p w14:paraId="628DB175"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0,4</w:t>
                  </w:r>
                </w:p>
              </w:tc>
              <w:tc>
                <w:tcPr>
                  <w:tcW w:w="1203" w:type="dxa"/>
                  <w:tcBorders>
                    <w:top w:val="nil"/>
                    <w:left w:val="nil"/>
                    <w:bottom w:val="nil"/>
                    <w:right w:val="nil"/>
                  </w:tcBorders>
                  <w:noWrap/>
                  <w:vAlign w:val="bottom"/>
                  <w:hideMark/>
                </w:tcPr>
                <w:p w14:paraId="70DDB6FC"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6,6</w:t>
                  </w:r>
                </w:p>
              </w:tc>
              <w:tc>
                <w:tcPr>
                  <w:tcW w:w="1203" w:type="dxa"/>
                  <w:tcBorders>
                    <w:top w:val="nil"/>
                    <w:left w:val="nil"/>
                    <w:bottom w:val="nil"/>
                    <w:right w:val="nil"/>
                  </w:tcBorders>
                  <w:noWrap/>
                  <w:vAlign w:val="bottom"/>
                  <w:hideMark/>
                </w:tcPr>
                <w:p w14:paraId="04C1C774"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0,3</w:t>
                  </w:r>
                </w:p>
              </w:tc>
              <w:tc>
                <w:tcPr>
                  <w:tcW w:w="1204" w:type="dxa"/>
                  <w:tcBorders>
                    <w:top w:val="nil"/>
                    <w:left w:val="nil"/>
                    <w:bottom w:val="nil"/>
                    <w:right w:val="nil"/>
                  </w:tcBorders>
                  <w:noWrap/>
                  <w:vAlign w:val="bottom"/>
                  <w:hideMark/>
                </w:tcPr>
                <w:p w14:paraId="190D61D1" w14:textId="77777777" w:rsidR="006B1AFC" w:rsidRPr="008352DC"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8352DC">
                    <w:rPr>
                      <w:rFonts w:cs="Arial"/>
                      <w:color w:val="000000"/>
                      <w:sz w:val="16"/>
                      <w:szCs w:val="16"/>
                      <w:lang w:eastAsia="ko-KR"/>
                    </w:rPr>
                    <w:t>1,5</w:t>
                  </w:r>
                </w:p>
              </w:tc>
            </w:tr>
            <w:tr w:rsidR="006B1AFC" w:rsidRPr="008352DC" w14:paraId="56D4AB23" w14:textId="77777777" w:rsidTr="003C4A79">
              <w:trPr>
                <w:trHeight w:val="255"/>
              </w:trPr>
              <w:tc>
                <w:tcPr>
                  <w:tcW w:w="4840" w:type="dxa"/>
                  <w:tcBorders>
                    <w:top w:val="nil"/>
                    <w:left w:val="nil"/>
                    <w:bottom w:val="nil"/>
                    <w:right w:val="nil"/>
                  </w:tcBorders>
                  <w:vAlign w:val="bottom"/>
                  <w:hideMark/>
                </w:tcPr>
                <w:p w14:paraId="71F2AD2D" w14:textId="77777777" w:rsidR="006B1AFC" w:rsidRPr="008352DC" w:rsidRDefault="006B1AFC" w:rsidP="003C4A79">
                  <w:pPr>
                    <w:spacing w:after="0" w:line="240" w:lineRule="auto"/>
                    <w:ind w:left="88"/>
                    <w:jc w:val="left"/>
                    <w:rPr>
                      <w:rFonts w:cs="Arial"/>
                      <w:color w:val="000000"/>
                      <w:sz w:val="16"/>
                      <w:szCs w:val="16"/>
                      <w:lang w:eastAsia="ko-KR"/>
                    </w:rPr>
                  </w:pPr>
                  <w:r w:rsidRPr="008352DC">
                    <w:rPr>
                      <w:rFonts w:cs="Arial"/>
                      <w:color w:val="000000"/>
                      <w:sz w:val="16"/>
                      <w:szCs w:val="16"/>
                      <w:lang w:eastAsia="ko-KR"/>
                    </w:rPr>
                    <w:t>Průmysl</w:t>
                  </w:r>
                </w:p>
              </w:tc>
              <w:tc>
                <w:tcPr>
                  <w:tcW w:w="1203" w:type="dxa"/>
                  <w:tcBorders>
                    <w:top w:val="nil"/>
                    <w:left w:val="nil"/>
                    <w:bottom w:val="nil"/>
                    <w:right w:val="nil"/>
                  </w:tcBorders>
                  <w:noWrap/>
                  <w:vAlign w:val="bottom"/>
                  <w:hideMark/>
                </w:tcPr>
                <w:p w14:paraId="05EA91EF"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1,1</w:t>
                  </w:r>
                </w:p>
              </w:tc>
              <w:tc>
                <w:tcPr>
                  <w:tcW w:w="1203" w:type="dxa"/>
                  <w:tcBorders>
                    <w:top w:val="nil"/>
                    <w:left w:val="nil"/>
                    <w:bottom w:val="nil"/>
                    <w:right w:val="nil"/>
                  </w:tcBorders>
                  <w:noWrap/>
                  <w:vAlign w:val="bottom"/>
                  <w:hideMark/>
                </w:tcPr>
                <w:p w14:paraId="12ED3799"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4,2</w:t>
                  </w:r>
                </w:p>
              </w:tc>
              <w:tc>
                <w:tcPr>
                  <w:tcW w:w="1203" w:type="dxa"/>
                  <w:tcBorders>
                    <w:top w:val="nil"/>
                    <w:left w:val="nil"/>
                    <w:bottom w:val="nil"/>
                    <w:right w:val="nil"/>
                  </w:tcBorders>
                  <w:noWrap/>
                  <w:vAlign w:val="bottom"/>
                  <w:hideMark/>
                </w:tcPr>
                <w:p w14:paraId="317A9DC8"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1,4</w:t>
                  </w:r>
                </w:p>
              </w:tc>
              <w:tc>
                <w:tcPr>
                  <w:tcW w:w="1204" w:type="dxa"/>
                  <w:tcBorders>
                    <w:top w:val="nil"/>
                    <w:left w:val="nil"/>
                    <w:bottom w:val="nil"/>
                    <w:right w:val="nil"/>
                  </w:tcBorders>
                  <w:noWrap/>
                  <w:vAlign w:val="bottom"/>
                  <w:hideMark/>
                </w:tcPr>
                <w:p w14:paraId="4803DA25"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0,2</w:t>
                  </w:r>
                </w:p>
              </w:tc>
            </w:tr>
            <w:tr w:rsidR="006B1AFC" w:rsidRPr="008352DC" w14:paraId="42633735" w14:textId="77777777" w:rsidTr="003C4A79">
              <w:trPr>
                <w:trHeight w:val="255"/>
              </w:trPr>
              <w:tc>
                <w:tcPr>
                  <w:tcW w:w="4840" w:type="dxa"/>
                  <w:tcBorders>
                    <w:top w:val="nil"/>
                    <w:left w:val="nil"/>
                    <w:bottom w:val="nil"/>
                    <w:right w:val="nil"/>
                  </w:tcBorders>
                  <w:vAlign w:val="bottom"/>
                  <w:hideMark/>
                </w:tcPr>
                <w:p w14:paraId="37B6348F" w14:textId="77777777" w:rsidR="006B1AFC" w:rsidRPr="008352DC" w:rsidRDefault="006B1AFC" w:rsidP="003C4A79">
                  <w:pPr>
                    <w:spacing w:after="0" w:line="240" w:lineRule="auto"/>
                    <w:ind w:left="230"/>
                    <w:jc w:val="left"/>
                    <w:rPr>
                      <w:rFonts w:cs="Arial"/>
                      <w:color w:val="000000"/>
                      <w:sz w:val="16"/>
                      <w:szCs w:val="16"/>
                      <w:lang w:eastAsia="ko-KR"/>
                    </w:rPr>
                  </w:pPr>
                  <w:r w:rsidRPr="008352DC">
                    <w:rPr>
                      <w:rFonts w:cs="Arial"/>
                      <w:color w:val="000000"/>
                      <w:sz w:val="16"/>
                      <w:szCs w:val="16"/>
                      <w:lang w:eastAsia="ko-KR"/>
                    </w:rPr>
                    <w:t>z toho: Zpracovatelský průmysl</w:t>
                  </w:r>
                </w:p>
              </w:tc>
              <w:tc>
                <w:tcPr>
                  <w:tcW w:w="1203" w:type="dxa"/>
                  <w:tcBorders>
                    <w:top w:val="nil"/>
                    <w:left w:val="nil"/>
                    <w:bottom w:val="nil"/>
                    <w:right w:val="nil"/>
                  </w:tcBorders>
                  <w:noWrap/>
                  <w:vAlign w:val="bottom"/>
                  <w:hideMark/>
                </w:tcPr>
                <w:p w14:paraId="640B196E"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1,1</w:t>
                  </w:r>
                </w:p>
              </w:tc>
              <w:tc>
                <w:tcPr>
                  <w:tcW w:w="1203" w:type="dxa"/>
                  <w:tcBorders>
                    <w:top w:val="nil"/>
                    <w:left w:val="nil"/>
                    <w:bottom w:val="nil"/>
                    <w:right w:val="nil"/>
                  </w:tcBorders>
                  <w:noWrap/>
                  <w:vAlign w:val="bottom"/>
                  <w:hideMark/>
                </w:tcPr>
                <w:p w14:paraId="18DB75BE"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4,3</w:t>
                  </w:r>
                </w:p>
              </w:tc>
              <w:tc>
                <w:tcPr>
                  <w:tcW w:w="1203" w:type="dxa"/>
                  <w:tcBorders>
                    <w:top w:val="nil"/>
                    <w:left w:val="nil"/>
                    <w:bottom w:val="nil"/>
                    <w:right w:val="nil"/>
                  </w:tcBorders>
                  <w:noWrap/>
                  <w:vAlign w:val="bottom"/>
                  <w:hideMark/>
                </w:tcPr>
                <w:p w14:paraId="3640B944"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1,0</w:t>
                  </w:r>
                </w:p>
              </w:tc>
              <w:tc>
                <w:tcPr>
                  <w:tcW w:w="1204" w:type="dxa"/>
                  <w:tcBorders>
                    <w:top w:val="nil"/>
                    <w:left w:val="nil"/>
                    <w:bottom w:val="nil"/>
                    <w:right w:val="nil"/>
                  </w:tcBorders>
                  <w:noWrap/>
                  <w:vAlign w:val="bottom"/>
                  <w:hideMark/>
                </w:tcPr>
                <w:p w14:paraId="6C1024DE" w14:textId="77777777" w:rsidR="006B1AFC" w:rsidRPr="008352DC"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8352DC">
                    <w:rPr>
                      <w:rFonts w:cs="Arial"/>
                      <w:color w:val="000000"/>
                      <w:sz w:val="16"/>
                      <w:szCs w:val="16"/>
                      <w:lang w:eastAsia="ko-KR"/>
                    </w:rPr>
                    <w:t>0,2</w:t>
                  </w:r>
                </w:p>
              </w:tc>
            </w:tr>
            <w:tr w:rsidR="006B1AFC" w:rsidRPr="008352DC" w14:paraId="6740604A" w14:textId="77777777" w:rsidTr="003C4A79">
              <w:trPr>
                <w:trHeight w:val="255"/>
              </w:trPr>
              <w:tc>
                <w:tcPr>
                  <w:tcW w:w="4840" w:type="dxa"/>
                  <w:tcBorders>
                    <w:top w:val="nil"/>
                    <w:left w:val="nil"/>
                    <w:bottom w:val="nil"/>
                    <w:right w:val="nil"/>
                  </w:tcBorders>
                  <w:vAlign w:val="bottom"/>
                  <w:hideMark/>
                </w:tcPr>
                <w:p w14:paraId="7349CF15" w14:textId="77777777" w:rsidR="006B1AFC" w:rsidRPr="008352DC" w:rsidRDefault="006B1AFC" w:rsidP="003C4A79">
                  <w:pPr>
                    <w:spacing w:after="0" w:line="240" w:lineRule="auto"/>
                    <w:ind w:left="88"/>
                    <w:jc w:val="left"/>
                    <w:rPr>
                      <w:rFonts w:cs="Arial"/>
                      <w:color w:val="000000"/>
                      <w:sz w:val="16"/>
                      <w:szCs w:val="16"/>
                      <w:lang w:eastAsia="ko-KR"/>
                    </w:rPr>
                  </w:pPr>
                  <w:r w:rsidRPr="008352DC">
                    <w:rPr>
                      <w:rFonts w:cs="Arial"/>
                      <w:color w:val="000000"/>
                      <w:sz w:val="16"/>
                      <w:szCs w:val="16"/>
                      <w:lang w:eastAsia="ko-KR"/>
                    </w:rPr>
                    <w:t>Stavebnictví</w:t>
                  </w:r>
                </w:p>
              </w:tc>
              <w:tc>
                <w:tcPr>
                  <w:tcW w:w="1203" w:type="dxa"/>
                  <w:tcBorders>
                    <w:top w:val="nil"/>
                    <w:left w:val="nil"/>
                    <w:bottom w:val="nil"/>
                    <w:right w:val="nil"/>
                  </w:tcBorders>
                  <w:noWrap/>
                  <w:vAlign w:val="bottom"/>
                  <w:hideMark/>
                </w:tcPr>
                <w:p w14:paraId="719A48DE"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4,5</w:t>
                  </w:r>
                </w:p>
              </w:tc>
              <w:tc>
                <w:tcPr>
                  <w:tcW w:w="1203" w:type="dxa"/>
                  <w:tcBorders>
                    <w:top w:val="nil"/>
                    <w:left w:val="nil"/>
                    <w:bottom w:val="nil"/>
                    <w:right w:val="nil"/>
                  </w:tcBorders>
                  <w:noWrap/>
                  <w:vAlign w:val="bottom"/>
                  <w:hideMark/>
                </w:tcPr>
                <w:p w14:paraId="46EA70BF"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11,0</w:t>
                  </w:r>
                </w:p>
              </w:tc>
              <w:tc>
                <w:tcPr>
                  <w:tcW w:w="1203" w:type="dxa"/>
                  <w:tcBorders>
                    <w:top w:val="nil"/>
                    <w:left w:val="nil"/>
                    <w:bottom w:val="nil"/>
                    <w:right w:val="nil"/>
                  </w:tcBorders>
                  <w:noWrap/>
                  <w:vAlign w:val="bottom"/>
                  <w:hideMark/>
                </w:tcPr>
                <w:p w14:paraId="2AF43238"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0,2</w:t>
                  </w:r>
                </w:p>
              </w:tc>
              <w:tc>
                <w:tcPr>
                  <w:tcW w:w="1204" w:type="dxa"/>
                  <w:tcBorders>
                    <w:top w:val="nil"/>
                    <w:left w:val="nil"/>
                    <w:bottom w:val="nil"/>
                    <w:right w:val="nil"/>
                  </w:tcBorders>
                  <w:noWrap/>
                  <w:vAlign w:val="bottom"/>
                  <w:hideMark/>
                </w:tcPr>
                <w:p w14:paraId="75375838"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2,3</w:t>
                  </w:r>
                </w:p>
              </w:tc>
            </w:tr>
            <w:tr w:rsidR="006B1AFC" w:rsidRPr="008352DC" w14:paraId="037D9C8D" w14:textId="77777777" w:rsidTr="003C4A79">
              <w:trPr>
                <w:trHeight w:val="255"/>
              </w:trPr>
              <w:tc>
                <w:tcPr>
                  <w:tcW w:w="4840" w:type="dxa"/>
                  <w:tcBorders>
                    <w:top w:val="nil"/>
                    <w:left w:val="nil"/>
                    <w:bottom w:val="nil"/>
                    <w:right w:val="nil"/>
                  </w:tcBorders>
                  <w:vAlign w:val="bottom"/>
                  <w:hideMark/>
                </w:tcPr>
                <w:p w14:paraId="2BBAF224" w14:textId="77777777" w:rsidR="006B1AFC" w:rsidRPr="008352DC" w:rsidRDefault="006B1AFC" w:rsidP="003C4A79">
                  <w:pPr>
                    <w:spacing w:after="0" w:line="240" w:lineRule="auto"/>
                    <w:ind w:left="88"/>
                    <w:jc w:val="left"/>
                    <w:rPr>
                      <w:rFonts w:cs="Arial"/>
                      <w:color w:val="000000"/>
                      <w:sz w:val="16"/>
                      <w:szCs w:val="16"/>
                      <w:lang w:eastAsia="ko-KR"/>
                    </w:rPr>
                  </w:pPr>
                  <w:r w:rsidRPr="008352DC">
                    <w:rPr>
                      <w:rFonts w:cs="Arial"/>
                      <w:color w:val="000000"/>
                      <w:sz w:val="16"/>
                      <w:szCs w:val="16"/>
                      <w:lang w:eastAsia="ko-KR"/>
                    </w:rPr>
                    <w:t xml:space="preserve">Obchod, doprava, ubytování a pohostinství </w:t>
                  </w:r>
                </w:p>
              </w:tc>
              <w:tc>
                <w:tcPr>
                  <w:tcW w:w="1203" w:type="dxa"/>
                  <w:tcBorders>
                    <w:top w:val="nil"/>
                    <w:left w:val="nil"/>
                    <w:bottom w:val="nil"/>
                    <w:right w:val="nil"/>
                  </w:tcBorders>
                  <w:noWrap/>
                  <w:vAlign w:val="bottom"/>
                  <w:hideMark/>
                </w:tcPr>
                <w:p w14:paraId="3DE82133"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0,8</w:t>
                  </w:r>
                </w:p>
              </w:tc>
              <w:tc>
                <w:tcPr>
                  <w:tcW w:w="1203" w:type="dxa"/>
                  <w:tcBorders>
                    <w:top w:val="nil"/>
                    <w:left w:val="nil"/>
                    <w:bottom w:val="nil"/>
                    <w:right w:val="nil"/>
                  </w:tcBorders>
                  <w:noWrap/>
                  <w:vAlign w:val="bottom"/>
                  <w:hideMark/>
                </w:tcPr>
                <w:p w14:paraId="0D4E7E5E"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4,7</w:t>
                  </w:r>
                </w:p>
              </w:tc>
              <w:tc>
                <w:tcPr>
                  <w:tcW w:w="1203" w:type="dxa"/>
                  <w:tcBorders>
                    <w:top w:val="nil"/>
                    <w:left w:val="nil"/>
                    <w:bottom w:val="nil"/>
                    <w:right w:val="nil"/>
                  </w:tcBorders>
                  <w:noWrap/>
                  <w:vAlign w:val="bottom"/>
                  <w:hideMark/>
                </w:tcPr>
                <w:p w14:paraId="175291A6"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0,7</w:t>
                  </w:r>
                </w:p>
              </w:tc>
              <w:tc>
                <w:tcPr>
                  <w:tcW w:w="1204" w:type="dxa"/>
                  <w:tcBorders>
                    <w:top w:val="nil"/>
                    <w:left w:val="nil"/>
                    <w:bottom w:val="nil"/>
                    <w:right w:val="nil"/>
                  </w:tcBorders>
                  <w:noWrap/>
                  <w:vAlign w:val="bottom"/>
                  <w:hideMark/>
                </w:tcPr>
                <w:p w14:paraId="55AA5B4E"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0,9</w:t>
                  </w:r>
                </w:p>
              </w:tc>
            </w:tr>
            <w:tr w:rsidR="006B1AFC" w:rsidRPr="008352DC" w14:paraId="22925498" w14:textId="77777777" w:rsidTr="003C4A79">
              <w:trPr>
                <w:trHeight w:val="255"/>
              </w:trPr>
              <w:tc>
                <w:tcPr>
                  <w:tcW w:w="4840" w:type="dxa"/>
                  <w:tcBorders>
                    <w:top w:val="nil"/>
                    <w:left w:val="nil"/>
                    <w:bottom w:val="nil"/>
                    <w:right w:val="nil"/>
                  </w:tcBorders>
                  <w:vAlign w:val="bottom"/>
                  <w:hideMark/>
                </w:tcPr>
                <w:p w14:paraId="04EB7F34" w14:textId="77777777" w:rsidR="006B1AFC" w:rsidRPr="008352DC" w:rsidRDefault="006B1AFC" w:rsidP="003C4A79">
                  <w:pPr>
                    <w:spacing w:after="0" w:line="240" w:lineRule="auto"/>
                    <w:ind w:left="88"/>
                    <w:jc w:val="left"/>
                    <w:rPr>
                      <w:rFonts w:cs="Arial"/>
                      <w:color w:val="000000"/>
                      <w:sz w:val="16"/>
                      <w:szCs w:val="16"/>
                      <w:lang w:eastAsia="ko-KR"/>
                    </w:rPr>
                  </w:pPr>
                  <w:r w:rsidRPr="008352DC">
                    <w:rPr>
                      <w:rFonts w:cs="Arial"/>
                      <w:color w:val="000000"/>
                      <w:sz w:val="16"/>
                      <w:szCs w:val="16"/>
                      <w:lang w:eastAsia="ko-KR"/>
                    </w:rPr>
                    <w:t>Informační a komunikační činnosti</w:t>
                  </w:r>
                </w:p>
              </w:tc>
              <w:tc>
                <w:tcPr>
                  <w:tcW w:w="1203" w:type="dxa"/>
                  <w:tcBorders>
                    <w:top w:val="nil"/>
                    <w:left w:val="nil"/>
                    <w:bottom w:val="nil"/>
                    <w:right w:val="nil"/>
                  </w:tcBorders>
                  <w:noWrap/>
                  <w:vAlign w:val="bottom"/>
                  <w:hideMark/>
                </w:tcPr>
                <w:p w14:paraId="597BA749"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0,6</w:t>
                  </w:r>
                </w:p>
              </w:tc>
              <w:tc>
                <w:tcPr>
                  <w:tcW w:w="1203" w:type="dxa"/>
                  <w:tcBorders>
                    <w:top w:val="nil"/>
                    <w:left w:val="nil"/>
                    <w:bottom w:val="nil"/>
                    <w:right w:val="nil"/>
                  </w:tcBorders>
                  <w:noWrap/>
                  <w:vAlign w:val="bottom"/>
                  <w:hideMark/>
                </w:tcPr>
                <w:p w14:paraId="77CD7A9A"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6,6</w:t>
                  </w:r>
                </w:p>
              </w:tc>
              <w:tc>
                <w:tcPr>
                  <w:tcW w:w="1203" w:type="dxa"/>
                  <w:tcBorders>
                    <w:top w:val="nil"/>
                    <w:left w:val="nil"/>
                    <w:bottom w:val="nil"/>
                    <w:right w:val="nil"/>
                  </w:tcBorders>
                  <w:noWrap/>
                  <w:vAlign w:val="bottom"/>
                  <w:hideMark/>
                </w:tcPr>
                <w:p w14:paraId="20E5530B" w14:textId="77777777" w:rsidR="006B1AFC" w:rsidRPr="008352DC"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8352DC">
                    <w:rPr>
                      <w:rFonts w:cs="Arial"/>
                      <w:color w:val="000000"/>
                      <w:sz w:val="16"/>
                      <w:szCs w:val="16"/>
                      <w:lang w:eastAsia="ko-KR"/>
                    </w:rPr>
                    <w:t>3,0</w:t>
                  </w:r>
                </w:p>
              </w:tc>
              <w:tc>
                <w:tcPr>
                  <w:tcW w:w="1204" w:type="dxa"/>
                  <w:tcBorders>
                    <w:top w:val="nil"/>
                    <w:left w:val="nil"/>
                    <w:bottom w:val="nil"/>
                    <w:right w:val="nil"/>
                  </w:tcBorders>
                  <w:noWrap/>
                  <w:vAlign w:val="bottom"/>
                  <w:hideMark/>
                </w:tcPr>
                <w:p w14:paraId="18AF9275"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1,6</w:t>
                  </w:r>
                </w:p>
              </w:tc>
            </w:tr>
            <w:tr w:rsidR="006B1AFC" w:rsidRPr="008352DC" w14:paraId="052D2BE1" w14:textId="77777777" w:rsidTr="003C4A79">
              <w:trPr>
                <w:trHeight w:val="255"/>
              </w:trPr>
              <w:tc>
                <w:tcPr>
                  <w:tcW w:w="4840" w:type="dxa"/>
                  <w:tcBorders>
                    <w:top w:val="nil"/>
                    <w:left w:val="nil"/>
                    <w:bottom w:val="nil"/>
                    <w:right w:val="nil"/>
                  </w:tcBorders>
                  <w:vAlign w:val="bottom"/>
                  <w:hideMark/>
                </w:tcPr>
                <w:p w14:paraId="62C406A3" w14:textId="77777777" w:rsidR="006B1AFC" w:rsidRPr="008352DC" w:rsidRDefault="006B1AFC" w:rsidP="003C4A79">
                  <w:pPr>
                    <w:spacing w:after="0" w:line="240" w:lineRule="auto"/>
                    <w:ind w:left="88"/>
                    <w:jc w:val="left"/>
                    <w:rPr>
                      <w:rFonts w:cs="Arial"/>
                      <w:color w:val="000000"/>
                      <w:sz w:val="16"/>
                      <w:szCs w:val="16"/>
                      <w:lang w:eastAsia="ko-KR"/>
                    </w:rPr>
                  </w:pPr>
                  <w:r w:rsidRPr="008352DC">
                    <w:rPr>
                      <w:rFonts w:cs="Arial"/>
                      <w:color w:val="000000"/>
                      <w:sz w:val="16"/>
                      <w:szCs w:val="16"/>
                      <w:lang w:eastAsia="ko-KR"/>
                    </w:rPr>
                    <w:t>Peněžnictví a pojišťovnictví</w:t>
                  </w:r>
                </w:p>
              </w:tc>
              <w:tc>
                <w:tcPr>
                  <w:tcW w:w="1203" w:type="dxa"/>
                  <w:tcBorders>
                    <w:top w:val="nil"/>
                    <w:left w:val="nil"/>
                    <w:bottom w:val="nil"/>
                    <w:right w:val="nil"/>
                  </w:tcBorders>
                  <w:noWrap/>
                  <w:vAlign w:val="bottom"/>
                  <w:hideMark/>
                </w:tcPr>
                <w:p w14:paraId="153F76A1" w14:textId="77777777" w:rsidR="006B1AFC" w:rsidRPr="008352DC"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8352DC">
                    <w:rPr>
                      <w:rFonts w:cs="Arial"/>
                      <w:color w:val="000000"/>
                      <w:sz w:val="16"/>
                      <w:szCs w:val="16"/>
                      <w:lang w:eastAsia="ko-KR"/>
                    </w:rPr>
                    <w:t>3,3</w:t>
                  </w:r>
                </w:p>
              </w:tc>
              <w:tc>
                <w:tcPr>
                  <w:tcW w:w="1203" w:type="dxa"/>
                  <w:tcBorders>
                    <w:top w:val="nil"/>
                    <w:left w:val="nil"/>
                    <w:bottom w:val="nil"/>
                    <w:right w:val="nil"/>
                  </w:tcBorders>
                  <w:noWrap/>
                  <w:vAlign w:val="bottom"/>
                  <w:hideMark/>
                </w:tcPr>
                <w:p w14:paraId="3EB6C90B"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8,4</w:t>
                  </w:r>
                </w:p>
              </w:tc>
              <w:tc>
                <w:tcPr>
                  <w:tcW w:w="1203" w:type="dxa"/>
                  <w:tcBorders>
                    <w:top w:val="nil"/>
                    <w:left w:val="nil"/>
                    <w:bottom w:val="nil"/>
                    <w:right w:val="nil"/>
                  </w:tcBorders>
                  <w:noWrap/>
                  <w:vAlign w:val="bottom"/>
                  <w:hideMark/>
                </w:tcPr>
                <w:p w14:paraId="054B7A93"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0,1</w:t>
                  </w:r>
                </w:p>
              </w:tc>
              <w:tc>
                <w:tcPr>
                  <w:tcW w:w="1204" w:type="dxa"/>
                  <w:tcBorders>
                    <w:top w:val="nil"/>
                    <w:left w:val="nil"/>
                    <w:bottom w:val="nil"/>
                    <w:right w:val="nil"/>
                  </w:tcBorders>
                  <w:noWrap/>
                  <w:vAlign w:val="bottom"/>
                  <w:hideMark/>
                </w:tcPr>
                <w:p w14:paraId="3BAA0922"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2,9</w:t>
                  </w:r>
                </w:p>
              </w:tc>
            </w:tr>
            <w:tr w:rsidR="006B1AFC" w:rsidRPr="008352DC" w14:paraId="094CE4B6" w14:textId="77777777" w:rsidTr="003C4A79">
              <w:trPr>
                <w:trHeight w:val="255"/>
              </w:trPr>
              <w:tc>
                <w:tcPr>
                  <w:tcW w:w="4840" w:type="dxa"/>
                  <w:tcBorders>
                    <w:top w:val="nil"/>
                    <w:left w:val="nil"/>
                    <w:bottom w:val="nil"/>
                    <w:right w:val="nil"/>
                  </w:tcBorders>
                  <w:vAlign w:val="bottom"/>
                  <w:hideMark/>
                </w:tcPr>
                <w:p w14:paraId="30F91801" w14:textId="77777777" w:rsidR="006B1AFC" w:rsidRPr="008352DC" w:rsidRDefault="006B1AFC" w:rsidP="003C4A79">
                  <w:pPr>
                    <w:spacing w:after="0" w:line="240" w:lineRule="auto"/>
                    <w:ind w:left="88"/>
                    <w:jc w:val="left"/>
                    <w:rPr>
                      <w:rFonts w:cs="Arial"/>
                      <w:color w:val="000000"/>
                      <w:sz w:val="16"/>
                      <w:szCs w:val="16"/>
                      <w:lang w:eastAsia="ko-KR"/>
                    </w:rPr>
                  </w:pPr>
                  <w:r w:rsidRPr="008352DC">
                    <w:rPr>
                      <w:rFonts w:cs="Arial"/>
                      <w:color w:val="000000"/>
                      <w:sz w:val="16"/>
                      <w:szCs w:val="16"/>
                      <w:lang w:eastAsia="ko-KR"/>
                    </w:rPr>
                    <w:t>Činnosti v oblasti nemovitostí</w:t>
                  </w:r>
                </w:p>
              </w:tc>
              <w:tc>
                <w:tcPr>
                  <w:tcW w:w="1203" w:type="dxa"/>
                  <w:tcBorders>
                    <w:top w:val="nil"/>
                    <w:left w:val="nil"/>
                    <w:bottom w:val="nil"/>
                    <w:right w:val="nil"/>
                  </w:tcBorders>
                  <w:noWrap/>
                  <w:vAlign w:val="bottom"/>
                  <w:hideMark/>
                </w:tcPr>
                <w:p w14:paraId="5F1A99DB"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2,6</w:t>
                  </w:r>
                </w:p>
              </w:tc>
              <w:tc>
                <w:tcPr>
                  <w:tcW w:w="1203" w:type="dxa"/>
                  <w:tcBorders>
                    <w:top w:val="nil"/>
                    <w:left w:val="nil"/>
                    <w:bottom w:val="nil"/>
                    <w:right w:val="nil"/>
                  </w:tcBorders>
                  <w:noWrap/>
                  <w:vAlign w:val="bottom"/>
                  <w:hideMark/>
                </w:tcPr>
                <w:p w14:paraId="1A8D48F1"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17,8</w:t>
                  </w:r>
                </w:p>
              </w:tc>
              <w:tc>
                <w:tcPr>
                  <w:tcW w:w="1203" w:type="dxa"/>
                  <w:tcBorders>
                    <w:top w:val="nil"/>
                    <w:left w:val="nil"/>
                    <w:bottom w:val="nil"/>
                    <w:right w:val="nil"/>
                  </w:tcBorders>
                  <w:noWrap/>
                  <w:vAlign w:val="bottom"/>
                  <w:hideMark/>
                </w:tcPr>
                <w:p w14:paraId="39340BFC"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0,6</w:t>
                  </w:r>
                </w:p>
              </w:tc>
              <w:tc>
                <w:tcPr>
                  <w:tcW w:w="1204" w:type="dxa"/>
                  <w:tcBorders>
                    <w:top w:val="nil"/>
                    <w:left w:val="nil"/>
                    <w:bottom w:val="nil"/>
                    <w:right w:val="nil"/>
                  </w:tcBorders>
                  <w:noWrap/>
                  <w:vAlign w:val="bottom"/>
                  <w:hideMark/>
                </w:tcPr>
                <w:p w14:paraId="1CBC927F"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5,3</w:t>
                  </w:r>
                </w:p>
              </w:tc>
            </w:tr>
            <w:tr w:rsidR="006B1AFC" w:rsidRPr="008352DC" w14:paraId="421664AD" w14:textId="77777777" w:rsidTr="003C4A79">
              <w:trPr>
                <w:trHeight w:val="255"/>
              </w:trPr>
              <w:tc>
                <w:tcPr>
                  <w:tcW w:w="4840" w:type="dxa"/>
                  <w:tcBorders>
                    <w:top w:val="nil"/>
                    <w:left w:val="nil"/>
                    <w:bottom w:val="nil"/>
                    <w:right w:val="nil"/>
                  </w:tcBorders>
                  <w:vAlign w:val="bottom"/>
                  <w:hideMark/>
                </w:tcPr>
                <w:p w14:paraId="65EED409" w14:textId="77777777" w:rsidR="006B1AFC" w:rsidRPr="008352DC" w:rsidRDefault="006B1AFC" w:rsidP="003C4A79">
                  <w:pPr>
                    <w:spacing w:after="0" w:line="240" w:lineRule="auto"/>
                    <w:ind w:left="88"/>
                    <w:jc w:val="left"/>
                    <w:rPr>
                      <w:rFonts w:cs="Arial"/>
                      <w:color w:val="000000"/>
                      <w:sz w:val="16"/>
                      <w:szCs w:val="16"/>
                      <w:lang w:eastAsia="ko-KR"/>
                    </w:rPr>
                  </w:pPr>
                  <w:r w:rsidRPr="008352DC">
                    <w:rPr>
                      <w:rFonts w:cs="Arial"/>
                      <w:color w:val="000000"/>
                      <w:sz w:val="16"/>
                      <w:szCs w:val="16"/>
                      <w:lang w:eastAsia="ko-KR"/>
                    </w:rPr>
                    <w:t>Profesní, vědecké, technické a administrativní činnosti</w:t>
                  </w:r>
                </w:p>
              </w:tc>
              <w:tc>
                <w:tcPr>
                  <w:tcW w:w="1203" w:type="dxa"/>
                  <w:tcBorders>
                    <w:top w:val="nil"/>
                    <w:left w:val="nil"/>
                    <w:bottom w:val="nil"/>
                    <w:right w:val="nil"/>
                  </w:tcBorders>
                  <w:noWrap/>
                  <w:vAlign w:val="bottom"/>
                  <w:hideMark/>
                </w:tcPr>
                <w:p w14:paraId="164946C5"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7,8</w:t>
                  </w:r>
                </w:p>
              </w:tc>
              <w:tc>
                <w:tcPr>
                  <w:tcW w:w="1203" w:type="dxa"/>
                  <w:tcBorders>
                    <w:top w:val="nil"/>
                    <w:left w:val="nil"/>
                    <w:bottom w:val="nil"/>
                    <w:right w:val="nil"/>
                  </w:tcBorders>
                  <w:noWrap/>
                  <w:vAlign w:val="bottom"/>
                  <w:hideMark/>
                </w:tcPr>
                <w:p w14:paraId="142CC3D1"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12,7</w:t>
                  </w:r>
                </w:p>
              </w:tc>
              <w:tc>
                <w:tcPr>
                  <w:tcW w:w="1203" w:type="dxa"/>
                  <w:tcBorders>
                    <w:top w:val="nil"/>
                    <w:left w:val="nil"/>
                    <w:bottom w:val="nil"/>
                    <w:right w:val="nil"/>
                  </w:tcBorders>
                  <w:noWrap/>
                  <w:vAlign w:val="bottom"/>
                  <w:hideMark/>
                </w:tcPr>
                <w:p w14:paraId="1460F103"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1,3</w:t>
                  </w:r>
                </w:p>
              </w:tc>
              <w:tc>
                <w:tcPr>
                  <w:tcW w:w="1204" w:type="dxa"/>
                  <w:tcBorders>
                    <w:top w:val="nil"/>
                    <w:left w:val="nil"/>
                    <w:bottom w:val="nil"/>
                    <w:right w:val="nil"/>
                  </w:tcBorders>
                  <w:noWrap/>
                  <w:vAlign w:val="bottom"/>
                  <w:hideMark/>
                </w:tcPr>
                <w:p w14:paraId="660AA986"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2,9</w:t>
                  </w:r>
                </w:p>
              </w:tc>
            </w:tr>
            <w:tr w:rsidR="006B1AFC" w:rsidRPr="008352DC" w14:paraId="441EC403" w14:textId="77777777" w:rsidTr="003C4A79">
              <w:trPr>
                <w:trHeight w:val="255"/>
              </w:trPr>
              <w:tc>
                <w:tcPr>
                  <w:tcW w:w="4840" w:type="dxa"/>
                  <w:tcBorders>
                    <w:top w:val="nil"/>
                    <w:left w:val="nil"/>
                    <w:bottom w:val="nil"/>
                    <w:right w:val="nil"/>
                  </w:tcBorders>
                  <w:vAlign w:val="bottom"/>
                  <w:hideMark/>
                </w:tcPr>
                <w:p w14:paraId="7021295F" w14:textId="77777777" w:rsidR="006B1AFC" w:rsidRPr="008352DC" w:rsidRDefault="006B1AFC" w:rsidP="003C4A79">
                  <w:pPr>
                    <w:spacing w:after="0" w:line="240" w:lineRule="auto"/>
                    <w:ind w:left="88"/>
                    <w:jc w:val="left"/>
                    <w:rPr>
                      <w:rFonts w:cs="Arial"/>
                      <w:color w:val="000000"/>
                      <w:sz w:val="16"/>
                      <w:szCs w:val="16"/>
                      <w:lang w:eastAsia="ko-KR"/>
                    </w:rPr>
                  </w:pPr>
                  <w:r w:rsidRPr="008352DC">
                    <w:rPr>
                      <w:rFonts w:cs="Arial"/>
                      <w:color w:val="000000"/>
                      <w:sz w:val="16"/>
                      <w:szCs w:val="16"/>
                      <w:lang w:eastAsia="ko-KR"/>
                    </w:rPr>
                    <w:t>Veřejná správa a obrana, vzdělávání, zdravotní a sociální péče</w:t>
                  </w:r>
                </w:p>
              </w:tc>
              <w:tc>
                <w:tcPr>
                  <w:tcW w:w="1203" w:type="dxa"/>
                  <w:tcBorders>
                    <w:top w:val="nil"/>
                    <w:left w:val="nil"/>
                    <w:bottom w:val="nil"/>
                    <w:right w:val="nil"/>
                  </w:tcBorders>
                  <w:noWrap/>
                  <w:vAlign w:val="bottom"/>
                  <w:hideMark/>
                </w:tcPr>
                <w:p w14:paraId="433D0A43"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5,2</w:t>
                  </w:r>
                </w:p>
              </w:tc>
              <w:tc>
                <w:tcPr>
                  <w:tcW w:w="1203" w:type="dxa"/>
                  <w:tcBorders>
                    <w:top w:val="nil"/>
                    <w:left w:val="nil"/>
                    <w:bottom w:val="nil"/>
                    <w:right w:val="nil"/>
                  </w:tcBorders>
                  <w:noWrap/>
                  <w:vAlign w:val="bottom"/>
                  <w:hideMark/>
                </w:tcPr>
                <w:p w14:paraId="17BF83C9"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9,7</w:t>
                  </w:r>
                </w:p>
              </w:tc>
              <w:tc>
                <w:tcPr>
                  <w:tcW w:w="1203" w:type="dxa"/>
                  <w:tcBorders>
                    <w:top w:val="nil"/>
                    <w:left w:val="nil"/>
                    <w:bottom w:val="nil"/>
                    <w:right w:val="nil"/>
                  </w:tcBorders>
                  <w:noWrap/>
                  <w:vAlign w:val="bottom"/>
                  <w:hideMark/>
                </w:tcPr>
                <w:p w14:paraId="292F6886"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0,6</w:t>
                  </w:r>
                </w:p>
              </w:tc>
              <w:tc>
                <w:tcPr>
                  <w:tcW w:w="1204" w:type="dxa"/>
                  <w:tcBorders>
                    <w:top w:val="nil"/>
                    <w:left w:val="nil"/>
                    <w:bottom w:val="nil"/>
                    <w:right w:val="nil"/>
                  </w:tcBorders>
                  <w:noWrap/>
                  <w:vAlign w:val="bottom"/>
                  <w:hideMark/>
                </w:tcPr>
                <w:p w14:paraId="1AC9A07E"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2,2</w:t>
                  </w:r>
                </w:p>
              </w:tc>
            </w:tr>
            <w:tr w:rsidR="006B1AFC" w:rsidRPr="008352DC" w14:paraId="2DE73A68" w14:textId="77777777" w:rsidTr="003C4A79">
              <w:trPr>
                <w:trHeight w:val="255"/>
              </w:trPr>
              <w:tc>
                <w:tcPr>
                  <w:tcW w:w="4840" w:type="dxa"/>
                  <w:tcBorders>
                    <w:top w:val="nil"/>
                    <w:left w:val="nil"/>
                    <w:bottom w:val="nil"/>
                    <w:right w:val="nil"/>
                  </w:tcBorders>
                  <w:vAlign w:val="bottom"/>
                  <w:hideMark/>
                </w:tcPr>
                <w:p w14:paraId="6B527071" w14:textId="77777777" w:rsidR="006B1AFC" w:rsidRPr="008352DC" w:rsidRDefault="006B1AFC" w:rsidP="003C4A79">
                  <w:pPr>
                    <w:spacing w:after="0" w:line="240" w:lineRule="auto"/>
                    <w:ind w:left="88"/>
                    <w:jc w:val="left"/>
                    <w:rPr>
                      <w:rFonts w:cs="Arial"/>
                      <w:color w:val="000000"/>
                      <w:sz w:val="16"/>
                      <w:szCs w:val="16"/>
                      <w:lang w:eastAsia="ko-KR"/>
                    </w:rPr>
                  </w:pPr>
                  <w:r w:rsidRPr="008352DC">
                    <w:rPr>
                      <w:rFonts w:cs="Arial"/>
                      <w:color w:val="000000"/>
                      <w:sz w:val="16"/>
                      <w:szCs w:val="16"/>
                      <w:lang w:eastAsia="ko-KR"/>
                    </w:rPr>
                    <w:t>Ostatní činnosti</w:t>
                  </w:r>
                </w:p>
              </w:tc>
              <w:tc>
                <w:tcPr>
                  <w:tcW w:w="1203" w:type="dxa"/>
                  <w:tcBorders>
                    <w:top w:val="nil"/>
                    <w:left w:val="nil"/>
                    <w:bottom w:val="nil"/>
                    <w:right w:val="nil"/>
                  </w:tcBorders>
                  <w:noWrap/>
                  <w:vAlign w:val="bottom"/>
                  <w:hideMark/>
                </w:tcPr>
                <w:p w14:paraId="54B09895"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4,7</w:t>
                  </w:r>
                </w:p>
              </w:tc>
              <w:tc>
                <w:tcPr>
                  <w:tcW w:w="1203" w:type="dxa"/>
                  <w:tcBorders>
                    <w:top w:val="nil"/>
                    <w:left w:val="nil"/>
                    <w:bottom w:val="nil"/>
                    <w:right w:val="nil"/>
                  </w:tcBorders>
                  <w:noWrap/>
                  <w:vAlign w:val="bottom"/>
                  <w:hideMark/>
                </w:tcPr>
                <w:p w14:paraId="15DA7DF3"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10,2</w:t>
                  </w:r>
                </w:p>
              </w:tc>
              <w:tc>
                <w:tcPr>
                  <w:tcW w:w="1203" w:type="dxa"/>
                  <w:tcBorders>
                    <w:top w:val="nil"/>
                    <w:left w:val="nil"/>
                    <w:bottom w:val="nil"/>
                    <w:right w:val="nil"/>
                  </w:tcBorders>
                  <w:noWrap/>
                  <w:vAlign w:val="bottom"/>
                  <w:hideMark/>
                </w:tcPr>
                <w:p w14:paraId="7A1E8361"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4,7</w:t>
                  </w:r>
                </w:p>
              </w:tc>
              <w:tc>
                <w:tcPr>
                  <w:tcW w:w="1204" w:type="dxa"/>
                  <w:tcBorders>
                    <w:top w:val="nil"/>
                    <w:left w:val="nil"/>
                    <w:bottom w:val="nil"/>
                    <w:right w:val="nil"/>
                  </w:tcBorders>
                  <w:noWrap/>
                  <w:vAlign w:val="bottom"/>
                  <w:hideMark/>
                </w:tcPr>
                <w:p w14:paraId="7FA3119A" w14:textId="77777777" w:rsidR="006B1AFC" w:rsidRPr="008352DC" w:rsidRDefault="006B1AFC" w:rsidP="003C4A79">
                  <w:pPr>
                    <w:spacing w:after="0" w:line="240" w:lineRule="auto"/>
                    <w:jc w:val="right"/>
                    <w:rPr>
                      <w:rFonts w:cs="Arial"/>
                      <w:color w:val="000000"/>
                      <w:sz w:val="16"/>
                      <w:szCs w:val="16"/>
                      <w:lang w:eastAsia="ko-KR"/>
                    </w:rPr>
                  </w:pPr>
                  <w:r w:rsidRPr="008352DC">
                    <w:rPr>
                      <w:rFonts w:cs="Arial"/>
                      <w:color w:val="000000"/>
                      <w:sz w:val="16"/>
                      <w:szCs w:val="16"/>
                      <w:lang w:eastAsia="ko-KR"/>
                    </w:rPr>
                    <w:t>4,4</w:t>
                  </w:r>
                </w:p>
              </w:tc>
            </w:tr>
          </w:tbl>
          <w:p w14:paraId="1AB86C32" w14:textId="77777777" w:rsidR="006B1AFC" w:rsidRDefault="006B1AFC" w:rsidP="003C4A79"/>
        </w:tc>
      </w:tr>
      <w:tr w:rsidR="006B1AFC" w:rsidRPr="009110F7" w14:paraId="1BD761B8" w14:textId="77777777" w:rsidTr="003C4A79">
        <w:trPr>
          <w:trHeight w:val="170"/>
        </w:trPr>
        <w:tc>
          <w:tcPr>
            <w:tcW w:w="9639" w:type="dxa"/>
            <w:gridSpan w:val="3"/>
            <w:tcMar>
              <w:left w:w="0" w:type="dxa"/>
            </w:tcMar>
          </w:tcPr>
          <w:p w14:paraId="265B68FC" w14:textId="77777777" w:rsidR="006B1AFC" w:rsidRDefault="006B1AFC" w:rsidP="003C4A79">
            <w:pPr>
              <w:spacing w:before="120"/>
            </w:pPr>
            <w:r w:rsidRPr="00947786">
              <w:rPr>
                <w:sz w:val="16"/>
                <w:szCs w:val="16"/>
              </w:rPr>
              <w:t>Zdroj: ČSÚ</w:t>
            </w:r>
          </w:p>
        </w:tc>
      </w:tr>
      <w:tr w:rsidR="006B1AFC" w:rsidRPr="009110F7" w14:paraId="660FB070" w14:textId="77777777" w:rsidTr="003C4A79">
        <w:trPr>
          <w:trHeight w:val="145"/>
        </w:trPr>
        <w:tc>
          <w:tcPr>
            <w:tcW w:w="1806" w:type="dxa"/>
            <w:tcMar>
              <w:left w:w="0" w:type="dxa"/>
            </w:tcMar>
          </w:tcPr>
          <w:p w14:paraId="30CC7EFA" w14:textId="77777777" w:rsidR="006B1AFC" w:rsidRDefault="006B1AFC" w:rsidP="003C4A79">
            <w:pPr>
              <w:pStyle w:val="Marginlie"/>
            </w:pPr>
            <w:r>
              <w:t xml:space="preserve">Výrazné přírůstky mezd </w:t>
            </w:r>
            <w:r>
              <w:br/>
              <w:t>a platů ve službách.</w:t>
            </w:r>
          </w:p>
        </w:tc>
        <w:tc>
          <w:tcPr>
            <w:tcW w:w="210" w:type="dxa"/>
            <w:tcMar>
              <w:left w:w="0" w:type="dxa"/>
            </w:tcMar>
          </w:tcPr>
          <w:p w14:paraId="302FF9F7" w14:textId="77777777" w:rsidR="006B1AFC" w:rsidRDefault="006B1AFC" w:rsidP="003C4A79">
            <w:pPr>
              <w:pStyle w:val="Textpoznpodarou"/>
              <w:jc w:val="both"/>
              <w:rPr>
                <w:spacing w:val="-4"/>
              </w:rPr>
            </w:pPr>
          </w:p>
        </w:tc>
        <w:tc>
          <w:tcPr>
            <w:tcW w:w="7623" w:type="dxa"/>
            <w:tcMar>
              <w:left w:w="0" w:type="dxa"/>
            </w:tcMar>
          </w:tcPr>
          <w:p w14:paraId="3B953499" w14:textId="77777777" w:rsidR="006B1AFC" w:rsidRDefault="006B1AFC" w:rsidP="003C4A79">
            <w:r>
              <w:t xml:space="preserve">Popsané zrychlení mezičtvrtletní i meziroční dynamiky mezd a platů ovlivnily zejména služby. Celkový nárůst nejvíce ovlivnila zaměstnanecky početná veřejná správa </w:t>
            </w:r>
            <w:r>
              <w:br/>
              <w:t xml:space="preserve">a obrana, vzdělávání, zdravotní a sociální péče (viz Tabulka č. 2), kde se projevilo navýšení tarifů. Největší mezičtvrtletní přírůstek mezd a platů byl zaznamenán </w:t>
            </w:r>
            <w:r>
              <w:br/>
              <w:t xml:space="preserve">u profesních, vědeckých, technických a administrativních činností. Silné bylo </w:t>
            </w:r>
            <w:r>
              <w:br/>
              <w:t>i mezičtvrtletní navýšení objemu mezd a platů v ostatních činnostech</w:t>
            </w:r>
            <w:r>
              <w:rPr>
                <w:rStyle w:val="Znakapoznpodarou"/>
                <w:spacing w:val="-2"/>
              </w:rPr>
              <w:footnoteReference w:id="10"/>
            </w:r>
            <w:r>
              <w:t xml:space="preserve">, ale to zcela souviselo s nárůstem zaměstnanosti v oboru. Naproti tomu silný přírůstek vyplacených mezd doprovázený jen velmi mírným růstem zaměstnanosti ve 2. čtvrtletí zaznamenalo stavebnictví. To se dlouhodobě potýká s problémem nedostatku pracovní síly a rozmach oboru v posledním roce a půl vytvořil tlak na růst mezd. Meziročně je zaměstnanost ve stavebnictví díky loňskému růstu vyšší, ale letošní mezičtvrtletní přírůstky oproti loňsku výrazně zpomalily. Jen velmi mírný mezičtvrtletní přírůstek objemu vyplacených mezd a platů doprovázený silným propadem zaměstnanosti byl ve 2. čtvrtletí zaznamenán v informačních a komunikačních činnostech. Průměrná mzda </w:t>
            </w:r>
            <w:r>
              <w:lastRenderedPageBreak/>
              <w:t xml:space="preserve">v oboru se tedy zvýšila a lze odhadovat, že došlo k úbytku méně ohodnocených míst, která se dostávají pod tlak v souvislosti se stále sofistikovanějším využitím generativní AI. Podprůměrný byl mezičtvrtletní nárůst mezd a platů v uskupení obchod, doprava, ubytování a pohostinství, v průmyslu a v zemědělství. Přitom z většiny bylo navýšení ovlivněno růstem zaměstnanosti. Zmíněné obory zaostávaly z pohledu růstu zaměstnanosti a mezd za zbytkem ekonomiky i v meziročním srovnání. Jediný mezičtvrtletní pokles vyplacených mezd a platů se odehrál v peněžnictví a pojišťovnictví. </w:t>
            </w:r>
          </w:p>
        </w:tc>
      </w:tr>
      <w:bookmarkEnd w:id="14"/>
      <w:bookmarkEnd w:id="15"/>
      <w:bookmarkEnd w:id="16"/>
      <w:bookmarkEnd w:id="17"/>
      <w:bookmarkEnd w:id="18"/>
      <w:bookmarkEnd w:id="19"/>
    </w:tbl>
    <w:p w14:paraId="02F0B73F" w14:textId="77777777" w:rsidR="006B1AFC" w:rsidRDefault="006B1AFC" w:rsidP="009324EF">
      <w:pPr>
        <w:rPr>
          <w:rFonts w:eastAsia="MS Gothic"/>
          <w:highlight w:val="yellow"/>
        </w:rPr>
      </w:pPr>
    </w:p>
    <w:p w14:paraId="67B29758" w14:textId="77777777" w:rsidR="006B1AFC" w:rsidRDefault="006B1AFC" w:rsidP="009324EF">
      <w:pPr>
        <w:spacing w:after="0" w:line="240" w:lineRule="auto"/>
        <w:jc w:val="left"/>
        <w:rPr>
          <w:rFonts w:eastAsia="MS Gothic"/>
          <w:b/>
          <w:bCs/>
          <w:color w:val="86BF5E"/>
          <w:sz w:val="32"/>
          <w:szCs w:val="28"/>
        </w:rPr>
      </w:pPr>
      <w:r>
        <w:br w:type="page"/>
      </w:r>
    </w:p>
    <w:p w14:paraId="3F7027BA" w14:textId="77777777" w:rsidR="00DD1A46" w:rsidRDefault="00DD1A46" w:rsidP="00DD1A46">
      <w:pPr>
        <w:pStyle w:val="Nadpis1"/>
      </w:pPr>
      <w:bookmarkStart w:id="23" w:name="_Toc232503735"/>
      <w:bookmarkStart w:id="24" w:name="_Toc240366894"/>
      <w:bookmarkEnd w:id="20"/>
      <w:r>
        <w:lastRenderedPageBreak/>
        <w:t>3. Výkonnost odvětví</w:t>
      </w:r>
      <w:bookmarkEnd w:id="24"/>
    </w:p>
    <w:tbl>
      <w:tblPr>
        <w:tblW w:w="9646" w:type="dxa"/>
        <w:tblInd w:w="-20" w:type="dxa"/>
        <w:tblCellMar>
          <w:left w:w="0" w:type="dxa"/>
          <w:right w:w="0" w:type="dxa"/>
        </w:tblCellMar>
        <w:tblLook w:val="00A0" w:firstRow="1" w:lastRow="0" w:firstColumn="1" w:lastColumn="0" w:noHBand="0" w:noVBand="0"/>
      </w:tblPr>
      <w:tblGrid>
        <w:gridCol w:w="1765"/>
        <w:gridCol w:w="178"/>
        <w:gridCol w:w="7703"/>
      </w:tblGrid>
      <w:tr w:rsidR="00DD1A46" w:rsidRPr="004A0F58" w14:paraId="38B8E782" w14:textId="77777777" w:rsidTr="00E962EE">
        <w:trPr>
          <w:trHeight w:val="145"/>
        </w:trPr>
        <w:tc>
          <w:tcPr>
            <w:tcW w:w="1814" w:type="dxa"/>
            <w:gridSpan w:val="3"/>
            <w:tcMar>
              <w:left w:w="0" w:type="dxa"/>
            </w:tcMar>
          </w:tcPr>
          <w:p w14:paraId="4CB0E11D" w14:textId="77777777" w:rsidR="00DD1A46" w:rsidRDefault="00DD1A46" w:rsidP="00E962EE">
            <w:pPr>
              <w:pStyle w:val="Nadpis3"/>
              <w:rPr>
                <w:color w:val="0D0D0D" w:themeColor="text1" w:themeTint="F2"/>
                <w:spacing w:val="-4"/>
              </w:rPr>
            </w:pPr>
            <w:bookmarkStart w:id="25" w:name="_Toc240366895"/>
            <w:r>
              <w:rPr>
                <w:lang w:eastAsia="en-US"/>
              </w:rPr>
              <w:t>3</w:t>
            </w:r>
            <w:r w:rsidRPr="006B2C72">
              <w:rPr>
                <w:lang w:eastAsia="en-US"/>
              </w:rPr>
              <w:t xml:space="preserve">.1 </w:t>
            </w:r>
            <w:r>
              <w:rPr>
                <w:lang w:eastAsia="en-US"/>
              </w:rPr>
              <w:t>Zemědělství a průmysl</w:t>
            </w:r>
            <w:bookmarkEnd w:id="25"/>
          </w:p>
        </w:tc>
      </w:tr>
      <w:tr w:rsidR="00DD1A46" w:rsidRPr="004A0F58" w14:paraId="598C835B" w14:textId="77777777" w:rsidTr="00E962EE">
        <w:trPr>
          <w:trHeight w:val="145"/>
        </w:trPr>
        <w:tc>
          <w:tcPr>
            <w:tcW w:w="1814" w:type="dxa"/>
            <w:tcMar>
              <w:left w:w="0" w:type="dxa"/>
            </w:tcMar>
          </w:tcPr>
          <w:p w14:paraId="28963521" w14:textId="77777777" w:rsidR="00DD1A46" w:rsidRDefault="00DD1A46" w:rsidP="00E962EE">
            <w:pPr>
              <w:pStyle w:val="Marginlie"/>
              <w:spacing w:after="240"/>
              <w:rPr>
                <w:color w:val="0D0D0D" w:themeColor="text1" w:themeTint="F2"/>
                <w:spacing w:val="0"/>
              </w:rPr>
            </w:pPr>
            <w:r>
              <w:rPr>
                <w:color w:val="0D0D0D" w:themeColor="text1" w:themeTint="F2"/>
                <w:spacing w:val="0"/>
              </w:rPr>
              <w:t>Růst výroby masa pokračoval, byť mírnějšími tempy než v letech 2024 i 2025. Táhl ho segment hovězího masa.</w:t>
            </w:r>
          </w:p>
          <w:p w14:paraId="2580F0BB" w14:textId="77777777" w:rsidR="00DD1A46" w:rsidRDefault="00DD1A46" w:rsidP="00E962EE">
            <w:pPr>
              <w:pStyle w:val="Marginlie"/>
              <w:spacing w:after="240"/>
              <w:rPr>
                <w:color w:val="0D0D0D" w:themeColor="text1" w:themeTint="F2"/>
                <w:spacing w:val="0"/>
              </w:rPr>
            </w:pPr>
          </w:p>
          <w:p w14:paraId="5EA0032F" w14:textId="77777777" w:rsidR="00DD1A46" w:rsidRDefault="00DD1A46" w:rsidP="00E962EE">
            <w:pPr>
              <w:pStyle w:val="Marginlie"/>
              <w:spacing w:after="240"/>
              <w:rPr>
                <w:color w:val="0D0D0D" w:themeColor="text1" w:themeTint="F2"/>
                <w:spacing w:val="0"/>
              </w:rPr>
            </w:pPr>
          </w:p>
          <w:p w14:paraId="3BA70654" w14:textId="77777777" w:rsidR="00DD1A46" w:rsidRDefault="00DD1A46" w:rsidP="00E962EE">
            <w:pPr>
              <w:pStyle w:val="Marginlie"/>
              <w:spacing w:after="240"/>
              <w:rPr>
                <w:color w:val="0D0D0D" w:themeColor="text1" w:themeTint="F2"/>
                <w:spacing w:val="0"/>
              </w:rPr>
            </w:pPr>
            <w:r>
              <w:rPr>
                <w:color w:val="0D0D0D" w:themeColor="text1" w:themeTint="F2"/>
                <w:spacing w:val="0"/>
              </w:rPr>
              <w:t>Výroba mléka nadále poměrně svižně rostla, navzdory aktuálně nízkým výkupním cenám.</w:t>
            </w:r>
          </w:p>
        </w:tc>
        <w:tc>
          <w:tcPr>
            <w:tcW w:w="181" w:type="dxa"/>
            <w:tcMar>
              <w:left w:w="0" w:type="dxa"/>
            </w:tcMar>
          </w:tcPr>
          <w:p w14:paraId="11AA9FB5" w14:textId="77777777" w:rsidR="00DD1A46" w:rsidRPr="004A0F58" w:rsidRDefault="00DD1A46" w:rsidP="00E962EE">
            <w:pPr>
              <w:pStyle w:val="Textpoznpodarou"/>
              <w:spacing w:after="240"/>
              <w:jc w:val="both"/>
              <w:rPr>
                <w:color w:val="0D0D0D" w:themeColor="text1" w:themeTint="F2"/>
              </w:rPr>
            </w:pPr>
          </w:p>
        </w:tc>
        <w:tc>
          <w:tcPr>
            <w:tcW w:w="7711" w:type="dxa"/>
            <w:tcMar>
              <w:left w:w="0" w:type="dxa"/>
            </w:tcMar>
          </w:tcPr>
          <w:p w14:paraId="59BD9867" w14:textId="77777777" w:rsidR="00DD1A46" w:rsidRPr="00424A1B" w:rsidRDefault="00DD1A46" w:rsidP="00E962EE">
            <w:pPr>
              <w:spacing w:after="200"/>
              <w:rPr>
                <w:color w:val="0D0D0D" w:themeColor="text1" w:themeTint="F2"/>
                <w:spacing w:val="-2"/>
              </w:rPr>
            </w:pPr>
            <w:r w:rsidRPr="00424A1B">
              <w:rPr>
                <w:rFonts w:eastAsia="Arial" w:cs="Arial"/>
                <w:spacing w:val="-2"/>
                <w:szCs w:val="20"/>
              </w:rPr>
              <w:t>V živočišné výrobě letos zatím pokračovaly hlavní trendy z předchozího období. Fyzická výroba masa v tuzemských jatkách v 1. pololetí meziročně posílila o 2,5 % (mírně nižším tempem než v letech 2024 i 2025). Růst výroby byl tažen zejména segmentem drůbežího masa, kde došlo ke zvýšení o 4,9 %. Dlouhodobě rostoucí obliba tohoto masa mezi tuzemskými spotřebiteli spolu s krátkou dobou výkrmu brojlerů dává zemědělcům lepší předpoklady pro stabilnější hospodářské výsledky i v období cenových turbulencí. V dosud dominantním segmentu vepřového masa se výroba zvyšovala volněji (+1,7 %). U hovězího masa přetrvává pokles již dva a půl roku, jeho letošní tempo (</w:t>
            </w:r>
            <w:r w:rsidRPr="00424A1B">
              <w:rPr>
                <w:color w:val="0D0D0D" w:themeColor="text1" w:themeTint="F2"/>
                <w:spacing w:val="-2"/>
              </w:rPr>
              <w:t>–</w:t>
            </w:r>
            <w:r w:rsidRPr="00424A1B">
              <w:rPr>
                <w:rFonts w:eastAsia="Arial" w:cs="Arial"/>
                <w:spacing w:val="-2"/>
                <w:szCs w:val="20"/>
              </w:rPr>
              <w:t>1,0 %) však patří v tomto kontextu k nižším. Rychle rostoucí spotřebitelské ceny hovězího, zřetelně patrné v posledních čtvrtletích, mohou přimět konzumenty k hledání alternativ (např. větší příklon ke spotřebě vepřového masa). Dlouhodobě roste také výroba mléka. Jeho přímý nákup od producentů se v 1. pololetí meziročně zvýšil o 4,0 %, z toho samotný nákup této komodity mlékárnami ke zpracování se zvýšil o 3,6 %. Výkupní ceny mléka od tuzemských prvovýrobců se s ohledem na jeho aktuální nadbytek na evropském trhu dále snižovaly a</w:t>
            </w:r>
            <w:r w:rsidRPr="00424A1B">
              <w:rPr>
                <w:color w:val="0D0D0D" w:themeColor="text1" w:themeTint="F2"/>
                <w:spacing w:val="-2"/>
              </w:rPr>
              <w:t> </w:t>
            </w:r>
            <w:r w:rsidRPr="00424A1B">
              <w:rPr>
                <w:rFonts w:eastAsia="Arial" w:cs="Arial"/>
                <w:spacing w:val="-2"/>
                <w:szCs w:val="20"/>
              </w:rPr>
              <w:t>ve 2. čtvrtletí dosáhly hranice 10 korun za litr (u jakostní třídy Q).</w:t>
            </w:r>
          </w:p>
        </w:tc>
      </w:tr>
      <w:tr w:rsidR="00DD1A46" w:rsidRPr="004A0F58" w14:paraId="76E5D1C8" w14:textId="77777777" w:rsidTr="00E962EE">
        <w:trPr>
          <w:trHeight w:val="145"/>
        </w:trPr>
        <w:tc>
          <w:tcPr>
            <w:tcW w:w="1814" w:type="dxa"/>
            <w:tcMar>
              <w:left w:w="0" w:type="dxa"/>
            </w:tcMar>
          </w:tcPr>
          <w:p w14:paraId="7E980F06" w14:textId="77777777" w:rsidR="00DD1A46" w:rsidRDefault="00DD1A46" w:rsidP="00E962EE">
            <w:pPr>
              <w:pStyle w:val="Marginlie"/>
              <w:spacing w:after="240"/>
              <w:rPr>
                <w:color w:val="0D0D0D" w:themeColor="text1" w:themeTint="F2"/>
                <w:spacing w:val="0"/>
              </w:rPr>
            </w:pPr>
            <w:r>
              <w:rPr>
                <w:color w:val="0D0D0D" w:themeColor="text1" w:themeTint="F2"/>
                <w:spacing w:val="0"/>
              </w:rPr>
              <w:t>Letošní úroda základních obilovin i olejnin je zřetelně podprůměrná, především vlivem nízkých hektarových výnosů. Na druhou stranu v kvalitativních parametrech lze úrodu hodnotit jako převážně velmi dobrou.</w:t>
            </w:r>
          </w:p>
        </w:tc>
        <w:tc>
          <w:tcPr>
            <w:tcW w:w="181" w:type="dxa"/>
            <w:tcMar>
              <w:left w:w="0" w:type="dxa"/>
            </w:tcMar>
          </w:tcPr>
          <w:p w14:paraId="2A8558A2" w14:textId="77777777" w:rsidR="00DD1A46" w:rsidRPr="004A0F58" w:rsidRDefault="00DD1A46" w:rsidP="00E962EE">
            <w:pPr>
              <w:pStyle w:val="Textpoznpodarou"/>
              <w:spacing w:after="240"/>
              <w:jc w:val="both"/>
              <w:rPr>
                <w:color w:val="0D0D0D" w:themeColor="text1" w:themeTint="F2"/>
              </w:rPr>
            </w:pPr>
          </w:p>
        </w:tc>
        <w:tc>
          <w:tcPr>
            <w:tcW w:w="7711" w:type="dxa"/>
            <w:tcMar>
              <w:left w:w="0" w:type="dxa"/>
            </w:tcMar>
          </w:tcPr>
          <w:p w14:paraId="58A617A4" w14:textId="77777777" w:rsidR="00DD1A46" w:rsidRPr="00424A1B" w:rsidRDefault="00DD1A46" w:rsidP="00E962EE">
            <w:pPr>
              <w:rPr>
                <w:spacing w:val="-2"/>
              </w:rPr>
            </w:pPr>
            <w:r w:rsidRPr="00424A1B">
              <w:rPr>
                <w:color w:val="0D0D0D" w:themeColor="text1" w:themeTint="F2"/>
                <w:spacing w:val="-2"/>
              </w:rPr>
              <w:t>I dle třetího letošního odhadu sklizně (k 15. srpnu) se na rok 2026 očekává celkově znatelně slabší úroda základních plodin. Obilovin (vč. kukuřice na zrno) by se mělo sklidit 7,033 mil. tun (nejméně za posledních osm let, z toho u základních obilovin dokonce nejméně za posledních čtrnáct let) a řepky 805 tis. tun (nejméně za dvacet jedna let). Meziroční pokles úrody obilovin činí 17,2 % a 21,3 % u řepky, proti desetiletému průměru (za období 2016 až 2025) jde o redukci o 11,1 %, resp. 31,7 %. Příčinou meziročního poklesu je kombinace nepříznivého počasí letos v zimě, na jaře i v létě (zejména kvůli nedostatku srážek, vč. sněhu, zčásti pak i jarním mrazům), a vysoké srovnávací základny v důsledku velmi dobré loňské úrody (u obilovin byla nejvyšší po roce 2016). Dílčí vliv má i pokles osevních ploch – meziročně u základních obilovin o</w:t>
            </w:r>
            <w:r w:rsidRPr="00424A1B">
              <w:rPr>
                <w:rFonts w:eastAsia="Arial" w:cs="Arial"/>
                <w:spacing w:val="-2"/>
                <w:szCs w:val="20"/>
              </w:rPr>
              <w:t> </w:t>
            </w:r>
            <w:r w:rsidRPr="00424A1B">
              <w:rPr>
                <w:color w:val="0D0D0D" w:themeColor="text1" w:themeTint="F2"/>
                <w:spacing w:val="-2"/>
              </w:rPr>
              <w:t>2,1</w:t>
            </w:r>
            <w:r w:rsidRPr="00424A1B">
              <w:rPr>
                <w:rFonts w:eastAsia="Arial" w:cs="Arial"/>
                <w:spacing w:val="-2"/>
                <w:szCs w:val="20"/>
              </w:rPr>
              <w:t> </w:t>
            </w:r>
            <w:r w:rsidRPr="00424A1B">
              <w:rPr>
                <w:color w:val="0D0D0D" w:themeColor="text1" w:themeTint="F2"/>
                <w:spacing w:val="-2"/>
              </w:rPr>
              <w:t>% a řepky o 8,6 %</w:t>
            </w:r>
            <w:r w:rsidRPr="00424A1B">
              <w:rPr>
                <w:rStyle w:val="Znakapoznpodarou"/>
                <w:color w:val="0D0D0D" w:themeColor="text1" w:themeTint="F2"/>
                <w:spacing w:val="-2"/>
              </w:rPr>
              <w:footnoteReference w:id="11"/>
            </w:r>
            <w:r w:rsidRPr="00424A1B">
              <w:rPr>
                <w:color w:val="0D0D0D" w:themeColor="text1" w:themeTint="F2"/>
                <w:spacing w:val="-2"/>
              </w:rPr>
              <w:t>. V rámci obilovin se proti roku 2025 předpokládá vyšší úroda jen u váhově okrajových plodin – triticale a pšenice jarní, u nichž byl pokles hektarových výnosů kompenzován svižným nárůstem osevních ploch. Díky teplému a převážně suchému počasí v letních měsících probíhaly letošní žně nebývale rychlým tempem. To se pozitivně odrazilo na vyšší technologické kvalitě sklizeného zrna</w:t>
            </w:r>
            <w:r w:rsidRPr="00424A1B">
              <w:rPr>
                <w:rStyle w:val="Znakapoznpodarou"/>
                <w:color w:val="0D0D0D" w:themeColor="text1" w:themeTint="F2"/>
                <w:spacing w:val="-2"/>
              </w:rPr>
              <w:footnoteReference w:id="12"/>
            </w:r>
            <w:r w:rsidRPr="00424A1B">
              <w:rPr>
                <w:color w:val="0D0D0D" w:themeColor="text1" w:themeTint="F2"/>
                <w:spacing w:val="-2"/>
              </w:rPr>
              <w:t xml:space="preserve"> jak u potravinářské pšenice, tak sladovnického ječmene. Dle odhadu se předpokládá také výrazný meziroční pokles sklizně dalších plodin. Brambor by se mělo sklidit 544 tis. tun (–26,0 %), řepy cukrové 3,221 mil. tun (–18,4 %), kukuřice na zeleno 6,401 mil. tun (–19,9 %) a vojtěšky 301 tis. tun (–22,4 %).</w:t>
            </w:r>
          </w:p>
        </w:tc>
      </w:tr>
      <w:tr w:rsidR="00DD1A46" w:rsidRPr="004A0F58" w14:paraId="1B3F8E12" w14:textId="77777777" w:rsidTr="00E962EE">
        <w:trPr>
          <w:trHeight w:val="145"/>
        </w:trPr>
        <w:tc>
          <w:tcPr>
            <w:tcW w:w="1814" w:type="dxa"/>
            <w:tcMar>
              <w:left w:w="0" w:type="dxa"/>
            </w:tcMar>
          </w:tcPr>
          <w:p w14:paraId="69ADD260" w14:textId="77777777" w:rsidR="00DD1A46" w:rsidRPr="004A0F58" w:rsidRDefault="00DD1A46" w:rsidP="00E962EE">
            <w:pPr>
              <w:pStyle w:val="Marginlie"/>
              <w:spacing w:after="240"/>
              <w:rPr>
                <w:color w:val="0D0D0D" w:themeColor="text1" w:themeTint="F2"/>
                <w:spacing w:val="0"/>
              </w:rPr>
            </w:pPr>
            <w:r>
              <w:rPr>
                <w:color w:val="0D0D0D" w:themeColor="text1" w:themeTint="F2"/>
                <w:spacing w:val="0"/>
              </w:rPr>
              <w:t>Na tuzemský průmysl působila na počátku roku řada negativních vnějších faktorů. Během jara se situace částečně zlepšovala.</w:t>
            </w:r>
          </w:p>
        </w:tc>
        <w:tc>
          <w:tcPr>
            <w:tcW w:w="181" w:type="dxa"/>
            <w:tcMar>
              <w:left w:w="0" w:type="dxa"/>
            </w:tcMar>
          </w:tcPr>
          <w:p w14:paraId="4C6C9C4B" w14:textId="77777777" w:rsidR="00DD1A46" w:rsidRPr="004A0F58" w:rsidRDefault="00DD1A46" w:rsidP="00E962EE">
            <w:pPr>
              <w:pStyle w:val="Textpoznpodarou"/>
              <w:spacing w:after="240"/>
              <w:jc w:val="both"/>
              <w:rPr>
                <w:color w:val="0D0D0D" w:themeColor="text1" w:themeTint="F2"/>
              </w:rPr>
            </w:pPr>
          </w:p>
        </w:tc>
        <w:tc>
          <w:tcPr>
            <w:tcW w:w="7711" w:type="dxa"/>
            <w:tcMar>
              <w:left w:w="0" w:type="dxa"/>
            </w:tcMar>
          </w:tcPr>
          <w:p w14:paraId="7DB4C6E7" w14:textId="77777777" w:rsidR="00DD1A46" w:rsidRPr="00424A1B" w:rsidRDefault="00DD1A46" w:rsidP="00E962EE">
            <w:pPr>
              <w:spacing w:after="200"/>
              <w:rPr>
                <w:color w:val="0D0D0D" w:themeColor="text1" w:themeTint="F2"/>
                <w:spacing w:val="-2"/>
              </w:rPr>
            </w:pPr>
            <w:r w:rsidRPr="00424A1B">
              <w:rPr>
                <w:color w:val="0D0D0D" w:themeColor="text1" w:themeTint="F2"/>
                <w:spacing w:val="-2"/>
              </w:rPr>
              <w:t>Po roce 2025, kdy se v tuzemském průmyslu dále stabilizovaly nákladové tlaky a přes kolísavý vývoj podmínek (i vlivem napětí v obchodních vztazích EU a USA) rostla zahraniční i domácí poptávka (mj. díky oživení investiční aktivity), došlo na počátku letošního roku ke zhoršení. Zpomalení již tak poměrně slabého hospodářského růstu v Unii (vč. pro Česko klíčových obchodních partnerů) umocnila březnová eskalace války na Blízkém východě. Ta vedla k rychlému a citelnému růstu světových cen klíčových energetických komodit a dalších surovin, navíc oslabila (zejména v eurozóně) křehkou podnikatelskou i spotřebitelskou důvěru a zvýšila riziko širších i hlubších dopadů u tradičních výrobních odvětví (v důsledku narušení globálních dodavatelských řetězců). Nicméně ve 2. čtvrtletí 2026 se ceny některých komodit stabilizovaly a důvěra v klíčových ekonomikách se částečně zotavila.</w:t>
            </w:r>
          </w:p>
        </w:tc>
      </w:tr>
      <w:tr w:rsidR="00DD1A46" w:rsidRPr="004A0F58" w14:paraId="1B985CE1" w14:textId="77777777" w:rsidTr="00E962EE">
        <w:trPr>
          <w:trHeight w:val="145"/>
        </w:trPr>
        <w:tc>
          <w:tcPr>
            <w:tcW w:w="1814" w:type="dxa"/>
            <w:tcMar>
              <w:left w:w="0" w:type="dxa"/>
            </w:tcMar>
          </w:tcPr>
          <w:p w14:paraId="703A0FA5" w14:textId="77777777" w:rsidR="00DD1A46" w:rsidRPr="004A0F58" w:rsidRDefault="00DD1A46" w:rsidP="00E962EE">
            <w:pPr>
              <w:pStyle w:val="Marginlie"/>
              <w:spacing w:after="240"/>
              <w:rPr>
                <w:color w:val="0D0D0D" w:themeColor="text1" w:themeTint="F2"/>
                <w:spacing w:val="0"/>
              </w:rPr>
            </w:pPr>
            <w:r>
              <w:rPr>
                <w:color w:val="0D0D0D" w:themeColor="text1" w:themeTint="F2"/>
                <w:spacing w:val="0"/>
              </w:rPr>
              <w:lastRenderedPageBreak/>
              <w:t xml:space="preserve">Zejména díky investičně zaměřeným oborům průmyslová produkce během 2. čtvrtletí ožila </w:t>
            </w:r>
            <w:r>
              <w:rPr>
                <w:color w:val="0D0D0D" w:themeColor="text1" w:themeTint="F2"/>
                <w:spacing w:val="0"/>
              </w:rPr>
              <w:br/>
              <w:t>a překonala tak dílčí útlum z počátku roku.</w:t>
            </w:r>
          </w:p>
        </w:tc>
        <w:tc>
          <w:tcPr>
            <w:tcW w:w="181" w:type="dxa"/>
            <w:tcMar>
              <w:left w:w="0" w:type="dxa"/>
            </w:tcMar>
          </w:tcPr>
          <w:p w14:paraId="7E77153D" w14:textId="77777777" w:rsidR="00DD1A46" w:rsidRPr="004A0F58" w:rsidRDefault="00DD1A46" w:rsidP="00E962EE">
            <w:pPr>
              <w:pStyle w:val="Textpoznpodarou"/>
              <w:spacing w:after="240"/>
              <w:jc w:val="both"/>
              <w:rPr>
                <w:color w:val="0D0D0D" w:themeColor="text1" w:themeTint="F2"/>
              </w:rPr>
            </w:pPr>
          </w:p>
        </w:tc>
        <w:tc>
          <w:tcPr>
            <w:tcW w:w="7711" w:type="dxa"/>
            <w:tcMar>
              <w:left w:w="0" w:type="dxa"/>
            </w:tcMar>
          </w:tcPr>
          <w:p w14:paraId="3976BF5E" w14:textId="77777777" w:rsidR="00DD1A46" w:rsidRPr="00A3673B" w:rsidRDefault="00DD1A46" w:rsidP="00E962EE">
            <w:pPr>
              <w:spacing w:after="200"/>
              <w:rPr>
                <w:color w:val="0D0D0D" w:themeColor="text1" w:themeTint="F2"/>
                <w:spacing w:val="-2"/>
              </w:rPr>
            </w:pPr>
            <w:r w:rsidRPr="00A3673B">
              <w:rPr>
                <w:color w:val="0D0D0D" w:themeColor="text1" w:themeTint="F2"/>
                <w:spacing w:val="-2"/>
              </w:rPr>
              <w:t>Na tuto situaci reagoval i tuzemský průmysl</w:t>
            </w:r>
            <w:r>
              <w:rPr>
                <w:color w:val="0D0D0D" w:themeColor="text1" w:themeTint="F2"/>
                <w:spacing w:val="-2"/>
              </w:rPr>
              <w:t>. J</w:t>
            </w:r>
            <w:r w:rsidRPr="00A3673B">
              <w:rPr>
                <w:color w:val="0D0D0D" w:themeColor="text1" w:themeTint="F2"/>
                <w:spacing w:val="-2"/>
              </w:rPr>
              <w:t>eho produkce</w:t>
            </w:r>
            <w:r w:rsidRPr="00A3673B">
              <w:rPr>
                <w:rStyle w:val="Znakapoznpodarou"/>
                <w:color w:val="0D0D0D" w:themeColor="text1" w:themeTint="F2"/>
                <w:spacing w:val="-2"/>
              </w:rPr>
              <w:footnoteReference w:id="13"/>
            </w:r>
            <w:r w:rsidRPr="00A3673B">
              <w:rPr>
                <w:color w:val="0D0D0D" w:themeColor="text1" w:themeTint="F2"/>
                <w:spacing w:val="-2"/>
              </w:rPr>
              <w:t xml:space="preserve"> se po výraznějším oživení, jež nastalo ve 4. čtvrtletí 2025, na počátku letošního roku mezikvartálně mírně snížila (o</w:t>
            </w:r>
            <w:r w:rsidRPr="00C87B0B">
              <w:rPr>
                <w:color w:val="0D0D0D" w:themeColor="text1" w:themeTint="F2"/>
                <w:spacing w:val="-4"/>
              </w:rPr>
              <w:t> </w:t>
            </w:r>
            <w:r w:rsidRPr="00A3673B">
              <w:rPr>
                <w:color w:val="0D0D0D" w:themeColor="text1" w:themeTint="F2"/>
                <w:spacing w:val="-2"/>
              </w:rPr>
              <w:t xml:space="preserve">0,9 %). Na tomto poklesu se podílely zejména investičně zaměřené obory a také relativně malý segment oborů vyrábějících produkty dlouhodobé spotřeby (ten se ovšem s útlumem poptávky potýkal i po většinu loňského roku). Ve 2. čtvrtletí se </w:t>
            </w:r>
            <w:r>
              <w:rPr>
                <w:color w:val="0D0D0D" w:themeColor="text1" w:themeTint="F2"/>
                <w:spacing w:val="-2"/>
              </w:rPr>
              <w:t>ale</w:t>
            </w:r>
            <w:r w:rsidRPr="00A3673B">
              <w:rPr>
                <w:color w:val="0D0D0D" w:themeColor="text1" w:themeTint="F2"/>
                <w:spacing w:val="-2"/>
              </w:rPr>
              <w:t xml:space="preserve"> výkon průmyslu zvýšil o rovná </w:t>
            </w:r>
            <w:r>
              <w:rPr>
                <w:color w:val="0D0D0D" w:themeColor="text1" w:themeTint="F2"/>
                <w:spacing w:val="-2"/>
              </w:rPr>
              <w:t>1,9</w:t>
            </w:r>
            <w:r w:rsidRPr="00A3673B">
              <w:rPr>
                <w:color w:val="0D0D0D" w:themeColor="text1" w:themeTint="F2"/>
                <w:spacing w:val="-2"/>
              </w:rPr>
              <w:t xml:space="preserve"> %, neboť se zotavila poptávka v investičně zaměřených oborech </w:t>
            </w:r>
            <w:r>
              <w:rPr>
                <w:color w:val="0D0D0D" w:themeColor="text1" w:themeTint="F2"/>
                <w:spacing w:val="-2"/>
              </w:rPr>
              <w:t>a segmentech vyrábějících</w:t>
            </w:r>
            <w:r w:rsidRPr="00C87B0B">
              <w:rPr>
                <w:color w:val="0D0D0D" w:themeColor="text1" w:themeTint="F2"/>
                <w:spacing w:val="-4"/>
              </w:rPr>
              <w:t> </w:t>
            </w:r>
            <w:r w:rsidRPr="00A3673B">
              <w:rPr>
                <w:color w:val="0D0D0D" w:themeColor="text1" w:themeTint="F2"/>
                <w:spacing w:val="-2"/>
              </w:rPr>
              <w:t>meziprodukt</w:t>
            </w:r>
            <w:r>
              <w:rPr>
                <w:color w:val="0D0D0D" w:themeColor="text1" w:themeTint="F2"/>
                <w:spacing w:val="-2"/>
              </w:rPr>
              <w:t>y</w:t>
            </w:r>
            <w:r w:rsidRPr="00A3673B">
              <w:rPr>
                <w:color w:val="0D0D0D" w:themeColor="text1" w:themeTint="F2"/>
                <w:spacing w:val="-2"/>
              </w:rPr>
              <w:t xml:space="preserve"> a </w:t>
            </w:r>
            <w:proofErr w:type="spellStart"/>
            <w:r w:rsidRPr="00A3673B">
              <w:rPr>
                <w:color w:val="0D0D0D" w:themeColor="text1" w:themeTint="F2"/>
                <w:spacing w:val="-2"/>
              </w:rPr>
              <w:t>prorůstově</w:t>
            </w:r>
            <w:proofErr w:type="spellEnd"/>
            <w:r w:rsidRPr="00A3673B">
              <w:rPr>
                <w:color w:val="0D0D0D" w:themeColor="text1" w:themeTint="F2"/>
                <w:spacing w:val="-2"/>
              </w:rPr>
              <w:t xml:space="preserve"> působila také energetika. Celková průmyslová produkce se tak udržela mírně nad úrovní z vrcholu z období poslední konjunktury, resp. 2. čtvrtletí 2019 (2,</w:t>
            </w:r>
            <w:r>
              <w:rPr>
                <w:color w:val="0D0D0D" w:themeColor="text1" w:themeTint="F2"/>
                <w:spacing w:val="-2"/>
              </w:rPr>
              <w:t>2</w:t>
            </w:r>
            <w:r w:rsidRPr="00A3673B">
              <w:rPr>
                <w:color w:val="0D0D0D" w:themeColor="text1" w:themeTint="F2"/>
                <w:spacing w:val="-2"/>
              </w:rPr>
              <w:t xml:space="preserve"> %)</w:t>
            </w:r>
            <w:r w:rsidRPr="00A3673B">
              <w:rPr>
                <w:rStyle w:val="Znakapoznpodarou"/>
                <w:color w:val="0D0D0D" w:themeColor="text1" w:themeTint="F2"/>
                <w:spacing w:val="-2"/>
              </w:rPr>
              <w:footnoteReference w:id="14"/>
            </w:r>
            <w:r w:rsidRPr="00A3673B">
              <w:rPr>
                <w:color w:val="0D0D0D" w:themeColor="text1" w:themeTint="F2"/>
                <w:spacing w:val="-2"/>
              </w:rPr>
              <w:t>.</w:t>
            </w:r>
          </w:p>
        </w:tc>
      </w:tr>
      <w:tr w:rsidR="00DD1A46" w:rsidRPr="004A0F58" w14:paraId="0BBB06AA" w14:textId="77777777" w:rsidTr="00E962EE">
        <w:trPr>
          <w:trHeight w:val="145"/>
        </w:trPr>
        <w:tc>
          <w:tcPr>
            <w:tcW w:w="1814" w:type="dxa"/>
            <w:tcMar>
              <w:left w:w="0" w:type="dxa"/>
            </w:tcMar>
          </w:tcPr>
          <w:p w14:paraId="3F2FF483" w14:textId="77777777" w:rsidR="00DD1A46" w:rsidRDefault="00DD1A46" w:rsidP="00E962EE">
            <w:pPr>
              <w:pStyle w:val="Marginlie"/>
              <w:spacing w:after="240"/>
              <w:rPr>
                <w:color w:val="0D0D0D" w:themeColor="text1" w:themeTint="F2"/>
                <w:spacing w:val="0"/>
              </w:rPr>
            </w:pPr>
            <w:r w:rsidRPr="004A0F58">
              <w:rPr>
                <w:color w:val="0D0D0D" w:themeColor="text1" w:themeTint="F2"/>
                <w:spacing w:val="0"/>
              </w:rPr>
              <w:t>K mírnému růstu průmyslové produkce letos nejvíce přispěla výroba dopravních prostředků</w:t>
            </w:r>
            <w:r>
              <w:rPr>
                <w:color w:val="0D0D0D" w:themeColor="text1" w:themeTint="F2"/>
                <w:spacing w:val="0"/>
              </w:rPr>
              <w:t xml:space="preserve"> a většina dalších investičně orientovaných oborů v čele s kovodělným průmyslem.</w:t>
            </w:r>
            <w:r w:rsidRPr="004A0F58">
              <w:rPr>
                <w:color w:val="0D0D0D" w:themeColor="text1" w:themeTint="F2"/>
                <w:spacing w:val="0"/>
              </w:rPr>
              <w:t xml:space="preserve"> </w:t>
            </w:r>
          </w:p>
          <w:p w14:paraId="2DC41816" w14:textId="77777777" w:rsidR="00DD1A46" w:rsidRDefault="00DD1A46" w:rsidP="00E962EE">
            <w:pPr>
              <w:pStyle w:val="Marginlie"/>
              <w:rPr>
                <w:color w:val="0D0D0D" w:themeColor="text1" w:themeTint="F2"/>
                <w:spacing w:val="0"/>
              </w:rPr>
            </w:pPr>
          </w:p>
          <w:p w14:paraId="56DCDD4E" w14:textId="77777777" w:rsidR="00DD1A46" w:rsidRDefault="00DD1A46" w:rsidP="00E962EE">
            <w:pPr>
              <w:pStyle w:val="Marginlie"/>
              <w:rPr>
                <w:color w:val="0D0D0D" w:themeColor="text1" w:themeTint="F2"/>
                <w:spacing w:val="0"/>
              </w:rPr>
            </w:pPr>
          </w:p>
          <w:p w14:paraId="7222E6F4" w14:textId="77777777" w:rsidR="00DD1A46" w:rsidRDefault="00DD1A46" w:rsidP="00E962EE">
            <w:pPr>
              <w:pStyle w:val="Marginlie"/>
              <w:rPr>
                <w:color w:val="0D0D0D" w:themeColor="text1" w:themeTint="F2"/>
                <w:spacing w:val="0"/>
              </w:rPr>
            </w:pPr>
          </w:p>
          <w:p w14:paraId="400314E1" w14:textId="77777777" w:rsidR="00DD1A46" w:rsidRDefault="00DD1A46" w:rsidP="00E962EE">
            <w:pPr>
              <w:pStyle w:val="Marginlie"/>
              <w:rPr>
                <w:color w:val="0D0D0D" w:themeColor="text1" w:themeTint="F2"/>
                <w:spacing w:val="0"/>
              </w:rPr>
            </w:pPr>
          </w:p>
          <w:p w14:paraId="5144C77D" w14:textId="77777777" w:rsidR="00DD1A46" w:rsidRDefault="00DD1A46" w:rsidP="00E962EE">
            <w:pPr>
              <w:pStyle w:val="Marginlie"/>
              <w:rPr>
                <w:color w:val="0D0D0D" w:themeColor="text1" w:themeTint="F2"/>
                <w:spacing w:val="0"/>
              </w:rPr>
            </w:pPr>
          </w:p>
          <w:p w14:paraId="56A5F8C0" w14:textId="77777777" w:rsidR="00DD1A46" w:rsidRDefault="00DD1A46" w:rsidP="00E962EE">
            <w:pPr>
              <w:pStyle w:val="Marginlie"/>
              <w:rPr>
                <w:color w:val="0D0D0D" w:themeColor="text1" w:themeTint="F2"/>
                <w:spacing w:val="0"/>
              </w:rPr>
            </w:pPr>
          </w:p>
          <w:p w14:paraId="3844BEA2" w14:textId="77777777" w:rsidR="00DD1A46" w:rsidRDefault="00DD1A46" w:rsidP="00E962EE">
            <w:pPr>
              <w:pStyle w:val="Marginlie"/>
              <w:rPr>
                <w:color w:val="0D0D0D" w:themeColor="text1" w:themeTint="F2"/>
                <w:spacing w:val="0"/>
              </w:rPr>
            </w:pPr>
          </w:p>
          <w:p w14:paraId="4052215F" w14:textId="77777777" w:rsidR="00DD1A46" w:rsidRPr="004A0F58" w:rsidRDefault="00DD1A46" w:rsidP="00E962EE">
            <w:pPr>
              <w:pStyle w:val="Marginlie"/>
              <w:spacing w:after="240"/>
              <w:rPr>
                <w:color w:val="0D0D0D" w:themeColor="text1" w:themeTint="F2"/>
                <w:spacing w:val="0"/>
              </w:rPr>
            </w:pPr>
            <w:r>
              <w:rPr>
                <w:color w:val="0D0D0D" w:themeColor="text1" w:themeTint="F2"/>
                <w:spacing w:val="0"/>
              </w:rPr>
              <w:t>Během jarních měsíců výrazně zrychlila produkce v elektronickém průmyslu.</w:t>
            </w:r>
          </w:p>
        </w:tc>
        <w:tc>
          <w:tcPr>
            <w:tcW w:w="181" w:type="dxa"/>
            <w:tcMar>
              <w:left w:w="0" w:type="dxa"/>
            </w:tcMar>
          </w:tcPr>
          <w:p w14:paraId="29D70F28" w14:textId="77777777" w:rsidR="00DD1A46" w:rsidRPr="004A0F58" w:rsidRDefault="00DD1A46" w:rsidP="00E962EE">
            <w:pPr>
              <w:pStyle w:val="Textpoznpodarou"/>
              <w:spacing w:after="240"/>
              <w:jc w:val="both"/>
              <w:rPr>
                <w:color w:val="0D0D0D" w:themeColor="text1" w:themeTint="F2"/>
              </w:rPr>
            </w:pPr>
          </w:p>
        </w:tc>
        <w:tc>
          <w:tcPr>
            <w:tcW w:w="7711" w:type="dxa"/>
            <w:tcMar>
              <w:left w:w="0" w:type="dxa"/>
            </w:tcMar>
          </w:tcPr>
          <w:p w14:paraId="3A6D3C9C" w14:textId="77777777" w:rsidR="00DD1A46" w:rsidRPr="00C87B0B" w:rsidRDefault="00DD1A46" w:rsidP="00E962EE">
            <w:pPr>
              <w:spacing w:after="200"/>
              <w:rPr>
                <w:color w:val="0D0D0D" w:themeColor="text1" w:themeTint="F2"/>
                <w:spacing w:val="-4"/>
              </w:rPr>
            </w:pPr>
            <w:r w:rsidRPr="00C87B0B">
              <w:rPr>
                <w:color w:val="0D0D0D" w:themeColor="text1" w:themeTint="F2"/>
                <w:spacing w:val="-4"/>
              </w:rPr>
              <w:t xml:space="preserve">Za celé 1. pololetí 2026 se výkon průmyslu meziročně zvýšil o </w:t>
            </w:r>
            <w:r>
              <w:rPr>
                <w:color w:val="0D0D0D" w:themeColor="text1" w:themeTint="F2"/>
                <w:spacing w:val="-4"/>
              </w:rPr>
              <w:t>1</w:t>
            </w:r>
            <w:r w:rsidRPr="00C87B0B">
              <w:rPr>
                <w:color w:val="0D0D0D" w:themeColor="text1" w:themeTint="F2"/>
                <w:spacing w:val="-4"/>
              </w:rPr>
              <w:t>,</w:t>
            </w:r>
            <w:r>
              <w:rPr>
                <w:color w:val="0D0D0D" w:themeColor="text1" w:themeTint="F2"/>
                <w:spacing w:val="-4"/>
              </w:rPr>
              <w:t>9</w:t>
            </w:r>
            <w:r w:rsidRPr="00C87B0B">
              <w:rPr>
                <w:color w:val="0D0D0D" w:themeColor="text1" w:themeTint="F2"/>
                <w:spacing w:val="-4"/>
              </w:rPr>
              <w:t xml:space="preserve"> % a na mírné růstové trajektorii se pohyboval již od počátku loňského roku. I přes toto skromnější tempo se produkce navyšovala v drtivé většině významnějších oborů. Letošní vývoj byl nejvíce ovlivněn oborem výroby motorových vozidel, jehož výkon se zvýšil o 3,3 % − tedy nejvíce za poslední dva a půl roku. Projevil se zde lehký růst domácí i zahraniční poptávky. Kromě finálních výrobců vozidel</w:t>
            </w:r>
            <w:r w:rsidRPr="00C87B0B">
              <w:rPr>
                <w:rStyle w:val="Znakapoznpodarou"/>
                <w:color w:val="0D0D0D" w:themeColor="text1" w:themeTint="F2"/>
                <w:spacing w:val="-4"/>
              </w:rPr>
              <w:footnoteReference w:id="15"/>
            </w:r>
            <w:r w:rsidRPr="00C87B0B">
              <w:rPr>
                <w:color w:val="0D0D0D" w:themeColor="text1" w:themeTint="F2"/>
                <w:spacing w:val="-4"/>
              </w:rPr>
              <w:t xml:space="preserve"> ovlivňují významně výkon výše uvedeného oboru také tuzemští subdodavatelé autodílů (působící v rámci odvětví automobilového průmyslu). Pokračoval dynamický růst menšího oboru výroby ostatních (zejména kolejových) dopravních prostředků, jenž profitoval z dlouhodobější preference nízkoemisní dopravy a v posledních letech také z rostoucích veřejných výdajů v oblasti obrany a bezpečnosti. V jeho růstu (+11,</w:t>
            </w:r>
            <w:r>
              <w:rPr>
                <w:color w:val="0D0D0D" w:themeColor="text1" w:themeTint="F2"/>
                <w:spacing w:val="-4"/>
              </w:rPr>
              <w:t>1</w:t>
            </w:r>
            <w:r w:rsidRPr="00C87B0B">
              <w:rPr>
                <w:color w:val="0D0D0D" w:themeColor="text1" w:themeTint="F2"/>
                <w:spacing w:val="-4"/>
              </w:rPr>
              <w:t xml:space="preserve"> %), nejvyšším ze všech </w:t>
            </w:r>
            <w:r>
              <w:rPr>
                <w:color w:val="0D0D0D" w:themeColor="text1" w:themeTint="F2"/>
                <w:spacing w:val="-4"/>
              </w:rPr>
              <w:t>zpracovatelských</w:t>
            </w:r>
            <w:r w:rsidRPr="00C87B0B">
              <w:rPr>
                <w:color w:val="0D0D0D" w:themeColor="text1" w:themeTint="F2"/>
                <w:spacing w:val="-4"/>
              </w:rPr>
              <w:t xml:space="preserve"> oborů, se letos odrazila především silná domácí poptávka</w:t>
            </w:r>
            <w:r>
              <w:rPr>
                <w:rStyle w:val="Znakapoznpodarou"/>
                <w:color w:val="0D0D0D" w:themeColor="text1" w:themeTint="F2"/>
                <w:spacing w:val="-4"/>
              </w:rPr>
              <w:footnoteReference w:id="16"/>
            </w:r>
            <w:r w:rsidRPr="00C87B0B">
              <w:rPr>
                <w:color w:val="0D0D0D" w:themeColor="text1" w:themeTint="F2"/>
                <w:spacing w:val="-4"/>
              </w:rPr>
              <w:t>. Rozvíjely se rovněž další investičně zaměřené obory. Nadále se dařilo i diverzifikované</w:t>
            </w:r>
            <w:r>
              <w:rPr>
                <w:color w:val="0D0D0D" w:themeColor="text1" w:themeTint="F2"/>
                <w:spacing w:val="-4"/>
              </w:rPr>
              <w:t>mu</w:t>
            </w:r>
            <w:r w:rsidRPr="00C87B0B">
              <w:rPr>
                <w:color w:val="0D0D0D" w:themeColor="text1" w:themeTint="F2"/>
                <w:spacing w:val="-4"/>
              </w:rPr>
              <w:t xml:space="preserve"> kovodělnému průmyslu (+4,</w:t>
            </w:r>
            <w:r>
              <w:rPr>
                <w:color w:val="0D0D0D" w:themeColor="text1" w:themeTint="F2"/>
                <w:spacing w:val="-4"/>
              </w:rPr>
              <w:t>3</w:t>
            </w:r>
            <w:r w:rsidRPr="00C87B0B">
              <w:rPr>
                <w:color w:val="0D0D0D" w:themeColor="text1" w:themeTint="F2"/>
                <w:spacing w:val="-4"/>
              </w:rPr>
              <w:t xml:space="preserve"> %), jemuž pomáhal malý, ale stále dynamický segment zbrojní výroby. Výroba kovových konstrukcí ale nacházela uplatnění také v automobilovém průmyslu a stavebnictví. Po slabším loňském roku výrazně ožila produkce ve výrobě počítačů, elektronických a optických přístrojů (+8,</w:t>
            </w:r>
            <w:r>
              <w:rPr>
                <w:color w:val="0D0D0D" w:themeColor="text1" w:themeTint="F2"/>
                <w:spacing w:val="-4"/>
              </w:rPr>
              <w:t>8</w:t>
            </w:r>
            <w:r w:rsidRPr="00C87B0B">
              <w:rPr>
                <w:color w:val="0D0D0D" w:themeColor="text1" w:themeTint="F2"/>
                <w:spacing w:val="-4"/>
              </w:rPr>
              <w:t> %), a to hlavně díky 2. čtvrtletí 2026, kdy byl její růst nejvyšší za poslední</w:t>
            </w:r>
            <w:r>
              <w:rPr>
                <w:color w:val="0D0D0D" w:themeColor="text1" w:themeTint="F2"/>
                <w:spacing w:val="-4"/>
              </w:rPr>
              <w:t>ch osm</w:t>
            </w:r>
            <w:r w:rsidRPr="00C87B0B">
              <w:rPr>
                <w:color w:val="0D0D0D" w:themeColor="text1" w:themeTint="F2"/>
                <w:spacing w:val="-4"/>
              </w:rPr>
              <w:t xml:space="preserve"> a půl roku (+1</w:t>
            </w:r>
            <w:r>
              <w:rPr>
                <w:color w:val="0D0D0D" w:themeColor="text1" w:themeTint="F2"/>
                <w:spacing w:val="-4"/>
              </w:rPr>
              <w:t>4</w:t>
            </w:r>
            <w:r w:rsidRPr="00C87B0B">
              <w:rPr>
                <w:color w:val="0D0D0D" w:themeColor="text1" w:themeTint="F2"/>
                <w:spacing w:val="-4"/>
              </w:rPr>
              <w:t>,</w:t>
            </w:r>
            <w:r>
              <w:rPr>
                <w:color w:val="0D0D0D" w:themeColor="text1" w:themeTint="F2"/>
                <w:spacing w:val="-4"/>
              </w:rPr>
              <w:t>0</w:t>
            </w:r>
            <w:r w:rsidRPr="00C87B0B">
              <w:rPr>
                <w:color w:val="0D0D0D" w:themeColor="text1" w:themeTint="F2"/>
                <w:spacing w:val="-4"/>
              </w:rPr>
              <w:t xml:space="preserve"> %). Tento vývoj předznamenávaly silně rostoucí dovozy výrobních komponent </w:t>
            </w:r>
            <w:r>
              <w:rPr>
                <w:color w:val="0D0D0D" w:themeColor="text1" w:themeTint="F2"/>
                <w:spacing w:val="-4"/>
              </w:rPr>
              <w:t xml:space="preserve">již </w:t>
            </w:r>
            <w:r w:rsidRPr="00C87B0B">
              <w:rPr>
                <w:color w:val="0D0D0D" w:themeColor="text1" w:themeTint="F2"/>
                <w:spacing w:val="-4"/>
              </w:rPr>
              <w:t>na počátku letošního roku. Na výkon tohoto oboru vedle tradičně klíčové zahraniční poptávky působila i tuzemská, částečně podporována pokračujícím rozvojem fotovoltaiky. Všechny výše uvedené investičně zaměřené obory přispěly v 1. pololetí k růstu celého průmyslu 1,5</w:t>
            </w:r>
            <w:r>
              <w:rPr>
                <w:color w:val="0D0D0D" w:themeColor="text1" w:themeTint="F2"/>
                <w:spacing w:val="-4"/>
              </w:rPr>
              <w:t xml:space="preserve">5 </w:t>
            </w:r>
            <w:r w:rsidRPr="00C87B0B">
              <w:rPr>
                <w:color w:val="0D0D0D" w:themeColor="text1" w:themeTint="F2"/>
                <w:spacing w:val="-4"/>
              </w:rPr>
              <w:t xml:space="preserve">p. b., z toho samotná výroba motorových vozidel 0,65 p. b. </w:t>
            </w:r>
          </w:p>
        </w:tc>
      </w:tr>
      <w:tr w:rsidR="00DD1A46" w:rsidRPr="004A0F58" w14:paraId="5AC50362" w14:textId="77777777" w:rsidTr="00E962EE">
        <w:trPr>
          <w:trHeight w:val="145"/>
        </w:trPr>
        <w:tc>
          <w:tcPr>
            <w:tcW w:w="1814" w:type="dxa"/>
            <w:tcMar>
              <w:left w:w="0" w:type="dxa"/>
            </w:tcMar>
          </w:tcPr>
          <w:p w14:paraId="20FB6101" w14:textId="77777777" w:rsidR="00DD1A46" w:rsidRPr="004A0F58" w:rsidRDefault="00DD1A46" w:rsidP="00E962EE">
            <w:pPr>
              <w:pStyle w:val="Marginlie"/>
              <w:spacing w:after="240"/>
              <w:rPr>
                <w:color w:val="0D0D0D" w:themeColor="text1" w:themeTint="F2"/>
                <w:spacing w:val="0"/>
              </w:rPr>
            </w:pPr>
            <w:bookmarkStart w:id="26" w:name="_Hlk238599940"/>
            <w:r>
              <w:rPr>
                <w:color w:val="0D0D0D" w:themeColor="text1" w:themeTint="F2"/>
                <w:spacing w:val="0"/>
              </w:rPr>
              <w:t>E</w:t>
            </w:r>
            <w:r w:rsidRPr="004A0F58">
              <w:rPr>
                <w:color w:val="0D0D0D" w:themeColor="text1" w:themeTint="F2"/>
                <w:spacing w:val="0"/>
              </w:rPr>
              <w:t>nergeticky náročn</w:t>
            </w:r>
            <w:r>
              <w:rPr>
                <w:color w:val="0D0D0D" w:themeColor="text1" w:themeTint="F2"/>
                <w:spacing w:val="0"/>
              </w:rPr>
              <w:t>é</w:t>
            </w:r>
            <w:r w:rsidRPr="004A0F58">
              <w:rPr>
                <w:color w:val="0D0D0D" w:themeColor="text1" w:themeTint="F2"/>
                <w:spacing w:val="0"/>
              </w:rPr>
              <w:t xml:space="preserve"> obor</w:t>
            </w:r>
            <w:r>
              <w:rPr>
                <w:color w:val="0D0D0D" w:themeColor="text1" w:themeTint="F2"/>
                <w:spacing w:val="0"/>
              </w:rPr>
              <w:t>y</w:t>
            </w:r>
            <w:r w:rsidRPr="004A0F58">
              <w:rPr>
                <w:color w:val="0D0D0D" w:themeColor="text1" w:themeTint="F2"/>
                <w:spacing w:val="0"/>
              </w:rPr>
              <w:t xml:space="preserve"> </w:t>
            </w:r>
            <w:r>
              <w:rPr>
                <w:color w:val="0D0D0D" w:themeColor="text1" w:themeTint="F2"/>
                <w:spacing w:val="0"/>
              </w:rPr>
              <w:t xml:space="preserve">hutnictví, slévárenství </w:t>
            </w:r>
            <w:r>
              <w:rPr>
                <w:color w:val="0D0D0D" w:themeColor="text1" w:themeTint="F2"/>
                <w:spacing w:val="0"/>
              </w:rPr>
              <w:br/>
              <w:t>a chemického průmyslu navázaly na</w:t>
            </w:r>
            <w:r w:rsidRPr="004A0F58">
              <w:rPr>
                <w:color w:val="0D0D0D" w:themeColor="text1" w:themeTint="F2"/>
                <w:spacing w:val="0"/>
              </w:rPr>
              <w:t xml:space="preserve"> </w:t>
            </w:r>
            <w:r>
              <w:rPr>
                <w:color w:val="0D0D0D" w:themeColor="text1" w:themeTint="F2"/>
                <w:spacing w:val="0"/>
              </w:rPr>
              <w:t>loňské</w:t>
            </w:r>
            <w:r w:rsidRPr="004A0F58">
              <w:rPr>
                <w:color w:val="0D0D0D" w:themeColor="text1" w:themeTint="F2"/>
                <w:spacing w:val="0"/>
              </w:rPr>
              <w:t xml:space="preserve"> oživení.</w:t>
            </w:r>
          </w:p>
        </w:tc>
        <w:tc>
          <w:tcPr>
            <w:tcW w:w="181" w:type="dxa"/>
            <w:tcMar>
              <w:left w:w="0" w:type="dxa"/>
            </w:tcMar>
          </w:tcPr>
          <w:p w14:paraId="66C53482" w14:textId="77777777" w:rsidR="00DD1A46" w:rsidRPr="004A0F58" w:rsidRDefault="00DD1A46" w:rsidP="00E962EE">
            <w:pPr>
              <w:pStyle w:val="Textpoznpodarou"/>
              <w:spacing w:after="240"/>
              <w:jc w:val="both"/>
              <w:rPr>
                <w:color w:val="0D0D0D" w:themeColor="text1" w:themeTint="F2"/>
              </w:rPr>
            </w:pPr>
          </w:p>
        </w:tc>
        <w:tc>
          <w:tcPr>
            <w:tcW w:w="7711" w:type="dxa"/>
            <w:tcMar>
              <w:left w:w="0" w:type="dxa"/>
            </w:tcMar>
          </w:tcPr>
          <w:p w14:paraId="367C5491" w14:textId="77777777" w:rsidR="00DD1A46" w:rsidRPr="00C87B0B" w:rsidRDefault="00DD1A46" w:rsidP="00E962EE">
            <w:pPr>
              <w:spacing w:after="200"/>
              <w:rPr>
                <w:color w:val="0D0D0D" w:themeColor="text1" w:themeTint="F2"/>
                <w:spacing w:val="-4"/>
              </w:rPr>
            </w:pPr>
            <w:r w:rsidRPr="00C87B0B">
              <w:rPr>
                <w:color w:val="0D0D0D" w:themeColor="text1" w:themeTint="F2"/>
                <w:spacing w:val="-4"/>
              </w:rPr>
              <w:t xml:space="preserve">Průmyslovou produkci letos podpořila rovněž drtivá většina energeticky náročnějších oborů vyrábějících meziprodukty. Největší vliv mělo gumárenství a </w:t>
            </w:r>
            <w:proofErr w:type="spellStart"/>
            <w:r w:rsidRPr="00C87B0B">
              <w:rPr>
                <w:color w:val="0D0D0D" w:themeColor="text1" w:themeTint="F2"/>
                <w:spacing w:val="-4"/>
              </w:rPr>
              <w:t>plastikářství</w:t>
            </w:r>
            <w:proofErr w:type="spellEnd"/>
            <w:r w:rsidRPr="00C87B0B">
              <w:rPr>
                <w:color w:val="0D0D0D" w:themeColor="text1" w:themeTint="F2"/>
                <w:spacing w:val="-4"/>
              </w:rPr>
              <w:t xml:space="preserve">, jehož </w:t>
            </w:r>
            <w:r>
              <w:rPr>
                <w:color w:val="0D0D0D" w:themeColor="text1" w:themeTint="F2"/>
                <w:spacing w:val="-4"/>
              </w:rPr>
              <w:t>2,5</w:t>
            </w:r>
            <w:r w:rsidRPr="00C87B0B">
              <w:rPr>
                <w:color w:val="0D0D0D" w:themeColor="text1" w:themeTint="F2"/>
                <w:spacing w:val="-4"/>
              </w:rPr>
              <w:t>% růst vyvěral zejména z vyšší domácí poptávky ze strany automobilového průmyslu. Chemický průmysl navázal na oživení z druhé poloviny roku 2025 a letos posílil o 4,</w:t>
            </w:r>
            <w:r>
              <w:rPr>
                <w:color w:val="0D0D0D" w:themeColor="text1" w:themeTint="F2"/>
                <w:spacing w:val="-4"/>
              </w:rPr>
              <w:t>2</w:t>
            </w:r>
            <w:r w:rsidRPr="00C87B0B">
              <w:rPr>
                <w:color w:val="0D0D0D" w:themeColor="text1" w:themeTint="F2"/>
                <w:spacing w:val="-4"/>
              </w:rPr>
              <w:t xml:space="preserve"> % (nejvíce za poslední čtyři a půl roku), z drtivé části vlivem vyšší zahraniční poptávky. Ta podpořila i produkci hutnictví</w:t>
            </w:r>
            <w:r>
              <w:rPr>
                <w:color w:val="0D0D0D" w:themeColor="text1" w:themeTint="F2"/>
                <w:spacing w:val="-4"/>
              </w:rPr>
              <w:t>, vč.</w:t>
            </w:r>
            <w:r w:rsidRPr="00C87B0B">
              <w:rPr>
                <w:color w:val="0D0D0D" w:themeColor="text1" w:themeTint="F2"/>
                <w:spacing w:val="-4"/>
              </w:rPr>
              <w:t xml:space="preserve"> slévárenství (+</w:t>
            </w:r>
            <w:r>
              <w:rPr>
                <w:color w:val="0D0D0D" w:themeColor="text1" w:themeTint="F2"/>
                <w:spacing w:val="-4"/>
              </w:rPr>
              <w:t>5</w:t>
            </w:r>
            <w:r w:rsidRPr="00C87B0B">
              <w:rPr>
                <w:color w:val="0D0D0D" w:themeColor="text1" w:themeTint="F2"/>
                <w:spacing w:val="-4"/>
              </w:rPr>
              <w:t xml:space="preserve">,1 %), které tak navázalo na loňské </w:t>
            </w:r>
            <w:r>
              <w:rPr>
                <w:color w:val="0D0D0D" w:themeColor="text1" w:themeTint="F2"/>
                <w:spacing w:val="-4"/>
              </w:rPr>
              <w:t>dílčí zotavení</w:t>
            </w:r>
            <w:r w:rsidRPr="00C87B0B">
              <w:rPr>
                <w:color w:val="0D0D0D" w:themeColor="text1" w:themeTint="F2"/>
                <w:spacing w:val="-4"/>
              </w:rPr>
              <w:t xml:space="preserve"> (po hlubokém útlumu </w:t>
            </w:r>
            <w:r>
              <w:rPr>
                <w:color w:val="0D0D0D" w:themeColor="text1" w:themeTint="F2"/>
                <w:spacing w:val="-4"/>
              </w:rPr>
              <w:t xml:space="preserve">produkce </w:t>
            </w:r>
            <w:r w:rsidRPr="00C87B0B">
              <w:rPr>
                <w:color w:val="0D0D0D" w:themeColor="text1" w:themeTint="F2"/>
                <w:spacing w:val="-4"/>
              </w:rPr>
              <w:t>v letech 2022 až 2024</w:t>
            </w:r>
            <w:r w:rsidRPr="00C87B0B">
              <w:rPr>
                <w:rStyle w:val="Znakapoznpodarou"/>
                <w:color w:val="0D0D0D" w:themeColor="text1" w:themeTint="F2"/>
                <w:spacing w:val="-4"/>
              </w:rPr>
              <w:footnoteReference w:id="17"/>
            </w:r>
            <w:r w:rsidRPr="00C87B0B">
              <w:rPr>
                <w:color w:val="0D0D0D" w:themeColor="text1" w:themeTint="F2"/>
                <w:spacing w:val="-4"/>
              </w:rPr>
              <w:t>, nejdelším a nejhlubším v současném miléniu). Mírnější (1</w:t>
            </w:r>
            <w:r>
              <w:rPr>
                <w:color w:val="0D0D0D" w:themeColor="text1" w:themeTint="F2"/>
                <w:spacing w:val="-4"/>
              </w:rPr>
              <w:t>,0</w:t>
            </w:r>
            <w:r w:rsidRPr="00C87B0B">
              <w:rPr>
                <w:color w:val="0D0D0D" w:themeColor="text1" w:themeTint="F2"/>
                <w:spacing w:val="-4"/>
              </w:rPr>
              <w:t xml:space="preserve"> až 2</w:t>
            </w:r>
            <w:r>
              <w:rPr>
                <w:color w:val="0D0D0D" w:themeColor="text1" w:themeTint="F2"/>
                <w:spacing w:val="-4"/>
              </w:rPr>
              <w:t>,5</w:t>
            </w:r>
            <w:r w:rsidRPr="00C87B0B">
              <w:rPr>
                <w:color w:val="0D0D0D" w:themeColor="text1" w:themeTint="F2"/>
                <w:spacing w:val="-4"/>
              </w:rPr>
              <w:t xml:space="preserve">%) růst pak letos zaznamenala výroba elektrických zařízení </w:t>
            </w:r>
            <w:r>
              <w:rPr>
                <w:color w:val="0D0D0D" w:themeColor="text1" w:themeTint="F2"/>
                <w:spacing w:val="-4"/>
              </w:rPr>
              <w:br/>
            </w:r>
            <w:r w:rsidRPr="00C87B0B">
              <w:rPr>
                <w:color w:val="0D0D0D" w:themeColor="text1" w:themeTint="F2"/>
                <w:spacing w:val="-4"/>
              </w:rPr>
              <w:lastRenderedPageBreak/>
              <w:t>a také menší obory papírenství a t</w:t>
            </w:r>
            <w:r>
              <w:rPr>
                <w:color w:val="0D0D0D" w:themeColor="text1" w:themeTint="F2"/>
                <w:spacing w:val="-4"/>
              </w:rPr>
              <w:t>éž</w:t>
            </w:r>
            <w:r w:rsidRPr="00C87B0B">
              <w:rPr>
                <w:color w:val="0D0D0D" w:themeColor="text1" w:themeTint="F2"/>
                <w:spacing w:val="-4"/>
              </w:rPr>
              <w:t xml:space="preserve"> textilního průmyslu, jehož klíčová část je zaměřena na výrobu netkaných textilií užitých např. ve stavebnictví. Všechny výše uvedené obory přispěly souhrnně k růstu celého průmyslu 0,6</w:t>
            </w:r>
            <w:r>
              <w:rPr>
                <w:color w:val="0D0D0D" w:themeColor="text1" w:themeTint="F2"/>
                <w:spacing w:val="-4"/>
              </w:rPr>
              <w:t>4</w:t>
            </w:r>
            <w:r w:rsidRPr="00C87B0B">
              <w:rPr>
                <w:color w:val="0D0D0D" w:themeColor="text1" w:themeTint="F2"/>
                <w:spacing w:val="-4"/>
              </w:rPr>
              <w:t xml:space="preserve"> p. b. </w:t>
            </w:r>
          </w:p>
        </w:tc>
      </w:tr>
      <w:bookmarkEnd w:id="26"/>
      <w:tr w:rsidR="00DD1A46" w:rsidRPr="004A0F58" w14:paraId="42D2ACE4" w14:textId="77777777" w:rsidTr="00E962EE">
        <w:trPr>
          <w:trHeight w:val="145"/>
        </w:trPr>
        <w:tc>
          <w:tcPr>
            <w:tcW w:w="1814" w:type="dxa"/>
            <w:tcMar>
              <w:left w:w="0" w:type="dxa"/>
            </w:tcMar>
          </w:tcPr>
          <w:p w14:paraId="531FB618" w14:textId="77777777" w:rsidR="00DD1A46" w:rsidRDefault="00DD1A46" w:rsidP="00E962EE">
            <w:pPr>
              <w:pStyle w:val="Marginlie"/>
              <w:rPr>
                <w:color w:val="0D0D0D" w:themeColor="text1" w:themeTint="F2"/>
                <w:spacing w:val="0"/>
              </w:rPr>
            </w:pPr>
            <w:r>
              <w:rPr>
                <w:color w:val="0D0D0D" w:themeColor="text1" w:themeTint="F2"/>
                <w:spacing w:val="0"/>
              </w:rPr>
              <w:lastRenderedPageBreak/>
              <w:t>Výroba elektřiny se zvýšila především díky paroplynovým elektrárnám.</w:t>
            </w:r>
          </w:p>
          <w:p w14:paraId="02999B5A" w14:textId="77777777" w:rsidR="00DD1A46" w:rsidRDefault="00DD1A46" w:rsidP="00E962EE">
            <w:pPr>
              <w:pStyle w:val="Marginlie"/>
              <w:rPr>
                <w:color w:val="0D0D0D" w:themeColor="text1" w:themeTint="F2"/>
                <w:spacing w:val="0"/>
              </w:rPr>
            </w:pPr>
          </w:p>
          <w:p w14:paraId="59E97CFF" w14:textId="77777777" w:rsidR="00DD1A46" w:rsidRDefault="00DD1A46" w:rsidP="00E962EE">
            <w:pPr>
              <w:pStyle w:val="Marginlie"/>
              <w:rPr>
                <w:color w:val="0D0D0D" w:themeColor="text1" w:themeTint="F2"/>
                <w:spacing w:val="0"/>
              </w:rPr>
            </w:pPr>
          </w:p>
          <w:p w14:paraId="6D6D3068" w14:textId="77777777" w:rsidR="00DD1A46" w:rsidRDefault="00DD1A46" w:rsidP="00E962EE">
            <w:pPr>
              <w:pStyle w:val="Marginlie"/>
              <w:spacing w:line="240" w:lineRule="auto"/>
              <w:rPr>
                <w:color w:val="0D0D0D" w:themeColor="text1" w:themeTint="F2"/>
                <w:spacing w:val="0"/>
              </w:rPr>
            </w:pPr>
          </w:p>
          <w:p w14:paraId="10E6FA99" w14:textId="77777777" w:rsidR="00DD1A46" w:rsidRDefault="00DD1A46" w:rsidP="00E962EE">
            <w:pPr>
              <w:pStyle w:val="Marginlie"/>
              <w:spacing w:line="240" w:lineRule="auto"/>
              <w:rPr>
                <w:color w:val="0D0D0D" w:themeColor="text1" w:themeTint="F2"/>
                <w:spacing w:val="0"/>
              </w:rPr>
            </w:pPr>
          </w:p>
          <w:p w14:paraId="082879F4" w14:textId="77777777" w:rsidR="00DD1A46" w:rsidRPr="004A0F58" w:rsidRDefault="00DD1A46" w:rsidP="00E962EE">
            <w:pPr>
              <w:pStyle w:val="Marginlie"/>
              <w:spacing w:line="240" w:lineRule="auto"/>
              <w:rPr>
                <w:color w:val="0D0D0D" w:themeColor="text1" w:themeTint="F2"/>
                <w:spacing w:val="0"/>
              </w:rPr>
            </w:pPr>
          </w:p>
          <w:p w14:paraId="13DB4C3A" w14:textId="77777777" w:rsidR="00DD1A46" w:rsidRDefault="00DD1A46" w:rsidP="00E962EE">
            <w:pPr>
              <w:pStyle w:val="Marginlie"/>
              <w:spacing w:after="240"/>
              <w:rPr>
                <w:color w:val="0D0D0D" w:themeColor="text1" w:themeTint="F2"/>
                <w:spacing w:val="0"/>
              </w:rPr>
            </w:pPr>
            <w:r w:rsidRPr="004A0F58">
              <w:rPr>
                <w:color w:val="0D0D0D" w:themeColor="text1" w:themeTint="F2"/>
                <w:spacing w:val="0"/>
              </w:rPr>
              <w:t>Tuzemská spotřeba elektřiny i plynu</w:t>
            </w:r>
            <w:r>
              <w:rPr>
                <w:color w:val="0D0D0D" w:themeColor="text1" w:themeTint="F2"/>
                <w:spacing w:val="0"/>
              </w:rPr>
              <w:t xml:space="preserve"> </w:t>
            </w:r>
            <w:r w:rsidRPr="004A0F58">
              <w:rPr>
                <w:color w:val="0D0D0D" w:themeColor="text1" w:themeTint="F2"/>
                <w:spacing w:val="0"/>
              </w:rPr>
              <w:t>druhým rokem v řadě mírně rostla.</w:t>
            </w:r>
            <w:r>
              <w:rPr>
                <w:color w:val="0D0D0D" w:themeColor="text1" w:themeTint="F2"/>
                <w:spacing w:val="0"/>
              </w:rPr>
              <w:t xml:space="preserve"> Projevila se menší ochota zákazníků k dalším úsporám, ale také vliv chladnějšího počasí v lednu a dubnu.</w:t>
            </w:r>
          </w:p>
        </w:tc>
        <w:tc>
          <w:tcPr>
            <w:tcW w:w="181" w:type="dxa"/>
            <w:tcMar>
              <w:left w:w="0" w:type="dxa"/>
            </w:tcMar>
          </w:tcPr>
          <w:p w14:paraId="5F080497" w14:textId="77777777" w:rsidR="00DD1A46" w:rsidRPr="004A0F58" w:rsidRDefault="00DD1A46" w:rsidP="00E962EE">
            <w:pPr>
              <w:pStyle w:val="Textpoznpodarou"/>
              <w:spacing w:after="240"/>
              <w:jc w:val="both"/>
              <w:rPr>
                <w:color w:val="0D0D0D" w:themeColor="text1" w:themeTint="F2"/>
              </w:rPr>
            </w:pPr>
          </w:p>
        </w:tc>
        <w:tc>
          <w:tcPr>
            <w:tcW w:w="7711" w:type="dxa"/>
            <w:tcMar>
              <w:left w:w="0" w:type="dxa"/>
            </w:tcMar>
          </w:tcPr>
          <w:p w14:paraId="51A5058C" w14:textId="7773C9AE" w:rsidR="00DD1A46" w:rsidRPr="00DC2D30" w:rsidRDefault="00DD1A46" w:rsidP="00E962EE">
            <w:pPr>
              <w:spacing w:after="200"/>
              <w:rPr>
                <w:color w:val="0D0D0D" w:themeColor="text1" w:themeTint="F2"/>
                <w:spacing w:val="-4"/>
              </w:rPr>
            </w:pPr>
            <w:r w:rsidRPr="00DC2D30">
              <w:rPr>
                <w:color w:val="0D0D0D" w:themeColor="text1" w:themeTint="F2"/>
                <w:spacing w:val="-4"/>
              </w:rPr>
              <w:t xml:space="preserve">Vedle toho působilo </w:t>
            </w:r>
            <w:proofErr w:type="spellStart"/>
            <w:r w:rsidRPr="00DC2D30">
              <w:rPr>
                <w:color w:val="0D0D0D" w:themeColor="text1" w:themeTint="F2"/>
                <w:spacing w:val="-4"/>
              </w:rPr>
              <w:t>prorůstově</w:t>
            </w:r>
            <w:proofErr w:type="spellEnd"/>
            <w:r w:rsidRPr="00DC2D30">
              <w:rPr>
                <w:color w:val="0D0D0D" w:themeColor="text1" w:themeTint="F2"/>
                <w:spacing w:val="-4"/>
              </w:rPr>
              <w:t xml:space="preserve"> i významné odvětví energetiky, jehož produkce letos posílila o 2,7 % a k růstu celého průmyslu přispěla 0,23 p. b. Čistá výroba elektřiny v 1. pololetí meziročně vzrostla o 2,6 % (na 37,3 </w:t>
            </w:r>
            <w:proofErr w:type="spellStart"/>
            <w:r w:rsidRPr="00DC2D30">
              <w:rPr>
                <w:color w:val="0D0D0D" w:themeColor="text1" w:themeTint="F2"/>
                <w:spacing w:val="-4"/>
              </w:rPr>
              <w:t>TWh</w:t>
            </w:r>
            <w:proofErr w:type="spellEnd"/>
            <w:r w:rsidRPr="00DC2D30">
              <w:rPr>
                <w:color w:val="0D0D0D" w:themeColor="text1" w:themeTint="F2"/>
                <w:spacing w:val="-4"/>
              </w:rPr>
              <w:t>), především díky vyšší produkci paroplynových elektráren (+28 %). Více dodaly i přečerpávací vodní elektrárny (+33 %) a fotovoltaické elektrárny (+6,7 %, při růstu instalovaného výkonu o 9,6 %). Naopak vlivem plánovaných letošních technologických odstávek i vysoké loňské srovnávací základny klesla produkce z jaderných zařízení (−1,2 %), menší celkový vliv měl i pokles u vodních (−17,7 %) a</w:t>
            </w:r>
            <w:r w:rsidR="009B1F0B">
              <w:rPr>
                <w:color w:val="0D0D0D" w:themeColor="text1" w:themeTint="F2"/>
                <w:spacing w:val="-4"/>
              </w:rPr>
              <w:t> </w:t>
            </w:r>
            <w:r w:rsidRPr="00DC2D30">
              <w:rPr>
                <w:color w:val="0D0D0D" w:themeColor="text1" w:themeTint="F2"/>
                <w:spacing w:val="-4"/>
              </w:rPr>
              <w:t>větrných elektráren (−7,9 %). Rostla rovněž celková tuzemská spotřeba elektřiny a</w:t>
            </w:r>
            <w:r w:rsidR="009B1F0B">
              <w:rPr>
                <w:color w:val="0D0D0D" w:themeColor="text1" w:themeTint="F2"/>
                <w:spacing w:val="-4"/>
              </w:rPr>
              <w:t> </w:t>
            </w:r>
            <w:r w:rsidRPr="00DC2D30">
              <w:rPr>
                <w:color w:val="0D0D0D" w:themeColor="text1" w:themeTint="F2"/>
                <w:spacing w:val="-4"/>
              </w:rPr>
              <w:t>potvrdila tak změnu trendu od poloviny roku 2024. Vyšší poptávka byla patrná napříč celým segmentem trhu</w:t>
            </w:r>
            <w:r w:rsidRPr="00DC2D30">
              <w:rPr>
                <w:rStyle w:val="Znakapoznpodarou"/>
                <w:color w:val="0D0D0D" w:themeColor="text1" w:themeTint="F2"/>
                <w:spacing w:val="-4"/>
              </w:rPr>
              <w:footnoteReference w:id="18"/>
            </w:r>
            <w:r w:rsidRPr="00DC2D30">
              <w:rPr>
                <w:color w:val="0D0D0D" w:themeColor="text1" w:themeTint="F2"/>
                <w:spacing w:val="-4"/>
              </w:rPr>
              <w:t>. Druhý rok v řadě se mírně zvýšila i spotřeba plynu</w:t>
            </w:r>
            <w:r w:rsidRPr="00DC2D30">
              <w:rPr>
                <w:rStyle w:val="Znakapoznpodarou"/>
                <w:color w:val="0D0D0D" w:themeColor="text1" w:themeTint="F2"/>
                <w:spacing w:val="-4"/>
              </w:rPr>
              <w:footnoteReference w:id="19"/>
            </w:r>
            <w:r w:rsidRPr="00DC2D30">
              <w:rPr>
                <w:color w:val="0D0D0D" w:themeColor="text1" w:themeTint="F2"/>
                <w:spacing w:val="-4"/>
              </w:rPr>
              <w:t>. Nárůst spotřeby elektřiny i plynu odrážel vliv chladnějšího počasí letos v lednu i dubnu</w:t>
            </w:r>
            <w:r w:rsidRPr="00DC2D30">
              <w:rPr>
                <w:rStyle w:val="Znakapoznpodarou"/>
                <w:color w:val="0D0D0D" w:themeColor="text1" w:themeTint="F2"/>
                <w:spacing w:val="-4"/>
              </w:rPr>
              <w:footnoteReference w:id="20"/>
            </w:r>
            <w:r w:rsidRPr="00DC2D30">
              <w:rPr>
                <w:color w:val="0D0D0D" w:themeColor="text1" w:themeTint="F2"/>
                <w:spacing w:val="-4"/>
              </w:rPr>
              <w:t>. Opačný vliv měla klesající motivace k dalším úsporám ve spotřebě (zejména v domácnostech). Ta se snížila i vlivem stabilizace a následného zlevňování cen energií, jež bylo znatelnější hlavně u zemního plynu. Do vyšší spotřeby se navíc promítaly příznivější finanční situace domácností i postupné oživení výkonu ekonomiky doprovázené stabilizací poptávky v některých energeticky náročných průmyslových oborech.</w:t>
            </w:r>
          </w:p>
        </w:tc>
      </w:tr>
      <w:tr w:rsidR="00DD1A46" w:rsidRPr="004A0F58" w14:paraId="43295E42" w14:textId="77777777" w:rsidTr="00E962EE">
        <w:trPr>
          <w:trHeight w:val="145"/>
        </w:trPr>
        <w:tc>
          <w:tcPr>
            <w:tcW w:w="1814" w:type="dxa"/>
            <w:tcMar>
              <w:left w:w="0" w:type="dxa"/>
            </w:tcMar>
          </w:tcPr>
          <w:p w14:paraId="273F8949" w14:textId="77777777" w:rsidR="00DD1A46" w:rsidRPr="004A0F58" w:rsidRDefault="00DD1A46" w:rsidP="00E962EE">
            <w:pPr>
              <w:pStyle w:val="Marginlie"/>
              <w:spacing w:after="240"/>
              <w:rPr>
                <w:color w:val="0D0D0D" w:themeColor="text1" w:themeTint="F2"/>
                <w:spacing w:val="0"/>
              </w:rPr>
            </w:pPr>
            <w:r>
              <w:rPr>
                <w:color w:val="0D0D0D" w:themeColor="text1" w:themeTint="F2"/>
                <w:spacing w:val="0"/>
              </w:rPr>
              <w:t xml:space="preserve">Mírný růst potravinářství pokračoval díky tuzemské poptávce. Výrazněji ožil obuvnický a kožedělný průmysl. </w:t>
            </w:r>
          </w:p>
        </w:tc>
        <w:tc>
          <w:tcPr>
            <w:tcW w:w="181" w:type="dxa"/>
            <w:tcMar>
              <w:left w:w="0" w:type="dxa"/>
            </w:tcMar>
          </w:tcPr>
          <w:p w14:paraId="4B8282EC" w14:textId="77777777" w:rsidR="00DD1A46" w:rsidRPr="004A0F58" w:rsidRDefault="00DD1A46" w:rsidP="00E962EE">
            <w:pPr>
              <w:pStyle w:val="Textpoznpodarou"/>
              <w:spacing w:after="240"/>
              <w:jc w:val="both"/>
              <w:rPr>
                <w:color w:val="0D0D0D" w:themeColor="text1" w:themeTint="F2"/>
              </w:rPr>
            </w:pPr>
          </w:p>
        </w:tc>
        <w:tc>
          <w:tcPr>
            <w:tcW w:w="7711" w:type="dxa"/>
            <w:tcMar>
              <w:left w:w="0" w:type="dxa"/>
            </w:tcMar>
          </w:tcPr>
          <w:p w14:paraId="68E5638F" w14:textId="77777777" w:rsidR="00DD1A46" w:rsidRPr="00DC2D30" w:rsidRDefault="00DD1A46" w:rsidP="00E962EE">
            <w:pPr>
              <w:spacing w:after="200"/>
              <w:rPr>
                <w:color w:val="0D0D0D" w:themeColor="text1" w:themeTint="F2"/>
                <w:spacing w:val="-4"/>
              </w:rPr>
            </w:pPr>
            <w:r w:rsidRPr="00DC2D30">
              <w:rPr>
                <w:color w:val="0D0D0D" w:themeColor="text1" w:themeTint="F2"/>
                <w:spacing w:val="-4"/>
              </w:rPr>
              <w:t xml:space="preserve">Z oborů vyrábějících spotřební zboží díky rostoucí kupní síle domácností i jejich důvěře v ekonomiku profitoval obor ostatní zpracovatelský průmysl zahrnující např. výrobu sportovních potřeb, her, hraček či bižuterie. Růst produkce zde vystoupal na 5,7 %, a to výhradně díky sílící zahraniční poptávce. Mírněji vzrostl výkon v potravinářství (+1,5 %) </w:t>
            </w:r>
            <w:r w:rsidRPr="00DC2D30">
              <w:rPr>
                <w:color w:val="0D0D0D" w:themeColor="text1" w:themeTint="F2"/>
                <w:spacing w:val="-4"/>
              </w:rPr>
              <w:br/>
              <w:t xml:space="preserve">a výrobě nápojů (+2,6 %), pro něž je tradičně určující tuzemská poptávka. Ta významně pomohla v oživení obuvnického a kožedělného průmyslu (+7,3 %) a také v oděvnictví </w:t>
            </w:r>
            <w:r w:rsidRPr="00DC2D30">
              <w:rPr>
                <w:color w:val="0D0D0D" w:themeColor="text1" w:themeTint="F2"/>
                <w:spacing w:val="-4"/>
              </w:rPr>
              <w:br/>
              <w:t>(+3,4 %). Výše uvedené „spotřební obory“ přispěly letos v součtu k růstu celého průmyslu pouze 0,28 p. b.</w:t>
            </w:r>
          </w:p>
        </w:tc>
      </w:tr>
      <w:tr w:rsidR="00DD1A46" w:rsidRPr="004A0F58" w14:paraId="42DB9659" w14:textId="77777777" w:rsidTr="00E962EE">
        <w:trPr>
          <w:trHeight w:val="145"/>
        </w:trPr>
        <w:tc>
          <w:tcPr>
            <w:tcW w:w="1814" w:type="dxa"/>
            <w:tcMar>
              <w:left w:w="0" w:type="dxa"/>
            </w:tcMar>
          </w:tcPr>
          <w:p w14:paraId="2511E6BD" w14:textId="77777777" w:rsidR="00DD1A46" w:rsidRDefault="00DD1A46" w:rsidP="00E962EE">
            <w:pPr>
              <w:pStyle w:val="Marginlie"/>
              <w:rPr>
                <w:color w:val="0D0D0D" w:themeColor="text1" w:themeTint="F2"/>
                <w:spacing w:val="0"/>
              </w:rPr>
            </w:pPr>
            <w:r>
              <w:rPr>
                <w:color w:val="0D0D0D" w:themeColor="text1" w:themeTint="F2"/>
                <w:spacing w:val="0"/>
              </w:rPr>
              <w:t>Proti růstu průmyslu působilo nejvíce strojírenství limitované</w:t>
            </w:r>
            <w:r w:rsidRPr="004A0F58">
              <w:rPr>
                <w:color w:val="0D0D0D" w:themeColor="text1" w:themeTint="F2"/>
                <w:spacing w:val="0"/>
              </w:rPr>
              <w:t xml:space="preserve"> slabší zahraniční poptávk</w:t>
            </w:r>
            <w:r>
              <w:rPr>
                <w:color w:val="0D0D0D" w:themeColor="text1" w:themeTint="F2"/>
                <w:spacing w:val="0"/>
              </w:rPr>
              <w:t>ou</w:t>
            </w:r>
            <w:r w:rsidRPr="004A0F58">
              <w:rPr>
                <w:color w:val="0D0D0D" w:themeColor="text1" w:themeTint="F2"/>
                <w:spacing w:val="0"/>
              </w:rPr>
              <w:t>.</w:t>
            </w:r>
          </w:p>
          <w:p w14:paraId="3ACDB58E" w14:textId="77777777" w:rsidR="00DD1A46" w:rsidRDefault="00DD1A46" w:rsidP="00E962EE">
            <w:pPr>
              <w:pStyle w:val="Marginlie"/>
              <w:rPr>
                <w:color w:val="0D0D0D" w:themeColor="text1" w:themeTint="F2"/>
                <w:spacing w:val="0"/>
              </w:rPr>
            </w:pPr>
            <w:r>
              <w:rPr>
                <w:color w:val="0D0D0D" w:themeColor="text1" w:themeTint="F2"/>
                <w:spacing w:val="0"/>
              </w:rPr>
              <w:t xml:space="preserve">V těžbě uhlí pokračoval </w:t>
            </w:r>
            <w:r w:rsidRPr="00084363">
              <w:rPr>
                <w:color w:val="0D0D0D" w:themeColor="text1" w:themeTint="F2"/>
                <w:spacing w:val="-4"/>
              </w:rPr>
              <w:t xml:space="preserve">řízený útlum. </w:t>
            </w:r>
            <w:r>
              <w:rPr>
                <w:color w:val="0D0D0D" w:themeColor="text1" w:themeTint="F2"/>
                <w:spacing w:val="-4"/>
              </w:rPr>
              <w:t>Nadále</w:t>
            </w:r>
            <w:r>
              <w:rPr>
                <w:color w:val="0D0D0D" w:themeColor="text1" w:themeTint="F2"/>
                <w:spacing w:val="0"/>
              </w:rPr>
              <w:t xml:space="preserve"> se snižovala i těžba stavebních materiálů. </w:t>
            </w:r>
          </w:p>
          <w:p w14:paraId="00BADAB6" w14:textId="77777777" w:rsidR="00DD1A46" w:rsidRPr="004A0F58" w:rsidRDefault="00DD1A46" w:rsidP="00E962EE">
            <w:pPr>
              <w:pStyle w:val="Marginlie"/>
              <w:spacing w:after="240"/>
              <w:rPr>
                <w:color w:val="0D0D0D" w:themeColor="text1" w:themeTint="F2"/>
                <w:spacing w:val="0"/>
              </w:rPr>
            </w:pPr>
          </w:p>
        </w:tc>
        <w:tc>
          <w:tcPr>
            <w:tcW w:w="181" w:type="dxa"/>
            <w:tcMar>
              <w:left w:w="0" w:type="dxa"/>
            </w:tcMar>
          </w:tcPr>
          <w:p w14:paraId="1B652E98" w14:textId="77777777" w:rsidR="00DD1A46" w:rsidRPr="004A0F58" w:rsidRDefault="00DD1A46" w:rsidP="00E962EE">
            <w:pPr>
              <w:pStyle w:val="Textpoznpodarou"/>
              <w:spacing w:after="240"/>
              <w:jc w:val="both"/>
              <w:rPr>
                <w:color w:val="0D0D0D" w:themeColor="text1" w:themeTint="F2"/>
              </w:rPr>
            </w:pPr>
          </w:p>
        </w:tc>
        <w:tc>
          <w:tcPr>
            <w:tcW w:w="7711" w:type="dxa"/>
            <w:tcMar>
              <w:left w:w="0" w:type="dxa"/>
            </w:tcMar>
          </w:tcPr>
          <w:p w14:paraId="13B932B9" w14:textId="77777777" w:rsidR="00DD1A46" w:rsidRPr="00C87B0B" w:rsidRDefault="00DD1A46" w:rsidP="00E962EE">
            <w:pPr>
              <w:spacing w:after="200"/>
              <w:rPr>
                <w:color w:val="0D0D0D" w:themeColor="text1" w:themeTint="F2"/>
                <w:spacing w:val="-4"/>
              </w:rPr>
            </w:pPr>
            <w:r w:rsidRPr="00C87B0B">
              <w:rPr>
                <w:color w:val="0D0D0D" w:themeColor="text1" w:themeTint="F2"/>
                <w:spacing w:val="-4"/>
              </w:rPr>
              <w:t>Růst výkonu tuzemského průmyslu letos (stejně jako v první polovině loňského roku) nejvíce tlumilo strojírenství, kde produkce meziročně klesla o 2,</w:t>
            </w:r>
            <w:r>
              <w:rPr>
                <w:color w:val="0D0D0D" w:themeColor="text1" w:themeTint="F2"/>
                <w:spacing w:val="-4"/>
              </w:rPr>
              <w:t>5</w:t>
            </w:r>
            <w:r w:rsidRPr="00C87B0B">
              <w:rPr>
                <w:color w:val="0D0D0D" w:themeColor="text1" w:themeTint="F2"/>
                <w:spacing w:val="-4"/>
              </w:rPr>
              <w:t xml:space="preserve"> % a nadále postrádala výraznější odbytový impuls zejména ze zahraničí. Aktuálně se nedařilo ani oboru opravy strojů a zařízení zaměřenému tradičně spíše na domácí trh (např. opravy jaderných zařízení). Výkon </w:t>
            </w:r>
            <w:r>
              <w:rPr>
                <w:color w:val="0D0D0D" w:themeColor="text1" w:themeTint="F2"/>
                <w:spacing w:val="-4"/>
              </w:rPr>
              <w:t>se tu snížil</w:t>
            </w:r>
            <w:r w:rsidRPr="00C87B0B">
              <w:rPr>
                <w:color w:val="0D0D0D" w:themeColor="text1" w:themeTint="F2"/>
                <w:spacing w:val="-4"/>
              </w:rPr>
              <w:t xml:space="preserve"> o </w:t>
            </w:r>
            <w:r>
              <w:rPr>
                <w:color w:val="0D0D0D" w:themeColor="text1" w:themeTint="F2"/>
                <w:spacing w:val="-4"/>
              </w:rPr>
              <w:t>5</w:t>
            </w:r>
            <w:r w:rsidRPr="00C87B0B">
              <w:rPr>
                <w:color w:val="0D0D0D" w:themeColor="text1" w:themeTint="F2"/>
                <w:spacing w:val="-4"/>
              </w:rPr>
              <w:t>,</w:t>
            </w:r>
            <w:r>
              <w:rPr>
                <w:color w:val="0D0D0D" w:themeColor="text1" w:themeTint="F2"/>
                <w:spacing w:val="-4"/>
              </w:rPr>
              <w:t>1</w:t>
            </w:r>
            <w:r w:rsidRPr="00C87B0B">
              <w:rPr>
                <w:color w:val="0D0D0D" w:themeColor="text1" w:themeTint="F2"/>
                <w:spacing w:val="-4"/>
              </w:rPr>
              <w:t xml:space="preserve"> %</w:t>
            </w:r>
            <w:r>
              <w:rPr>
                <w:color w:val="0D0D0D" w:themeColor="text1" w:themeTint="F2"/>
                <w:spacing w:val="-4"/>
              </w:rPr>
              <w:t xml:space="preserve"> </w:t>
            </w:r>
            <w:r w:rsidRPr="00BA76C1">
              <w:rPr>
                <w:color w:val="0D0D0D" w:themeColor="text1" w:themeTint="F2"/>
                <w:spacing w:val="-4"/>
              </w:rPr>
              <w:t>−</w:t>
            </w:r>
            <w:r>
              <w:rPr>
                <w:color w:val="0D0D0D" w:themeColor="text1" w:themeTint="F2"/>
                <w:spacing w:val="-4"/>
              </w:rPr>
              <w:t xml:space="preserve"> nejvíce </w:t>
            </w:r>
            <w:r w:rsidRPr="00C87B0B">
              <w:rPr>
                <w:color w:val="0D0D0D" w:themeColor="text1" w:themeTint="F2"/>
                <w:spacing w:val="-4"/>
              </w:rPr>
              <w:t>za posledních pět a půl roku. Výše uvedené „investiční obory“ působily proti růstu celého průmyslu v úhrnu 0,</w:t>
            </w:r>
            <w:r>
              <w:rPr>
                <w:color w:val="0D0D0D" w:themeColor="text1" w:themeTint="F2"/>
                <w:spacing w:val="-4"/>
              </w:rPr>
              <w:t>35</w:t>
            </w:r>
            <w:r w:rsidRPr="00C87B0B">
              <w:rPr>
                <w:color w:val="0D0D0D" w:themeColor="text1" w:themeTint="F2"/>
                <w:spacing w:val="-4"/>
              </w:rPr>
              <w:t xml:space="preserve"> p. b. S hlubšími problémy se stále potýkaly některé vesměs energeticky náročné obory vyrábějící meziprodukty. V těžbě </w:t>
            </w:r>
            <w:r>
              <w:rPr>
                <w:color w:val="0D0D0D" w:themeColor="text1" w:themeTint="F2"/>
                <w:spacing w:val="-4"/>
              </w:rPr>
              <w:br/>
            </w:r>
            <w:r w:rsidRPr="00C87B0B">
              <w:rPr>
                <w:color w:val="0D0D0D" w:themeColor="text1" w:themeTint="F2"/>
                <w:spacing w:val="-4"/>
              </w:rPr>
              <w:t xml:space="preserve">a dobývání produkce meziročně </w:t>
            </w:r>
            <w:r>
              <w:rPr>
                <w:color w:val="0D0D0D" w:themeColor="text1" w:themeTint="F2"/>
                <w:spacing w:val="-4"/>
              </w:rPr>
              <w:t>klesl</w:t>
            </w:r>
            <w:r w:rsidRPr="00C87B0B">
              <w:rPr>
                <w:color w:val="0D0D0D" w:themeColor="text1" w:themeTint="F2"/>
                <w:spacing w:val="-4"/>
              </w:rPr>
              <w:t>a o 4,</w:t>
            </w:r>
            <w:r>
              <w:rPr>
                <w:color w:val="0D0D0D" w:themeColor="text1" w:themeTint="F2"/>
                <w:spacing w:val="-4"/>
              </w:rPr>
              <w:t>1</w:t>
            </w:r>
            <w:r w:rsidRPr="00C87B0B">
              <w:rPr>
                <w:color w:val="0D0D0D" w:themeColor="text1" w:themeTint="F2"/>
                <w:spacing w:val="-4"/>
              </w:rPr>
              <w:t xml:space="preserve"> %. Pokračoval útlum těžby uhlí (na přelomu roku 2025 a 2026 se v Česku zcela zastavila těžba černého uhlí). </w:t>
            </w:r>
            <w:r>
              <w:rPr>
                <w:color w:val="0D0D0D" w:themeColor="text1" w:themeTint="F2"/>
                <w:spacing w:val="-4"/>
              </w:rPr>
              <w:t>Produkce se mírněji snížila</w:t>
            </w:r>
            <w:r w:rsidRPr="00C87B0B">
              <w:rPr>
                <w:color w:val="0D0D0D" w:themeColor="text1" w:themeTint="F2"/>
                <w:spacing w:val="-4"/>
              </w:rPr>
              <w:t xml:space="preserve"> </w:t>
            </w:r>
            <w:r>
              <w:rPr>
                <w:color w:val="0D0D0D" w:themeColor="text1" w:themeTint="F2"/>
                <w:spacing w:val="-4"/>
              </w:rPr>
              <w:t>v</w:t>
            </w:r>
            <w:r w:rsidRPr="00C87B0B">
              <w:rPr>
                <w:color w:val="0D0D0D" w:themeColor="text1" w:themeTint="F2"/>
                <w:spacing w:val="-4"/>
              </w:rPr>
              <w:t xml:space="preserve"> těžb</w:t>
            </w:r>
            <w:r>
              <w:rPr>
                <w:color w:val="0D0D0D" w:themeColor="text1" w:themeTint="F2"/>
                <w:spacing w:val="-4"/>
              </w:rPr>
              <w:t>ě</w:t>
            </w:r>
            <w:r w:rsidRPr="00C87B0B">
              <w:rPr>
                <w:color w:val="0D0D0D" w:themeColor="text1" w:themeTint="F2"/>
                <w:spacing w:val="-4"/>
              </w:rPr>
              <w:t xml:space="preserve"> stavebních materiálů</w:t>
            </w:r>
            <w:r>
              <w:rPr>
                <w:color w:val="0D0D0D" w:themeColor="text1" w:themeTint="F2"/>
                <w:spacing w:val="-4"/>
              </w:rPr>
              <w:t xml:space="preserve"> a</w:t>
            </w:r>
            <w:r w:rsidRPr="00C87B0B">
              <w:rPr>
                <w:color w:val="0D0D0D" w:themeColor="text1" w:themeTint="F2"/>
                <w:spacing w:val="-4"/>
              </w:rPr>
              <w:t xml:space="preserve"> její pokles pokračoval v zásadě již čtvrtý rok v řadě. Rostoucí poptávka zde kromě zvýšených výrobních nákladů stále více narážela na současné limity dané počtem povolených dobývacích prostor. Nepatrně se snížila </w:t>
            </w:r>
            <w:r>
              <w:rPr>
                <w:color w:val="0D0D0D" w:themeColor="text1" w:themeTint="F2"/>
                <w:spacing w:val="-4"/>
              </w:rPr>
              <w:t>rovněž</w:t>
            </w:r>
            <w:r w:rsidRPr="00C87B0B">
              <w:rPr>
                <w:color w:val="0D0D0D" w:themeColor="text1" w:themeTint="F2"/>
                <w:spacing w:val="-4"/>
              </w:rPr>
              <w:t xml:space="preserve"> produkce dřevozpracujícího průmyslu, neboť sílící tuzemská poptávka zde nedokázala plně vykompenzovat slabší odbyt v zahraničí.</w:t>
            </w:r>
          </w:p>
        </w:tc>
      </w:tr>
      <w:tr w:rsidR="00DD1A46" w:rsidRPr="004A0F58" w14:paraId="57CEA3D6" w14:textId="77777777" w:rsidTr="00E962EE">
        <w:trPr>
          <w:trHeight w:val="145"/>
        </w:trPr>
        <w:tc>
          <w:tcPr>
            <w:tcW w:w="1814" w:type="dxa"/>
            <w:tcMar>
              <w:left w:w="0" w:type="dxa"/>
            </w:tcMar>
          </w:tcPr>
          <w:p w14:paraId="7D2399D3" w14:textId="77777777" w:rsidR="00DD1A46" w:rsidRPr="004A0F58" w:rsidRDefault="00DD1A46" w:rsidP="00E962EE">
            <w:pPr>
              <w:pStyle w:val="Marginlie"/>
              <w:spacing w:after="240"/>
              <w:rPr>
                <w:color w:val="0D0D0D" w:themeColor="text1" w:themeTint="F2"/>
                <w:spacing w:val="0"/>
              </w:rPr>
            </w:pPr>
            <w:r>
              <w:rPr>
                <w:color w:val="0D0D0D" w:themeColor="text1" w:themeTint="F2"/>
                <w:spacing w:val="0"/>
              </w:rPr>
              <w:t xml:space="preserve">Propad produkce v nábytkářství souvisel </w:t>
            </w:r>
            <w:r>
              <w:rPr>
                <w:color w:val="0D0D0D" w:themeColor="text1" w:themeTint="F2"/>
                <w:spacing w:val="0"/>
              </w:rPr>
              <w:lastRenderedPageBreak/>
              <w:t>s výpadkem zahraniční poptávky.</w:t>
            </w:r>
          </w:p>
        </w:tc>
        <w:tc>
          <w:tcPr>
            <w:tcW w:w="181" w:type="dxa"/>
            <w:tcMar>
              <w:left w:w="0" w:type="dxa"/>
            </w:tcMar>
          </w:tcPr>
          <w:p w14:paraId="59D132BB" w14:textId="77777777" w:rsidR="00DD1A46" w:rsidRPr="004A0F58" w:rsidRDefault="00DD1A46" w:rsidP="00E962EE">
            <w:pPr>
              <w:pStyle w:val="Textpoznpodarou"/>
              <w:spacing w:after="240"/>
              <w:jc w:val="both"/>
              <w:rPr>
                <w:color w:val="0D0D0D" w:themeColor="text1" w:themeTint="F2"/>
              </w:rPr>
            </w:pPr>
          </w:p>
        </w:tc>
        <w:tc>
          <w:tcPr>
            <w:tcW w:w="7711" w:type="dxa"/>
            <w:tcMar>
              <w:left w:w="0" w:type="dxa"/>
            </w:tcMar>
          </w:tcPr>
          <w:p w14:paraId="49940C2C" w14:textId="77777777" w:rsidR="00DD1A46" w:rsidRDefault="00DD1A46" w:rsidP="00E962EE">
            <w:pPr>
              <w:spacing w:after="0"/>
              <w:rPr>
                <w:color w:val="0D0D0D" w:themeColor="text1" w:themeTint="F2"/>
                <w:spacing w:val="-2"/>
              </w:rPr>
            </w:pPr>
            <w:r>
              <w:rPr>
                <w:color w:val="0D0D0D" w:themeColor="text1" w:themeTint="F2"/>
                <w:spacing w:val="-2"/>
              </w:rPr>
              <w:t>Výkon</w:t>
            </w:r>
            <w:r w:rsidRPr="009D2D2C">
              <w:rPr>
                <w:color w:val="0D0D0D" w:themeColor="text1" w:themeTint="F2"/>
                <w:spacing w:val="-2"/>
              </w:rPr>
              <w:t xml:space="preserve"> se letos snížil i v některých malých oborech zaměřených na tvorbu produktů krátkodobé či dlouhodobé spotřeby.</w:t>
            </w:r>
            <w:r>
              <w:rPr>
                <w:color w:val="0D0D0D" w:themeColor="text1" w:themeTint="F2"/>
                <w:spacing w:val="-2"/>
              </w:rPr>
              <w:t xml:space="preserve"> </w:t>
            </w:r>
            <w:r>
              <w:rPr>
                <w:color w:val="0D0D0D" w:themeColor="text1" w:themeTint="F2"/>
                <w:spacing w:val="-4"/>
              </w:rPr>
              <w:t xml:space="preserve">V nábytkářském průmyslu se produkce meziročně propadla téměř o desetinu, tedy nejvíce ze všech průmyslových oborů. V pozadí stál </w:t>
            </w:r>
            <w:r>
              <w:rPr>
                <w:color w:val="0D0D0D" w:themeColor="text1" w:themeTint="F2"/>
                <w:spacing w:val="-4"/>
              </w:rPr>
              <w:lastRenderedPageBreak/>
              <w:t>výpadek zahraniční poptávky. Naopak slabý odbyt z tuzemska snížil výkon v tiskárenství (</w:t>
            </w:r>
            <w:r w:rsidRPr="00BA76C1">
              <w:rPr>
                <w:color w:val="0D0D0D" w:themeColor="text1" w:themeTint="F2"/>
                <w:spacing w:val="-4"/>
              </w:rPr>
              <w:t>−</w:t>
            </w:r>
            <w:r>
              <w:rPr>
                <w:color w:val="0D0D0D" w:themeColor="text1" w:themeTint="F2"/>
                <w:spacing w:val="-4"/>
              </w:rPr>
              <w:t xml:space="preserve">6,1 %), jehož útlum má však dlouhodobější povahu. </w:t>
            </w:r>
            <w:r w:rsidRPr="00BA76C1">
              <w:rPr>
                <w:color w:val="0D0D0D" w:themeColor="text1" w:themeTint="F2"/>
                <w:spacing w:val="-4"/>
              </w:rPr>
              <w:t>Druhý</w:t>
            </w:r>
            <w:r>
              <w:rPr>
                <w:color w:val="0D0D0D" w:themeColor="text1" w:themeTint="F2"/>
                <w:spacing w:val="-4"/>
              </w:rPr>
              <w:t>m</w:t>
            </w:r>
            <w:r w:rsidRPr="00BA76C1">
              <w:rPr>
                <w:color w:val="0D0D0D" w:themeColor="text1" w:themeTint="F2"/>
                <w:spacing w:val="-4"/>
              </w:rPr>
              <w:t xml:space="preserve"> rok</w:t>
            </w:r>
            <w:r>
              <w:rPr>
                <w:color w:val="0D0D0D" w:themeColor="text1" w:themeTint="F2"/>
                <w:spacing w:val="-4"/>
              </w:rPr>
              <w:t>em</w:t>
            </w:r>
            <w:r w:rsidRPr="00BA76C1">
              <w:rPr>
                <w:color w:val="0D0D0D" w:themeColor="text1" w:themeTint="F2"/>
                <w:spacing w:val="-4"/>
              </w:rPr>
              <w:t xml:space="preserve"> pokračoval </w:t>
            </w:r>
            <w:r>
              <w:rPr>
                <w:color w:val="0D0D0D" w:themeColor="text1" w:themeTint="F2"/>
                <w:spacing w:val="-4"/>
              </w:rPr>
              <w:t xml:space="preserve">i </w:t>
            </w:r>
            <w:r w:rsidRPr="00BA76C1">
              <w:rPr>
                <w:color w:val="0D0D0D" w:themeColor="text1" w:themeTint="F2"/>
                <w:spacing w:val="-4"/>
              </w:rPr>
              <w:t>mírný pokles výkonu v jinak dlouhodobě</w:t>
            </w:r>
            <w:r w:rsidRPr="009D2D2C">
              <w:rPr>
                <w:color w:val="0D0D0D" w:themeColor="text1" w:themeTint="F2"/>
                <w:spacing w:val="-2"/>
              </w:rPr>
              <w:t xml:space="preserve"> dynamicky se rozvíjejícím oboru farmaceutického průmyslu (−</w:t>
            </w:r>
            <w:r>
              <w:rPr>
                <w:color w:val="0D0D0D" w:themeColor="text1" w:themeTint="F2"/>
                <w:spacing w:val="-2"/>
              </w:rPr>
              <w:t>3</w:t>
            </w:r>
            <w:r w:rsidRPr="009D2D2C">
              <w:rPr>
                <w:color w:val="0D0D0D" w:themeColor="text1" w:themeTint="F2"/>
                <w:spacing w:val="-2"/>
              </w:rPr>
              <w:t>,</w:t>
            </w:r>
            <w:r>
              <w:rPr>
                <w:color w:val="0D0D0D" w:themeColor="text1" w:themeTint="F2"/>
                <w:spacing w:val="-2"/>
              </w:rPr>
              <w:t>7</w:t>
            </w:r>
            <w:r w:rsidRPr="009D2D2C">
              <w:rPr>
                <w:color w:val="0D0D0D" w:themeColor="text1" w:themeTint="F2"/>
                <w:spacing w:val="-2"/>
              </w:rPr>
              <w:t xml:space="preserve"> %</w:t>
            </w:r>
            <w:r>
              <w:rPr>
                <w:color w:val="0D0D0D" w:themeColor="text1" w:themeTint="F2"/>
                <w:spacing w:val="-2"/>
              </w:rPr>
              <w:t>, nejvíce od 2. pololetí 2014</w:t>
            </w:r>
            <w:r w:rsidRPr="009D2D2C">
              <w:rPr>
                <w:color w:val="0D0D0D" w:themeColor="text1" w:themeTint="F2"/>
                <w:spacing w:val="-2"/>
              </w:rPr>
              <w:t>). Projevilo se oslabení v klíčové oblasti zahraniční poptávky</w:t>
            </w:r>
            <w:r>
              <w:rPr>
                <w:color w:val="0D0D0D" w:themeColor="text1" w:themeTint="F2"/>
                <w:spacing w:val="-2"/>
              </w:rPr>
              <w:t>,</w:t>
            </w:r>
            <w:r w:rsidRPr="009D2D2C">
              <w:rPr>
                <w:color w:val="0D0D0D" w:themeColor="text1" w:themeTint="F2"/>
                <w:spacing w:val="-2"/>
              </w:rPr>
              <w:t xml:space="preserve"> navíc </w:t>
            </w:r>
            <w:r>
              <w:rPr>
                <w:color w:val="0D0D0D" w:themeColor="text1" w:themeTint="F2"/>
                <w:spacing w:val="-2"/>
              </w:rPr>
              <w:t xml:space="preserve">patrně </w:t>
            </w:r>
            <w:r w:rsidRPr="009D2D2C">
              <w:rPr>
                <w:color w:val="0D0D0D" w:themeColor="text1" w:themeTint="F2"/>
                <w:spacing w:val="-2"/>
              </w:rPr>
              <w:t xml:space="preserve">vyprchal </w:t>
            </w:r>
            <w:r>
              <w:rPr>
                <w:color w:val="0D0D0D" w:themeColor="text1" w:themeTint="F2"/>
                <w:spacing w:val="-2"/>
              </w:rPr>
              <w:t>také</w:t>
            </w:r>
            <w:r w:rsidRPr="009D2D2C">
              <w:rPr>
                <w:color w:val="0D0D0D" w:themeColor="text1" w:themeTint="F2"/>
                <w:spacing w:val="-2"/>
              </w:rPr>
              <w:t xml:space="preserve"> růstový impuls z tuzemského trhu související s vyšší poptávkou veřejného sektoru v oblasti bezpečnosti</w:t>
            </w:r>
            <w:r>
              <w:rPr>
                <w:rStyle w:val="Znakapoznpodarou"/>
                <w:color w:val="0D0D0D" w:themeColor="text1" w:themeTint="F2"/>
                <w:spacing w:val="-2"/>
              </w:rPr>
              <w:footnoteReference w:id="21"/>
            </w:r>
            <w:r w:rsidRPr="009D2D2C">
              <w:rPr>
                <w:color w:val="0D0D0D" w:themeColor="text1" w:themeTint="F2"/>
                <w:spacing w:val="-2"/>
              </w:rPr>
              <w:t>.</w:t>
            </w:r>
            <w:r>
              <w:rPr>
                <w:color w:val="0D0D0D" w:themeColor="text1" w:themeTint="F2"/>
                <w:spacing w:val="-2"/>
              </w:rPr>
              <w:t xml:space="preserve"> </w:t>
            </w:r>
          </w:p>
          <w:p w14:paraId="4FA3BE76" w14:textId="77777777" w:rsidR="00DD1A46" w:rsidRPr="00C87B0B" w:rsidRDefault="00DD1A46" w:rsidP="00E962EE">
            <w:pPr>
              <w:spacing w:after="0"/>
              <w:rPr>
                <w:color w:val="0D0D0D" w:themeColor="text1" w:themeTint="F2"/>
                <w:spacing w:val="-2"/>
              </w:rPr>
            </w:pPr>
          </w:p>
        </w:tc>
      </w:tr>
      <w:tr w:rsidR="00DD1A46" w:rsidRPr="004A0F58" w14:paraId="61AEE186" w14:textId="77777777" w:rsidTr="00E962EE">
        <w:trPr>
          <w:trHeight w:val="145"/>
        </w:trPr>
        <w:tc>
          <w:tcPr>
            <w:tcW w:w="1814" w:type="dxa"/>
            <w:tcMar>
              <w:left w:w="0" w:type="dxa"/>
            </w:tcMar>
          </w:tcPr>
          <w:p w14:paraId="2D7022F5" w14:textId="77777777" w:rsidR="00DD1A46" w:rsidRPr="004A0F58" w:rsidRDefault="00DD1A46" w:rsidP="00E962EE">
            <w:pPr>
              <w:pStyle w:val="Marginlie"/>
              <w:rPr>
                <w:color w:val="0D0D0D" w:themeColor="text1" w:themeTint="F2"/>
                <w:spacing w:val="0"/>
              </w:rPr>
            </w:pPr>
          </w:p>
        </w:tc>
        <w:tc>
          <w:tcPr>
            <w:tcW w:w="181" w:type="dxa"/>
            <w:tcMar>
              <w:left w:w="0" w:type="dxa"/>
            </w:tcMar>
          </w:tcPr>
          <w:p w14:paraId="41F9DF28" w14:textId="77777777" w:rsidR="00DD1A46" w:rsidRPr="004A0F58" w:rsidRDefault="00DD1A46" w:rsidP="00E962EE">
            <w:pPr>
              <w:pStyle w:val="Textpoznpodarou"/>
              <w:jc w:val="both"/>
              <w:rPr>
                <w:color w:val="0D0D0D" w:themeColor="text1" w:themeTint="F2"/>
              </w:rPr>
            </w:pPr>
          </w:p>
        </w:tc>
        <w:tc>
          <w:tcPr>
            <w:tcW w:w="7711" w:type="dxa"/>
            <w:tcMar>
              <w:left w:w="0" w:type="dxa"/>
            </w:tcMar>
          </w:tcPr>
          <w:p w14:paraId="29F2C651" w14:textId="77777777" w:rsidR="00DD1A46" w:rsidRPr="004A0F58" w:rsidRDefault="00DD1A46" w:rsidP="00E962EE">
            <w:pPr>
              <w:spacing w:after="40"/>
              <w:rPr>
                <w:color w:val="0D0D0D" w:themeColor="text1" w:themeTint="F2"/>
              </w:rPr>
            </w:pPr>
            <w:r w:rsidRPr="004A0F58">
              <w:rPr>
                <w:b/>
                <w:color w:val="0D0D0D" w:themeColor="text1" w:themeTint="F2"/>
              </w:rPr>
              <w:t>Graf č. </w:t>
            </w:r>
            <w:r>
              <w:rPr>
                <w:b/>
                <w:color w:val="0D0D0D" w:themeColor="text1" w:themeTint="F2"/>
              </w:rPr>
              <w:t>5</w:t>
            </w:r>
            <w:r w:rsidRPr="004A0F58">
              <w:rPr>
                <w:b/>
                <w:color w:val="0D0D0D" w:themeColor="text1" w:themeTint="F2"/>
              </w:rPr>
              <w:t xml:space="preserve"> </w:t>
            </w:r>
            <w:r>
              <w:rPr>
                <w:rFonts w:cs="Arial"/>
                <w:b/>
                <w:bCs/>
                <w:color w:val="000000"/>
                <w:szCs w:val="20"/>
              </w:rPr>
              <w:t>Rozklad meziroční změny</w:t>
            </w:r>
            <w:r w:rsidRPr="004A0F58">
              <w:rPr>
                <w:b/>
                <w:color w:val="0D0D0D" w:themeColor="text1" w:themeTint="F2"/>
              </w:rPr>
              <w:t xml:space="preserve"> </w:t>
            </w:r>
            <w:r>
              <w:rPr>
                <w:b/>
                <w:color w:val="0D0D0D" w:themeColor="text1" w:themeTint="F2"/>
              </w:rPr>
              <w:t>průmyslové</w:t>
            </w:r>
            <w:r w:rsidRPr="004A0F58">
              <w:rPr>
                <w:b/>
                <w:color w:val="0D0D0D" w:themeColor="text1" w:themeTint="F2"/>
              </w:rPr>
              <w:t xml:space="preserve"> produkce </w:t>
            </w:r>
            <w:r w:rsidRPr="00C4674B">
              <w:rPr>
                <w:bCs/>
                <w:color w:val="0D0D0D" w:themeColor="text1" w:themeTint="F2"/>
              </w:rPr>
              <w:t>(</w:t>
            </w:r>
            <w:r>
              <w:rPr>
                <w:rFonts w:cs="Arial"/>
                <w:bCs/>
                <w:color w:val="000000"/>
                <w:szCs w:val="20"/>
              </w:rPr>
              <w:t xml:space="preserve">příspěvky k růstu, </w:t>
            </w:r>
            <w:r w:rsidRPr="00FC6700">
              <w:rPr>
                <w:rFonts w:cs="Arial"/>
                <w:bCs/>
                <w:color w:val="000000"/>
                <w:szCs w:val="20"/>
              </w:rPr>
              <w:t>v p. b</w:t>
            </w:r>
            <w:r>
              <w:rPr>
                <w:rFonts w:cs="Arial"/>
                <w:bCs/>
                <w:color w:val="000000"/>
                <w:szCs w:val="20"/>
              </w:rPr>
              <w:t>.</w:t>
            </w:r>
            <w:r w:rsidRPr="00FC6700">
              <w:rPr>
                <w:rFonts w:cs="Arial"/>
                <w:bCs/>
                <w:color w:val="000000"/>
                <w:szCs w:val="20"/>
              </w:rPr>
              <w:t>)</w:t>
            </w:r>
          </w:p>
        </w:tc>
      </w:tr>
      <w:tr w:rsidR="00DD1A46" w:rsidRPr="004A0F58" w14:paraId="4D9D5F3E" w14:textId="77777777" w:rsidTr="00E962EE">
        <w:tblPrEx>
          <w:tblCellMar>
            <w:left w:w="70" w:type="dxa"/>
            <w:right w:w="70" w:type="dxa"/>
          </w:tblCellMar>
        </w:tblPrEx>
        <w:trPr>
          <w:trHeight w:val="145"/>
        </w:trPr>
        <w:tc>
          <w:tcPr>
            <w:tcW w:w="1814" w:type="dxa"/>
          </w:tcPr>
          <w:p w14:paraId="0D0EB231" w14:textId="77777777" w:rsidR="00DD1A46" w:rsidRPr="004A0F58" w:rsidRDefault="00DD1A46" w:rsidP="00E962EE">
            <w:pPr>
              <w:pStyle w:val="Marginlie"/>
              <w:spacing w:after="240"/>
              <w:rPr>
                <w:color w:val="0D0D0D" w:themeColor="text1" w:themeTint="F2"/>
                <w:spacing w:val="0"/>
              </w:rPr>
            </w:pPr>
          </w:p>
        </w:tc>
        <w:tc>
          <w:tcPr>
            <w:tcW w:w="181" w:type="dxa"/>
          </w:tcPr>
          <w:p w14:paraId="07D6B37B" w14:textId="77777777" w:rsidR="00DD1A46" w:rsidRPr="004A0F58" w:rsidRDefault="00DD1A46" w:rsidP="00E962EE">
            <w:pPr>
              <w:pStyle w:val="Textpoznpodarou"/>
              <w:spacing w:after="240"/>
              <w:jc w:val="both"/>
              <w:rPr>
                <w:color w:val="0D0D0D" w:themeColor="text1" w:themeTint="F2"/>
              </w:rPr>
            </w:pPr>
          </w:p>
        </w:tc>
        <w:tc>
          <w:tcPr>
            <w:tcW w:w="7711" w:type="dxa"/>
          </w:tcPr>
          <w:p w14:paraId="52B03991" w14:textId="77777777" w:rsidR="00DD1A46" w:rsidRPr="004A0F58" w:rsidRDefault="00DD1A46" w:rsidP="00E962EE">
            <w:pPr>
              <w:spacing w:before="40" w:after="40"/>
              <w:rPr>
                <w:color w:val="0D0D0D" w:themeColor="text1" w:themeTint="F2"/>
              </w:rPr>
            </w:pPr>
            <w:r>
              <w:rPr>
                <w:noProof/>
              </w:rPr>
              <w:drawing>
                <wp:inline distT="0" distB="0" distL="0" distR="0" wp14:anchorId="015D1615" wp14:editId="6B24C2CC">
                  <wp:extent cx="4737600" cy="3553200"/>
                  <wp:effectExtent l="0" t="0" r="6350" b="0"/>
                  <wp:docPr id="889423910" name="Graf 1">
                    <a:extLst xmlns:a="http://schemas.openxmlformats.org/drawingml/2006/main">
                      <a:ext uri="{FF2B5EF4-FFF2-40B4-BE49-F238E27FC236}">
                        <a16:creationId xmlns:a16="http://schemas.microsoft.com/office/drawing/2014/main" id="{B8E84710-8827-4A92-8315-9BABFD7610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DD1A46" w:rsidRPr="004A0F58" w14:paraId="5B0022ED" w14:textId="77777777" w:rsidTr="00E962EE">
        <w:trPr>
          <w:trHeight w:val="145"/>
        </w:trPr>
        <w:tc>
          <w:tcPr>
            <w:tcW w:w="1814" w:type="dxa"/>
            <w:tcMar>
              <w:left w:w="0" w:type="dxa"/>
            </w:tcMar>
          </w:tcPr>
          <w:p w14:paraId="295BB91F" w14:textId="77777777" w:rsidR="00DD1A46" w:rsidRPr="004A0F58" w:rsidRDefault="00DD1A46" w:rsidP="00E962EE">
            <w:pPr>
              <w:pStyle w:val="Marginlie"/>
              <w:spacing w:after="240"/>
              <w:rPr>
                <w:color w:val="0D0D0D" w:themeColor="text1" w:themeTint="F2"/>
                <w:spacing w:val="0"/>
              </w:rPr>
            </w:pPr>
          </w:p>
        </w:tc>
        <w:tc>
          <w:tcPr>
            <w:tcW w:w="181" w:type="dxa"/>
            <w:tcMar>
              <w:left w:w="0" w:type="dxa"/>
            </w:tcMar>
          </w:tcPr>
          <w:p w14:paraId="3ED9ADCF" w14:textId="77777777" w:rsidR="00DD1A46" w:rsidRPr="004A0F58" w:rsidRDefault="00DD1A46" w:rsidP="00E962EE">
            <w:pPr>
              <w:pStyle w:val="Textpoznpodarou"/>
              <w:spacing w:after="240"/>
              <w:jc w:val="both"/>
              <w:rPr>
                <w:color w:val="0D0D0D" w:themeColor="text1" w:themeTint="F2"/>
              </w:rPr>
            </w:pPr>
          </w:p>
        </w:tc>
        <w:tc>
          <w:tcPr>
            <w:tcW w:w="7711" w:type="dxa"/>
            <w:tcMar>
              <w:left w:w="0" w:type="dxa"/>
            </w:tcMar>
          </w:tcPr>
          <w:p w14:paraId="3FEDA5FB" w14:textId="77777777" w:rsidR="00DD1A46" w:rsidRDefault="00DD1A46" w:rsidP="00E962EE">
            <w:pPr>
              <w:spacing w:after="0"/>
              <w:rPr>
                <w:color w:val="0D0D0D" w:themeColor="text1" w:themeTint="F2"/>
                <w:sz w:val="14"/>
                <w:szCs w:val="14"/>
              </w:rPr>
            </w:pPr>
            <w:r>
              <w:rPr>
                <w:color w:val="0D0D0D" w:themeColor="text1" w:themeTint="F2"/>
                <w:sz w:val="14"/>
                <w:szCs w:val="14"/>
              </w:rPr>
              <w:t xml:space="preserve">Poznámka: Produkce je uvedena </w:t>
            </w:r>
            <w:r>
              <w:rPr>
                <w:color w:val="0D0D0D" w:themeColor="text1" w:themeTint="F2"/>
                <w:spacing w:val="-2"/>
                <w:sz w:val="14"/>
                <w:szCs w:val="14"/>
              </w:rPr>
              <w:t>v reálném vyjádření a očištěna o kalendářní vlivy.</w:t>
            </w:r>
          </w:p>
          <w:p w14:paraId="1B05687A" w14:textId="77777777" w:rsidR="00DD1A46" w:rsidRPr="004A0F58" w:rsidRDefault="00DD1A46" w:rsidP="00E962EE">
            <w:pPr>
              <w:spacing w:after="0"/>
              <w:rPr>
                <w:color w:val="0D0D0D" w:themeColor="text1" w:themeTint="F2"/>
                <w:sz w:val="14"/>
                <w:szCs w:val="14"/>
              </w:rPr>
            </w:pPr>
            <w:r w:rsidRPr="004A0F58">
              <w:rPr>
                <w:color w:val="0D0D0D" w:themeColor="text1" w:themeTint="F2"/>
                <w:sz w:val="14"/>
                <w:szCs w:val="14"/>
              </w:rPr>
              <w:t>*Příspěvek zbývajícího zpracovatelského průmyslu zahrnuje i vliv celkové metodické diskrepance pramenící ze změny vah.</w:t>
            </w:r>
          </w:p>
          <w:p w14:paraId="3985BF14" w14:textId="77777777" w:rsidR="00DD1A46" w:rsidRPr="004A0F58" w:rsidRDefault="00DD1A46" w:rsidP="00E962EE">
            <w:pPr>
              <w:spacing w:after="200"/>
              <w:rPr>
                <w:color w:val="0D0D0D" w:themeColor="text1" w:themeTint="F2"/>
              </w:rPr>
            </w:pPr>
            <w:r w:rsidRPr="004A0F58">
              <w:rPr>
                <w:color w:val="0D0D0D" w:themeColor="text1" w:themeTint="F2"/>
                <w:sz w:val="14"/>
                <w:szCs w:val="14"/>
              </w:rPr>
              <w:t>Zdroj: ČSÚ, Eurostat</w:t>
            </w:r>
          </w:p>
        </w:tc>
      </w:tr>
      <w:tr w:rsidR="00DD1A46" w:rsidRPr="004A0F58" w14:paraId="697991C2" w14:textId="77777777" w:rsidTr="00E962EE">
        <w:trPr>
          <w:trHeight w:val="145"/>
        </w:trPr>
        <w:tc>
          <w:tcPr>
            <w:tcW w:w="1814" w:type="dxa"/>
            <w:tcMar>
              <w:left w:w="0" w:type="dxa"/>
            </w:tcMar>
          </w:tcPr>
          <w:p w14:paraId="2F48D4EF" w14:textId="77777777" w:rsidR="00DD1A46" w:rsidRPr="004A0F58" w:rsidRDefault="00DD1A46" w:rsidP="00E962EE">
            <w:pPr>
              <w:pStyle w:val="Marginlie"/>
              <w:spacing w:after="240"/>
              <w:rPr>
                <w:color w:val="0D0D0D" w:themeColor="text1" w:themeTint="F2"/>
                <w:spacing w:val="0"/>
              </w:rPr>
            </w:pPr>
            <w:r>
              <w:rPr>
                <w:color w:val="0D0D0D" w:themeColor="text1" w:themeTint="F2"/>
                <w:spacing w:val="0"/>
              </w:rPr>
              <w:t xml:space="preserve">Růst hodnoty nových </w:t>
            </w:r>
            <w:r w:rsidRPr="00870373">
              <w:rPr>
                <w:color w:val="0D0D0D" w:themeColor="text1" w:themeTint="F2"/>
                <w:spacing w:val="-4"/>
              </w:rPr>
              <w:t>zakázek během 1.</w:t>
            </w:r>
            <w:r>
              <w:rPr>
                <w:color w:val="0D0D0D" w:themeColor="text1" w:themeTint="F2"/>
                <w:spacing w:val="-4"/>
              </w:rPr>
              <w:t xml:space="preserve"> </w:t>
            </w:r>
            <w:r w:rsidRPr="00870373">
              <w:rPr>
                <w:color w:val="0D0D0D" w:themeColor="text1" w:themeTint="F2"/>
                <w:spacing w:val="-4"/>
              </w:rPr>
              <w:t>pololetí</w:t>
            </w:r>
            <w:r>
              <w:rPr>
                <w:color w:val="0D0D0D" w:themeColor="text1" w:themeTint="F2"/>
                <w:spacing w:val="0"/>
              </w:rPr>
              <w:t xml:space="preserve"> lehce zrychloval. Klíčovou roli sehrála zahraniční poptávka v oblasti výroby dopravních prostředků. </w:t>
            </w:r>
          </w:p>
        </w:tc>
        <w:tc>
          <w:tcPr>
            <w:tcW w:w="181" w:type="dxa"/>
            <w:tcMar>
              <w:left w:w="0" w:type="dxa"/>
            </w:tcMar>
          </w:tcPr>
          <w:p w14:paraId="181DB1D0" w14:textId="77777777" w:rsidR="00DD1A46" w:rsidRPr="004A0F58" w:rsidRDefault="00DD1A46" w:rsidP="00E962EE">
            <w:pPr>
              <w:pStyle w:val="Textpoznpodarou"/>
              <w:spacing w:after="240"/>
              <w:jc w:val="both"/>
              <w:rPr>
                <w:color w:val="0D0D0D" w:themeColor="text1" w:themeTint="F2"/>
              </w:rPr>
            </w:pPr>
          </w:p>
        </w:tc>
        <w:tc>
          <w:tcPr>
            <w:tcW w:w="7711" w:type="dxa"/>
            <w:tcMar>
              <w:left w:w="0" w:type="dxa"/>
            </w:tcMar>
          </w:tcPr>
          <w:p w14:paraId="463B3BFF" w14:textId="77777777" w:rsidR="00DD1A46" w:rsidRPr="004A0F58" w:rsidRDefault="00DD1A46" w:rsidP="00E962EE">
            <w:pPr>
              <w:spacing w:after="200"/>
              <w:rPr>
                <w:color w:val="0D0D0D" w:themeColor="text1" w:themeTint="F2"/>
                <w:spacing w:val="-4"/>
              </w:rPr>
            </w:pPr>
            <w:r w:rsidRPr="004A0F58">
              <w:rPr>
                <w:color w:val="0D0D0D" w:themeColor="text1" w:themeTint="F2"/>
                <w:spacing w:val="-4"/>
              </w:rPr>
              <w:t>Meziroční růst nominální hodnoty nových průmyslových zakázek</w:t>
            </w:r>
            <w:r w:rsidRPr="004A0F58">
              <w:rPr>
                <w:color w:val="0D0D0D" w:themeColor="text1" w:themeTint="F2"/>
                <w:spacing w:val="-4"/>
                <w:vertAlign w:val="superscript"/>
              </w:rPr>
              <w:footnoteReference w:id="22"/>
            </w:r>
            <w:r w:rsidRPr="004A0F58">
              <w:rPr>
                <w:color w:val="0D0D0D" w:themeColor="text1" w:themeTint="F2"/>
                <w:spacing w:val="-4"/>
              </w:rPr>
              <w:t>, patrný po většinu loňského roku a kulminující v jeho závěru</w:t>
            </w:r>
            <w:r w:rsidRPr="004A0F58">
              <w:rPr>
                <w:rStyle w:val="Znakapoznpodarou"/>
                <w:color w:val="0D0D0D" w:themeColor="text1" w:themeTint="F2"/>
                <w:spacing w:val="-4"/>
              </w:rPr>
              <w:footnoteReference w:id="23"/>
            </w:r>
            <w:r w:rsidRPr="004A0F58">
              <w:rPr>
                <w:color w:val="0D0D0D" w:themeColor="text1" w:themeTint="F2"/>
                <w:spacing w:val="-4"/>
              </w:rPr>
              <w:t>, letos pokračoval.</w:t>
            </w:r>
            <w:r>
              <w:rPr>
                <w:color w:val="0D0D0D" w:themeColor="text1" w:themeTint="F2"/>
                <w:spacing w:val="-4"/>
              </w:rPr>
              <w:t xml:space="preserve"> </w:t>
            </w:r>
            <w:r w:rsidRPr="004A0F58">
              <w:rPr>
                <w:color w:val="0D0D0D" w:themeColor="text1" w:themeTint="F2"/>
                <w:spacing w:val="-4"/>
              </w:rPr>
              <w:t xml:space="preserve">V 1. čtvrtletí </w:t>
            </w:r>
            <w:r>
              <w:rPr>
                <w:color w:val="0D0D0D" w:themeColor="text1" w:themeTint="F2"/>
                <w:spacing w:val="-4"/>
              </w:rPr>
              <w:t xml:space="preserve">růst </w:t>
            </w:r>
            <w:r w:rsidRPr="004A0F58">
              <w:rPr>
                <w:color w:val="0D0D0D" w:themeColor="text1" w:themeTint="F2"/>
                <w:spacing w:val="-4"/>
              </w:rPr>
              <w:t>dosáhl 4,0 %</w:t>
            </w:r>
            <w:r>
              <w:rPr>
                <w:color w:val="0D0D0D" w:themeColor="text1" w:themeTint="F2"/>
                <w:spacing w:val="-4"/>
              </w:rPr>
              <w:t xml:space="preserve"> a v následujícím období zrychlil na 6,7 %. V obou případech byla dominantním hybatelem </w:t>
            </w:r>
            <w:r w:rsidRPr="000F51C8">
              <w:rPr>
                <w:color w:val="0D0D0D" w:themeColor="text1" w:themeTint="F2"/>
                <w:spacing w:val="-6"/>
              </w:rPr>
              <w:t xml:space="preserve">zahraniční poptávka, hodnota domácích zakázek se za celé pololetí zvýšila totiž jen o </w:t>
            </w:r>
            <w:r>
              <w:rPr>
                <w:color w:val="0D0D0D" w:themeColor="text1" w:themeTint="F2"/>
                <w:spacing w:val="-6"/>
              </w:rPr>
              <w:t>2</w:t>
            </w:r>
            <w:r w:rsidRPr="000F51C8">
              <w:rPr>
                <w:color w:val="0D0D0D" w:themeColor="text1" w:themeTint="F2"/>
                <w:spacing w:val="-6"/>
              </w:rPr>
              <w:t xml:space="preserve"> %.</w:t>
            </w:r>
            <w:r>
              <w:rPr>
                <w:color w:val="0D0D0D" w:themeColor="text1" w:themeTint="F2"/>
                <w:spacing w:val="-4"/>
              </w:rPr>
              <w:t xml:space="preserve"> K růstu nejvíce přispíval automobilový průmysl, kde objednávky za pololetí vzrostly o 7 %. Dynamicky se zvyšovala očekávaná poptávka ve výrobě ostatních dopravních prostředků (+34 %), a to především díky vysokým objednávkám uzavřeným letos v červnu. Příznivé vyhlídky má i výroba počítačů, elektronických a optických přístrojů (+10 %, primárně díky tuzemské poptávce), elektrických zařízení a pokračující oživení potvrzuje i hutnictví. Naopak přetrvávající nepříznivý vývoj naznačují nižší zakázky ve strojírenství (</w:t>
            </w:r>
            <w:r w:rsidRPr="009D2D2C">
              <w:rPr>
                <w:color w:val="0D0D0D" w:themeColor="text1" w:themeTint="F2"/>
                <w:spacing w:val="-2"/>
              </w:rPr>
              <w:t>−</w:t>
            </w:r>
            <w:r>
              <w:rPr>
                <w:color w:val="0D0D0D" w:themeColor="text1" w:themeTint="F2"/>
                <w:spacing w:val="-4"/>
              </w:rPr>
              <w:t>1 %) a farmacii (</w:t>
            </w:r>
            <w:r w:rsidRPr="009D2D2C">
              <w:rPr>
                <w:color w:val="0D0D0D" w:themeColor="text1" w:themeTint="F2"/>
                <w:spacing w:val="-2"/>
              </w:rPr>
              <w:t>−</w:t>
            </w:r>
            <w:r>
              <w:rPr>
                <w:color w:val="0D0D0D" w:themeColor="text1" w:themeTint="F2"/>
                <w:spacing w:val="-2"/>
              </w:rPr>
              <w:t>4</w:t>
            </w:r>
            <w:r>
              <w:rPr>
                <w:color w:val="0D0D0D" w:themeColor="text1" w:themeTint="F2"/>
                <w:spacing w:val="-4"/>
              </w:rPr>
              <w:t xml:space="preserve"> %) a stagnaci (po </w:t>
            </w:r>
            <w:r w:rsidRPr="004A0F58">
              <w:rPr>
                <w:color w:val="0D0D0D" w:themeColor="text1" w:themeTint="F2"/>
                <w:spacing w:val="-4"/>
              </w:rPr>
              <w:t>zohlednění cen výrobců</w:t>
            </w:r>
            <w:r>
              <w:rPr>
                <w:color w:val="0D0D0D" w:themeColor="text1" w:themeTint="F2"/>
                <w:spacing w:val="-4"/>
              </w:rPr>
              <w:t>) v ostatních sledovaných oborech</w:t>
            </w:r>
            <w:r>
              <w:rPr>
                <w:rStyle w:val="Znakapoznpodarou"/>
                <w:color w:val="0D0D0D" w:themeColor="text1" w:themeTint="F2"/>
                <w:spacing w:val="-4"/>
              </w:rPr>
              <w:footnoteReference w:id="24"/>
            </w:r>
            <w:r>
              <w:rPr>
                <w:color w:val="0D0D0D" w:themeColor="text1" w:themeTint="F2"/>
                <w:spacing w:val="-4"/>
              </w:rPr>
              <w:t xml:space="preserve">. </w:t>
            </w:r>
          </w:p>
        </w:tc>
      </w:tr>
      <w:tr w:rsidR="00DD1A46" w:rsidRPr="004A0F58" w14:paraId="0C5F9D49" w14:textId="77777777" w:rsidTr="00E962EE">
        <w:trPr>
          <w:trHeight w:val="145"/>
        </w:trPr>
        <w:tc>
          <w:tcPr>
            <w:tcW w:w="1814" w:type="dxa"/>
            <w:tcMar>
              <w:left w:w="0" w:type="dxa"/>
            </w:tcMar>
          </w:tcPr>
          <w:p w14:paraId="77D99D6F" w14:textId="77777777" w:rsidR="00DD1A46" w:rsidRDefault="00DD1A46" w:rsidP="00E962EE">
            <w:pPr>
              <w:pStyle w:val="Marginlie"/>
              <w:rPr>
                <w:color w:val="0D0D0D" w:themeColor="text1" w:themeTint="F2"/>
                <w:spacing w:val="0"/>
              </w:rPr>
            </w:pPr>
            <w:r w:rsidRPr="004A0F58">
              <w:rPr>
                <w:color w:val="0D0D0D" w:themeColor="text1" w:themeTint="F2"/>
                <w:spacing w:val="0"/>
              </w:rPr>
              <w:t xml:space="preserve">Důvěra firem v průmyslu se </w:t>
            </w:r>
            <w:r>
              <w:rPr>
                <w:color w:val="0D0D0D" w:themeColor="text1" w:themeTint="F2"/>
                <w:spacing w:val="0"/>
              </w:rPr>
              <w:t xml:space="preserve">po jarním kratším </w:t>
            </w:r>
            <w:r>
              <w:rPr>
                <w:color w:val="0D0D0D" w:themeColor="text1" w:themeTint="F2"/>
                <w:spacing w:val="0"/>
              </w:rPr>
              <w:lastRenderedPageBreak/>
              <w:t>útlumu zvýšila.</w:t>
            </w:r>
            <w:r w:rsidRPr="004A0F58">
              <w:rPr>
                <w:color w:val="0D0D0D" w:themeColor="text1" w:themeTint="F2"/>
                <w:spacing w:val="0"/>
              </w:rPr>
              <w:t xml:space="preserve"> </w:t>
            </w:r>
            <w:r>
              <w:rPr>
                <w:color w:val="0D0D0D" w:themeColor="text1" w:themeTint="F2"/>
                <w:spacing w:val="0"/>
              </w:rPr>
              <w:t>I</w:t>
            </w:r>
            <w:r w:rsidRPr="004A0F58">
              <w:rPr>
                <w:color w:val="0D0D0D" w:themeColor="text1" w:themeTint="F2"/>
                <w:spacing w:val="0"/>
              </w:rPr>
              <w:t> </w:t>
            </w:r>
            <w:r>
              <w:rPr>
                <w:color w:val="0D0D0D" w:themeColor="text1" w:themeTint="F2"/>
                <w:spacing w:val="0"/>
              </w:rPr>
              <w:t>tak zůstávala</w:t>
            </w:r>
            <w:r w:rsidRPr="004A0F58">
              <w:rPr>
                <w:color w:val="0D0D0D" w:themeColor="text1" w:themeTint="F2"/>
                <w:spacing w:val="0"/>
              </w:rPr>
              <w:t xml:space="preserve"> v lehce negativním pásmu. </w:t>
            </w:r>
          </w:p>
        </w:tc>
        <w:tc>
          <w:tcPr>
            <w:tcW w:w="181" w:type="dxa"/>
            <w:tcMar>
              <w:left w:w="0" w:type="dxa"/>
            </w:tcMar>
          </w:tcPr>
          <w:p w14:paraId="7279A2FB" w14:textId="77777777" w:rsidR="00DD1A46" w:rsidRPr="004A0F58" w:rsidRDefault="00DD1A46" w:rsidP="00E962EE">
            <w:pPr>
              <w:pStyle w:val="Textpoznpodarou"/>
              <w:spacing w:after="240"/>
              <w:jc w:val="both"/>
              <w:rPr>
                <w:color w:val="0D0D0D" w:themeColor="text1" w:themeTint="F2"/>
              </w:rPr>
            </w:pPr>
          </w:p>
        </w:tc>
        <w:tc>
          <w:tcPr>
            <w:tcW w:w="7711" w:type="dxa"/>
            <w:tcMar>
              <w:left w:w="0" w:type="dxa"/>
            </w:tcMar>
          </w:tcPr>
          <w:p w14:paraId="3F6E7A89" w14:textId="003ADA06" w:rsidR="00DD1A46" w:rsidRPr="00DA2AEE" w:rsidRDefault="00DD1A46" w:rsidP="00E962EE">
            <w:pPr>
              <w:spacing w:after="200"/>
              <w:rPr>
                <w:color w:val="0D0D0D" w:themeColor="text1" w:themeTint="F2"/>
              </w:rPr>
            </w:pPr>
            <w:r w:rsidRPr="00DA2AEE">
              <w:rPr>
                <w:color w:val="0D0D0D" w:themeColor="text1" w:themeTint="F2"/>
              </w:rPr>
              <w:t xml:space="preserve">Důvěra podnikatelů v průmyslu se na počátku letošního roku i díky příznivému vývoji nových zakázek zvyšovala a v březnu dosáhla na téměř tříleté maximum. Následně se </w:t>
            </w:r>
            <w:r w:rsidRPr="00DA2AEE">
              <w:rPr>
                <w:color w:val="0D0D0D" w:themeColor="text1" w:themeTint="F2"/>
              </w:rPr>
              <w:lastRenderedPageBreak/>
              <w:t>však projevily negativní dopady eskalace konfliktu na Blízkém východě. Zhoršila se krátkodobá očekávání výroby i hodnocení aktuální (zejména zahraniční) poptávky a</w:t>
            </w:r>
            <w:r w:rsidR="009B1F0B">
              <w:rPr>
                <w:color w:val="0D0D0D" w:themeColor="text1" w:themeTint="F2"/>
              </w:rPr>
              <w:t> </w:t>
            </w:r>
            <w:r w:rsidRPr="00DA2AEE">
              <w:rPr>
                <w:color w:val="0D0D0D" w:themeColor="text1" w:themeTint="F2"/>
              </w:rPr>
              <w:t>posílila se inflační očekávání. Jarní pokles celkové důvěry v průmyslu v Česku (podobně jako ve většině zemí EU) však nebyl razantní a její výše se již na začátku léta vrátila na „předkrizovou“ úroveň. Situace v jednotlivých oborech se však přirozeně lišila</w:t>
            </w:r>
            <w:r w:rsidRPr="00DA2AEE">
              <w:rPr>
                <w:rStyle w:val="Znakapoznpodarou"/>
                <w:color w:val="0D0D0D" w:themeColor="text1" w:themeTint="F2"/>
              </w:rPr>
              <w:footnoteReference w:id="25"/>
            </w:r>
            <w:r w:rsidRPr="00DA2AEE">
              <w:rPr>
                <w:color w:val="0D0D0D" w:themeColor="text1" w:themeTint="F2"/>
              </w:rPr>
              <w:t xml:space="preserve">. Pouze </w:t>
            </w:r>
            <w:r w:rsidRPr="00847F23">
              <w:rPr>
                <w:color w:val="0D0D0D" w:themeColor="text1" w:themeTint="F2"/>
                <w:spacing w:val="-4"/>
              </w:rPr>
              <w:t>6 % průmyslových podniků předpokládalo v půlročním výhledu zhoršení vlastní ekonomické</w:t>
            </w:r>
            <w:r w:rsidRPr="00DA2AEE">
              <w:rPr>
                <w:color w:val="0D0D0D" w:themeColor="text1" w:themeTint="F2"/>
              </w:rPr>
              <w:t xml:space="preserve"> situace (zlepšení pak 12 %). Očekávání vývoje vlastní zaměstnanosti sice zůstala mírně negativní, avšak drtivá většina firem (80 %) předpokládala v nejbližším kvartálu stabilní vývoj.</w:t>
            </w:r>
          </w:p>
        </w:tc>
      </w:tr>
      <w:tr w:rsidR="00DD1A46" w:rsidRPr="004A0F58" w14:paraId="65FF0118" w14:textId="77777777" w:rsidTr="00E962EE">
        <w:trPr>
          <w:trHeight w:val="145"/>
        </w:trPr>
        <w:tc>
          <w:tcPr>
            <w:tcW w:w="1814" w:type="dxa"/>
            <w:tcMar>
              <w:left w:w="0" w:type="dxa"/>
            </w:tcMar>
          </w:tcPr>
          <w:p w14:paraId="4B219FE2" w14:textId="77777777" w:rsidR="00DD1A46" w:rsidRPr="004A0F58" w:rsidRDefault="00DD1A46" w:rsidP="00E962EE">
            <w:pPr>
              <w:pStyle w:val="Marginlie"/>
              <w:spacing w:after="240"/>
              <w:rPr>
                <w:color w:val="0D0D0D" w:themeColor="text1" w:themeTint="F2"/>
                <w:spacing w:val="0"/>
              </w:rPr>
            </w:pPr>
          </w:p>
        </w:tc>
        <w:tc>
          <w:tcPr>
            <w:tcW w:w="181" w:type="dxa"/>
            <w:tcMar>
              <w:left w:w="0" w:type="dxa"/>
            </w:tcMar>
          </w:tcPr>
          <w:p w14:paraId="63FF7AF0" w14:textId="77777777" w:rsidR="00DD1A46" w:rsidRPr="004A0F58" w:rsidRDefault="00DD1A46" w:rsidP="00E962EE">
            <w:pPr>
              <w:pStyle w:val="Textpoznpodarou"/>
              <w:spacing w:after="240"/>
              <w:jc w:val="both"/>
              <w:rPr>
                <w:color w:val="0D0D0D" w:themeColor="text1" w:themeTint="F2"/>
              </w:rPr>
            </w:pPr>
          </w:p>
        </w:tc>
        <w:tc>
          <w:tcPr>
            <w:tcW w:w="7711" w:type="dxa"/>
            <w:tcMar>
              <w:left w:w="0" w:type="dxa"/>
            </w:tcMar>
          </w:tcPr>
          <w:p w14:paraId="5B1C4139" w14:textId="77777777" w:rsidR="00DD1A46" w:rsidRPr="004A0F58" w:rsidRDefault="00DD1A46" w:rsidP="00E962EE">
            <w:pPr>
              <w:spacing w:after="40"/>
              <w:rPr>
                <w:color w:val="0D0D0D" w:themeColor="text1" w:themeTint="F2"/>
              </w:rPr>
            </w:pPr>
            <w:r w:rsidRPr="004A0F58">
              <w:rPr>
                <w:b/>
                <w:color w:val="0D0D0D" w:themeColor="text1" w:themeTint="F2"/>
              </w:rPr>
              <w:t>Graf č. </w:t>
            </w:r>
            <w:r>
              <w:rPr>
                <w:b/>
                <w:color w:val="0D0D0D" w:themeColor="text1" w:themeTint="F2"/>
              </w:rPr>
              <w:t>6</w:t>
            </w:r>
            <w:r w:rsidRPr="004A0F58">
              <w:rPr>
                <w:b/>
                <w:color w:val="0D0D0D" w:themeColor="text1" w:themeTint="F2"/>
              </w:rPr>
              <w:t xml:space="preserve"> Nové zakázky v průmyslu</w:t>
            </w:r>
            <w:r w:rsidRPr="004A0F58">
              <w:rPr>
                <w:color w:val="0D0D0D" w:themeColor="text1" w:themeTint="F2"/>
              </w:rPr>
              <w:t xml:space="preserve"> (nominálně, meziročně, v %)</w:t>
            </w:r>
            <w:r w:rsidRPr="004A0F58">
              <w:rPr>
                <w:b/>
                <w:color w:val="0D0D0D" w:themeColor="text1" w:themeTint="F2"/>
              </w:rPr>
              <w:t>, vybrané bariéry růstu</w:t>
            </w:r>
            <w:r w:rsidRPr="004A0F58">
              <w:rPr>
                <w:color w:val="0D0D0D" w:themeColor="text1" w:themeTint="F2"/>
              </w:rPr>
              <w:t xml:space="preserve"> (v %) </w:t>
            </w:r>
            <w:r w:rsidRPr="004A0F58">
              <w:rPr>
                <w:b/>
                <w:color w:val="0D0D0D" w:themeColor="text1" w:themeTint="F2"/>
              </w:rPr>
              <w:t>a saldo důvěry podnikatelů v průmyslu</w:t>
            </w:r>
            <w:r w:rsidRPr="004A0F58">
              <w:rPr>
                <w:color w:val="0D0D0D" w:themeColor="text1" w:themeTint="F2"/>
              </w:rPr>
              <w:t xml:space="preserve"> (v p. b.)</w:t>
            </w:r>
          </w:p>
        </w:tc>
      </w:tr>
      <w:tr w:rsidR="00DD1A46" w:rsidRPr="004A0F58" w14:paraId="6EDEF0DB" w14:textId="77777777" w:rsidTr="00E962EE">
        <w:tblPrEx>
          <w:tblCellMar>
            <w:left w:w="70" w:type="dxa"/>
            <w:right w:w="70" w:type="dxa"/>
          </w:tblCellMar>
        </w:tblPrEx>
        <w:trPr>
          <w:trHeight w:val="145"/>
        </w:trPr>
        <w:tc>
          <w:tcPr>
            <w:tcW w:w="1814" w:type="dxa"/>
          </w:tcPr>
          <w:p w14:paraId="02D9EA50" w14:textId="77777777" w:rsidR="00DD1A46" w:rsidRPr="004A0F58" w:rsidRDefault="00DD1A46" w:rsidP="00E962EE">
            <w:pPr>
              <w:pStyle w:val="Marginlie"/>
              <w:spacing w:after="240"/>
              <w:rPr>
                <w:color w:val="0D0D0D" w:themeColor="text1" w:themeTint="F2"/>
                <w:spacing w:val="0"/>
              </w:rPr>
            </w:pPr>
          </w:p>
        </w:tc>
        <w:tc>
          <w:tcPr>
            <w:tcW w:w="181" w:type="dxa"/>
          </w:tcPr>
          <w:p w14:paraId="7CFEA473" w14:textId="77777777" w:rsidR="00DD1A46" w:rsidRPr="004A0F58" w:rsidRDefault="00DD1A46" w:rsidP="00E962EE">
            <w:pPr>
              <w:pStyle w:val="Textpoznpodarou"/>
              <w:spacing w:after="240"/>
              <w:jc w:val="both"/>
              <w:rPr>
                <w:color w:val="0D0D0D" w:themeColor="text1" w:themeTint="F2"/>
              </w:rPr>
            </w:pPr>
          </w:p>
        </w:tc>
        <w:tc>
          <w:tcPr>
            <w:tcW w:w="7711" w:type="dxa"/>
          </w:tcPr>
          <w:p w14:paraId="4FF7C21F" w14:textId="77777777" w:rsidR="00DD1A46" w:rsidRPr="004A0F58" w:rsidRDefault="00DD1A46" w:rsidP="00E962EE">
            <w:pPr>
              <w:spacing w:before="40" w:after="40"/>
              <w:rPr>
                <w:color w:val="0D0D0D" w:themeColor="text1" w:themeTint="F2"/>
              </w:rPr>
            </w:pPr>
            <w:r>
              <w:rPr>
                <w:noProof/>
              </w:rPr>
              <w:drawing>
                <wp:inline distT="0" distB="0" distL="0" distR="0" wp14:anchorId="7C51FB87" wp14:editId="702B5351">
                  <wp:extent cx="4737100" cy="3452883"/>
                  <wp:effectExtent l="0" t="0" r="6350" b="0"/>
                  <wp:docPr id="178850412" name="Graf 1">
                    <a:extLst xmlns:a="http://schemas.openxmlformats.org/drawingml/2006/main">
                      <a:ext uri="{FF2B5EF4-FFF2-40B4-BE49-F238E27FC236}">
                        <a16:creationId xmlns:a16="http://schemas.microsoft.com/office/drawing/2014/main" id="{C0094A0E-61BE-4079-AF51-5E430105A1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DD1A46" w:rsidRPr="004A0F58" w14:paraId="7CBC3420" w14:textId="77777777" w:rsidTr="00E962EE">
        <w:trPr>
          <w:trHeight w:val="145"/>
        </w:trPr>
        <w:tc>
          <w:tcPr>
            <w:tcW w:w="1814" w:type="dxa"/>
            <w:tcMar>
              <w:left w:w="0" w:type="dxa"/>
            </w:tcMar>
          </w:tcPr>
          <w:p w14:paraId="79CAFA57" w14:textId="77777777" w:rsidR="00DD1A46" w:rsidRPr="004A0F58" w:rsidRDefault="00DD1A46" w:rsidP="00E962EE">
            <w:pPr>
              <w:pStyle w:val="Marginlie"/>
              <w:spacing w:after="240"/>
              <w:rPr>
                <w:color w:val="0D0D0D" w:themeColor="text1" w:themeTint="F2"/>
                <w:spacing w:val="0"/>
              </w:rPr>
            </w:pPr>
          </w:p>
        </w:tc>
        <w:tc>
          <w:tcPr>
            <w:tcW w:w="181" w:type="dxa"/>
            <w:tcMar>
              <w:left w:w="0" w:type="dxa"/>
            </w:tcMar>
          </w:tcPr>
          <w:p w14:paraId="7AF2D450" w14:textId="77777777" w:rsidR="00DD1A46" w:rsidRPr="004A0F58" w:rsidRDefault="00DD1A46" w:rsidP="00E962EE">
            <w:pPr>
              <w:pStyle w:val="Textpoznpodarou"/>
              <w:spacing w:after="240"/>
              <w:jc w:val="both"/>
              <w:rPr>
                <w:color w:val="0D0D0D" w:themeColor="text1" w:themeTint="F2"/>
              </w:rPr>
            </w:pPr>
          </w:p>
        </w:tc>
        <w:tc>
          <w:tcPr>
            <w:tcW w:w="7711" w:type="dxa"/>
            <w:tcMar>
              <w:left w:w="0" w:type="dxa"/>
            </w:tcMar>
          </w:tcPr>
          <w:p w14:paraId="50C7F2E1" w14:textId="77777777" w:rsidR="00DD1A46" w:rsidRDefault="00DD1A46" w:rsidP="00E962EE">
            <w:pPr>
              <w:spacing w:after="0" w:line="240" w:lineRule="auto"/>
              <w:jc w:val="left"/>
              <w:rPr>
                <w:color w:val="0D0D0D" w:themeColor="text1" w:themeTint="F2"/>
                <w:sz w:val="14"/>
                <w:szCs w:val="14"/>
              </w:rPr>
            </w:pPr>
            <w:r>
              <w:rPr>
                <w:color w:val="0D0D0D" w:themeColor="text1" w:themeTint="F2"/>
                <w:sz w:val="14"/>
                <w:szCs w:val="14"/>
              </w:rPr>
              <w:t>Poznámka: B</w:t>
            </w:r>
            <w:r w:rsidRPr="004A0F58">
              <w:rPr>
                <w:color w:val="0D0D0D" w:themeColor="text1" w:themeTint="F2"/>
                <w:sz w:val="14"/>
                <w:szCs w:val="14"/>
              </w:rPr>
              <w:t>ariéry růstu vyjadřují stav v prvním měsíci daného čtvrtletí, saldo důvěry podnikatelů</w:t>
            </w:r>
            <w:r>
              <w:rPr>
                <w:rFonts w:cs="Arial"/>
                <w:color w:val="0D0D0D" w:themeColor="text1" w:themeTint="F2"/>
                <w:spacing w:val="-2"/>
                <w:sz w:val="14"/>
                <w:szCs w:val="14"/>
              </w:rPr>
              <w:t xml:space="preserve"> </w:t>
            </w:r>
            <w:r w:rsidRPr="004A0F58">
              <w:rPr>
                <w:rFonts w:cs="Arial"/>
                <w:color w:val="0D0D0D" w:themeColor="text1" w:themeTint="F2"/>
                <w:spacing w:val="-2"/>
                <w:sz w:val="14"/>
                <w:szCs w:val="14"/>
              </w:rPr>
              <w:t>vyjadřuj</w:t>
            </w:r>
            <w:r>
              <w:rPr>
                <w:rFonts w:cs="Arial"/>
                <w:color w:val="0D0D0D" w:themeColor="text1" w:themeTint="F2"/>
                <w:spacing w:val="-2"/>
                <w:sz w:val="14"/>
                <w:szCs w:val="14"/>
              </w:rPr>
              <w:t>e</w:t>
            </w:r>
            <w:r>
              <w:rPr>
                <w:rFonts w:cs="Arial"/>
                <w:color w:val="0D0D0D" w:themeColor="text1" w:themeTint="F2"/>
                <w:sz w:val="14"/>
                <w:szCs w:val="14"/>
              </w:rPr>
              <w:t xml:space="preserve"> měsíční </w:t>
            </w:r>
            <w:r w:rsidRPr="001C6832">
              <w:rPr>
                <w:rFonts w:cs="Arial"/>
                <w:color w:val="0D0D0D" w:themeColor="text1" w:themeTint="F2"/>
                <w:sz w:val="14"/>
                <w:szCs w:val="14"/>
              </w:rPr>
              <w:t xml:space="preserve">průměr za celý kvartál, u posledního období </w:t>
            </w:r>
            <w:r>
              <w:rPr>
                <w:rFonts w:cs="Arial"/>
                <w:color w:val="0D0D0D" w:themeColor="text1" w:themeTint="F2"/>
                <w:sz w:val="14"/>
                <w:szCs w:val="14"/>
              </w:rPr>
              <w:t xml:space="preserve">potom </w:t>
            </w:r>
            <w:r w:rsidRPr="001C6832">
              <w:rPr>
                <w:rFonts w:cs="Arial"/>
                <w:color w:val="0D0D0D" w:themeColor="text1" w:themeTint="F2"/>
                <w:sz w:val="14"/>
                <w:szCs w:val="14"/>
              </w:rPr>
              <w:t>průměr za první dva měsíce.</w:t>
            </w:r>
            <w:r>
              <w:rPr>
                <w:rFonts w:cs="Arial"/>
                <w:color w:val="0D0D0D" w:themeColor="text1" w:themeTint="F2"/>
                <w:sz w:val="14"/>
                <w:szCs w:val="14"/>
              </w:rPr>
              <w:t xml:space="preserve"> Z</w:t>
            </w:r>
            <w:r w:rsidRPr="004A0F58">
              <w:rPr>
                <w:color w:val="0D0D0D" w:themeColor="text1" w:themeTint="F2"/>
                <w:sz w:val="14"/>
                <w:szCs w:val="14"/>
              </w:rPr>
              <w:t>akázky jsou očištěny o kalendářní vlivy, ostatní ukazatele jsou sezónně očištěny. Podniky mohly uvést více hlavních růstových bariér současně.</w:t>
            </w:r>
          </w:p>
          <w:p w14:paraId="21BD7848" w14:textId="77777777" w:rsidR="00DD1A46" w:rsidRPr="004A0F58" w:rsidRDefault="00DD1A46" w:rsidP="00E962EE">
            <w:pPr>
              <w:spacing w:after="220" w:line="240" w:lineRule="auto"/>
              <w:jc w:val="left"/>
              <w:rPr>
                <w:color w:val="0D0D0D" w:themeColor="text1" w:themeTint="F2"/>
                <w:sz w:val="14"/>
                <w:szCs w:val="14"/>
              </w:rPr>
            </w:pPr>
            <w:r w:rsidRPr="004A0F58">
              <w:rPr>
                <w:color w:val="0D0D0D" w:themeColor="text1" w:themeTint="F2"/>
                <w:sz w:val="14"/>
                <w:szCs w:val="14"/>
              </w:rPr>
              <w:t>Zdroj: ČSÚ, Eurostat</w:t>
            </w:r>
          </w:p>
        </w:tc>
      </w:tr>
      <w:tr w:rsidR="00DD1A46" w:rsidRPr="004A0F58" w14:paraId="4FD2F707" w14:textId="77777777" w:rsidTr="00E962EE">
        <w:trPr>
          <w:trHeight w:val="145"/>
        </w:trPr>
        <w:tc>
          <w:tcPr>
            <w:tcW w:w="1814" w:type="dxa"/>
            <w:tcMar>
              <w:left w:w="0" w:type="dxa"/>
            </w:tcMar>
          </w:tcPr>
          <w:p w14:paraId="5B28A4E3" w14:textId="77777777" w:rsidR="00DD1A46" w:rsidRPr="004A0F58" w:rsidRDefault="00DD1A46" w:rsidP="00E962EE">
            <w:pPr>
              <w:pStyle w:val="Marginlie"/>
              <w:rPr>
                <w:color w:val="0D0D0D" w:themeColor="text1" w:themeTint="F2"/>
                <w:spacing w:val="0"/>
              </w:rPr>
            </w:pPr>
            <w:r>
              <w:rPr>
                <w:color w:val="0D0D0D" w:themeColor="text1" w:themeTint="F2"/>
                <w:spacing w:val="0"/>
              </w:rPr>
              <w:t>Skoro</w:t>
            </w:r>
            <w:r w:rsidRPr="004A0F58">
              <w:rPr>
                <w:color w:val="0D0D0D" w:themeColor="text1" w:themeTint="F2"/>
                <w:spacing w:val="0"/>
              </w:rPr>
              <w:t xml:space="preserve"> polovinu firem sužovala nedostatečná poptávka. Využití výrobních kapacit </w:t>
            </w:r>
            <w:r>
              <w:rPr>
                <w:color w:val="0D0D0D" w:themeColor="text1" w:themeTint="F2"/>
                <w:spacing w:val="0"/>
              </w:rPr>
              <w:t>však v létě vzrostlo</w:t>
            </w:r>
            <w:r w:rsidRPr="004A0F58">
              <w:rPr>
                <w:color w:val="0D0D0D" w:themeColor="text1" w:themeTint="F2"/>
                <w:spacing w:val="0"/>
              </w:rPr>
              <w:t>.</w:t>
            </w:r>
          </w:p>
        </w:tc>
        <w:tc>
          <w:tcPr>
            <w:tcW w:w="181" w:type="dxa"/>
            <w:tcMar>
              <w:left w:w="0" w:type="dxa"/>
            </w:tcMar>
          </w:tcPr>
          <w:p w14:paraId="414A7CA5" w14:textId="77777777" w:rsidR="00DD1A46" w:rsidRPr="004A0F58" w:rsidRDefault="00DD1A46" w:rsidP="00E962EE">
            <w:pPr>
              <w:pStyle w:val="Textpoznpodarou"/>
              <w:spacing w:after="240"/>
              <w:jc w:val="both"/>
              <w:rPr>
                <w:color w:val="0D0D0D" w:themeColor="text1" w:themeTint="F2"/>
              </w:rPr>
            </w:pPr>
          </w:p>
        </w:tc>
        <w:tc>
          <w:tcPr>
            <w:tcW w:w="7711" w:type="dxa"/>
            <w:tcMar>
              <w:left w:w="0" w:type="dxa"/>
            </w:tcMar>
          </w:tcPr>
          <w:p w14:paraId="619C9A29" w14:textId="77777777" w:rsidR="00DD1A46" w:rsidRPr="00233339" w:rsidRDefault="00DD1A46" w:rsidP="00E962EE">
            <w:pPr>
              <w:spacing w:after="200"/>
              <w:rPr>
                <w:color w:val="0D0D0D" w:themeColor="text1" w:themeTint="F2"/>
                <w:spacing w:val="-3"/>
              </w:rPr>
            </w:pPr>
            <w:r w:rsidRPr="004A0F58">
              <w:rPr>
                <w:color w:val="0D0D0D" w:themeColor="text1" w:themeTint="F2"/>
                <w:spacing w:val="-2"/>
              </w:rPr>
              <w:t>Čtvrtý rok v řadě zůstává klíčovou růstovou bariérou v průmyslu nedostatečná poptávka</w:t>
            </w:r>
            <w:r w:rsidRPr="004A0F58">
              <w:rPr>
                <w:rStyle w:val="Znakapoznpodarou"/>
                <w:rFonts w:eastAsia="MS Gothic"/>
                <w:color w:val="0D0D0D" w:themeColor="text1" w:themeTint="F2"/>
                <w:spacing w:val="-2"/>
                <w:szCs w:val="20"/>
              </w:rPr>
              <w:footnoteReference w:id="26"/>
            </w:r>
            <w:r w:rsidRPr="004A0F58">
              <w:rPr>
                <w:color w:val="0D0D0D" w:themeColor="text1" w:themeTint="F2"/>
                <w:spacing w:val="-2"/>
              </w:rPr>
              <w:t>. Tu letos v</w:t>
            </w:r>
            <w:r>
              <w:rPr>
                <w:color w:val="0D0D0D" w:themeColor="text1" w:themeTint="F2"/>
                <w:spacing w:val="-2"/>
              </w:rPr>
              <w:t> červenci</w:t>
            </w:r>
            <w:r w:rsidRPr="004A0F58">
              <w:rPr>
                <w:color w:val="0D0D0D" w:themeColor="text1" w:themeTint="F2"/>
                <w:spacing w:val="-2"/>
              </w:rPr>
              <w:t xml:space="preserve"> uvedlo </w:t>
            </w:r>
            <w:r>
              <w:rPr>
                <w:color w:val="0D0D0D" w:themeColor="text1" w:themeTint="F2"/>
                <w:spacing w:val="-2"/>
              </w:rPr>
              <w:t>48</w:t>
            </w:r>
            <w:r w:rsidRPr="004A0F58">
              <w:rPr>
                <w:color w:val="0D0D0D" w:themeColor="text1" w:themeTint="F2"/>
                <w:spacing w:val="-2"/>
              </w:rPr>
              <w:t> </w:t>
            </w:r>
            <w:r w:rsidRPr="004A0F58">
              <w:rPr>
                <w:rStyle w:val="normaltextrun"/>
                <w:rFonts w:eastAsia="MS Gothic" w:cs="Arial"/>
                <w:color w:val="0D0D0D" w:themeColor="text1" w:themeTint="F2"/>
                <w:spacing w:val="-2"/>
                <w:szCs w:val="20"/>
              </w:rPr>
              <w:t>% podniků</w:t>
            </w:r>
            <w:r>
              <w:rPr>
                <w:rStyle w:val="normaltextrun"/>
                <w:rFonts w:eastAsia="MS Gothic" w:cs="Arial"/>
                <w:color w:val="0D0D0D" w:themeColor="text1" w:themeTint="F2"/>
                <w:spacing w:val="-2"/>
                <w:szCs w:val="20"/>
              </w:rPr>
              <w:t xml:space="preserve"> (podobně jako o rok dříve)</w:t>
            </w:r>
            <w:r w:rsidRPr="004A0F58">
              <w:rPr>
                <w:rStyle w:val="normaltextrun"/>
                <w:rFonts w:eastAsia="MS Gothic" w:cs="Arial"/>
                <w:color w:val="0D0D0D" w:themeColor="text1" w:themeTint="F2"/>
                <w:spacing w:val="-2"/>
                <w:szCs w:val="20"/>
              </w:rPr>
              <w:t xml:space="preserve">. Mírně vzrostl </w:t>
            </w:r>
            <w:r>
              <w:rPr>
                <w:rStyle w:val="normaltextrun"/>
                <w:rFonts w:eastAsia="MS Gothic" w:cs="Arial"/>
                <w:color w:val="0D0D0D" w:themeColor="text1" w:themeTint="F2"/>
                <w:spacing w:val="-2"/>
                <w:szCs w:val="20"/>
              </w:rPr>
              <w:t>ale</w:t>
            </w:r>
            <w:r w:rsidRPr="004A0F58">
              <w:rPr>
                <w:rStyle w:val="normaltextrun"/>
                <w:rFonts w:eastAsia="MS Gothic" w:cs="Arial"/>
                <w:color w:val="0D0D0D" w:themeColor="text1" w:themeTint="F2"/>
                <w:spacing w:val="-2"/>
                <w:szCs w:val="20"/>
              </w:rPr>
              <w:t xml:space="preserve"> podíl podniků limitovaných nedostatkem pracovníků (na 1</w:t>
            </w:r>
            <w:r>
              <w:rPr>
                <w:rStyle w:val="normaltextrun"/>
                <w:rFonts w:eastAsia="MS Gothic" w:cs="Arial"/>
                <w:color w:val="0D0D0D" w:themeColor="text1" w:themeTint="F2"/>
                <w:spacing w:val="-2"/>
                <w:szCs w:val="20"/>
              </w:rPr>
              <w:t>3</w:t>
            </w:r>
            <w:r w:rsidRPr="004A0F58">
              <w:rPr>
                <w:rStyle w:val="normaltextrun"/>
                <w:rFonts w:eastAsia="MS Gothic" w:cs="Arial"/>
                <w:color w:val="0D0D0D" w:themeColor="text1" w:themeTint="F2"/>
                <w:spacing w:val="-2"/>
                <w:szCs w:val="20"/>
              </w:rPr>
              <w:t xml:space="preserve"> %), k pozitivnímu vývoji však došlo v oblasti dostupnosti materiálů či zařízení</w:t>
            </w:r>
            <w:r>
              <w:rPr>
                <w:rStyle w:val="Znakapoznpodarou"/>
                <w:rFonts w:eastAsia="MS Gothic"/>
                <w:color w:val="0D0D0D" w:themeColor="text1" w:themeTint="F2"/>
                <w:spacing w:val="-2"/>
                <w:szCs w:val="20"/>
              </w:rPr>
              <w:footnoteReference w:id="27"/>
            </w:r>
            <w:r w:rsidRPr="004A0F58">
              <w:rPr>
                <w:rStyle w:val="normaltextrun"/>
                <w:rFonts w:eastAsia="MS Gothic" w:cs="Arial"/>
                <w:color w:val="0D0D0D" w:themeColor="text1" w:themeTint="F2"/>
                <w:spacing w:val="-2"/>
                <w:szCs w:val="20"/>
              </w:rPr>
              <w:t>. Využití výrobních kapacit v průmyslu s</w:t>
            </w:r>
            <w:r w:rsidRPr="004A0F58">
              <w:rPr>
                <w:rStyle w:val="normaltextrun"/>
                <w:rFonts w:eastAsia="MS Gothic" w:cs="Arial"/>
                <w:color w:val="0D0D0D" w:themeColor="text1" w:themeTint="F2"/>
              </w:rPr>
              <w:t xml:space="preserve">e </w:t>
            </w:r>
            <w:r>
              <w:rPr>
                <w:rStyle w:val="normaltextrun"/>
                <w:rFonts w:eastAsia="MS Gothic" w:cs="Arial"/>
                <w:color w:val="0D0D0D" w:themeColor="text1" w:themeTint="F2"/>
              </w:rPr>
              <w:t xml:space="preserve">sice </w:t>
            </w:r>
            <w:r w:rsidRPr="004A0F58">
              <w:rPr>
                <w:rStyle w:val="normaltextrun"/>
                <w:rFonts w:eastAsia="MS Gothic" w:cs="Arial"/>
                <w:color w:val="0D0D0D" w:themeColor="text1" w:themeTint="F2"/>
              </w:rPr>
              <w:t>letos od začátku roku snižoval</w:t>
            </w:r>
            <w:r>
              <w:rPr>
                <w:rStyle w:val="normaltextrun"/>
                <w:rFonts w:eastAsia="MS Gothic" w:cs="Arial"/>
                <w:color w:val="0D0D0D" w:themeColor="text1" w:themeTint="F2"/>
              </w:rPr>
              <w:t>o,</w:t>
            </w:r>
            <w:r>
              <w:rPr>
                <w:rStyle w:val="normaltextrun"/>
                <w:rFonts w:eastAsia="MS Gothic" w:cs="Arial"/>
              </w:rPr>
              <w:t xml:space="preserve"> na počátku 3. čtvrtletí však nastal obrat související především s příznivým vývojem poptávky ve výrobě motorových vozidel</w:t>
            </w:r>
            <w:r w:rsidRPr="004A0F58">
              <w:rPr>
                <w:rStyle w:val="normaltextrun"/>
                <w:rFonts w:eastAsia="MS Gothic" w:cs="Arial"/>
                <w:color w:val="0D0D0D" w:themeColor="text1" w:themeTint="F2"/>
              </w:rPr>
              <w:t xml:space="preserve">. </w:t>
            </w:r>
            <w:r>
              <w:rPr>
                <w:rStyle w:val="normaltextrun"/>
                <w:rFonts w:eastAsia="MS Gothic" w:cs="Arial"/>
                <w:color w:val="0D0D0D" w:themeColor="text1" w:themeTint="F2"/>
              </w:rPr>
              <w:t xml:space="preserve">Využití kapacit v celém průmyslu se tak aktuálně těsně přiblížilo 85 % (úrovni běžné v konjunkturním období ve druhé polovině minulé dekády). </w:t>
            </w:r>
          </w:p>
        </w:tc>
      </w:tr>
      <w:tr w:rsidR="00DD1A46" w:rsidRPr="004A0F58" w14:paraId="358D1B4D" w14:textId="77777777" w:rsidTr="00E962EE">
        <w:trPr>
          <w:trHeight w:val="145"/>
        </w:trPr>
        <w:tc>
          <w:tcPr>
            <w:tcW w:w="1814" w:type="dxa"/>
            <w:gridSpan w:val="3"/>
            <w:tcMar>
              <w:left w:w="0" w:type="dxa"/>
            </w:tcMar>
          </w:tcPr>
          <w:p w14:paraId="6B5BA31A" w14:textId="77777777" w:rsidR="00DD1A46" w:rsidRPr="004A0F58" w:rsidRDefault="00DD1A46" w:rsidP="00E962EE">
            <w:pPr>
              <w:pStyle w:val="Nadpis3"/>
              <w:rPr>
                <w:color w:val="0D0D0D" w:themeColor="text1" w:themeTint="F2"/>
                <w:spacing w:val="-2"/>
              </w:rPr>
            </w:pPr>
            <w:bookmarkStart w:id="27" w:name="_Toc240366896"/>
            <w:r>
              <w:rPr>
                <w:lang w:eastAsia="en-US"/>
              </w:rPr>
              <w:t>3</w:t>
            </w:r>
            <w:r w:rsidRPr="006B2C72">
              <w:rPr>
                <w:lang w:eastAsia="en-US"/>
              </w:rPr>
              <w:t>.</w:t>
            </w:r>
            <w:r>
              <w:rPr>
                <w:lang w:eastAsia="en-US"/>
              </w:rPr>
              <w:t>2</w:t>
            </w:r>
            <w:r w:rsidRPr="006B2C72">
              <w:rPr>
                <w:lang w:eastAsia="en-US"/>
              </w:rPr>
              <w:t xml:space="preserve"> </w:t>
            </w:r>
            <w:r>
              <w:rPr>
                <w:lang w:eastAsia="en-US"/>
              </w:rPr>
              <w:t>Stavebnictví</w:t>
            </w:r>
            <w:bookmarkEnd w:id="27"/>
          </w:p>
        </w:tc>
      </w:tr>
      <w:tr w:rsidR="00DD1A46" w:rsidRPr="004A0F58" w14:paraId="22CCB366" w14:textId="77777777" w:rsidTr="00E962EE">
        <w:trPr>
          <w:trHeight w:val="145"/>
        </w:trPr>
        <w:tc>
          <w:tcPr>
            <w:tcW w:w="1814" w:type="dxa"/>
            <w:tcMar>
              <w:left w:w="0" w:type="dxa"/>
            </w:tcMar>
          </w:tcPr>
          <w:p w14:paraId="015D2062" w14:textId="77777777" w:rsidR="00DD1A46" w:rsidRPr="004A0F58" w:rsidRDefault="00DD1A46" w:rsidP="00E962EE">
            <w:pPr>
              <w:pStyle w:val="Marginlie"/>
              <w:rPr>
                <w:color w:val="0D0D0D" w:themeColor="text1" w:themeTint="F2"/>
                <w:spacing w:val="0"/>
              </w:rPr>
            </w:pPr>
            <w:r w:rsidRPr="004A0F58">
              <w:rPr>
                <w:color w:val="0D0D0D" w:themeColor="text1" w:themeTint="F2"/>
                <w:spacing w:val="0"/>
              </w:rPr>
              <w:t xml:space="preserve">Meziroční růst stavební produkce znatelně </w:t>
            </w:r>
            <w:r w:rsidRPr="004A0F58">
              <w:rPr>
                <w:color w:val="0D0D0D" w:themeColor="text1" w:themeTint="F2"/>
                <w:spacing w:val="0"/>
              </w:rPr>
              <w:lastRenderedPageBreak/>
              <w:t>zvolnil. Efekt vysoké srovnávací základny se nejvíce projevil v inženýrském stavitelství.</w:t>
            </w:r>
          </w:p>
        </w:tc>
        <w:tc>
          <w:tcPr>
            <w:tcW w:w="181" w:type="dxa"/>
            <w:tcMar>
              <w:left w:w="0" w:type="dxa"/>
            </w:tcMar>
          </w:tcPr>
          <w:p w14:paraId="6CB0070C" w14:textId="77777777" w:rsidR="00DD1A46" w:rsidRPr="004A0F58" w:rsidRDefault="00DD1A46" w:rsidP="00E962EE">
            <w:pPr>
              <w:pStyle w:val="Textpoznpodarou"/>
              <w:spacing w:after="240"/>
              <w:jc w:val="both"/>
              <w:rPr>
                <w:color w:val="0D0D0D" w:themeColor="text1" w:themeTint="F2"/>
              </w:rPr>
            </w:pPr>
          </w:p>
        </w:tc>
        <w:tc>
          <w:tcPr>
            <w:tcW w:w="7711" w:type="dxa"/>
            <w:tcMar>
              <w:left w:w="0" w:type="dxa"/>
            </w:tcMar>
          </w:tcPr>
          <w:p w14:paraId="380B4116" w14:textId="77777777" w:rsidR="00DD1A46" w:rsidRPr="004A0F58" w:rsidRDefault="00DD1A46" w:rsidP="00E962EE">
            <w:pPr>
              <w:spacing w:after="220"/>
              <w:rPr>
                <w:color w:val="0D0D0D" w:themeColor="text1" w:themeTint="F2"/>
                <w:spacing w:val="-2"/>
              </w:rPr>
            </w:pPr>
            <w:r w:rsidRPr="004A0F58">
              <w:rPr>
                <w:color w:val="0D0D0D" w:themeColor="text1" w:themeTint="F2"/>
                <w:spacing w:val="-2"/>
              </w:rPr>
              <w:t xml:space="preserve">Stavebnictví se i </w:t>
            </w:r>
            <w:r>
              <w:rPr>
                <w:color w:val="0D0D0D" w:themeColor="text1" w:themeTint="F2"/>
                <w:spacing w:val="-2"/>
              </w:rPr>
              <w:t>v první polovině</w:t>
            </w:r>
            <w:r w:rsidRPr="004A0F58">
              <w:rPr>
                <w:color w:val="0D0D0D" w:themeColor="text1" w:themeTint="F2"/>
                <w:spacing w:val="-2"/>
              </w:rPr>
              <w:t xml:space="preserve"> letošního roku dále </w:t>
            </w:r>
            <w:r>
              <w:rPr>
                <w:color w:val="0D0D0D" w:themeColor="text1" w:themeTint="F2"/>
                <w:spacing w:val="-2"/>
              </w:rPr>
              <w:t>dařilo</w:t>
            </w:r>
            <w:r w:rsidRPr="004A0F58">
              <w:rPr>
                <w:color w:val="0D0D0D" w:themeColor="text1" w:themeTint="F2"/>
                <w:spacing w:val="-2"/>
              </w:rPr>
              <w:t xml:space="preserve">. Pokračující mírný růst výkonu tuzemské ekonomiky byl totiž v posledních čtvrtletích spojen s významnějším oživením </w:t>
            </w:r>
            <w:r w:rsidRPr="004A0F58">
              <w:rPr>
                <w:color w:val="0D0D0D" w:themeColor="text1" w:themeTint="F2"/>
                <w:spacing w:val="-2"/>
              </w:rPr>
              <w:lastRenderedPageBreak/>
              <w:t>investiční aktivity domácností, firem i státu.</w:t>
            </w:r>
            <w:r>
              <w:rPr>
                <w:color w:val="0D0D0D" w:themeColor="text1" w:themeTint="F2"/>
                <w:spacing w:val="-2"/>
              </w:rPr>
              <w:t xml:space="preserve"> Svižnějšímu</w:t>
            </w:r>
            <w:r w:rsidRPr="004A0F58">
              <w:rPr>
                <w:color w:val="0D0D0D" w:themeColor="text1" w:themeTint="F2"/>
                <w:spacing w:val="-2"/>
              </w:rPr>
              <w:t xml:space="preserve"> rozvoji stavebnictví </w:t>
            </w:r>
            <w:r>
              <w:rPr>
                <w:color w:val="0D0D0D" w:themeColor="text1" w:themeTint="F2"/>
                <w:spacing w:val="-2"/>
              </w:rPr>
              <w:t xml:space="preserve">ale současně </w:t>
            </w:r>
            <w:r w:rsidRPr="004A0F58">
              <w:rPr>
                <w:color w:val="0D0D0D" w:themeColor="text1" w:themeTint="F2"/>
                <w:spacing w:val="-2"/>
              </w:rPr>
              <w:t xml:space="preserve">bránily dlouhodobě významné růstové bariéry (zejména </w:t>
            </w:r>
            <w:r w:rsidRPr="004A0F58">
              <w:rPr>
                <w:rStyle w:val="normaltextrun"/>
                <w:rFonts w:eastAsiaTheme="majorEastAsia" w:cs="Arial"/>
                <w:color w:val="0D0D0D" w:themeColor="text1" w:themeTint="F2"/>
                <w:spacing w:val="-2"/>
                <w:szCs w:val="20"/>
              </w:rPr>
              <w:t>nedostatek pracovníků</w:t>
            </w:r>
            <w:r>
              <w:rPr>
                <w:rStyle w:val="normaltextrun"/>
                <w:rFonts w:eastAsiaTheme="majorEastAsia" w:cs="Arial"/>
                <w:color w:val="0D0D0D" w:themeColor="text1" w:themeTint="F2"/>
                <w:spacing w:val="-2"/>
                <w:szCs w:val="20"/>
              </w:rPr>
              <w:t xml:space="preserve"> – napříč profesemi</w:t>
            </w:r>
            <w:r w:rsidRPr="004A0F58">
              <w:rPr>
                <w:rStyle w:val="normaltextrun"/>
                <w:rFonts w:eastAsiaTheme="majorEastAsia" w:cs="Arial"/>
                <w:color w:val="0D0D0D" w:themeColor="text1" w:themeTint="F2"/>
                <w:spacing w:val="-2"/>
                <w:szCs w:val="20"/>
              </w:rPr>
              <w:t>) a také přetrvávající nákladové tlaky pramenící z růstu cen stavebních materiálů i n</w:t>
            </w:r>
            <w:r w:rsidRPr="004A0F58">
              <w:rPr>
                <w:rStyle w:val="normaltextrun"/>
                <w:rFonts w:eastAsiaTheme="majorEastAsia" w:cs="Arial"/>
                <w:color w:val="0D0D0D" w:themeColor="text1" w:themeTint="F2"/>
              </w:rPr>
              <w:t>adále zvýšené cenové úrovně některých energi</w:t>
            </w:r>
            <w:r>
              <w:rPr>
                <w:rStyle w:val="normaltextrun"/>
                <w:rFonts w:eastAsiaTheme="majorEastAsia" w:cs="Arial"/>
                <w:color w:val="0D0D0D" w:themeColor="text1" w:themeTint="F2"/>
              </w:rPr>
              <w:t>í</w:t>
            </w:r>
            <w:r w:rsidRPr="004A0F58">
              <w:rPr>
                <w:rStyle w:val="normaltextrun"/>
                <w:rFonts w:eastAsiaTheme="majorEastAsia" w:cs="Arial"/>
                <w:color w:val="0D0D0D" w:themeColor="text1" w:themeTint="F2"/>
                <w:spacing w:val="-2"/>
                <w:szCs w:val="20"/>
              </w:rPr>
              <w:t xml:space="preserve">. </w:t>
            </w:r>
            <w:r w:rsidRPr="004A0F58">
              <w:rPr>
                <w:rStyle w:val="normaltextrun"/>
                <w:rFonts w:cs="Arial"/>
                <w:color w:val="0D0D0D" w:themeColor="text1" w:themeTint="F2"/>
                <w:spacing w:val="-2"/>
              </w:rPr>
              <w:t>S</w:t>
            </w:r>
            <w:r w:rsidRPr="004A0F58">
              <w:rPr>
                <w:color w:val="0D0D0D" w:themeColor="text1" w:themeTint="F2"/>
                <w:spacing w:val="-2"/>
              </w:rPr>
              <w:t>tavební produkce</w:t>
            </w:r>
            <w:r w:rsidRPr="004A0F58">
              <w:rPr>
                <w:rStyle w:val="Znakapoznpodarou"/>
                <w:color w:val="0D0D0D" w:themeColor="text1" w:themeTint="F2"/>
                <w:spacing w:val="-2"/>
              </w:rPr>
              <w:footnoteReference w:id="28"/>
            </w:r>
            <w:r>
              <w:rPr>
                <w:color w:val="0D0D0D" w:themeColor="text1" w:themeTint="F2"/>
                <w:spacing w:val="-2"/>
              </w:rPr>
              <w:t xml:space="preserve"> </w:t>
            </w:r>
            <w:r w:rsidRPr="004A0F58">
              <w:rPr>
                <w:color w:val="0D0D0D" w:themeColor="text1" w:themeTint="F2"/>
                <w:spacing w:val="-2"/>
              </w:rPr>
              <w:t>se v 1. čtvrtletí 2026 mezikvartálně zvýšila o 1,</w:t>
            </w:r>
            <w:r>
              <w:rPr>
                <w:color w:val="0D0D0D" w:themeColor="text1" w:themeTint="F2"/>
                <w:spacing w:val="-2"/>
              </w:rPr>
              <w:t>1</w:t>
            </w:r>
            <w:r w:rsidRPr="004A0F58">
              <w:rPr>
                <w:color w:val="0D0D0D" w:themeColor="text1" w:themeTint="F2"/>
                <w:spacing w:val="-2"/>
              </w:rPr>
              <w:t xml:space="preserve"> %</w:t>
            </w:r>
            <w:r>
              <w:rPr>
                <w:color w:val="0D0D0D" w:themeColor="text1" w:themeTint="F2"/>
                <w:spacing w:val="-2"/>
              </w:rPr>
              <w:t xml:space="preserve"> a v následujícím období o 1,2 %. V obou případech se na tom ovšem podílelo pouze pozemní stavitelství. </w:t>
            </w:r>
            <w:r w:rsidRPr="004A0F58">
              <w:rPr>
                <w:bCs/>
                <w:color w:val="0D0D0D" w:themeColor="text1" w:themeTint="F2"/>
                <w:spacing w:val="-4"/>
              </w:rPr>
              <w:t xml:space="preserve">V meziročním pohledu se </w:t>
            </w:r>
            <w:r>
              <w:rPr>
                <w:bCs/>
                <w:color w:val="0D0D0D" w:themeColor="text1" w:themeTint="F2"/>
                <w:spacing w:val="-4"/>
              </w:rPr>
              <w:t>za celé</w:t>
            </w:r>
            <w:r w:rsidRPr="004A0F58">
              <w:rPr>
                <w:bCs/>
                <w:color w:val="0D0D0D" w:themeColor="text1" w:themeTint="F2"/>
                <w:spacing w:val="-4"/>
              </w:rPr>
              <w:t> 1.</w:t>
            </w:r>
            <w:r w:rsidRPr="00233339">
              <w:rPr>
                <w:color w:val="0D0D0D" w:themeColor="text1" w:themeTint="F2"/>
                <w:spacing w:val="-3"/>
              </w:rPr>
              <w:t> </w:t>
            </w:r>
            <w:r>
              <w:rPr>
                <w:bCs/>
                <w:color w:val="0D0D0D" w:themeColor="text1" w:themeTint="F2"/>
                <w:spacing w:val="-4"/>
              </w:rPr>
              <w:t>polo</w:t>
            </w:r>
            <w:r w:rsidRPr="004A0F58">
              <w:rPr>
                <w:bCs/>
                <w:color w:val="0D0D0D" w:themeColor="text1" w:themeTint="F2"/>
                <w:spacing w:val="-4"/>
              </w:rPr>
              <w:t>letí 2026</w:t>
            </w:r>
            <w:r>
              <w:rPr>
                <w:bCs/>
                <w:color w:val="0D0D0D" w:themeColor="text1" w:themeTint="F2"/>
                <w:spacing w:val="-4"/>
              </w:rPr>
              <w:t xml:space="preserve"> výkon posílil o 4,0 % a ačkoli proti loňským tempům zvolnil o více než polovinu, růst produkce přetrvával již dva roky v řadě. K aktuálnímu růstu přispěla nejvíce výstavba budov (</w:t>
            </w:r>
            <w:r>
              <w:rPr>
                <w:color w:val="0D0D0D" w:themeColor="text1" w:themeTint="F2"/>
                <w:spacing w:val="-2"/>
              </w:rPr>
              <w:t xml:space="preserve">kde produkce vzrostla o 8,3 %), podobný vliv měl ale i </w:t>
            </w:r>
            <w:r>
              <w:rPr>
                <w:bCs/>
                <w:color w:val="0D0D0D" w:themeColor="text1" w:themeTint="F2"/>
                <w:spacing w:val="-4"/>
              </w:rPr>
              <w:t xml:space="preserve">segment </w:t>
            </w:r>
            <w:r w:rsidRPr="004A0F58">
              <w:rPr>
                <w:color w:val="0D0D0D" w:themeColor="text1" w:themeTint="F2"/>
                <w:spacing w:val="-2"/>
              </w:rPr>
              <w:t>specializovan</w:t>
            </w:r>
            <w:r>
              <w:rPr>
                <w:color w:val="0D0D0D" w:themeColor="text1" w:themeTint="F2"/>
                <w:spacing w:val="-2"/>
              </w:rPr>
              <w:t>ých</w:t>
            </w:r>
            <w:r w:rsidRPr="004A0F58">
              <w:rPr>
                <w:color w:val="0D0D0D" w:themeColor="text1" w:themeTint="F2"/>
                <w:spacing w:val="-2"/>
              </w:rPr>
              <w:t xml:space="preserve"> stavební</w:t>
            </w:r>
            <w:r>
              <w:rPr>
                <w:color w:val="0D0D0D" w:themeColor="text1" w:themeTint="F2"/>
                <w:spacing w:val="-2"/>
              </w:rPr>
              <w:t>ch</w:t>
            </w:r>
            <w:r w:rsidRPr="004A0F58">
              <w:rPr>
                <w:color w:val="0D0D0D" w:themeColor="text1" w:themeTint="F2"/>
                <w:spacing w:val="-2"/>
              </w:rPr>
              <w:t xml:space="preserve"> činnost</w:t>
            </w:r>
            <w:r>
              <w:rPr>
                <w:color w:val="0D0D0D" w:themeColor="text1" w:themeTint="F2"/>
                <w:spacing w:val="-2"/>
              </w:rPr>
              <w:t>í</w:t>
            </w:r>
            <w:r w:rsidRPr="004A0F58">
              <w:rPr>
                <w:color w:val="0D0D0D" w:themeColor="text1" w:themeTint="F2"/>
                <w:spacing w:val="-2"/>
              </w:rPr>
              <w:t xml:space="preserve">, </w:t>
            </w:r>
            <w:r w:rsidRPr="004A0F58">
              <w:rPr>
                <w:rStyle w:val="normaltextrun"/>
                <w:rFonts w:eastAsiaTheme="majorEastAsia" w:cs="Arial"/>
                <w:color w:val="0D0D0D" w:themeColor="text1" w:themeTint="F2"/>
                <w:spacing w:val="-2"/>
              </w:rPr>
              <w:t>je</w:t>
            </w:r>
            <w:r>
              <w:rPr>
                <w:rStyle w:val="normaltextrun"/>
                <w:rFonts w:eastAsiaTheme="majorEastAsia" w:cs="Arial"/>
                <w:color w:val="0D0D0D" w:themeColor="text1" w:themeTint="F2"/>
                <w:spacing w:val="-2"/>
              </w:rPr>
              <w:t>n</w:t>
            </w:r>
            <w:r w:rsidRPr="004A0F58">
              <w:rPr>
                <w:rStyle w:val="normaltextrun"/>
                <w:rFonts w:eastAsiaTheme="majorEastAsia" w:cs="Arial"/>
                <w:color w:val="0D0D0D" w:themeColor="text1" w:themeTint="F2"/>
                <w:spacing w:val="-2"/>
              </w:rPr>
              <w:t>ž j</w:t>
            </w:r>
            <w:r>
              <w:rPr>
                <w:rStyle w:val="normaltextrun"/>
                <w:rFonts w:eastAsiaTheme="majorEastAsia" w:cs="Arial"/>
                <w:color w:val="0D0D0D" w:themeColor="text1" w:themeTint="F2"/>
                <w:spacing w:val="-2"/>
              </w:rPr>
              <w:t>e</w:t>
            </w:r>
            <w:r w:rsidRPr="004A0F58">
              <w:rPr>
                <w:rStyle w:val="normaltextrun"/>
                <w:rFonts w:eastAsiaTheme="majorEastAsia" w:cs="Arial"/>
                <w:color w:val="0D0D0D" w:themeColor="text1" w:themeTint="F2"/>
                <w:spacing w:val="-2"/>
              </w:rPr>
              <w:t xml:space="preserve"> doménou zpravidla menších podniků </w:t>
            </w:r>
            <w:r>
              <w:rPr>
                <w:rStyle w:val="normaltextrun"/>
                <w:rFonts w:eastAsiaTheme="majorEastAsia" w:cs="Arial"/>
                <w:color w:val="0D0D0D" w:themeColor="text1" w:themeTint="F2"/>
                <w:spacing w:val="-2"/>
              </w:rPr>
              <w:br/>
            </w:r>
            <w:r w:rsidRPr="004A0F58">
              <w:rPr>
                <w:rStyle w:val="normaltextrun"/>
                <w:rFonts w:eastAsiaTheme="majorEastAsia" w:cs="Arial"/>
                <w:color w:val="0D0D0D" w:themeColor="text1" w:themeTint="F2"/>
                <w:spacing w:val="-2"/>
              </w:rPr>
              <w:t>a drobných podnikatelů</w:t>
            </w:r>
            <w:r>
              <w:rPr>
                <w:bCs/>
                <w:color w:val="0D0D0D" w:themeColor="text1" w:themeTint="F2"/>
                <w:spacing w:val="-4"/>
              </w:rPr>
              <w:t xml:space="preserve">. </w:t>
            </w:r>
            <w:r w:rsidRPr="004A0F58">
              <w:rPr>
                <w:rStyle w:val="normaltextrun"/>
                <w:rFonts w:eastAsiaTheme="majorEastAsia" w:cs="Arial"/>
                <w:color w:val="0D0D0D" w:themeColor="text1" w:themeTint="F2"/>
              </w:rPr>
              <w:t>Naopak</w:t>
            </w:r>
            <w:r>
              <w:rPr>
                <w:rStyle w:val="normaltextrun"/>
                <w:rFonts w:eastAsiaTheme="majorEastAsia" w:cs="Arial"/>
                <w:color w:val="0D0D0D" w:themeColor="text1" w:themeTint="F2"/>
              </w:rPr>
              <w:t xml:space="preserve"> </w:t>
            </w:r>
            <w:r w:rsidRPr="004A0F58">
              <w:rPr>
                <w:rStyle w:val="normaltextrun"/>
                <w:rFonts w:cs="Arial"/>
                <w:color w:val="0D0D0D" w:themeColor="text1" w:themeTint="F2"/>
              </w:rPr>
              <w:t>i</w:t>
            </w:r>
            <w:r w:rsidRPr="004A0F58">
              <w:rPr>
                <w:color w:val="0D0D0D" w:themeColor="text1" w:themeTint="F2"/>
                <w:spacing w:val="-2"/>
              </w:rPr>
              <w:t xml:space="preserve">nženýrské stavitelství na </w:t>
            </w:r>
            <w:r>
              <w:rPr>
                <w:color w:val="0D0D0D" w:themeColor="text1" w:themeTint="F2"/>
                <w:spacing w:val="-2"/>
              </w:rPr>
              <w:t xml:space="preserve">loňský </w:t>
            </w:r>
            <w:r w:rsidRPr="004A0F58">
              <w:rPr>
                <w:color w:val="0D0D0D" w:themeColor="text1" w:themeTint="F2"/>
                <w:spacing w:val="-6"/>
              </w:rPr>
              <w:t>dynamický růst nenavázalo a jeho výkon</w:t>
            </w:r>
            <w:r>
              <w:rPr>
                <w:color w:val="0D0D0D" w:themeColor="text1" w:themeTint="F2"/>
                <w:spacing w:val="-6"/>
              </w:rPr>
              <w:t xml:space="preserve"> se</w:t>
            </w:r>
            <w:r w:rsidRPr="004A0F58">
              <w:rPr>
                <w:color w:val="0D0D0D" w:themeColor="text1" w:themeTint="F2"/>
                <w:spacing w:val="-6"/>
              </w:rPr>
              <w:t xml:space="preserve"> </w:t>
            </w:r>
            <w:r>
              <w:rPr>
                <w:color w:val="0D0D0D" w:themeColor="text1" w:themeTint="F2"/>
                <w:spacing w:val="-6"/>
              </w:rPr>
              <w:t>letos velmi mírně snížil (</w:t>
            </w:r>
            <w:r w:rsidRPr="009D2D2C">
              <w:rPr>
                <w:color w:val="0D0D0D" w:themeColor="text1" w:themeTint="F2"/>
                <w:spacing w:val="-2"/>
              </w:rPr>
              <w:t>−</w:t>
            </w:r>
            <w:r>
              <w:rPr>
                <w:color w:val="0D0D0D" w:themeColor="text1" w:themeTint="F2"/>
                <w:spacing w:val="-6"/>
              </w:rPr>
              <w:t>0,7 %)</w:t>
            </w:r>
          </w:p>
        </w:tc>
      </w:tr>
      <w:tr w:rsidR="00DD1A46" w:rsidRPr="004A0F58" w14:paraId="5395C394" w14:textId="77777777" w:rsidTr="00E962EE">
        <w:trPr>
          <w:trHeight w:val="145"/>
        </w:trPr>
        <w:tc>
          <w:tcPr>
            <w:tcW w:w="1814" w:type="dxa"/>
            <w:tcMar>
              <w:left w:w="0" w:type="dxa"/>
            </w:tcMar>
          </w:tcPr>
          <w:p w14:paraId="220B11B2" w14:textId="77777777" w:rsidR="00DD1A46" w:rsidRPr="008C0D3A" w:rsidRDefault="00DD1A46" w:rsidP="00E962EE">
            <w:pPr>
              <w:pStyle w:val="Marginlie"/>
              <w:spacing w:after="240"/>
              <w:rPr>
                <w:color w:val="0D0D0D" w:themeColor="text1" w:themeTint="F2"/>
                <w:spacing w:val="0"/>
              </w:rPr>
            </w:pPr>
          </w:p>
        </w:tc>
        <w:tc>
          <w:tcPr>
            <w:tcW w:w="181" w:type="dxa"/>
            <w:tcMar>
              <w:left w:w="0" w:type="dxa"/>
            </w:tcMar>
          </w:tcPr>
          <w:p w14:paraId="1DB291A3" w14:textId="77777777" w:rsidR="00DD1A46" w:rsidRPr="004A0F58" w:rsidRDefault="00DD1A46" w:rsidP="00E962EE">
            <w:pPr>
              <w:pStyle w:val="Textpoznpodarou"/>
              <w:spacing w:after="240"/>
              <w:jc w:val="both"/>
              <w:rPr>
                <w:color w:val="0D0D0D" w:themeColor="text1" w:themeTint="F2"/>
              </w:rPr>
            </w:pPr>
          </w:p>
        </w:tc>
        <w:tc>
          <w:tcPr>
            <w:tcW w:w="7711" w:type="dxa"/>
            <w:tcMar>
              <w:left w:w="0" w:type="dxa"/>
            </w:tcMar>
          </w:tcPr>
          <w:p w14:paraId="6689E7FD" w14:textId="77777777" w:rsidR="00DD1A46" w:rsidRPr="009B5583" w:rsidRDefault="00DD1A46" w:rsidP="00E962EE">
            <w:pPr>
              <w:spacing w:after="40"/>
              <w:rPr>
                <w:color w:val="0D0D0D" w:themeColor="text1" w:themeTint="F2"/>
              </w:rPr>
            </w:pPr>
            <w:r w:rsidRPr="009B5583">
              <w:rPr>
                <w:b/>
                <w:color w:val="0D0D0D" w:themeColor="text1" w:themeTint="F2"/>
              </w:rPr>
              <w:t>Graf č. </w:t>
            </w:r>
            <w:r>
              <w:rPr>
                <w:b/>
                <w:color w:val="0D0D0D" w:themeColor="text1" w:themeTint="F2"/>
              </w:rPr>
              <w:t>7</w:t>
            </w:r>
            <w:r w:rsidRPr="009B5583">
              <w:rPr>
                <w:b/>
                <w:color w:val="0D0D0D" w:themeColor="text1" w:themeTint="F2"/>
              </w:rPr>
              <w:t xml:space="preserve"> </w:t>
            </w:r>
            <w:r w:rsidRPr="009B5583">
              <w:rPr>
                <w:rFonts w:cs="Arial"/>
                <w:b/>
                <w:bCs/>
                <w:color w:val="000000"/>
                <w:szCs w:val="20"/>
              </w:rPr>
              <w:t>Rozklad meziroční změny</w:t>
            </w:r>
            <w:r w:rsidRPr="009B5583">
              <w:rPr>
                <w:b/>
                <w:color w:val="0D0D0D" w:themeColor="text1" w:themeTint="F2"/>
              </w:rPr>
              <w:t xml:space="preserve"> stavební produkce </w:t>
            </w:r>
            <w:r w:rsidRPr="009B5583">
              <w:rPr>
                <w:bCs/>
                <w:color w:val="0D0D0D" w:themeColor="text1" w:themeTint="F2"/>
              </w:rPr>
              <w:t>(</w:t>
            </w:r>
            <w:r w:rsidRPr="009B5583">
              <w:rPr>
                <w:rFonts w:cs="Arial"/>
                <w:bCs/>
                <w:color w:val="000000"/>
                <w:szCs w:val="20"/>
              </w:rPr>
              <w:t>příspěvky k růstu, v p. b.)</w:t>
            </w:r>
            <w:r w:rsidRPr="009B5583">
              <w:rPr>
                <w:b/>
                <w:color w:val="0D0D0D" w:themeColor="text1" w:themeTint="F2"/>
              </w:rPr>
              <w:t>,</w:t>
            </w:r>
            <w:r w:rsidRPr="009B5583">
              <w:rPr>
                <w:b/>
                <w:color w:val="0D0D0D" w:themeColor="text1" w:themeTint="F2"/>
              </w:rPr>
              <w:br/>
              <w:t>nové stavební zakázky</w:t>
            </w:r>
            <w:r w:rsidRPr="009B5583">
              <w:rPr>
                <w:color w:val="0D0D0D" w:themeColor="text1" w:themeTint="F2"/>
              </w:rPr>
              <w:t xml:space="preserve"> (nominálně, meziročně, v %)</w:t>
            </w:r>
            <w:r>
              <w:rPr>
                <w:color w:val="0D0D0D" w:themeColor="text1" w:themeTint="F2"/>
              </w:rPr>
              <w:t xml:space="preserve"> </w:t>
            </w:r>
            <w:r w:rsidRPr="009B5583">
              <w:rPr>
                <w:b/>
                <w:bCs/>
                <w:color w:val="0D0D0D" w:themeColor="text1" w:themeTint="F2"/>
              </w:rPr>
              <w:t>a</w:t>
            </w:r>
            <w:r w:rsidRPr="009B5583">
              <w:rPr>
                <w:b/>
                <w:color w:val="0D0D0D" w:themeColor="text1" w:themeTint="F2"/>
              </w:rPr>
              <w:t xml:space="preserve"> důvěra podnikatelů ve stavebnictví</w:t>
            </w:r>
            <w:r w:rsidRPr="009B5583">
              <w:rPr>
                <w:color w:val="0D0D0D" w:themeColor="text1" w:themeTint="F2"/>
              </w:rPr>
              <w:t xml:space="preserve"> (v p. b.)</w:t>
            </w:r>
          </w:p>
        </w:tc>
      </w:tr>
      <w:tr w:rsidR="00DD1A46" w:rsidRPr="004A0F58" w14:paraId="01811A08" w14:textId="77777777" w:rsidTr="00E962EE">
        <w:tblPrEx>
          <w:tblCellMar>
            <w:left w:w="70" w:type="dxa"/>
            <w:right w:w="70" w:type="dxa"/>
          </w:tblCellMar>
        </w:tblPrEx>
        <w:trPr>
          <w:trHeight w:val="145"/>
        </w:trPr>
        <w:tc>
          <w:tcPr>
            <w:tcW w:w="1814" w:type="dxa"/>
          </w:tcPr>
          <w:p w14:paraId="337CE978" w14:textId="77777777" w:rsidR="00DD1A46" w:rsidRPr="004A0F58" w:rsidRDefault="00DD1A46" w:rsidP="00E962EE">
            <w:pPr>
              <w:pStyle w:val="Marginlie"/>
              <w:spacing w:after="240"/>
              <w:rPr>
                <w:color w:val="0D0D0D" w:themeColor="text1" w:themeTint="F2"/>
                <w:spacing w:val="0"/>
              </w:rPr>
            </w:pPr>
          </w:p>
        </w:tc>
        <w:tc>
          <w:tcPr>
            <w:tcW w:w="181" w:type="dxa"/>
          </w:tcPr>
          <w:p w14:paraId="5A157F3A" w14:textId="77777777" w:rsidR="00DD1A46" w:rsidRPr="004A0F58" w:rsidRDefault="00DD1A46" w:rsidP="00E962EE">
            <w:pPr>
              <w:pStyle w:val="Textpoznpodarou"/>
              <w:spacing w:after="240"/>
              <w:jc w:val="both"/>
              <w:rPr>
                <w:color w:val="0D0D0D" w:themeColor="text1" w:themeTint="F2"/>
              </w:rPr>
            </w:pPr>
          </w:p>
        </w:tc>
        <w:tc>
          <w:tcPr>
            <w:tcW w:w="7711" w:type="dxa"/>
          </w:tcPr>
          <w:p w14:paraId="05BEBDB9" w14:textId="77777777" w:rsidR="00DD1A46" w:rsidRPr="004A0F58" w:rsidRDefault="00DD1A46" w:rsidP="00E962EE">
            <w:pPr>
              <w:spacing w:before="40" w:after="40"/>
              <w:rPr>
                <w:color w:val="0D0D0D" w:themeColor="text1" w:themeTint="F2"/>
              </w:rPr>
            </w:pPr>
            <w:r>
              <w:rPr>
                <w:noProof/>
              </w:rPr>
              <w:drawing>
                <wp:inline distT="0" distB="0" distL="0" distR="0" wp14:anchorId="49282C35" wp14:editId="2534C8BE">
                  <wp:extent cx="4737600" cy="3553200"/>
                  <wp:effectExtent l="0" t="0" r="6350" b="0"/>
                  <wp:docPr id="741407080" name="Graf 1">
                    <a:extLst xmlns:a="http://schemas.openxmlformats.org/drawingml/2006/main">
                      <a:ext uri="{FF2B5EF4-FFF2-40B4-BE49-F238E27FC236}">
                        <a16:creationId xmlns:a16="http://schemas.microsoft.com/office/drawing/2014/main" id="{0A385E31-84EC-4D57-940D-F972DCFF61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DD1A46" w:rsidRPr="004A0F58" w14:paraId="08FBFDDD" w14:textId="77777777" w:rsidTr="00E962EE">
        <w:trPr>
          <w:trHeight w:val="145"/>
        </w:trPr>
        <w:tc>
          <w:tcPr>
            <w:tcW w:w="1814" w:type="dxa"/>
            <w:tcMar>
              <w:left w:w="0" w:type="dxa"/>
            </w:tcMar>
          </w:tcPr>
          <w:p w14:paraId="50D064BF" w14:textId="77777777" w:rsidR="00DD1A46" w:rsidRPr="004A0F58" w:rsidRDefault="00DD1A46" w:rsidP="00E962EE">
            <w:pPr>
              <w:pStyle w:val="Marginlie"/>
              <w:spacing w:after="240"/>
              <w:rPr>
                <w:color w:val="0D0D0D" w:themeColor="text1" w:themeTint="F2"/>
                <w:spacing w:val="0"/>
              </w:rPr>
            </w:pPr>
          </w:p>
        </w:tc>
        <w:tc>
          <w:tcPr>
            <w:tcW w:w="181" w:type="dxa"/>
            <w:tcMar>
              <w:left w:w="0" w:type="dxa"/>
            </w:tcMar>
          </w:tcPr>
          <w:p w14:paraId="65B5C3EF" w14:textId="77777777" w:rsidR="00DD1A46" w:rsidRPr="004A0F58" w:rsidRDefault="00DD1A46" w:rsidP="00E962EE">
            <w:pPr>
              <w:pStyle w:val="Textpoznpodarou"/>
              <w:spacing w:after="240"/>
              <w:jc w:val="both"/>
              <w:rPr>
                <w:color w:val="0D0D0D" w:themeColor="text1" w:themeTint="F2"/>
              </w:rPr>
            </w:pPr>
          </w:p>
        </w:tc>
        <w:tc>
          <w:tcPr>
            <w:tcW w:w="7711" w:type="dxa"/>
            <w:tcMar>
              <w:left w:w="0" w:type="dxa"/>
            </w:tcMar>
          </w:tcPr>
          <w:p w14:paraId="092A973F" w14:textId="77777777" w:rsidR="00DD1A46" w:rsidRPr="000B2D9E" w:rsidRDefault="00DD1A46" w:rsidP="00E962EE">
            <w:pPr>
              <w:spacing w:after="0"/>
              <w:rPr>
                <w:color w:val="0D0D0D" w:themeColor="text1" w:themeTint="F2"/>
                <w:spacing w:val="-2"/>
                <w:sz w:val="14"/>
                <w:szCs w:val="14"/>
              </w:rPr>
            </w:pPr>
            <w:r w:rsidRPr="000B2D9E">
              <w:rPr>
                <w:color w:val="0D0D0D" w:themeColor="text1" w:themeTint="F2"/>
                <w:spacing w:val="-2"/>
                <w:sz w:val="14"/>
                <w:szCs w:val="14"/>
              </w:rPr>
              <w:t xml:space="preserve">Poznámka: Údaje o stavební produkci jsou </w:t>
            </w:r>
            <w:r>
              <w:rPr>
                <w:color w:val="0D0D0D" w:themeColor="text1" w:themeTint="F2"/>
                <w:spacing w:val="-2"/>
                <w:sz w:val="14"/>
                <w:szCs w:val="14"/>
              </w:rPr>
              <w:t xml:space="preserve">uvedeny v reálném vyjádření a </w:t>
            </w:r>
            <w:r w:rsidRPr="000B2D9E">
              <w:rPr>
                <w:color w:val="0D0D0D" w:themeColor="text1" w:themeTint="F2"/>
                <w:spacing w:val="-2"/>
                <w:sz w:val="14"/>
                <w:szCs w:val="14"/>
              </w:rPr>
              <w:t>očištěny o kalendářní vlivy. Saldo důvěry podnikatelů je sezónně očištěn</w:t>
            </w:r>
            <w:r>
              <w:rPr>
                <w:color w:val="0D0D0D" w:themeColor="text1" w:themeTint="F2"/>
                <w:spacing w:val="-2"/>
                <w:sz w:val="14"/>
                <w:szCs w:val="14"/>
              </w:rPr>
              <w:t>o a</w:t>
            </w:r>
            <w:r w:rsidRPr="000B2D9E">
              <w:rPr>
                <w:color w:val="0D0D0D" w:themeColor="text1" w:themeTint="F2"/>
                <w:spacing w:val="-2"/>
                <w:sz w:val="14"/>
                <w:szCs w:val="14"/>
              </w:rPr>
              <w:t> </w:t>
            </w:r>
            <w:r w:rsidRPr="004A0F58">
              <w:rPr>
                <w:rFonts w:cs="Arial"/>
                <w:color w:val="0D0D0D" w:themeColor="text1" w:themeTint="F2"/>
                <w:spacing w:val="-2"/>
                <w:sz w:val="14"/>
                <w:szCs w:val="14"/>
              </w:rPr>
              <w:t>vyjadřuj</w:t>
            </w:r>
            <w:r>
              <w:rPr>
                <w:rFonts w:cs="Arial"/>
                <w:color w:val="0D0D0D" w:themeColor="text1" w:themeTint="F2"/>
                <w:spacing w:val="-2"/>
                <w:sz w:val="14"/>
                <w:szCs w:val="14"/>
              </w:rPr>
              <w:t>e</w:t>
            </w:r>
            <w:r>
              <w:rPr>
                <w:rFonts w:cs="Arial"/>
                <w:color w:val="0D0D0D" w:themeColor="text1" w:themeTint="F2"/>
                <w:sz w:val="14"/>
                <w:szCs w:val="14"/>
              </w:rPr>
              <w:t xml:space="preserve"> měsíční </w:t>
            </w:r>
            <w:r w:rsidRPr="001C6832">
              <w:rPr>
                <w:rFonts w:cs="Arial"/>
                <w:color w:val="0D0D0D" w:themeColor="text1" w:themeTint="F2"/>
                <w:sz w:val="14"/>
                <w:szCs w:val="14"/>
              </w:rPr>
              <w:t xml:space="preserve">průměr za celý kvartál, u posledního období </w:t>
            </w:r>
            <w:r>
              <w:rPr>
                <w:rFonts w:cs="Arial"/>
                <w:color w:val="0D0D0D" w:themeColor="text1" w:themeTint="F2"/>
                <w:sz w:val="14"/>
                <w:szCs w:val="14"/>
              </w:rPr>
              <w:t xml:space="preserve">potom </w:t>
            </w:r>
            <w:r w:rsidRPr="001C6832">
              <w:rPr>
                <w:rFonts w:cs="Arial"/>
                <w:color w:val="0D0D0D" w:themeColor="text1" w:themeTint="F2"/>
                <w:sz w:val="14"/>
                <w:szCs w:val="14"/>
              </w:rPr>
              <w:t>průměr za první dva měsíce.</w:t>
            </w:r>
          </w:p>
          <w:p w14:paraId="41F9032F" w14:textId="77777777" w:rsidR="00DD1A46" w:rsidRPr="004A0F58" w:rsidRDefault="00DD1A46" w:rsidP="00E962EE">
            <w:pPr>
              <w:spacing w:after="200"/>
              <w:rPr>
                <w:color w:val="0D0D0D" w:themeColor="text1" w:themeTint="F2"/>
                <w:sz w:val="16"/>
                <w:szCs w:val="16"/>
              </w:rPr>
            </w:pPr>
            <w:r w:rsidRPr="004A0F58">
              <w:rPr>
                <w:color w:val="0D0D0D" w:themeColor="text1" w:themeTint="F2"/>
                <w:sz w:val="14"/>
                <w:szCs w:val="14"/>
              </w:rPr>
              <w:t>Zdroj: ČSÚ, Eurostat</w:t>
            </w:r>
          </w:p>
        </w:tc>
      </w:tr>
      <w:tr w:rsidR="00DD1A46" w:rsidRPr="004A0F58" w14:paraId="66FDFE54" w14:textId="77777777" w:rsidTr="00E962EE">
        <w:trPr>
          <w:trHeight w:val="170"/>
        </w:trPr>
        <w:tc>
          <w:tcPr>
            <w:tcW w:w="1814" w:type="dxa"/>
            <w:tcMar>
              <w:left w:w="0" w:type="dxa"/>
            </w:tcMar>
          </w:tcPr>
          <w:p w14:paraId="4646CE51" w14:textId="77777777" w:rsidR="00DD1A46" w:rsidRDefault="00DD1A46" w:rsidP="00E962EE">
            <w:pPr>
              <w:pStyle w:val="Marginlie"/>
              <w:rPr>
                <w:color w:val="0D0D0D" w:themeColor="text1" w:themeTint="F2"/>
                <w:spacing w:val="0"/>
              </w:rPr>
            </w:pPr>
            <w:r w:rsidRPr="004A0F58">
              <w:rPr>
                <w:color w:val="0D0D0D" w:themeColor="text1" w:themeTint="F2"/>
                <w:spacing w:val="0"/>
              </w:rPr>
              <w:t xml:space="preserve">Rozsah zahajované bytové výstavby se </w:t>
            </w:r>
            <w:r>
              <w:rPr>
                <w:color w:val="0D0D0D" w:themeColor="text1" w:themeTint="F2"/>
                <w:spacing w:val="0"/>
              </w:rPr>
              <w:t xml:space="preserve">plošně </w:t>
            </w:r>
            <w:r w:rsidRPr="004A0F58">
              <w:rPr>
                <w:color w:val="0D0D0D" w:themeColor="text1" w:themeTint="F2"/>
                <w:spacing w:val="0"/>
              </w:rPr>
              <w:t xml:space="preserve">zvýšil. Dokončených bytů však mírně ubylo, neboť </w:t>
            </w:r>
            <w:r>
              <w:rPr>
                <w:color w:val="0D0D0D" w:themeColor="text1" w:themeTint="F2"/>
                <w:spacing w:val="0"/>
              </w:rPr>
              <w:t>stále</w:t>
            </w:r>
            <w:r w:rsidRPr="004A0F58">
              <w:rPr>
                <w:color w:val="0D0D0D" w:themeColor="text1" w:themeTint="F2"/>
                <w:spacing w:val="0"/>
              </w:rPr>
              <w:t xml:space="preserve"> vázla finalizace </w:t>
            </w:r>
            <w:r>
              <w:rPr>
                <w:color w:val="0D0D0D" w:themeColor="text1" w:themeTint="F2"/>
                <w:spacing w:val="0"/>
              </w:rPr>
              <w:t>rodinných domů</w:t>
            </w:r>
            <w:r w:rsidRPr="004A0F58">
              <w:rPr>
                <w:color w:val="0D0D0D" w:themeColor="text1" w:themeTint="F2"/>
                <w:spacing w:val="0"/>
              </w:rPr>
              <w:t>.</w:t>
            </w:r>
          </w:p>
        </w:tc>
        <w:tc>
          <w:tcPr>
            <w:tcW w:w="181" w:type="dxa"/>
            <w:tcMar>
              <w:left w:w="0" w:type="dxa"/>
            </w:tcMar>
          </w:tcPr>
          <w:p w14:paraId="2565DAC2" w14:textId="77777777" w:rsidR="00DD1A46" w:rsidRPr="004A0F58" w:rsidRDefault="00DD1A46" w:rsidP="00E962EE">
            <w:pPr>
              <w:pStyle w:val="Textpoznpodarou"/>
              <w:jc w:val="both"/>
              <w:rPr>
                <w:color w:val="0D0D0D" w:themeColor="text1" w:themeTint="F2"/>
              </w:rPr>
            </w:pPr>
          </w:p>
        </w:tc>
        <w:tc>
          <w:tcPr>
            <w:tcW w:w="7711" w:type="dxa"/>
            <w:tcMar>
              <w:left w:w="0" w:type="dxa"/>
            </w:tcMar>
          </w:tcPr>
          <w:p w14:paraId="4F861C71" w14:textId="77777777" w:rsidR="00DD1A46" w:rsidRPr="00B40B27" w:rsidRDefault="00DD1A46" w:rsidP="00E962EE">
            <w:pPr>
              <w:spacing w:after="200"/>
              <w:rPr>
                <w:rStyle w:val="normaltextrun"/>
                <w:rFonts w:eastAsiaTheme="majorEastAsia" w:cs="Arial"/>
                <w:color w:val="0D0D0D" w:themeColor="text1" w:themeTint="F2"/>
                <w:spacing w:val="-6"/>
                <w:szCs w:val="20"/>
              </w:rPr>
            </w:pPr>
            <w:r w:rsidRPr="001E7053">
              <w:rPr>
                <w:rStyle w:val="normaltextrun"/>
                <w:rFonts w:eastAsiaTheme="majorEastAsia"/>
                <w:color w:val="0D0D0D" w:themeColor="text1" w:themeTint="F2"/>
                <w:spacing w:val="-3"/>
              </w:rPr>
              <w:t>Rozvoji pozemního stavitelství částečně pomohl segment bytové výstavby. Trendy v rámci různ</w:t>
            </w:r>
            <w:r>
              <w:rPr>
                <w:rStyle w:val="normaltextrun"/>
                <w:rFonts w:eastAsiaTheme="majorEastAsia"/>
                <w:color w:val="0D0D0D" w:themeColor="text1" w:themeTint="F2"/>
                <w:spacing w:val="-3"/>
              </w:rPr>
              <w:t>é</w:t>
            </w:r>
            <w:r w:rsidRPr="001E7053">
              <w:rPr>
                <w:rStyle w:val="normaltextrun"/>
                <w:rFonts w:eastAsiaTheme="majorEastAsia"/>
                <w:color w:val="0D0D0D" w:themeColor="text1" w:themeTint="F2"/>
                <w:spacing w:val="-3"/>
              </w:rPr>
              <w:t xml:space="preserve"> bytové výstavby se ale letos rozcházely. Zatímco pololetní počet zahájených bytů (22,</w:t>
            </w:r>
            <w:r>
              <w:rPr>
                <w:rStyle w:val="normaltextrun"/>
                <w:rFonts w:eastAsiaTheme="majorEastAsia"/>
                <w:color w:val="0D0D0D" w:themeColor="text1" w:themeTint="F2"/>
                <w:spacing w:val="-3"/>
              </w:rPr>
              <w:t>7</w:t>
            </w:r>
            <w:r w:rsidRPr="001E7053">
              <w:rPr>
                <w:rStyle w:val="normaltextrun"/>
                <w:rFonts w:eastAsiaTheme="majorEastAsia"/>
                <w:color w:val="0D0D0D" w:themeColor="text1" w:themeTint="F2"/>
                <w:spacing w:val="-3"/>
              </w:rPr>
              <w:t xml:space="preserve"> tis.) vystoupal nejvýše za poslední čtyři rok</w:t>
            </w:r>
            <w:r>
              <w:rPr>
                <w:rStyle w:val="normaltextrun"/>
                <w:rFonts w:eastAsiaTheme="majorEastAsia"/>
                <w:color w:val="0D0D0D" w:themeColor="text1" w:themeTint="F2"/>
                <w:spacing w:val="-3"/>
              </w:rPr>
              <w:t>y</w:t>
            </w:r>
            <w:r w:rsidRPr="001E7053">
              <w:rPr>
                <w:rStyle w:val="normaltextrun"/>
                <w:rFonts w:eastAsiaTheme="majorEastAsia"/>
                <w:color w:val="0D0D0D" w:themeColor="text1" w:themeTint="F2"/>
                <w:spacing w:val="-3"/>
              </w:rPr>
              <w:t xml:space="preserve"> a meziročně posílil o </w:t>
            </w:r>
            <w:r>
              <w:rPr>
                <w:rStyle w:val="normaltextrun"/>
                <w:rFonts w:eastAsiaTheme="majorEastAsia"/>
                <w:color w:val="0D0D0D" w:themeColor="text1" w:themeTint="F2"/>
                <w:spacing w:val="-3"/>
              </w:rPr>
              <w:t>39</w:t>
            </w:r>
            <w:r w:rsidRPr="001E7053">
              <w:rPr>
                <w:rStyle w:val="normaltextrun"/>
                <w:rFonts w:eastAsiaTheme="majorEastAsia"/>
                <w:color w:val="0D0D0D" w:themeColor="text1" w:themeTint="F2"/>
                <w:spacing w:val="-3"/>
              </w:rPr>
              <w:t xml:space="preserve"> %, dokončených bytů (16,3 tis.) bylo při srovnání stejných období roku nejméně za posledních šest let </w:t>
            </w:r>
            <w:r>
              <w:rPr>
                <w:rStyle w:val="normaltextrun"/>
                <w:rFonts w:eastAsiaTheme="majorEastAsia"/>
                <w:color w:val="0D0D0D" w:themeColor="text1" w:themeTint="F2"/>
                <w:spacing w:val="-3"/>
              </w:rPr>
              <w:br/>
            </w:r>
            <w:r w:rsidRPr="001E7053">
              <w:rPr>
                <w:rStyle w:val="normaltextrun"/>
                <w:rFonts w:eastAsiaTheme="majorEastAsia"/>
                <w:color w:val="0D0D0D" w:themeColor="text1" w:themeTint="F2"/>
                <w:spacing w:val="-3"/>
              </w:rPr>
              <w:t xml:space="preserve">a meziročně se </w:t>
            </w:r>
            <w:r>
              <w:rPr>
                <w:rStyle w:val="normaltextrun"/>
                <w:rFonts w:eastAsiaTheme="majorEastAsia"/>
                <w:color w:val="0D0D0D" w:themeColor="text1" w:themeTint="F2"/>
                <w:spacing w:val="-3"/>
              </w:rPr>
              <w:t xml:space="preserve">letos </w:t>
            </w:r>
            <w:r w:rsidRPr="001E7053">
              <w:rPr>
                <w:rStyle w:val="normaltextrun"/>
                <w:rFonts w:eastAsiaTheme="majorEastAsia"/>
                <w:color w:val="0D0D0D" w:themeColor="text1" w:themeTint="F2"/>
                <w:spacing w:val="-3"/>
              </w:rPr>
              <w:t xml:space="preserve">objem výstavby snížil o 4,4 %. Vázlo zejména dokončování rodinných domů – vzniklo jich nejméně za poslední dvě dekády (5,9 tis.). Naopak k mírnému oživení došlo u bytových domů, převážně díky Praze. V případě zahájených bytů má jejich meziroční růst v zásadě plošný charakter, a to jak z hlediska forem výstavby (největší prorůstový vliv měly byty v bytových domech), tak regionů (zde analogicky Jihomoravský kraj a dále Středočeský kraj, výstavba naopak klesla jen ve třech regionech – mezi nimi </w:t>
            </w:r>
            <w:r w:rsidRPr="001E7053">
              <w:rPr>
                <w:rStyle w:val="normaltextrun"/>
                <w:rFonts w:eastAsiaTheme="majorEastAsia"/>
                <w:color w:val="0D0D0D" w:themeColor="text1" w:themeTint="F2"/>
                <w:spacing w:val="-3"/>
              </w:rPr>
              <w:lastRenderedPageBreak/>
              <w:t>v</w:t>
            </w:r>
            <w:r w:rsidRPr="00233339">
              <w:rPr>
                <w:color w:val="0D0D0D" w:themeColor="text1" w:themeTint="F2"/>
                <w:spacing w:val="-3"/>
              </w:rPr>
              <w:t> </w:t>
            </w:r>
            <w:r w:rsidRPr="001E7053">
              <w:rPr>
                <w:rStyle w:val="normaltextrun"/>
                <w:rFonts w:eastAsiaTheme="majorEastAsia"/>
                <w:color w:val="0D0D0D" w:themeColor="text1" w:themeTint="F2"/>
                <w:spacing w:val="-3"/>
              </w:rPr>
              <w:t>Praze</w:t>
            </w:r>
            <w:r w:rsidRPr="001E7053">
              <w:rPr>
                <w:rStyle w:val="Znakapoznpodarou"/>
                <w:rFonts w:eastAsiaTheme="majorEastAsia"/>
                <w:color w:val="0D0D0D" w:themeColor="text1" w:themeTint="F2"/>
                <w:spacing w:val="-3"/>
              </w:rPr>
              <w:footnoteReference w:id="29"/>
            </w:r>
            <w:r w:rsidRPr="001E7053">
              <w:rPr>
                <w:rStyle w:val="normaltextrun"/>
                <w:rFonts w:eastAsiaTheme="majorEastAsia"/>
                <w:color w:val="0D0D0D" w:themeColor="text1" w:themeTint="F2"/>
                <w:spacing w:val="-3"/>
              </w:rPr>
              <w:t xml:space="preserve">). </w:t>
            </w:r>
            <w:r w:rsidRPr="001E7053">
              <w:rPr>
                <w:rFonts w:eastAsiaTheme="majorEastAsia"/>
                <w:color w:val="0D0D0D" w:themeColor="text1" w:themeTint="F2"/>
                <w:spacing w:val="-3"/>
              </w:rPr>
              <w:t xml:space="preserve">Počet zahájených </w:t>
            </w:r>
            <w:r w:rsidRPr="001E7053">
              <w:rPr>
                <w:rStyle w:val="normaltextrun"/>
                <w:spacing w:val="-3"/>
              </w:rPr>
              <w:t xml:space="preserve">bytů v Česku v současnosti roste především díky </w:t>
            </w:r>
            <w:r w:rsidRPr="001E7053">
              <w:rPr>
                <w:rStyle w:val="normaltextrun"/>
                <w:rFonts w:eastAsia="MS Gothic"/>
                <w:spacing w:val="-3"/>
              </w:rPr>
              <w:t xml:space="preserve">oživení poptávky po stabilizaci hypotečního trhu, uvolnění odložených developerských projektů </w:t>
            </w:r>
            <w:r>
              <w:rPr>
                <w:rStyle w:val="normaltextrun"/>
                <w:rFonts w:eastAsia="MS Gothic"/>
                <w:spacing w:val="-3"/>
              </w:rPr>
              <w:br/>
            </w:r>
            <w:r w:rsidRPr="001E7053">
              <w:rPr>
                <w:rStyle w:val="normaltextrun"/>
                <w:rFonts w:eastAsia="MS Gothic"/>
                <w:spacing w:val="-3"/>
              </w:rPr>
              <w:t>a snaze pokrýt dlouhodobý deficit bydlení</w:t>
            </w:r>
            <w:r w:rsidRPr="001E7053">
              <w:rPr>
                <w:rStyle w:val="normaltextrun"/>
                <w:spacing w:val="-3"/>
              </w:rPr>
              <w:t xml:space="preserve">. Naopak do objemu dokončované </w:t>
            </w:r>
            <w:r w:rsidRPr="001E7053">
              <w:rPr>
                <w:rStyle w:val="normaltextrun"/>
                <w:rFonts w:eastAsia="MS Gothic"/>
                <w:spacing w:val="-3"/>
              </w:rPr>
              <w:t>výstavby se promítá útlum zahajování staveb z předchozích tří let umocněný prodlužováním doby výstavby vlivem růstu nákladů na stavební materiály, celkovou vysokou vytíženost</w:t>
            </w:r>
            <w:r>
              <w:rPr>
                <w:rStyle w:val="normaltextrun"/>
                <w:rFonts w:eastAsia="MS Gothic"/>
                <w:spacing w:val="-3"/>
              </w:rPr>
              <w:t xml:space="preserve">í </w:t>
            </w:r>
            <w:r w:rsidRPr="001E7053">
              <w:rPr>
                <w:rStyle w:val="normaltextrun"/>
                <w:rFonts w:eastAsia="MS Gothic"/>
                <w:spacing w:val="-3"/>
              </w:rPr>
              <w:t xml:space="preserve">stavebních firem </w:t>
            </w:r>
            <w:r>
              <w:rPr>
                <w:rStyle w:val="normaltextrun"/>
                <w:rFonts w:eastAsia="MS Gothic"/>
                <w:spacing w:val="-3"/>
              </w:rPr>
              <w:t>i</w:t>
            </w:r>
            <w:r w:rsidRPr="001E7053">
              <w:rPr>
                <w:rStyle w:val="normaltextrun"/>
                <w:rFonts w:eastAsia="MS Gothic"/>
                <w:spacing w:val="-3"/>
              </w:rPr>
              <w:t xml:space="preserve"> složit</w:t>
            </w:r>
            <w:r>
              <w:rPr>
                <w:rStyle w:val="normaltextrun"/>
                <w:rFonts w:eastAsia="MS Gothic"/>
                <w:spacing w:val="-3"/>
              </w:rPr>
              <w:t>ým</w:t>
            </w:r>
            <w:r w:rsidRPr="001E7053">
              <w:rPr>
                <w:rStyle w:val="normaltextrun"/>
                <w:rFonts w:eastAsia="MS Gothic"/>
                <w:spacing w:val="-3"/>
              </w:rPr>
              <w:t xml:space="preserve"> proces</w:t>
            </w:r>
            <w:r>
              <w:rPr>
                <w:rStyle w:val="normaltextrun"/>
                <w:rFonts w:eastAsia="MS Gothic"/>
                <w:spacing w:val="-3"/>
              </w:rPr>
              <w:t>em</w:t>
            </w:r>
            <w:r w:rsidRPr="001E7053">
              <w:rPr>
                <w:rStyle w:val="normaltextrun"/>
                <w:rFonts w:eastAsia="MS Gothic"/>
                <w:spacing w:val="-3"/>
              </w:rPr>
              <w:t xml:space="preserve"> stavebního řízení</w:t>
            </w:r>
            <w:r w:rsidRPr="00D143A0">
              <w:rPr>
                <w:rStyle w:val="normaltextrun"/>
                <w:rFonts w:eastAsia="MS Gothic"/>
              </w:rPr>
              <w:t>.</w:t>
            </w:r>
            <w:r>
              <w:rPr>
                <w:b/>
                <w:bCs/>
              </w:rPr>
              <w:t xml:space="preserve"> </w:t>
            </w:r>
          </w:p>
        </w:tc>
      </w:tr>
      <w:tr w:rsidR="00DD1A46" w:rsidRPr="004A0F58" w14:paraId="58E6F720" w14:textId="77777777" w:rsidTr="00E962EE">
        <w:trPr>
          <w:trHeight w:val="170"/>
        </w:trPr>
        <w:tc>
          <w:tcPr>
            <w:tcW w:w="1814" w:type="dxa"/>
            <w:tcMar>
              <w:left w:w="0" w:type="dxa"/>
            </w:tcMar>
          </w:tcPr>
          <w:p w14:paraId="3912D035" w14:textId="77777777" w:rsidR="00DD1A46" w:rsidRDefault="00DD1A46" w:rsidP="00E962EE">
            <w:pPr>
              <w:pStyle w:val="Marginlie"/>
              <w:rPr>
                <w:spacing w:val="0"/>
              </w:rPr>
            </w:pPr>
            <w:r>
              <w:rPr>
                <w:color w:val="0D0D0D" w:themeColor="text1" w:themeTint="F2"/>
                <w:spacing w:val="0"/>
              </w:rPr>
              <w:lastRenderedPageBreak/>
              <w:t>M</w:t>
            </w:r>
            <w:r>
              <w:rPr>
                <w:spacing w:val="0"/>
              </w:rPr>
              <w:t xml:space="preserve">eziroční růst hodnoty nových stavebních zakázek se ve 2. čtvrtletí obnovil. </w:t>
            </w:r>
          </w:p>
          <w:p w14:paraId="21CA461D" w14:textId="77777777" w:rsidR="00DD1A46" w:rsidRDefault="00DD1A46" w:rsidP="00E962EE">
            <w:pPr>
              <w:pStyle w:val="Marginlie"/>
              <w:rPr>
                <w:color w:val="0D0D0D" w:themeColor="text1" w:themeTint="F2"/>
                <w:spacing w:val="0"/>
              </w:rPr>
            </w:pPr>
          </w:p>
          <w:p w14:paraId="67F09D9A" w14:textId="77777777" w:rsidR="00DD1A46" w:rsidRDefault="00DD1A46" w:rsidP="00E962EE">
            <w:pPr>
              <w:pStyle w:val="Marginlie"/>
              <w:rPr>
                <w:color w:val="0D0D0D" w:themeColor="text1" w:themeTint="F2"/>
                <w:spacing w:val="0"/>
              </w:rPr>
            </w:pPr>
          </w:p>
          <w:p w14:paraId="14DAF956" w14:textId="77777777" w:rsidR="00DD1A46" w:rsidRDefault="00DD1A46" w:rsidP="00E962EE">
            <w:pPr>
              <w:pStyle w:val="Marginlie"/>
              <w:rPr>
                <w:color w:val="0D0D0D" w:themeColor="text1" w:themeTint="F2"/>
                <w:spacing w:val="0"/>
              </w:rPr>
            </w:pPr>
          </w:p>
          <w:p w14:paraId="2F9C0A4C" w14:textId="77777777" w:rsidR="00DD1A46" w:rsidRDefault="00DD1A46" w:rsidP="00E962EE">
            <w:pPr>
              <w:pStyle w:val="Marginlie"/>
            </w:pPr>
            <w:r w:rsidRPr="00B40B27">
              <w:rPr>
                <w:spacing w:val="0"/>
              </w:rPr>
              <w:t xml:space="preserve">Celková zásoba práce tuzemských stavebních firem </w:t>
            </w:r>
            <w:r>
              <w:rPr>
                <w:spacing w:val="0"/>
              </w:rPr>
              <w:t xml:space="preserve">byla </w:t>
            </w:r>
            <w:r w:rsidRPr="00B40B27">
              <w:rPr>
                <w:spacing w:val="0"/>
              </w:rPr>
              <w:t>stále vysoká</w:t>
            </w:r>
            <w:r>
              <w:rPr>
                <w:spacing w:val="0"/>
              </w:rPr>
              <w:t>.</w:t>
            </w:r>
            <w:r>
              <w:t xml:space="preserve"> Podílejí se na tom jak veřejné, tak soukromé zakázky v Česku.</w:t>
            </w:r>
          </w:p>
          <w:p w14:paraId="1043C5FA" w14:textId="77777777" w:rsidR="00DD1A46" w:rsidRDefault="00DD1A46" w:rsidP="00E962EE">
            <w:pPr>
              <w:pStyle w:val="Marginlie"/>
            </w:pPr>
          </w:p>
          <w:p w14:paraId="130EBC6C" w14:textId="77777777" w:rsidR="00DD1A46" w:rsidRPr="008C0D3A" w:rsidRDefault="00DD1A46" w:rsidP="00E962EE">
            <w:pPr>
              <w:pStyle w:val="Marginlie"/>
              <w:rPr>
                <w:rFonts w:cs="Arial"/>
                <w:color w:val="0D0D0D" w:themeColor="text1" w:themeTint="F2"/>
                <w:spacing w:val="0"/>
              </w:rPr>
            </w:pPr>
          </w:p>
        </w:tc>
        <w:tc>
          <w:tcPr>
            <w:tcW w:w="181" w:type="dxa"/>
            <w:tcMar>
              <w:left w:w="0" w:type="dxa"/>
            </w:tcMar>
          </w:tcPr>
          <w:p w14:paraId="375F4258" w14:textId="77777777" w:rsidR="00DD1A46" w:rsidRPr="004A0F58" w:rsidRDefault="00DD1A46" w:rsidP="00E962EE">
            <w:pPr>
              <w:pStyle w:val="Textpoznpodarou"/>
              <w:jc w:val="both"/>
              <w:rPr>
                <w:color w:val="0D0D0D" w:themeColor="text1" w:themeTint="F2"/>
              </w:rPr>
            </w:pPr>
          </w:p>
        </w:tc>
        <w:tc>
          <w:tcPr>
            <w:tcW w:w="7711" w:type="dxa"/>
            <w:tcMar>
              <w:left w:w="0" w:type="dxa"/>
            </w:tcMar>
          </w:tcPr>
          <w:p w14:paraId="5C80EBE7" w14:textId="77777777" w:rsidR="00DD1A46" w:rsidRPr="00AE22FC" w:rsidRDefault="00DD1A46" w:rsidP="00E962EE">
            <w:pPr>
              <w:spacing w:after="200"/>
              <w:rPr>
                <w:rFonts w:cs="Arial"/>
                <w:color w:val="0D0D0D" w:themeColor="text1" w:themeTint="F2"/>
                <w:spacing w:val="-4"/>
                <w:szCs w:val="20"/>
              </w:rPr>
            </w:pPr>
            <w:r w:rsidRPr="00B40B27">
              <w:rPr>
                <w:rStyle w:val="normaltextrun"/>
                <w:rFonts w:eastAsiaTheme="majorEastAsia" w:cs="Arial"/>
                <w:color w:val="0D0D0D" w:themeColor="text1" w:themeTint="F2"/>
                <w:spacing w:val="-6"/>
                <w:szCs w:val="20"/>
              </w:rPr>
              <w:t>Počet nových stavebních zakázek v tuzemsku (uzavřených firmami s 50 a více zaměstnanci)</w:t>
            </w:r>
            <w:r w:rsidRPr="00B40B27">
              <w:rPr>
                <w:rStyle w:val="normaltextrun"/>
                <w:rFonts w:eastAsiaTheme="majorEastAsia" w:cs="Arial"/>
                <w:color w:val="0D0D0D" w:themeColor="text1" w:themeTint="F2"/>
                <w:spacing w:val="-3"/>
                <w:szCs w:val="20"/>
              </w:rPr>
              <w:t xml:space="preserve"> se za </w:t>
            </w:r>
            <w:r>
              <w:rPr>
                <w:rStyle w:val="normaltextrun"/>
                <w:rFonts w:eastAsiaTheme="majorEastAsia" w:cs="Arial"/>
                <w:color w:val="0D0D0D" w:themeColor="text1" w:themeTint="F2"/>
                <w:spacing w:val="-3"/>
                <w:szCs w:val="20"/>
              </w:rPr>
              <w:t>2. čtvrtletí</w:t>
            </w:r>
            <w:r w:rsidRPr="00B40B27">
              <w:rPr>
                <w:rStyle w:val="normaltextrun"/>
                <w:rFonts w:eastAsiaTheme="majorEastAsia" w:cs="Arial"/>
                <w:color w:val="0D0D0D" w:themeColor="text1" w:themeTint="F2"/>
                <w:spacing w:val="-3"/>
                <w:szCs w:val="20"/>
              </w:rPr>
              <w:t xml:space="preserve"> 2026 meziročně zvýšil o </w:t>
            </w:r>
            <w:r>
              <w:rPr>
                <w:rStyle w:val="normaltextrun"/>
                <w:rFonts w:eastAsiaTheme="majorEastAsia" w:cs="Arial"/>
                <w:color w:val="0D0D0D" w:themeColor="text1" w:themeTint="F2"/>
                <w:spacing w:val="-3"/>
                <w:szCs w:val="20"/>
              </w:rPr>
              <w:t>7</w:t>
            </w:r>
            <w:r w:rsidRPr="00B40B27">
              <w:rPr>
                <w:rStyle w:val="normaltextrun"/>
                <w:rFonts w:eastAsiaTheme="majorEastAsia" w:cs="Arial"/>
                <w:color w:val="0D0D0D" w:themeColor="text1" w:themeTint="F2"/>
                <w:spacing w:val="-3"/>
                <w:szCs w:val="20"/>
              </w:rPr>
              <w:t>,</w:t>
            </w:r>
            <w:r>
              <w:rPr>
                <w:rStyle w:val="normaltextrun"/>
                <w:rFonts w:eastAsiaTheme="majorEastAsia" w:cs="Arial"/>
                <w:color w:val="0D0D0D" w:themeColor="text1" w:themeTint="F2"/>
                <w:spacing w:val="-3"/>
                <w:szCs w:val="20"/>
              </w:rPr>
              <w:t>8</w:t>
            </w:r>
            <w:r w:rsidRPr="00B40B27">
              <w:rPr>
                <w:rStyle w:val="normaltextrun"/>
                <w:rFonts w:eastAsiaTheme="majorEastAsia" w:cs="Arial"/>
                <w:color w:val="0D0D0D" w:themeColor="text1" w:themeTint="F2"/>
                <w:spacing w:val="-3"/>
                <w:szCs w:val="20"/>
              </w:rPr>
              <w:t xml:space="preserve"> % (a vrátil se k růstu po půlroční odmlce). Oživení bylo z drtivé části odrazem vysoké očekávané poptávky v pozemním stavitelství (+</w:t>
            </w:r>
            <w:r>
              <w:rPr>
                <w:rStyle w:val="normaltextrun"/>
                <w:rFonts w:eastAsiaTheme="majorEastAsia" w:cs="Arial"/>
                <w:color w:val="0D0D0D" w:themeColor="text1" w:themeTint="F2"/>
                <w:spacing w:val="-3"/>
                <w:szCs w:val="20"/>
              </w:rPr>
              <w:t>16,8</w:t>
            </w:r>
            <w:r w:rsidRPr="00B40B27">
              <w:rPr>
                <w:rStyle w:val="normaltextrun"/>
                <w:rFonts w:eastAsiaTheme="majorEastAsia" w:cs="Arial"/>
                <w:color w:val="0D0D0D" w:themeColor="text1" w:themeTint="F2"/>
                <w:spacing w:val="-3"/>
                <w:szCs w:val="20"/>
              </w:rPr>
              <w:t xml:space="preserve"> %), v tom inženýrském šlo spíše o stagnaci na vysoké loňské úrovni (+</w:t>
            </w:r>
            <w:r>
              <w:rPr>
                <w:rStyle w:val="normaltextrun"/>
                <w:rFonts w:eastAsiaTheme="majorEastAsia" w:cs="Arial"/>
                <w:color w:val="0D0D0D" w:themeColor="text1" w:themeTint="F2"/>
                <w:spacing w:val="-3"/>
                <w:szCs w:val="20"/>
              </w:rPr>
              <w:t>1</w:t>
            </w:r>
            <w:r w:rsidRPr="00B40B27">
              <w:rPr>
                <w:rStyle w:val="normaltextrun"/>
                <w:rFonts w:eastAsiaTheme="majorEastAsia" w:cs="Arial"/>
                <w:color w:val="0D0D0D" w:themeColor="text1" w:themeTint="F2"/>
                <w:spacing w:val="-3"/>
                <w:szCs w:val="20"/>
              </w:rPr>
              <w:t>,</w:t>
            </w:r>
            <w:r>
              <w:rPr>
                <w:rStyle w:val="normaltextrun"/>
                <w:rFonts w:eastAsiaTheme="majorEastAsia" w:cs="Arial"/>
                <w:color w:val="0D0D0D" w:themeColor="text1" w:themeTint="F2"/>
                <w:spacing w:val="-3"/>
                <w:szCs w:val="20"/>
              </w:rPr>
              <w:t>9</w:t>
            </w:r>
            <w:r w:rsidRPr="00B40B27">
              <w:rPr>
                <w:rStyle w:val="normaltextrun"/>
                <w:rFonts w:eastAsiaTheme="majorEastAsia" w:cs="Arial"/>
                <w:color w:val="0D0D0D" w:themeColor="text1" w:themeTint="F2"/>
                <w:spacing w:val="-3"/>
                <w:szCs w:val="20"/>
              </w:rPr>
              <w:t xml:space="preserve"> %). I přes krátkodobější dílčí výkyvy v objemu zakázek stále platí, že tuzemské stavební firmy jsou dlouhodobě poměrně silně vytížené. Celková zásoba práce (ve formě hodnoty všech dosud nerealizovaných zakázek v Česku i zahraničí) byla na konci letošního června meziročně vyšší o 2</w:t>
            </w:r>
            <w:r>
              <w:rPr>
                <w:rStyle w:val="normaltextrun"/>
                <w:rFonts w:eastAsiaTheme="majorEastAsia" w:cs="Arial"/>
                <w:color w:val="0D0D0D" w:themeColor="text1" w:themeTint="F2"/>
                <w:spacing w:val="-3"/>
                <w:szCs w:val="20"/>
              </w:rPr>
              <w:t>0</w:t>
            </w:r>
            <w:r w:rsidRPr="00B40B27">
              <w:rPr>
                <w:rStyle w:val="normaltextrun"/>
                <w:rFonts w:eastAsiaTheme="majorEastAsia" w:cs="Arial"/>
                <w:color w:val="0D0D0D" w:themeColor="text1" w:themeTint="F2"/>
                <w:spacing w:val="-3"/>
                <w:szCs w:val="20"/>
              </w:rPr>
              <w:t>,</w:t>
            </w:r>
            <w:r>
              <w:rPr>
                <w:rStyle w:val="normaltextrun"/>
                <w:rFonts w:eastAsiaTheme="majorEastAsia" w:cs="Arial"/>
                <w:color w:val="0D0D0D" w:themeColor="text1" w:themeTint="F2"/>
                <w:spacing w:val="-3"/>
                <w:szCs w:val="20"/>
              </w:rPr>
              <w:t>7</w:t>
            </w:r>
            <w:r w:rsidRPr="00B40B27">
              <w:rPr>
                <w:rStyle w:val="normaltextrun"/>
                <w:rFonts w:eastAsiaTheme="majorEastAsia" w:cs="Arial"/>
                <w:color w:val="0D0D0D" w:themeColor="text1" w:themeTint="F2"/>
                <w:spacing w:val="-3"/>
                <w:szCs w:val="20"/>
              </w:rPr>
              <w:t xml:space="preserve"> % (a podobně svižným tempem rostla již devátý kvartál v řadě). Pozitivní je, že aktuálně k růstu vedle dominantní skupiny veřejných tuzemských zakázek (+2</w:t>
            </w:r>
            <w:r>
              <w:rPr>
                <w:rStyle w:val="normaltextrun"/>
                <w:rFonts w:eastAsiaTheme="majorEastAsia" w:cs="Arial"/>
                <w:color w:val="0D0D0D" w:themeColor="text1" w:themeTint="F2"/>
                <w:spacing w:val="-3"/>
                <w:szCs w:val="20"/>
              </w:rPr>
              <w:t>0,9</w:t>
            </w:r>
            <w:r w:rsidRPr="00B40B27">
              <w:rPr>
                <w:rStyle w:val="normaltextrun"/>
                <w:rFonts w:eastAsiaTheme="majorEastAsia" w:cs="Arial"/>
                <w:color w:val="0D0D0D" w:themeColor="text1" w:themeTint="F2"/>
                <w:spacing w:val="-3"/>
                <w:szCs w:val="20"/>
              </w:rPr>
              <w:t xml:space="preserve"> %) přispívají i soukromé tuzemské (+2</w:t>
            </w:r>
            <w:r>
              <w:rPr>
                <w:rStyle w:val="normaltextrun"/>
                <w:rFonts w:eastAsiaTheme="majorEastAsia" w:cs="Arial"/>
                <w:color w:val="0D0D0D" w:themeColor="text1" w:themeTint="F2"/>
                <w:spacing w:val="-3"/>
                <w:szCs w:val="20"/>
              </w:rPr>
              <w:t>3,8</w:t>
            </w:r>
            <w:r w:rsidRPr="00B40B27">
              <w:rPr>
                <w:rStyle w:val="normaltextrun"/>
                <w:rFonts w:eastAsiaTheme="majorEastAsia" w:cs="Arial"/>
                <w:color w:val="0D0D0D" w:themeColor="text1" w:themeTint="F2"/>
                <w:spacing w:val="-3"/>
                <w:szCs w:val="20"/>
              </w:rPr>
              <w:t xml:space="preserve"> %)</w:t>
            </w:r>
            <w:r w:rsidRPr="00B40B27">
              <w:rPr>
                <w:rStyle w:val="Znakapoznpodarou"/>
                <w:rFonts w:eastAsiaTheme="majorEastAsia"/>
                <w:color w:val="0D0D0D" w:themeColor="text1" w:themeTint="F2"/>
                <w:spacing w:val="-3"/>
                <w:szCs w:val="20"/>
              </w:rPr>
              <w:footnoteReference w:id="30"/>
            </w:r>
            <w:r w:rsidRPr="00B40B27">
              <w:rPr>
                <w:rStyle w:val="normaltextrun"/>
                <w:rFonts w:eastAsiaTheme="majorEastAsia" w:cs="Arial"/>
                <w:color w:val="0D0D0D" w:themeColor="text1" w:themeTint="F2"/>
                <w:spacing w:val="-3"/>
                <w:szCs w:val="20"/>
              </w:rPr>
              <w:t>.</w:t>
            </w:r>
            <w:r w:rsidRPr="004A0F58">
              <w:rPr>
                <w:rStyle w:val="normaltextrun"/>
                <w:rFonts w:eastAsiaTheme="majorEastAsia" w:cs="Arial"/>
                <w:color w:val="0D0D0D" w:themeColor="text1" w:themeTint="F2"/>
                <w:spacing w:val="-2"/>
                <w:szCs w:val="20"/>
              </w:rPr>
              <w:t xml:space="preserve"> I podle dalšího předstihového ukazatele zůstávají vyhlídky stavebnictví poměrně příznivé. Podlahová plocha u nové výstavby budov, na něž bylo letos od ledna do</w:t>
            </w:r>
            <w:r>
              <w:rPr>
                <w:rStyle w:val="normaltextrun"/>
                <w:rFonts w:eastAsiaTheme="majorEastAsia" w:cs="Arial"/>
                <w:color w:val="0D0D0D" w:themeColor="text1" w:themeTint="F2"/>
                <w:spacing w:val="-2"/>
                <w:szCs w:val="20"/>
              </w:rPr>
              <w:t xml:space="preserve"> června</w:t>
            </w:r>
            <w:r w:rsidRPr="004A0F58">
              <w:rPr>
                <w:rStyle w:val="normaltextrun"/>
                <w:rFonts w:eastAsiaTheme="majorEastAsia" w:cs="Arial"/>
                <w:color w:val="0D0D0D" w:themeColor="text1" w:themeTint="F2"/>
                <w:spacing w:val="-2"/>
                <w:szCs w:val="20"/>
              </w:rPr>
              <w:t xml:space="preserve"> vydáno stavební povolení, se meziročně </w:t>
            </w:r>
            <w:r w:rsidRPr="004A0F58">
              <w:rPr>
                <w:rStyle w:val="normaltextrun"/>
                <w:rFonts w:eastAsiaTheme="majorEastAsia"/>
                <w:color w:val="0D0D0D" w:themeColor="text1" w:themeTint="F2"/>
                <w:spacing w:val="-2"/>
              </w:rPr>
              <w:t xml:space="preserve">zvýšila </w:t>
            </w:r>
            <w:r>
              <w:rPr>
                <w:rStyle w:val="normaltextrun"/>
                <w:rFonts w:eastAsiaTheme="majorEastAsia"/>
                <w:color w:val="0D0D0D" w:themeColor="text1" w:themeTint="F2"/>
                <w:spacing w:val="-2"/>
              </w:rPr>
              <w:t>téměř o třetinu</w:t>
            </w:r>
            <w:r w:rsidRPr="004A0F58">
              <w:rPr>
                <w:rStyle w:val="Znakapoznpodarou"/>
                <w:rFonts w:eastAsiaTheme="majorEastAsia"/>
                <w:color w:val="0D0D0D" w:themeColor="text1" w:themeTint="F2"/>
                <w:spacing w:val="-2"/>
              </w:rPr>
              <w:footnoteReference w:id="31"/>
            </w:r>
            <w:r w:rsidRPr="004A0F58">
              <w:rPr>
                <w:rStyle w:val="normaltextrun"/>
                <w:rFonts w:eastAsiaTheme="majorEastAsia"/>
                <w:color w:val="0D0D0D" w:themeColor="text1" w:themeTint="F2"/>
                <w:spacing w:val="-2"/>
              </w:rPr>
              <w:t xml:space="preserve">, z toho u bytových budov o </w:t>
            </w:r>
            <w:r>
              <w:rPr>
                <w:rStyle w:val="normaltextrun"/>
                <w:rFonts w:eastAsiaTheme="majorEastAsia"/>
                <w:color w:val="0D0D0D" w:themeColor="text1" w:themeTint="F2"/>
                <w:spacing w:val="-2"/>
              </w:rPr>
              <w:t>54</w:t>
            </w:r>
            <w:r w:rsidRPr="004A0F58">
              <w:rPr>
                <w:rStyle w:val="normaltextrun"/>
                <w:rFonts w:eastAsiaTheme="majorEastAsia"/>
                <w:color w:val="0D0D0D" w:themeColor="text1" w:themeTint="F2"/>
                <w:spacing w:val="-2"/>
              </w:rPr>
              <w:t xml:space="preserve"> %, u nebytových </w:t>
            </w:r>
            <w:r>
              <w:rPr>
                <w:rStyle w:val="normaltextrun"/>
                <w:rFonts w:eastAsiaTheme="majorEastAsia"/>
                <w:color w:val="0D0D0D" w:themeColor="text1" w:themeTint="F2"/>
                <w:spacing w:val="-2"/>
              </w:rPr>
              <w:t xml:space="preserve">pak o 10 </w:t>
            </w:r>
            <w:r w:rsidRPr="004A0F58">
              <w:rPr>
                <w:rStyle w:val="normaltextrun"/>
                <w:rFonts w:eastAsiaTheme="majorEastAsia"/>
                <w:color w:val="0D0D0D" w:themeColor="text1" w:themeTint="F2"/>
                <w:spacing w:val="-2"/>
              </w:rPr>
              <w:t>%. Po většinu loňského roku přitom tato plocha v obou kategoriích klesla.</w:t>
            </w:r>
          </w:p>
        </w:tc>
      </w:tr>
      <w:tr w:rsidR="00DD1A46" w:rsidRPr="004A0F58" w14:paraId="490498EE" w14:textId="77777777" w:rsidTr="00E962EE">
        <w:trPr>
          <w:trHeight w:val="170"/>
        </w:trPr>
        <w:tc>
          <w:tcPr>
            <w:tcW w:w="1814" w:type="dxa"/>
            <w:tcMar>
              <w:left w:w="0" w:type="dxa"/>
            </w:tcMar>
          </w:tcPr>
          <w:p w14:paraId="2FA36A48" w14:textId="77777777" w:rsidR="00DD1A46" w:rsidRDefault="00DD1A46" w:rsidP="00E962EE">
            <w:pPr>
              <w:pStyle w:val="Marginlie"/>
              <w:rPr>
                <w:rFonts w:cs="Arial"/>
                <w:color w:val="0D0D0D" w:themeColor="text1" w:themeTint="F2"/>
                <w:spacing w:val="0"/>
              </w:rPr>
            </w:pPr>
            <w:r w:rsidRPr="008C0D3A">
              <w:rPr>
                <w:rFonts w:cs="Arial"/>
                <w:color w:val="0D0D0D" w:themeColor="text1" w:themeTint="F2"/>
                <w:spacing w:val="0"/>
              </w:rPr>
              <w:t xml:space="preserve">Saldo důvěry ve stavebnictví setrvávalo v mírně negativním pásmu. Očekávání vyšší výroby se promítlo </w:t>
            </w:r>
            <w:r>
              <w:rPr>
                <w:rFonts w:cs="Arial"/>
                <w:color w:val="0D0D0D" w:themeColor="text1" w:themeTint="F2"/>
                <w:spacing w:val="0"/>
              </w:rPr>
              <w:br/>
            </w:r>
            <w:r w:rsidRPr="008C0D3A">
              <w:rPr>
                <w:rFonts w:cs="Arial"/>
                <w:color w:val="0D0D0D" w:themeColor="text1" w:themeTint="F2"/>
                <w:spacing w:val="0"/>
              </w:rPr>
              <w:t xml:space="preserve">i v růstu zaměstnanosti. </w:t>
            </w:r>
          </w:p>
          <w:p w14:paraId="2B3115F6" w14:textId="77777777" w:rsidR="00DD1A46" w:rsidRDefault="00DD1A46" w:rsidP="00E962EE">
            <w:pPr>
              <w:pStyle w:val="Marginlie"/>
              <w:rPr>
                <w:rFonts w:cs="Arial"/>
                <w:color w:val="0D0D0D" w:themeColor="text1" w:themeTint="F2"/>
                <w:spacing w:val="0"/>
              </w:rPr>
            </w:pPr>
          </w:p>
          <w:p w14:paraId="152454FD" w14:textId="77777777" w:rsidR="00DD1A46" w:rsidRDefault="00DD1A46" w:rsidP="00E962EE">
            <w:pPr>
              <w:pStyle w:val="Marginlie"/>
              <w:rPr>
                <w:rFonts w:cs="Arial"/>
                <w:color w:val="0D0D0D" w:themeColor="text1" w:themeTint="F2"/>
                <w:spacing w:val="0"/>
              </w:rPr>
            </w:pPr>
          </w:p>
          <w:p w14:paraId="2DDD207D" w14:textId="77777777" w:rsidR="00DD1A46" w:rsidRDefault="00DD1A46" w:rsidP="00E962EE">
            <w:pPr>
              <w:pStyle w:val="Marginlie"/>
              <w:rPr>
                <w:rFonts w:cs="Arial"/>
                <w:color w:val="0D0D0D" w:themeColor="text1" w:themeTint="F2"/>
                <w:spacing w:val="0"/>
              </w:rPr>
            </w:pPr>
          </w:p>
          <w:p w14:paraId="17342631" w14:textId="77777777" w:rsidR="00DD1A46" w:rsidRDefault="00DD1A46" w:rsidP="00E962EE">
            <w:pPr>
              <w:pStyle w:val="Marginlie"/>
              <w:rPr>
                <w:rFonts w:cs="Arial"/>
                <w:color w:val="0D0D0D" w:themeColor="text1" w:themeTint="F2"/>
                <w:spacing w:val="0"/>
              </w:rPr>
            </w:pPr>
          </w:p>
          <w:p w14:paraId="46A9E3EB" w14:textId="77777777" w:rsidR="00DD1A46" w:rsidRPr="008C0D3A" w:rsidRDefault="00DD1A46" w:rsidP="00E962EE">
            <w:pPr>
              <w:pStyle w:val="Marginlie"/>
              <w:rPr>
                <w:rFonts w:cs="Arial"/>
                <w:color w:val="0D0D0D" w:themeColor="text1" w:themeTint="F2"/>
                <w:spacing w:val="0"/>
              </w:rPr>
            </w:pPr>
            <w:r w:rsidRPr="008C0D3A">
              <w:rPr>
                <w:rFonts w:cs="Arial"/>
                <w:color w:val="0D0D0D" w:themeColor="text1" w:themeTint="F2"/>
                <w:spacing w:val="0"/>
              </w:rPr>
              <w:t>Hlavní růstovou bariérou zůstává nedostatek zaměstnanců, roste role ostatních vlivů ve vazbě na konflikt na Blízkém východě.</w:t>
            </w:r>
          </w:p>
          <w:p w14:paraId="7E997819" w14:textId="77777777" w:rsidR="00DD1A46" w:rsidRPr="004A0F58" w:rsidRDefault="00DD1A46" w:rsidP="00E962EE">
            <w:pPr>
              <w:pStyle w:val="Marginlie"/>
              <w:rPr>
                <w:color w:val="0D0D0D" w:themeColor="text1" w:themeTint="F2"/>
                <w:spacing w:val="0"/>
              </w:rPr>
            </w:pPr>
          </w:p>
        </w:tc>
        <w:tc>
          <w:tcPr>
            <w:tcW w:w="181" w:type="dxa"/>
            <w:tcMar>
              <w:left w:w="0" w:type="dxa"/>
            </w:tcMar>
          </w:tcPr>
          <w:p w14:paraId="60A14D18" w14:textId="77777777" w:rsidR="00DD1A46" w:rsidRPr="004A0F58" w:rsidRDefault="00DD1A46" w:rsidP="00E962EE">
            <w:pPr>
              <w:pStyle w:val="Textpoznpodarou"/>
              <w:jc w:val="both"/>
              <w:rPr>
                <w:color w:val="0D0D0D" w:themeColor="text1" w:themeTint="F2"/>
              </w:rPr>
            </w:pPr>
          </w:p>
        </w:tc>
        <w:tc>
          <w:tcPr>
            <w:tcW w:w="7711" w:type="dxa"/>
            <w:tcMar>
              <w:left w:w="0" w:type="dxa"/>
            </w:tcMar>
          </w:tcPr>
          <w:p w14:paraId="27176EDB" w14:textId="77777777" w:rsidR="00DD1A46" w:rsidRPr="004A0F58" w:rsidRDefault="00DD1A46" w:rsidP="00E962EE">
            <w:pPr>
              <w:spacing w:after="200"/>
              <w:rPr>
                <w:rStyle w:val="normaltextrun"/>
                <w:rFonts w:eastAsia="MS Gothic"/>
                <w:color w:val="0D0D0D" w:themeColor="text1" w:themeTint="F2"/>
              </w:rPr>
            </w:pPr>
            <w:r w:rsidRPr="00AE22FC">
              <w:rPr>
                <w:rFonts w:cs="Arial"/>
                <w:color w:val="0D0D0D" w:themeColor="text1" w:themeTint="F2"/>
                <w:spacing w:val="-4"/>
                <w:szCs w:val="20"/>
              </w:rPr>
              <w:t>Důvěra podnikatelů</w:t>
            </w:r>
            <w:r w:rsidRPr="00AE22FC">
              <w:rPr>
                <w:rStyle w:val="normaltextrun"/>
                <w:rFonts w:eastAsiaTheme="majorEastAsia" w:cs="Arial"/>
                <w:color w:val="0D0D0D" w:themeColor="text1" w:themeTint="F2"/>
                <w:spacing w:val="-4"/>
                <w:szCs w:val="20"/>
              </w:rPr>
              <w:t xml:space="preserve"> ve stavebnictví od konce loňského roku mírně kolísala bez náznaku zřetelného trendu. Letos v srpnu se pohybovala v mírně negativním pásmu (saldo: −5 bod</w:t>
            </w:r>
            <w:r>
              <w:rPr>
                <w:rStyle w:val="normaltextrun"/>
                <w:rFonts w:eastAsiaTheme="majorEastAsia" w:cs="Arial"/>
                <w:color w:val="0D0D0D" w:themeColor="text1" w:themeTint="F2"/>
                <w:spacing w:val="-4"/>
                <w:szCs w:val="20"/>
              </w:rPr>
              <w:t>ů</w:t>
            </w:r>
            <w:r w:rsidRPr="00AE22FC">
              <w:rPr>
                <w:rStyle w:val="normaltextrun"/>
                <w:rFonts w:eastAsiaTheme="majorEastAsia" w:cs="Arial"/>
                <w:color w:val="0D0D0D" w:themeColor="text1" w:themeTint="F2"/>
                <w:spacing w:val="-4"/>
                <w:szCs w:val="20"/>
              </w:rPr>
              <w:t>), proti dlouhodobému průměr</w:t>
            </w:r>
            <w:r>
              <w:rPr>
                <w:rStyle w:val="normaltextrun"/>
                <w:rFonts w:eastAsiaTheme="majorEastAsia" w:cs="Arial"/>
                <w:color w:val="0D0D0D" w:themeColor="text1" w:themeTint="F2"/>
                <w:spacing w:val="-4"/>
                <w:szCs w:val="20"/>
              </w:rPr>
              <w:t>u</w:t>
            </w:r>
            <w:r w:rsidRPr="00AE22FC">
              <w:rPr>
                <w:rStyle w:val="normaltextrun"/>
                <w:rFonts w:eastAsiaTheme="majorEastAsia" w:cs="Arial"/>
                <w:color w:val="0D0D0D" w:themeColor="text1" w:themeTint="F2"/>
                <w:spacing w:val="-4"/>
                <w:szCs w:val="20"/>
              </w:rPr>
              <w:t xml:space="preserve"> (období </w:t>
            </w:r>
            <w:r>
              <w:rPr>
                <w:rStyle w:val="normaltextrun"/>
                <w:rFonts w:eastAsiaTheme="majorEastAsia" w:cs="Arial"/>
                <w:color w:val="0D0D0D" w:themeColor="text1" w:themeTint="F2"/>
                <w:spacing w:val="-4"/>
                <w:szCs w:val="20"/>
              </w:rPr>
              <w:t>l</w:t>
            </w:r>
            <w:r>
              <w:rPr>
                <w:rStyle w:val="normaltextrun"/>
                <w:rFonts w:eastAsiaTheme="majorEastAsia" w:cs="Arial"/>
                <w:color w:val="0D0D0D" w:themeColor="text1" w:themeTint="F2"/>
                <w:spacing w:val="-4"/>
              </w:rPr>
              <w:t xml:space="preserve">et </w:t>
            </w:r>
            <w:r w:rsidRPr="00AE22FC">
              <w:rPr>
                <w:rStyle w:val="normaltextrun"/>
                <w:rFonts w:eastAsiaTheme="majorEastAsia" w:cs="Arial"/>
                <w:color w:val="0D0D0D" w:themeColor="text1" w:themeTint="F2"/>
                <w:spacing w:val="-4"/>
                <w:szCs w:val="20"/>
              </w:rPr>
              <w:t>2003 až 2025) však byla výrazně příznivější (+13</w:t>
            </w:r>
            <w:r w:rsidRPr="00233339">
              <w:rPr>
                <w:color w:val="0D0D0D" w:themeColor="text1" w:themeTint="F2"/>
                <w:spacing w:val="-3"/>
              </w:rPr>
              <w:t> </w:t>
            </w:r>
            <w:r w:rsidRPr="00AE22FC">
              <w:rPr>
                <w:rStyle w:val="normaltextrun"/>
                <w:rFonts w:eastAsiaTheme="majorEastAsia" w:cs="Arial"/>
                <w:color w:val="0D0D0D" w:themeColor="text1" w:themeTint="F2"/>
                <w:spacing w:val="-4"/>
                <w:szCs w:val="20"/>
              </w:rPr>
              <w:t>%). Lehce</w:t>
            </w:r>
            <w:r w:rsidRPr="00AE22FC">
              <w:rPr>
                <w:rStyle w:val="normaltextrun"/>
                <w:rFonts w:eastAsia="MS Gothic" w:cs="Arial"/>
                <w:color w:val="0D0D0D" w:themeColor="text1" w:themeTint="F2"/>
                <w:spacing w:val="-4"/>
                <w:szCs w:val="20"/>
              </w:rPr>
              <w:t xml:space="preserve"> pozitivní očekávání nejbližšího vývoje stavební činnosti (s výhledem na letošní podzimní měsíce) se odrazila v plánech na nábor pracovníků</w:t>
            </w:r>
            <w:r w:rsidRPr="00AE22FC">
              <w:rPr>
                <w:rStyle w:val="Znakapoznpodarou"/>
                <w:rFonts w:eastAsia="MS Gothic" w:cs="Arial"/>
                <w:color w:val="0D0D0D" w:themeColor="text1" w:themeTint="F2"/>
                <w:spacing w:val="-4"/>
                <w:szCs w:val="20"/>
              </w:rPr>
              <w:footnoteReference w:id="32"/>
            </w:r>
            <w:r w:rsidRPr="00AE22FC">
              <w:rPr>
                <w:rStyle w:val="normaltextrun"/>
                <w:rFonts w:eastAsia="MS Gothic" w:cs="Arial"/>
                <w:color w:val="0D0D0D" w:themeColor="text1" w:themeTint="F2"/>
                <w:spacing w:val="-4"/>
                <w:szCs w:val="20"/>
              </w:rPr>
              <w:t>. Příznivě hodnotil</w:t>
            </w:r>
            <w:r>
              <w:rPr>
                <w:rStyle w:val="normaltextrun"/>
                <w:rFonts w:eastAsia="MS Gothic" w:cs="Arial"/>
                <w:color w:val="0D0D0D" w:themeColor="text1" w:themeTint="F2"/>
                <w:spacing w:val="-4"/>
                <w:szCs w:val="20"/>
              </w:rPr>
              <w:t>a</w:t>
            </w:r>
            <w:r>
              <w:rPr>
                <w:rStyle w:val="normaltextrun"/>
                <w:rFonts w:eastAsia="MS Gothic" w:cs="Arial"/>
                <w:color w:val="0D0D0D" w:themeColor="text1" w:themeTint="F2"/>
                <w:spacing w:val="-4"/>
              </w:rPr>
              <w:t xml:space="preserve"> </w:t>
            </w:r>
            <w:r w:rsidRPr="00AE22FC">
              <w:rPr>
                <w:rStyle w:val="normaltextrun"/>
                <w:rFonts w:eastAsia="MS Gothic" w:cs="Arial"/>
                <w:color w:val="0D0D0D" w:themeColor="text1" w:themeTint="F2"/>
                <w:spacing w:val="-4"/>
                <w:szCs w:val="20"/>
              </w:rPr>
              <w:t>aktuálně svou finanční situaci třetina firem (nepříznivě pouhá 3 %), v půlročním výhledu zde očekává zlepšení každý šestý podnik (zhoršení jen každý dvacátý). Současnou poptávku ovšem stále nepříznivě vnímá skoro čtvrtina firem. Výkon celého odvětví limitují chronické růstové bariéry. Fakticky již více než sedm let v řadě je tou nejvýznamnější nedostatek (zejména kvalifikovaných) zaměstnanců. J</w:t>
            </w:r>
            <w:r w:rsidRPr="00AE22FC">
              <w:rPr>
                <w:rStyle w:val="normaltextrun"/>
                <w:rFonts w:eastAsiaTheme="majorEastAsia" w:cs="Arial"/>
                <w:color w:val="0D0D0D" w:themeColor="text1" w:themeTint="F2"/>
                <w:spacing w:val="-4"/>
                <w:szCs w:val="20"/>
              </w:rPr>
              <w:t>ako jednu z bariér ji</w:t>
            </w:r>
            <w:r>
              <w:rPr>
                <w:rStyle w:val="normaltextrun"/>
                <w:rFonts w:eastAsiaTheme="majorEastAsia" w:cs="Arial"/>
                <w:color w:val="0D0D0D" w:themeColor="text1" w:themeTint="F2"/>
                <w:spacing w:val="-4"/>
                <w:szCs w:val="20"/>
              </w:rPr>
              <w:t xml:space="preserve"> v červenci</w:t>
            </w:r>
            <w:r w:rsidRPr="00AE22FC">
              <w:rPr>
                <w:rStyle w:val="normaltextrun"/>
                <w:rFonts w:eastAsiaTheme="majorEastAsia" w:cs="Arial"/>
                <w:spacing w:val="-4"/>
                <w:szCs w:val="20"/>
              </w:rPr>
              <w:t xml:space="preserve"> </w:t>
            </w:r>
            <w:r w:rsidRPr="00AE22FC">
              <w:rPr>
                <w:rStyle w:val="normaltextrun"/>
                <w:rFonts w:eastAsiaTheme="majorEastAsia" w:cs="Arial"/>
                <w:color w:val="0D0D0D" w:themeColor="text1" w:themeTint="F2"/>
                <w:spacing w:val="-4"/>
                <w:szCs w:val="20"/>
              </w:rPr>
              <w:t>uvedlo okolo 41 % firem (meziročně o 6 p. b. méně)</w:t>
            </w:r>
            <w:r w:rsidRPr="00AE22FC">
              <w:rPr>
                <w:rStyle w:val="normaltextrun"/>
                <w:rFonts w:eastAsia="MS Gothic" w:cs="Arial"/>
                <w:color w:val="0D0D0D" w:themeColor="text1" w:themeTint="F2"/>
                <w:spacing w:val="-4"/>
                <w:szCs w:val="20"/>
              </w:rPr>
              <w:t>. Nedostatečná poptávka sužovala 30 % firem</w:t>
            </w:r>
            <w:r w:rsidRPr="00AE22FC">
              <w:rPr>
                <w:rStyle w:val="Znakapoznpodarou"/>
                <w:rFonts w:eastAsia="MS Gothic" w:cs="Arial"/>
                <w:color w:val="0D0D0D" w:themeColor="text1" w:themeTint="F2"/>
                <w:spacing w:val="-4"/>
                <w:szCs w:val="20"/>
              </w:rPr>
              <w:footnoteReference w:id="33"/>
            </w:r>
            <w:r w:rsidRPr="00AE22FC">
              <w:rPr>
                <w:rStyle w:val="normaltextrun"/>
                <w:rFonts w:eastAsia="MS Gothic" w:cs="Arial"/>
                <w:color w:val="0D0D0D" w:themeColor="text1" w:themeTint="F2"/>
                <w:spacing w:val="-4"/>
                <w:szCs w:val="20"/>
              </w:rPr>
              <w:t xml:space="preserve"> a i tento podíl se meziročně mírně snížil. Během jara značn</w:t>
            </w:r>
            <w:r w:rsidRPr="00AE22FC">
              <w:rPr>
                <w:rFonts w:eastAsia="MS Gothic" w:cs="Arial"/>
                <w:color w:val="0D0D0D" w:themeColor="text1" w:themeTint="F2"/>
                <w:spacing w:val="-4"/>
                <w:szCs w:val="20"/>
              </w:rPr>
              <w:t>ě stoupl počet respondentů uvádějících jiné bariéry (až na 20 % všech firem). Ty souvisí převážně s aktuální geopolitickou situací vedoucí k prudce rostoucím cenám vstupů.</w:t>
            </w:r>
            <w:r w:rsidRPr="00AE22FC">
              <w:rPr>
                <w:rFonts w:eastAsia="MS Gothic"/>
                <w:spacing w:val="-4"/>
                <w:szCs w:val="20"/>
              </w:rPr>
              <w:t xml:space="preserve"> Nedostatek materiálu či zařízení letos (ani pro většinu loňského roku) pro stavebnictví významnou bariéru nepředstavuje, avšak nadále zůstávají zvýšená inflační rizika plynoucí z očekávaného růstu cen stavební produkce</w:t>
            </w:r>
            <w:r w:rsidRPr="00AE22FC">
              <w:rPr>
                <w:rStyle w:val="Znakapoznpodarou"/>
                <w:rFonts w:eastAsia="MS Gothic"/>
                <w:spacing w:val="-4"/>
                <w:szCs w:val="20"/>
              </w:rPr>
              <w:footnoteReference w:id="34"/>
            </w:r>
            <w:r w:rsidRPr="00AE22FC">
              <w:rPr>
                <w:rFonts w:eastAsia="MS Gothic"/>
                <w:spacing w:val="-4"/>
                <w:szCs w:val="20"/>
              </w:rPr>
              <w:t xml:space="preserve">. </w:t>
            </w:r>
          </w:p>
        </w:tc>
      </w:tr>
      <w:tr w:rsidR="00DD1A46" w:rsidRPr="004A0F58" w14:paraId="51A4D650" w14:textId="77777777" w:rsidTr="00E962EE">
        <w:trPr>
          <w:trHeight w:val="170"/>
        </w:trPr>
        <w:tc>
          <w:tcPr>
            <w:tcW w:w="1814" w:type="dxa"/>
            <w:gridSpan w:val="3"/>
            <w:tcMar>
              <w:left w:w="0" w:type="dxa"/>
            </w:tcMar>
          </w:tcPr>
          <w:p w14:paraId="506BC657" w14:textId="77777777" w:rsidR="00DD1A46" w:rsidRPr="000879E5" w:rsidRDefault="00DD1A46" w:rsidP="00E962EE">
            <w:pPr>
              <w:pStyle w:val="Nadpis3"/>
              <w:rPr>
                <w:rStyle w:val="normaltextrun"/>
                <w:rFonts w:eastAsiaTheme="majorEastAsia"/>
                <w:color w:val="0D0D0D" w:themeColor="text1" w:themeTint="F2"/>
                <w:spacing w:val="-2"/>
              </w:rPr>
            </w:pPr>
            <w:bookmarkStart w:id="28" w:name="_Toc240366897"/>
            <w:r>
              <w:rPr>
                <w:lang w:eastAsia="en-US"/>
              </w:rPr>
              <w:t>3</w:t>
            </w:r>
            <w:r w:rsidRPr="006B2C72">
              <w:rPr>
                <w:lang w:eastAsia="en-US"/>
              </w:rPr>
              <w:t>.</w:t>
            </w:r>
            <w:r>
              <w:rPr>
                <w:lang w:eastAsia="en-US"/>
              </w:rPr>
              <w:t>3</w:t>
            </w:r>
            <w:r w:rsidRPr="006B2C72">
              <w:rPr>
                <w:lang w:eastAsia="en-US"/>
              </w:rPr>
              <w:t xml:space="preserve"> </w:t>
            </w:r>
            <w:r>
              <w:rPr>
                <w:lang w:eastAsia="en-US"/>
              </w:rPr>
              <w:t>Služby, cestovní ruch a maloobchod</w:t>
            </w:r>
            <w:bookmarkEnd w:id="28"/>
          </w:p>
        </w:tc>
      </w:tr>
      <w:tr w:rsidR="00DD1A46" w:rsidRPr="004A0F58" w14:paraId="5E3ED9C0" w14:textId="77777777" w:rsidTr="00E962EE">
        <w:trPr>
          <w:trHeight w:val="170"/>
        </w:trPr>
        <w:tc>
          <w:tcPr>
            <w:tcW w:w="1814" w:type="dxa"/>
            <w:tcMar>
              <w:left w:w="0" w:type="dxa"/>
            </w:tcMar>
          </w:tcPr>
          <w:p w14:paraId="3BBEABAE" w14:textId="77777777" w:rsidR="00DD1A46" w:rsidRPr="004A0F58" w:rsidRDefault="00DD1A46" w:rsidP="00E962EE">
            <w:pPr>
              <w:pStyle w:val="Marginlie"/>
              <w:rPr>
                <w:color w:val="0D0D0D" w:themeColor="text1" w:themeTint="F2"/>
                <w:spacing w:val="0"/>
              </w:rPr>
            </w:pPr>
            <w:r w:rsidRPr="004A0F58">
              <w:rPr>
                <w:color w:val="0D0D0D" w:themeColor="text1" w:themeTint="F2"/>
                <w:spacing w:val="0"/>
              </w:rPr>
              <w:t xml:space="preserve">Rozvoj služeb nadále podporovala vyšší poptávka domácností </w:t>
            </w:r>
            <w:r>
              <w:rPr>
                <w:color w:val="0D0D0D" w:themeColor="text1" w:themeTint="F2"/>
                <w:spacing w:val="0"/>
              </w:rPr>
              <w:br/>
            </w:r>
            <w:r w:rsidRPr="004A0F58">
              <w:rPr>
                <w:color w:val="0D0D0D" w:themeColor="text1" w:themeTint="F2"/>
                <w:spacing w:val="0"/>
              </w:rPr>
              <w:t>i firem.</w:t>
            </w:r>
          </w:p>
        </w:tc>
        <w:tc>
          <w:tcPr>
            <w:tcW w:w="181" w:type="dxa"/>
            <w:tcMar>
              <w:left w:w="0" w:type="dxa"/>
            </w:tcMar>
          </w:tcPr>
          <w:p w14:paraId="1CCD0C47" w14:textId="77777777" w:rsidR="00DD1A46" w:rsidRPr="004A0F58" w:rsidRDefault="00DD1A46" w:rsidP="00E962EE">
            <w:pPr>
              <w:pStyle w:val="Textpoznpodarou"/>
              <w:jc w:val="both"/>
              <w:rPr>
                <w:color w:val="0D0D0D" w:themeColor="text1" w:themeTint="F2"/>
              </w:rPr>
            </w:pPr>
          </w:p>
        </w:tc>
        <w:tc>
          <w:tcPr>
            <w:tcW w:w="7711" w:type="dxa"/>
            <w:tcMar>
              <w:left w:w="0" w:type="dxa"/>
            </w:tcMar>
          </w:tcPr>
          <w:p w14:paraId="015CC003" w14:textId="77777777" w:rsidR="00DD1A46" w:rsidRPr="0095025E" w:rsidRDefault="00DD1A46" w:rsidP="00E962EE">
            <w:pPr>
              <w:spacing w:after="200"/>
              <w:rPr>
                <w:rStyle w:val="normaltextrun"/>
                <w:rFonts w:cs="Arial"/>
                <w:color w:val="0D0D0D" w:themeColor="text1" w:themeTint="F2"/>
                <w:spacing w:val="-4"/>
              </w:rPr>
            </w:pPr>
            <w:r w:rsidRPr="0095025E">
              <w:rPr>
                <w:rStyle w:val="normaltextrun"/>
                <w:rFonts w:eastAsiaTheme="majorEastAsia"/>
                <w:color w:val="0D0D0D" w:themeColor="text1" w:themeTint="F2"/>
                <w:spacing w:val="-4"/>
              </w:rPr>
              <w:t xml:space="preserve">Rozvoj služeb pokračoval také na počátku letošního roku. Lepšící se finanční kondice domácností se projevovala v pokračujícím růstu jejich spotřebních výdajů. Významnou roli hrála i zvyšující se firemní poptávka, zejména po vyspělých službách vyžadujících práci </w:t>
            </w:r>
            <w:r w:rsidRPr="0095025E">
              <w:rPr>
                <w:rStyle w:val="normaltextrun"/>
                <w:rFonts w:eastAsiaTheme="majorEastAsia"/>
                <w:color w:val="0D0D0D" w:themeColor="text1" w:themeTint="F2"/>
                <w:spacing w:val="-4"/>
              </w:rPr>
              <w:lastRenderedPageBreak/>
              <w:t xml:space="preserve">specialistů. </w:t>
            </w:r>
            <w:r w:rsidRPr="0095025E">
              <w:rPr>
                <w:color w:val="0D0D0D" w:themeColor="text1" w:themeTint="F2"/>
                <w:spacing w:val="-4"/>
              </w:rPr>
              <w:t xml:space="preserve">Mírný </w:t>
            </w:r>
            <w:proofErr w:type="spellStart"/>
            <w:r w:rsidRPr="0095025E">
              <w:rPr>
                <w:color w:val="0D0D0D" w:themeColor="text1" w:themeTint="F2"/>
                <w:spacing w:val="-4"/>
              </w:rPr>
              <w:t>mezikvartální</w:t>
            </w:r>
            <w:proofErr w:type="spellEnd"/>
            <w:r w:rsidRPr="0095025E">
              <w:rPr>
                <w:color w:val="0D0D0D" w:themeColor="text1" w:themeTint="F2"/>
                <w:spacing w:val="-4"/>
              </w:rPr>
              <w:t xml:space="preserve"> růst </w:t>
            </w:r>
            <w:r w:rsidRPr="0095025E">
              <w:rPr>
                <w:rFonts w:cs="Arial"/>
                <w:color w:val="0D0D0D" w:themeColor="text1" w:themeTint="F2"/>
                <w:spacing w:val="-4"/>
              </w:rPr>
              <w:t>tržeb ve službách</w:t>
            </w:r>
            <w:r w:rsidRPr="0095025E">
              <w:rPr>
                <w:color w:val="0D0D0D" w:themeColor="text1" w:themeTint="F2"/>
                <w:spacing w:val="-4"/>
                <w:vertAlign w:val="superscript"/>
              </w:rPr>
              <w:footnoteReference w:id="35"/>
            </w:r>
            <w:r w:rsidRPr="0095025E">
              <w:rPr>
                <w:rFonts w:cs="Arial"/>
                <w:color w:val="0D0D0D" w:themeColor="text1" w:themeTint="F2"/>
                <w:spacing w:val="-4"/>
              </w:rPr>
              <w:t xml:space="preserve"> proto pokračoval. V 1. </w:t>
            </w:r>
            <w:r>
              <w:rPr>
                <w:rFonts w:cs="Arial"/>
                <w:color w:val="0D0D0D" w:themeColor="text1" w:themeTint="F2"/>
                <w:spacing w:val="-4"/>
              </w:rPr>
              <w:t xml:space="preserve">i 2. </w:t>
            </w:r>
            <w:r w:rsidRPr="0095025E">
              <w:rPr>
                <w:rFonts w:cs="Arial"/>
                <w:color w:val="0D0D0D" w:themeColor="text1" w:themeTint="F2"/>
                <w:spacing w:val="-4"/>
              </w:rPr>
              <w:t>čtvrtletí 2026 dosáhl</w:t>
            </w:r>
            <w:r>
              <w:rPr>
                <w:rFonts w:cs="Arial"/>
                <w:color w:val="0D0D0D" w:themeColor="text1" w:themeTint="F2"/>
                <w:spacing w:val="-4"/>
              </w:rPr>
              <w:t xml:space="preserve"> shodně </w:t>
            </w:r>
            <w:r w:rsidRPr="0095025E">
              <w:rPr>
                <w:rFonts w:cs="Arial"/>
                <w:color w:val="0D0D0D" w:themeColor="text1" w:themeTint="F2"/>
                <w:spacing w:val="-4"/>
              </w:rPr>
              <w:t xml:space="preserve">0,9 %. </w:t>
            </w:r>
            <w:r w:rsidRPr="0095025E">
              <w:rPr>
                <w:rFonts w:cs="Arial"/>
                <w:spacing w:val="-4"/>
              </w:rPr>
              <w:t xml:space="preserve">V obou případech se zde jako klíčové ukázaly doprava </w:t>
            </w:r>
            <w:r>
              <w:rPr>
                <w:rFonts w:cs="Arial"/>
                <w:spacing w:val="-4"/>
              </w:rPr>
              <w:br/>
            </w:r>
            <w:r w:rsidRPr="0095025E">
              <w:rPr>
                <w:rFonts w:cs="Arial"/>
                <w:spacing w:val="-4"/>
              </w:rPr>
              <w:t>a skladování, které těžily z oživení v zahraničním obchodě se zbožím souvisejícím s příznivějším vývojem průmyslu. V</w:t>
            </w:r>
            <w:r>
              <w:rPr>
                <w:rFonts w:cs="Arial"/>
                <w:spacing w:val="-4"/>
              </w:rPr>
              <w:t>e</w:t>
            </w:r>
            <w:r w:rsidRPr="0095025E">
              <w:rPr>
                <w:rFonts w:cs="Arial"/>
                <w:spacing w:val="-4"/>
              </w:rPr>
              <w:t xml:space="preserve"> 2. čtvrtletí se zde mohl projevit i efekt předzásobení, jehož prostřednictvím se tuzemské průmyslové podniky snažily zmírnit dopady konfliktu na Blízkém východě na ceny, resp. dostupnost některých významných vstupů do výroby. </w:t>
            </w:r>
            <w:r w:rsidRPr="0095025E">
              <w:rPr>
                <w:rFonts w:cs="Arial"/>
                <w:color w:val="0D0D0D" w:themeColor="text1" w:themeTint="F2"/>
                <w:spacing w:val="-4"/>
              </w:rPr>
              <w:t xml:space="preserve"> </w:t>
            </w:r>
          </w:p>
        </w:tc>
      </w:tr>
      <w:tr w:rsidR="00DD1A46" w:rsidRPr="004A0F58" w14:paraId="0DB84F67" w14:textId="77777777" w:rsidTr="00E962EE">
        <w:trPr>
          <w:trHeight w:val="170"/>
        </w:trPr>
        <w:tc>
          <w:tcPr>
            <w:tcW w:w="1814" w:type="dxa"/>
            <w:tcMar>
              <w:left w:w="0" w:type="dxa"/>
            </w:tcMar>
          </w:tcPr>
          <w:p w14:paraId="2C349077" w14:textId="77777777" w:rsidR="00DD1A46" w:rsidRPr="004A0F58" w:rsidRDefault="00DD1A46" w:rsidP="00E962EE">
            <w:pPr>
              <w:pStyle w:val="Marginlie"/>
              <w:rPr>
                <w:color w:val="0D0D0D" w:themeColor="text1" w:themeTint="F2"/>
                <w:spacing w:val="0"/>
              </w:rPr>
            </w:pPr>
            <w:r w:rsidRPr="004A0F58">
              <w:rPr>
                <w:color w:val="0D0D0D" w:themeColor="text1" w:themeTint="F2"/>
              </w:rPr>
              <w:lastRenderedPageBreak/>
              <w:t>K meziročnímu růstu tržeb ve službách přispívaly nejvíce vyspělé podnikové služby tažené zejména vyšší poptávkou po</w:t>
            </w:r>
            <w:r>
              <w:rPr>
                <w:color w:val="0D0D0D" w:themeColor="text1" w:themeTint="F2"/>
              </w:rPr>
              <w:t xml:space="preserve"> architektonických </w:t>
            </w:r>
            <w:r>
              <w:rPr>
                <w:color w:val="0D0D0D" w:themeColor="text1" w:themeTint="F2"/>
              </w:rPr>
              <w:br/>
              <w:t>a inženýrských činnostech.</w:t>
            </w:r>
            <w:r w:rsidRPr="004A0F58">
              <w:rPr>
                <w:color w:val="0D0D0D" w:themeColor="text1" w:themeTint="F2"/>
              </w:rPr>
              <w:t xml:space="preserve"> </w:t>
            </w:r>
          </w:p>
        </w:tc>
        <w:tc>
          <w:tcPr>
            <w:tcW w:w="181" w:type="dxa"/>
            <w:tcMar>
              <w:left w:w="0" w:type="dxa"/>
            </w:tcMar>
          </w:tcPr>
          <w:p w14:paraId="7796F1E1" w14:textId="77777777" w:rsidR="00DD1A46" w:rsidRPr="004A0F58" w:rsidRDefault="00DD1A46" w:rsidP="00E962EE">
            <w:pPr>
              <w:pStyle w:val="Textpoznpodarou"/>
              <w:jc w:val="both"/>
              <w:rPr>
                <w:color w:val="0D0D0D" w:themeColor="text1" w:themeTint="F2"/>
              </w:rPr>
            </w:pPr>
          </w:p>
        </w:tc>
        <w:tc>
          <w:tcPr>
            <w:tcW w:w="7711" w:type="dxa"/>
            <w:tcMar>
              <w:left w:w="0" w:type="dxa"/>
            </w:tcMar>
          </w:tcPr>
          <w:p w14:paraId="74CA3DF8" w14:textId="77777777" w:rsidR="00DD1A46" w:rsidRPr="0010763D" w:rsidRDefault="00DD1A46" w:rsidP="00E962EE">
            <w:pPr>
              <w:spacing w:after="200"/>
              <w:rPr>
                <w:rStyle w:val="normaltextrun"/>
                <w:color w:val="0D0D0D" w:themeColor="text1" w:themeTint="F2"/>
                <w:spacing w:val="-2"/>
              </w:rPr>
            </w:pPr>
            <w:r w:rsidRPr="0010763D">
              <w:rPr>
                <w:color w:val="0D0D0D" w:themeColor="text1" w:themeTint="F2"/>
                <w:spacing w:val="-2"/>
              </w:rPr>
              <w:t>Tržby ve službách se za 1. pololetí 2026 zvýšily meziročně o 2,6 % (podobně jako ve stejném období loni) a rostly nepřetržitě od počátku roku 2024. Přispěly k tomu nejvíce, stejně jako vloni, profesní, vědecké a technické činnosti (+1,4 p. b., při růstu tohoto odvětví o 6,1 %</w:t>
            </w:r>
            <w:r w:rsidRPr="0010763D">
              <w:rPr>
                <w:rStyle w:val="Znakapoznpodarou"/>
                <w:color w:val="0D0D0D" w:themeColor="text1" w:themeTint="F2"/>
                <w:spacing w:val="-2"/>
              </w:rPr>
              <w:footnoteReference w:id="36"/>
            </w:r>
            <w:r w:rsidRPr="0010763D">
              <w:rPr>
                <w:color w:val="0D0D0D" w:themeColor="text1" w:themeTint="F2"/>
                <w:spacing w:val="-2"/>
              </w:rPr>
              <w:t>), kde se kromě reklamy a průzkumu trhu (</w:t>
            </w:r>
            <w:r w:rsidRPr="0010763D">
              <w:rPr>
                <w:rStyle w:val="normaltextrun"/>
                <w:rFonts w:eastAsiaTheme="majorEastAsia" w:cs="Arial"/>
                <w:color w:val="0D0D0D" w:themeColor="text1" w:themeTint="F2"/>
                <w:spacing w:val="-2"/>
                <w:szCs w:val="20"/>
              </w:rPr>
              <w:t>−</w:t>
            </w:r>
            <w:r w:rsidRPr="0010763D">
              <w:rPr>
                <w:color w:val="0D0D0D" w:themeColor="text1" w:themeTint="F2"/>
                <w:spacing w:val="-2"/>
              </w:rPr>
              <w:t xml:space="preserve">1,2 %) zřetelně dařilo všem dílčím oborům. Nejvíce vzrostly tržby v </w:t>
            </w:r>
            <w:r w:rsidRPr="0010763D">
              <w:rPr>
                <w:rFonts w:cs="Arial"/>
                <w:color w:val="0D0D0D" w:themeColor="text1" w:themeTint="F2"/>
                <w:spacing w:val="-2"/>
                <w:szCs w:val="20"/>
              </w:rPr>
              <w:t>činnostech vedení podniků a poradenství v oblasti řízení (+10,6 %). Pro vývoj celého odvětví měla ovšem největší význam sílící poptávka po architektonických a</w:t>
            </w:r>
            <w:r w:rsidRPr="0010763D">
              <w:rPr>
                <w:color w:val="0D0D0D" w:themeColor="text1" w:themeTint="F2"/>
                <w:spacing w:val="-2"/>
              </w:rPr>
              <w:t> </w:t>
            </w:r>
            <w:r w:rsidRPr="0010763D">
              <w:rPr>
                <w:rFonts w:cs="Arial"/>
                <w:color w:val="0D0D0D" w:themeColor="text1" w:themeTint="F2"/>
                <w:spacing w:val="-2"/>
                <w:szCs w:val="20"/>
              </w:rPr>
              <w:t>inženýrských činnostech podporovaná rychle se rozvíjejícím stavebnictvím. Zrychlil i růst tržeb v právnických a účetnických činnostech (na 7,8 %). Mírně slabší, avšak stabilní růst přetrvával v diverzifikovaném oboru ostatní profesní, vědecké a technické činnosti</w:t>
            </w:r>
            <w:r w:rsidRPr="0010763D">
              <w:rPr>
                <w:rStyle w:val="Znakapoznpodarou"/>
                <w:color w:val="0D0D0D" w:themeColor="text1" w:themeTint="F2"/>
                <w:spacing w:val="-2"/>
              </w:rPr>
              <w:footnoteReference w:id="37"/>
            </w:r>
            <w:r w:rsidRPr="0010763D">
              <w:rPr>
                <w:rFonts w:cs="Arial"/>
                <w:color w:val="0D0D0D" w:themeColor="text1" w:themeTint="F2"/>
                <w:spacing w:val="-2"/>
                <w:szCs w:val="20"/>
              </w:rPr>
              <w:t xml:space="preserve">. </w:t>
            </w:r>
          </w:p>
        </w:tc>
      </w:tr>
      <w:tr w:rsidR="00DD1A46" w:rsidRPr="004A0F58" w14:paraId="577A3493" w14:textId="77777777" w:rsidTr="00E962EE">
        <w:trPr>
          <w:trHeight w:val="170"/>
        </w:trPr>
        <w:tc>
          <w:tcPr>
            <w:tcW w:w="1814" w:type="dxa"/>
            <w:tcMar>
              <w:left w:w="0" w:type="dxa"/>
            </w:tcMar>
          </w:tcPr>
          <w:p w14:paraId="72CAE314" w14:textId="77777777" w:rsidR="00DD1A46" w:rsidRPr="004A0F58" w:rsidRDefault="00DD1A46" w:rsidP="00E962EE">
            <w:pPr>
              <w:pStyle w:val="Marginlie"/>
              <w:rPr>
                <w:color w:val="0D0D0D" w:themeColor="text1" w:themeTint="F2"/>
                <w:spacing w:val="0"/>
              </w:rPr>
            </w:pPr>
            <w:r>
              <w:rPr>
                <w:color w:val="0D0D0D" w:themeColor="text1" w:themeTint="F2"/>
                <w:spacing w:val="0"/>
              </w:rPr>
              <w:t>V pozemní dopravě i ve skladování růst poptávky ve 2. čtvrtletí zrychlil. P</w:t>
            </w:r>
            <w:r w:rsidRPr="004A0F58">
              <w:rPr>
                <w:color w:val="0D0D0D" w:themeColor="text1" w:themeTint="F2"/>
              </w:rPr>
              <w:t>rojevovaly</w:t>
            </w:r>
            <w:r>
              <w:rPr>
                <w:color w:val="0D0D0D" w:themeColor="text1" w:themeTint="F2"/>
              </w:rPr>
              <w:t xml:space="preserve"> se</w:t>
            </w:r>
            <w:r w:rsidRPr="004A0F58">
              <w:rPr>
                <w:color w:val="0D0D0D" w:themeColor="text1" w:themeTint="F2"/>
              </w:rPr>
              <w:t xml:space="preserve"> rostoucí přepravní výkony v osobní i nákladní dopravě související s rozvojem průmyslu </w:t>
            </w:r>
            <w:r>
              <w:rPr>
                <w:color w:val="0D0D0D" w:themeColor="text1" w:themeTint="F2"/>
              </w:rPr>
              <w:br/>
            </w:r>
            <w:r w:rsidRPr="004A0F58">
              <w:rPr>
                <w:color w:val="0D0D0D" w:themeColor="text1" w:themeTint="F2"/>
              </w:rPr>
              <w:t>i obchodu.</w:t>
            </w:r>
          </w:p>
        </w:tc>
        <w:tc>
          <w:tcPr>
            <w:tcW w:w="181" w:type="dxa"/>
            <w:tcMar>
              <w:left w:w="0" w:type="dxa"/>
            </w:tcMar>
          </w:tcPr>
          <w:p w14:paraId="6C766D19" w14:textId="77777777" w:rsidR="00DD1A46" w:rsidRPr="004A0F58" w:rsidRDefault="00DD1A46" w:rsidP="00E962EE">
            <w:pPr>
              <w:pStyle w:val="Textpoznpodarou"/>
              <w:jc w:val="both"/>
              <w:rPr>
                <w:color w:val="0D0D0D" w:themeColor="text1" w:themeTint="F2"/>
              </w:rPr>
            </w:pPr>
          </w:p>
        </w:tc>
        <w:tc>
          <w:tcPr>
            <w:tcW w:w="7711" w:type="dxa"/>
            <w:tcMar>
              <w:left w:w="0" w:type="dxa"/>
            </w:tcMar>
          </w:tcPr>
          <w:p w14:paraId="16445B96" w14:textId="77777777" w:rsidR="00DD1A46" w:rsidRPr="0010763D" w:rsidRDefault="00DD1A46" w:rsidP="00E962EE">
            <w:pPr>
              <w:spacing w:after="200"/>
              <w:rPr>
                <w:color w:val="0D0D0D" w:themeColor="text1" w:themeTint="F2"/>
                <w:spacing w:val="-2"/>
              </w:rPr>
            </w:pPr>
            <w:r w:rsidRPr="0010763D">
              <w:rPr>
                <w:rFonts w:cs="Arial"/>
                <w:color w:val="0D0D0D" w:themeColor="text1" w:themeTint="F2"/>
                <w:spacing w:val="-2"/>
                <w:szCs w:val="20"/>
              </w:rPr>
              <w:t xml:space="preserve">Ve váhově významném odvětví dopravy a skladování se letos tržby zvýšily o 2,7 % (v samotném 2. čtvrtletí o 4,3 % </w:t>
            </w:r>
            <w:r w:rsidRPr="0010763D">
              <w:rPr>
                <w:rStyle w:val="normaltextrun"/>
                <w:rFonts w:eastAsiaTheme="majorEastAsia" w:cs="Arial"/>
                <w:color w:val="0D0D0D" w:themeColor="text1" w:themeTint="F2"/>
                <w:spacing w:val="-2"/>
                <w:szCs w:val="20"/>
              </w:rPr>
              <w:t>−</w:t>
            </w:r>
            <w:r w:rsidRPr="0010763D">
              <w:rPr>
                <w:rFonts w:cs="Arial"/>
                <w:color w:val="0D0D0D" w:themeColor="text1" w:themeTint="F2"/>
                <w:spacing w:val="-2"/>
                <w:szCs w:val="20"/>
              </w:rPr>
              <w:t xml:space="preserve"> nejvíce od konce roku 2024) a růst celého sektoru služeb podpořily 0,7 p. b. Dařilo se především pozemní a potrubní dopravě (+3,7 %), kde se odrážely vyšší přepravní výkony v osobní dopravě i nákladní silniční dopravě. Během letošního pololetí zrychloval také růst poptávky ve výrazně </w:t>
            </w:r>
            <w:proofErr w:type="spellStart"/>
            <w:r w:rsidRPr="0010763D">
              <w:rPr>
                <w:rFonts w:cs="Arial"/>
                <w:color w:val="0D0D0D" w:themeColor="text1" w:themeTint="F2"/>
                <w:spacing w:val="-2"/>
                <w:szCs w:val="20"/>
              </w:rPr>
              <w:t>procyklickém</w:t>
            </w:r>
            <w:proofErr w:type="spellEnd"/>
            <w:r w:rsidRPr="0010763D">
              <w:rPr>
                <w:rFonts w:cs="Arial"/>
                <w:color w:val="0D0D0D" w:themeColor="text1" w:themeTint="F2"/>
                <w:spacing w:val="-2"/>
                <w:szCs w:val="20"/>
              </w:rPr>
              <w:t xml:space="preserve"> skladování </w:t>
            </w:r>
            <w:r w:rsidRPr="0010763D">
              <w:rPr>
                <w:rFonts w:cs="Arial"/>
                <w:color w:val="0D0D0D" w:themeColor="text1" w:themeTint="F2"/>
                <w:spacing w:val="-2"/>
                <w:szCs w:val="20"/>
              </w:rPr>
              <w:br/>
              <w:t>(vč. vedlejších činností v dopravě</w:t>
            </w:r>
            <w:r w:rsidRPr="0010763D">
              <w:rPr>
                <w:rStyle w:val="Znakapoznpodarou"/>
                <w:color w:val="0D0D0D" w:themeColor="text1" w:themeTint="F2"/>
                <w:spacing w:val="-2"/>
                <w:szCs w:val="20"/>
              </w:rPr>
              <w:footnoteReference w:id="38"/>
            </w:r>
            <w:r w:rsidRPr="0010763D">
              <w:rPr>
                <w:rFonts w:cs="Arial"/>
                <w:color w:val="0D0D0D" w:themeColor="text1" w:themeTint="F2"/>
                <w:spacing w:val="-2"/>
                <w:szCs w:val="20"/>
              </w:rPr>
              <w:t>). Navzdory přetrvávajícímu svižnému růstu internetového obchodu se tržby v poštovních a kurýrních činnostech snížily (</w:t>
            </w:r>
            <w:r w:rsidRPr="0010763D">
              <w:rPr>
                <w:rFonts w:cs="Arial"/>
                <w:color w:val="0D0D0D" w:themeColor="text1" w:themeTint="F2"/>
                <w:spacing w:val="-2"/>
              </w:rPr>
              <w:t>–0,9</w:t>
            </w:r>
            <w:r w:rsidRPr="0010763D">
              <w:rPr>
                <w:rFonts w:cs="Arial"/>
                <w:color w:val="0D0D0D" w:themeColor="text1" w:themeTint="F2"/>
                <w:spacing w:val="-2"/>
                <w:szCs w:val="20"/>
              </w:rPr>
              <w:t xml:space="preserve"> %). To v tomto dlouhodobě poměrně dynamickém, avšak vnitřně různorodém oboru představovalo nejslabší výsledek za poslední dva a půl roku. Ve váhově okrajových oborech</w:t>
            </w:r>
            <w:r>
              <w:rPr>
                <w:rFonts w:cs="Arial"/>
                <w:color w:val="0D0D0D" w:themeColor="text1" w:themeTint="F2"/>
                <w:spacing w:val="-2"/>
                <w:szCs w:val="20"/>
              </w:rPr>
              <w:t xml:space="preserve"> </w:t>
            </w:r>
            <w:r w:rsidRPr="0010763D">
              <w:rPr>
                <w:rFonts w:cs="Arial"/>
                <w:color w:val="0D0D0D" w:themeColor="text1" w:themeTint="F2"/>
                <w:spacing w:val="-2"/>
                <w:szCs w:val="20"/>
              </w:rPr>
              <w:t>vodní a letecké dopravy aktuální poptávka stále nedosáhla úrovně z předkrizového roku 2019. Rovněž v meziročním srovnání letos tržby tuzemských leteckých přepravců zaostaly (</w:t>
            </w:r>
            <w:r w:rsidRPr="0010763D">
              <w:rPr>
                <w:rStyle w:val="normaltextrun"/>
                <w:rFonts w:eastAsiaTheme="majorEastAsia" w:cs="Arial"/>
                <w:color w:val="0D0D0D" w:themeColor="text1" w:themeTint="F2"/>
                <w:spacing w:val="-2"/>
                <w:szCs w:val="20"/>
              </w:rPr>
              <w:t>−</w:t>
            </w:r>
            <w:r w:rsidRPr="0010763D">
              <w:rPr>
                <w:rFonts w:cs="Arial"/>
                <w:color w:val="0D0D0D" w:themeColor="text1" w:themeTint="F2"/>
                <w:spacing w:val="-2"/>
                <w:szCs w:val="20"/>
              </w:rPr>
              <w:t>6,3 %), ovšem subjekty působící ve vodní dopravě registrovaly lehký růst poptávky.</w:t>
            </w:r>
          </w:p>
        </w:tc>
      </w:tr>
      <w:tr w:rsidR="00DD1A46" w:rsidRPr="004A0F58" w14:paraId="2E49A3D7" w14:textId="77777777" w:rsidTr="00E962EE">
        <w:trPr>
          <w:trHeight w:val="170"/>
        </w:trPr>
        <w:tc>
          <w:tcPr>
            <w:tcW w:w="1814" w:type="dxa"/>
            <w:tcMar>
              <w:left w:w="0" w:type="dxa"/>
            </w:tcMar>
          </w:tcPr>
          <w:p w14:paraId="063FD641" w14:textId="77777777" w:rsidR="00DD1A46" w:rsidRPr="004A0F58" w:rsidRDefault="00DD1A46" w:rsidP="00E962EE">
            <w:pPr>
              <w:pStyle w:val="Marginlie"/>
              <w:rPr>
                <w:color w:val="0D0D0D" w:themeColor="text1" w:themeTint="F2"/>
                <w:spacing w:val="0"/>
              </w:rPr>
            </w:pPr>
            <w:r>
              <w:rPr>
                <w:color w:val="0D0D0D" w:themeColor="text1" w:themeTint="F2"/>
                <w:spacing w:val="0"/>
              </w:rPr>
              <w:t>V oblasti ICT se udržoval spíše mírnější růst poptávky. Nadále se dařilo programování, k oživení došlo ve filmovém a hudebním průmyslu.</w:t>
            </w:r>
          </w:p>
        </w:tc>
        <w:tc>
          <w:tcPr>
            <w:tcW w:w="181" w:type="dxa"/>
            <w:tcMar>
              <w:left w:w="0" w:type="dxa"/>
            </w:tcMar>
          </w:tcPr>
          <w:p w14:paraId="5A0B2FD6" w14:textId="77777777" w:rsidR="00DD1A46" w:rsidRPr="004A0F58" w:rsidRDefault="00DD1A46" w:rsidP="00E962EE">
            <w:pPr>
              <w:pStyle w:val="Textpoznpodarou"/>
              <w:jc w:val="both"/>
              <w:rPr>
                <w:color w:val="0D0D0D" w:themeColor="text1" w:themeTint="F2"/>
              </w:rPr>
            </w:pPr>
          </w:p>
        </w:tc>
        <w:tc>
          <w:tcPr>
            <w:tcW w:w="7711" w:type="dxa"/>
            <w:tcMar>
              <w:left w:w="0" w:type="dxa"/>
            </w:tcMar>
          </w:tcPr>
          <w:p w14:paraId="7A3715BB" w14:textId="77777777" w:rsidR="00DD1A46" w:rsidRPr="004A0F58" w:rsidRDefault="00DD1A46" w:rsidP="00E962EE">
            <w:pPr>
              <w:spacing w:after="200"/>
              <w:rPr>
                <w:color w:val="0D0D0D" w:themeColor="text1" w:themeTint="F2"/>
                <w:spacing w:val="-4"/>
              </w:rPr>
            </w:pPr>
            <w:r w:rsidRPr="009C5357">
              <w:rPr>
                <w:color w:val="0D0D0D" w:themeColor="text1" w:themeTint="F2"/>
                <w:spacing w:val="-4"/>
              </w:rPr>
              <w:t>Informační a komunikační činnosti (ICT) představovaly poslední o</w:t>
            </w:r>
            <w:r>
              <w:rPr>
                <w:color w:val="0D0D0D" w:themeColor="text1" w:themeTint="F2"/>
                <w:spacing w:val="-4"/>
              </w:rPr>
              <w:t>blast</w:t>
            </w:r>
            <w:r w:rsidRPr="009C5357">
              <w:rPr>
                <w:color w:val="0D0D0D" w:themeColor="text1" w:themeTint="F2"/>
                <w:spacing w:val="-4"/>
              </w:rPr>
              <w:t>, jež letos významněji podpořil</w:t>
            </w:r>
            <w:r>
              <w:rPr>
                <w:color w:val="0D0D0D" w:themeColor="text1" w:themeTint="F2"/>
                <w:spacing w:val="-4"/>
              </w:rPr>
              <w:t>a</w:t>
            </w:r>
            <w:r w:rsidRPr="009C5357">
              <w:rPr>
                <w:color w:val="0D0D0D" w:themeColor="text1" w:themeTint="F2"/>
                <w:spacing w:val="-4"/>
              </w:rPr>
              <w:t xml:space="preserve"> růst s</w:t>
            </w:r>
            <w:r>
              <w:rPr>
                <w:color w:val="0D0D0D" w:themeColor="text1" w:themeTint="F2"/>
                <w:spacing w:val="-4"/>
              </w:rPr>
              <w:t>ektoru s</w:t>
            </w:r>
            <w:r w:rsidRPr="009C5357">
              <w:rPr>
                <w:color w:val="0D0D0D" w:themeColor="text1" w:themeTint="F2"/>
                <w:spacing w:val="-4"/>
              </w:rPr>
              <w:t>lužeb</w:t>
            </w:r>
            <w:r>
              <w:rPr>
                <w:color w:val="0D0D0D" w:themeColor="text1" w:themeTint="F2"/>
                <w:spacing w:val="-4"/>
              </w:rPr>
              <w:t xml:space="preserve"> (příspěvek +0,4 p. b., při růstu odvětví o 1,9 %). Tento ještě v minulé dekádě velmi dynamický segment ekonomiky v posledních letech z hlediska vývoje tržeb spíše jen kopíruje celkové trendy ve službách. </w:t>
            </w:r>
            <w:r w:rsidRPr="004A0F58">
              <w:rPr>
                <w:color w:val="0D0D0D" w:themeColor="text1" w:themeTint="F2"/>
                <w:spacing w:val="-4"/>
              </w:rPr>
              <w:t xml:space="preserve">Oblast ICT </w:t>
            </w:r>
            <w:r>
              <w:rPr>
                <w:color w:val="0D0D0D" w:themeColor="text1" w:themeTint="F2"/>
                <w:spacing w:val="-4"/>
              </w:rPr>
              <w:t xml:space="preserve">letos </w:t>
            </w:r>
            <w:r w:rsidRPr="004A0F58">
              <w:rPr>
                <w:color w:val="0D0D0D" w:themeColor="text1" w:themeTint="F2"/>
                <w:spacing w:val="-4"/>
              </w:rPr>
              <w:t xml:space="preserve">těžila hlavně </w:t>
            </w:r>
            <w:r>
              <w:rPr>
                <w:color w:val="0D0D0D" w:themeColor="text1" w:themeTint="F2"/>
                <w:spacing w:val="-4"/>
              </w:rPr>
              <w:br/>
              <w:t xml:space="preserve">z </w:t>
            </w:r>
            <w:r w:rsidRPr="004A0F58">
              <w:rPr>
                <w:color w:val="0D0D0D" w:themeColor="text1" w:themeTint="F2"/>
                <w:spacing w:val="-4"/>
              </w:rPr>
              <w:t xml:space="preserve">dlouhodobě </w:t>
            </w:r>
            <w:r>
              <w:rPr>
                <w:color w:val="0D0D0D" w:themeColor="text1" w:themeTint="F2"/>
                <w:spacing w:val="-4"/>
              </w:rPr>
              <w:t xml:space="preserve">se </w:t>
            </w:r>
            <w:r w:rsidRPr="004A0F58">
              <w:rPr>
                <w:rFonts w:cs="Arial"/>
                <w:color w:val="0D0D0D" w:themeColor="text1" w:themeTint="F2"/>
                <w:spacing w:val="-4"/>
              </w:rPr>
              <w:t>rozvíjejících činnost</w:t>
            </w:r>
            <w:r>
              <w:rPr>
                <w:rFonts w:cs="Arial"/>
                <w:color w:val="0D0D0D" w:themeColor="text1" w:themeTint="F2"/>
                <w:spacing w:val="-4"/>
              </w:rPr>
              <w:t>í</w:t>
            </w:r>
            <w:r w:rsidRPr="004A0F58">
              <w:rPr>
                <w:rFonts w:cs="Arial"/>
                <w:color w:val="0D0D0D" w:themeColor="text1" w:themeTint="F2"/>
                <w:spacing w:val="-4"/>
              </w:rPr>
              <w:t xml:space="preserve"> v oblasti IT</w:t>
            </w:r>
            <w:r w:rsidRPr="004A0F58">
              <w:rPr>
                <w:rStyle w:val="Znakapoznpodarou"/>
                <w:color w:val="0D0D0D" w:themeColor="text1" w:themeTint="F2"/>
                <w:spacing w:val="-4"/>
              </w:rPr>
              <w:footnoteReference w:id="39"/>
            </w:r>
            <w:r w:rsidRPr="004A0F58">
              <w:rPr>
                <w:rFonts w:cs="Arial"/>
                <w:color w:val="0D0D0D" w:themeColor="text1" w:themeTint="F2"/>
                <w:spacing w:val="-4"/>
              </w:rPr>
              <w:t xml:space="preserve">, v níž letos </w:t>
            </w:r>
            <w:r>
              <w:rPr>
                <w:rFonts w:cs="Arial"/>
                <w:color w:val="0D0D0D" w:themeColor="text1" w:themeTint="F2"/>
                <w:spacing w:val="-4"/>
              </w:rPr>
              <w:t xml:space="preserve">tempo </w:t>
            </w:r>
            <w:r w:rsidRPr="004A0F58">
              <w:rPr>
                <w:rFonts w:cs="Arial"/>
                <w:color w:val="0D0D0D" w:themeColor="text1" w:themeTint="F2"/>
                <w:spacing w:val="-4"/>
              </w:rPr>
              <w:t>trž</w:t>
            </w:r>
            <w:r>
              <w:rPr>
                <w:rFonts w:cs="Arial"/>
                <w:color w:val="0D0D0D" w:themeColor="text1" w:themeTint="F2"/>
                <w:spacing w:val="-4"/>
              </w:rPr>
              <w:t>eb</w:t>
            </w:r>
            <w:r w:rsidRPr="004A0F58">
              <w:rPr>
                <w:rFonts w:cs="Arial"/>
                <w:color w:val="0D0D0D" w:themeColor="text1" w:themeTint="F2"/>
                <w:spacing w:val="-4"/>
              </w:rPr>
              <w:t xml:space="preserve"> </w:t>
            </w:r>
            <w:r>
              <w:rPr>
                <w:rFonts w:cs="Arial"/>
                <w:color w:val="0D0D0D" w:themeColor="text1" w:themeTint="F2"/>
                <w:spacing w:val="-4"/>
              </w:rPr>
              <w:t xml:space="preserve">mírně </w:t>
            </w:r>
            <w:r w:rsidRPr="004A0F58">
              <w:rPr>
                <w:rFonts w:cs="Arial"/>
                <w:color w:val="0D0D0D" w:themeColor="text1" w:themeTint="F2"/>
                <w:spacing w:val="-4"/>
              </w:rPr>
              <w:t>posílil</w:t>
            </w:r>
            <w:r>
              <w:rPr>
                <w:rFonts w:cs="Arial"/>
                <w:color w:val="0D0D0D" w:themeColor="text1" w:themeTint="F2"/>
                <w:spacing w:val="-4"/>
              </w:rPr>
              <w:t>o na</w:t>
            </w:r>
            <w:r w:rsidRPr="004A0F58">
              <w:rPr>
                <w:rFonts w:cs="Arial"/>
                <w:color w:val="0D0D0D" w:themeColor="text1" w:themeTint="F2"/>
                <w:spacing w:val="-4"/>
              </w:rPr>
              <w:t xml:space="preserve"> 3,</w:t>
            </w:r>
            <w:r>
              <w:rPr>
                <w:rFonts w:cs="Arial"/>
                <w:color w:val="0D0D0D" w:themeColor="text1" w:themeTint="F2"/>
                <w:spacing w:val="-4"/>
              </w:rPr>
              <w:t>4</w:t>
            </w:r>
            <w:r w:rsidRPr="004A0F58">
              <w:rPr>
                <w:rFonts w:cs="Arial"/>
                <w:color w:val="0D0D0D" w:themeColor="text1" w:themeTint="F2"/>
                <w:spacing w:val="-4"/>
              </w:rPr>
              <w:t xml:space="preserve"> %.</w:t>
            </w:r>
            <w:r>
              <w:rPr>
                <w:rFonts w:cs="Arial"/>
                <w:color w:val="0D0D0D" w:themeColor="text1" w:themeTint="F2"/>
                <w:spacing w:val="-4"/>
              </w:rPr>
              <w:t xml:space="preserve"> Naopak na silný loňský rok nenavázaly tržby v telekomunikacích (+0,6 %) a </w:t>
            </w:r>
            <w:r w:rsidRPr="0093242F">
              <w:rPr>
                <w:rFonts w:cs="Arial"/>
                <w:color w:val="0D0D0D" w:themeColor="text1" w:themeTint="F2"/>
                <w:spacing w:val="-4"/>
              </w:rPr>
              <w:t>rovněž slabý byl zatím letos</w:t>
            </w:r>
            <w:r>
              <w:rPr>
                <w:rFonts w:cs="Arial"/>
                <w:color w:val="0D0D0D" w:themeColor="text1" w:themeTint="F2"/>
                <w:spacing w:val="-4"/>
              </w:rPr>
              <w:t xml:space="preserve"> vývoj</w:t>
            </w:r>
            <w:r w:rsidRPr="0093242F">
              <w:rPr>
                <w:rFonts w:cs="Arial"/>
                <w:color w:val="0D0D0D" w:themeColor="text1" w:themeTint="F2"/>
                <w:spacing w:val="-4"/>
              </w:rPr>
              <w:t xml:space="preserve"> poptávky v dříve dynamickém oboru informační</w:t>
            </w:r>
            <w:r>
              <w:rPr>
                <w:rFonts w:cs="Arial"/>
                <w:color w:val="0D0D0D" w:themeColor="text1" w:themeTint="F2"/>
                <w:spacing w:val="-4"/>
              </w:rPr>
              <w:t>ch</w:t>
            </w:r>
            <w:r w:rsidRPr="0093242F">
              <w:rPr>
                <w:rFonts w:cs="Arial"/>
                <w:color w:val="0D0D0D" w:themeColor="text1" w:themeTint="F2"/>
                <w:spacing w:val="-4"/>
              </w:rPr>
              <w:t xml:space="preserve"> činností</w:t>
            </w:r>
            <w:r w:rsidRPr="0093242F">
              <w:rPr>
                <w:rStyle w:val="Znakapoznpodarou"/>
                <w:color w:val="0D0D0D" w:themeColor="text1" w:themeTint="F2"/>
                <w:spacing w:val="-4"/>
              </w:rPr>
              <w:footnoteReference w:id="40"/>
            </w:r>
            <w:r w:rsidRPr="0093242F">
              <w:rPr>
                <w:rFonts w:cs="Arial"/>
                <w:color w:val="0D0D0D" w:themeColor="text1" w:themeTint="F2"/>
                <w:spacing w:val="-4"/>
              </w:rPr>
              <w:t xml:space="preserve">. </w:t>
            </w:r>
            <w:r>
              <w:rPr>
                <w:rFonts w:cs="Arial"/>
                <w:color w:val="0D0D0D" w:themeColor="text1" w:themeTint="F2"/>
                <w:spacing w:val="-4"/>
              </w:rPr>
              <w:br/>
            </w:r>
            <w:r w:rsidRPr="0093242F">
              <w:rPr>
                <w:rFonts w:cs="Arial"/>
                <w:color w:val="0D0D0D" w:themeColor="text1" w:themeTint="F2"/>
                <w:spacing w:val="-4"/>
              </w:rPr>
              <w:t>V oblast</w:t>
            </w:r>
            <w:r>
              <w:rPr>
                <w:rFonts w:cs="Arial"/>
                <w:color w:val="0D0D0D" w:themeColor="text1" w:themeTint="F2"/>
                <w:spacing w:val="-4"/>
              </w:rPr>
              <w:t>i</w:t>
            </w:r>
            <w:r w:rsidRPr="0093242F">
              <w:rPr>
                <w:rFonts w:cs="Arial"/>
                <w:color w:val="0D0D0D" w:themeColor="text1" w:themeTint="F2"/>
                <w:spacing w:val="-4"/>
              </w:rPr>
              <w:t xml:space="preserve"> rozhlasových a televizních vysílání došlo po loňském útlumu k velmi mírnému zotavení poptávky (+1,5 %)</w:t>
            </w:r>
            <w:r w:rsidRPr="0093242F">
              <w:rPr>
                <w:rStyle w:val="Znakapoznpodarou"/>
                <w:color w:val="0D0D0D" w:themeColor="text1" w:themeTint="F2"/>
                <w:spacing w:val="-4"/>
              </w:rPr>
              <w:footnoteReference w:id="41"/>
            </w:r>
            <w:r>
              <w:rPr>
                <w:rFonts w:cs="Arial"/>
                <w:color w:val="0D0D0D" w:themeColor="text1" w:themeTint="F2"/>
                <w:spacing w:val="-4"/>
              </w:rPr>
              <w:t>.</w:t>
            </w:r>
            <w:r w:rsidRPr="0093242F">
              <w:rPr>
                <w:rFonts w:cs="Arial"/>
                <w:color w:val="0D0D0D" w:themeColor="text1" w:themeTint="F2"/>
                <w:spacing w:val="-4"/>
              </w:rPr>
              <w:t xml:space="preserve"> Tržby ve vydavatelských činnostech se snížily </w:t>
            </w:r>
            <w:r>
              <w:rPr>
                <w:rFonts w:cs="Arial"/>
                <w:color w:val="0D0D0D" w:themeColor="text1" w:themeTint="F2"/>
                <w:spacing w:val="-4"/>
              </w:rPr>
              <w:br/>
            </w:r>
            <w:r w:rsidRPr="0093242F">
              <w:rPr>
                <w:rFonts w:cs="Arial"/>
                <w:color w:val="0D0D0D" w:themeColor="text1" w:themeTint="F2"/>
                <w:spacing w:val="-4"/>
              </w:rPr>
              <w:t>o 3,</w:t>
            </w:r>
            <w:r>
              <w:rPr>
                <w:rFonts w:cs="Arial"/>
                <w:color w:val="0D0D0D" w:themeColor="text1" w:themeTint="F2"/>
                <w:spacing w:val="-4"/>
              </w:rPr>
              <w:t>4</w:t>
            </w:r>
            <w:r w:rsidRPr="0093242F">
              <w:rPr>
                <w:rFonts w:cs="Arial"/>
                <w:color w:val="0D0D0D" w:themeColor="text1" w:themeTint="F2"/>
                <w:spacing w:val="-4"/>
              </w:rPr>
              <w:t xml:space="preserve"> %, neboť na rozdíl od předchozích </w:t>
            </w:r>
            <w:r>
              <w:rPr>
                <w:rFonts w:cs="Arial"/>
                <w:color w:val="0D0D0D" w:themeColor="text1" w:themeTint="F2"/>
                <w:spacing w:val="-4"/>
              </w:rPr>
              <w:t>dvou</w:t>
            </w:r>
            <w:r w:rsidRPr="0093242F">
              <w:rPr>
                <w:rFonts w:cs="Arial"/>
                <w:color w:val="0D0D0D" w:themeColor="text1" w:themeTint="F2"/>
                <w:spacing w:val="-4"/>
              </w:rPr>
              <w:t xml:space="preserve"> let, kdy tento obor celkově stagnoval, </w:t>
            </w:r>
            <w:r>
              <w:rPr>
                <w:rFonts w:cs="Arial"/>
                <w:color w:val="0D0D0D" w:themeColor="text1" w:themeTint="F2"/>
                <w:spacing w:val="-4"/>
              </w:rPr>
              <w:t xml:space="preserve">nastal </w:t>
            </w:r>
            <w:r w:rsidRPr="0093242F">
              <w:rPr>
                <w:rFonts w:cs="Arial"/>
                <w:color w:val="0D0D0D" w:themeColor="text1" w:themeTint="F2"/>
                <w:spacing w:val="-4"/>
              </w:rPr>
              <w:t>pokles i</w:t>
            </w:r>
            <w:r w:rsidRPr="00233339">
              <w:rPr>
                <w:color w:val="0D0D0D" w:themeColor="text1" w:themeTint="F2"/>
                <w:spacing w:val="-3"/>
              </w:rPr>
              <w:t> </w:t>
            </w:r>
            <w:r w:rsidRPr="0093242F">
              <w:rPr>
                <w:rFonts w:cs="Arial"/>
                <w:color w:val="0D0D0D" w:themeColor="text1" w:themeTint="F2"/>
                <w:spacing w:val="-4"/>
              </w:rPr>
              <w:t>v segmentu vydávání softwar</w:t>
            </w:r>
            <w:r>
              <w:rPr>
                <w:rFonts w:cs="Arial"/>
                <w:color w:val="0D0D0D" w:themeColor="text1" w:themeTint="F2"/>
                <w:spacing w:val="-4"/>
              </w:rPr>
              <w:t>u</w:t>
            </w:r>
            <w:r w:rsidRPr="0093242F">
              <w:rPr>
                <w:rFonts w:cs="Arial"/>
                <w:color w:val="0D0D0D" w:themeColor="text1" w:themeTint="F2"/>
                <w:spacing w:val="-4"/>
              </w:rPr>
              <w:t xml:space="preserve">. Na výsledek celého odvětví ICT však měly </w:t>
            </w:r>
            <w:r>
              <w:rPr>
                <w:rFonts w:cs="Arial"/>
                <w:color w:val="0D0D0D" w:themeColor="text1" w:themeTint="F2"/>
                <w:spacing w:val="-4"/>
              </w:rPr>
              <w:t>slabý</w:t>
            </w:r>
            <w:r w:rsidRPr="0093242F">
              <w:rPr>
                <w:rFonts w:cs="Arial"/>
                <w:color w:val="0D0D0D" w:themeColor="text1" w:themeTint="F2"/>
                <w:spacing w:val="-4"/>
              </w:rPr>
              <w:t xml:space="preserve"> vliv. To platí i pro filmový a hudební průmysl, kde růst poptávky výrazně zrychlil a tržby se tak letos zvýšily o 14,</w:t>
            </w:r>
            <w:r>
              <w:rPr>
                <w:rFonts w:cs="Arial"/>
                <w:color w:val="0D0D0D" w:themeColor="text1" w:themeTint="F2"/>
                <w:spacing w:val="-4"/>
              </w:rPr>
              <w:t>1</w:t>
            </w:r>
            <w:r w:rsidRPr="0093242F">
              <w:rPr>
                <w:rFonts w:cs="Arial"/>
                <w:color w:val="0D0D0D" w:themeColor="text1" w:themeTint="F2"/>
                <w:spacing w:val="-4"/>
              </w:rPr>
              <w:t xml:space="preserve"> %, tedy nejvíce za poslední čtyři roky (proti roku 2019 byly však stále </w:t>
            </w:r>
            <w:r w:rsidRPr="0093242F">
              <w:rPr>
                <w:rFonts w:cs="Arial"/>
                <w:color w:val="0D0D0D" w:themeColor="text1" w:themeTint="F2"/>
                <w:spacing w:val="-8"/>
              </w:rPr>
              <w:lastRenderedPageBreak/>
              <w:t xml:space="preserve">zhruba o čtvrtinu slabší). Mohl se </w:t>
            </w:r>
            <w:r>
              <w:rPr>
                <w:rFonts w:cs="Arial"/>
                <w:color w:val="0D0D0D" w:themeColor="text1" w:themeTint="F2"/>
                <w:spacing w:val="-8"/>
              </w:rPr>
              <w:t xml:space="preserve">zde </w:t>
            </w:r>
            <w:r w:rsidRPr="0093242F">
              <w:rPr>
                <w:rFonts w:cs="Arial"/>
                <w:color w:val="0D0D0D" w:themeColor="text1" w:themeTint="F2"/>
                <w:spacing w:val="-8"/>
              </w:rPr>
              <w:t>projevit dopad růstu počtu zahraničních projektů realizovaných</w:t>
            </w:r>
            <w:r w:rsidRPr="0093242F">
              <w:rPr>
                <w:rFonts w:cs="Arial"/>
                <w:color w:val="0D0D0D" w:themeColor="text1" w:themeTint="F2"/>
                <w:spacing w:val="-4"/>
              </w:rPr>
              <w:t xml:space="preserve"> v Česku. </w:t>
            </w:r>
            <w:r>
              <w:rPr>
                <w:rFonts w:cs="Arial"/>
                <w:color w:val="0D0D0D" w:themeColor="text1" w:themeTint="F2"/>
                <w:spacing w:val="-4"/>
              </w:rPr>
              <w:t>V</w:t>
            </w:r>
            <w:r w:rsidRPr="0093242F">
              <w:rPr>
                <w:rFonts w:cs="Arial"/>
                <w:color w:val="0D0D0D" w:themeColor="text1" w:themeTint="F2"/>
                <w:spacing w:val="-4"/>
              </w:rPr>
              <w:t xml:space="preserve">ývoj tohoto oboru </w:t>
            </w:r>
            <w:r>
              <w:rPr>
                <w:rFonts w:cs="Arial"/>
                <w:color w:val="0D0D0D" w:themeColor="text1" w:themeTint="F2"/>
                <w:spacing w:val="-4"/>
              </w:rPr>
              <w:t xml:space="preserve">je ale </w:t>
            </w:r>
            <w:r w:rsidRPr="0093242F">
              <w:rPr>
                <w:rFonts w:cs="Arial"/>
                <w:color w:val="0D0D0D" w:themeColor="text1" w:themeTint="F2"/>
                <w:spacing w:val="-4"/>
              </w:rPr>
              <w:t>obecně dosti rozkolísaný, což úzce souvisí s nepravidelnými fakturacemi. Samotný segment filmové distribuce rostl patrně pomaleji</w:t>
            </w:r>
            <w:r w:rsidRPr="0093242F">
              <w:rPr>
                <w:rStyle w:val="Znakapoznpodarou"/>
                <w:color w:val="0D0D0D" w:themeColor="text1" w:themeTint="F2"/>
                <w:spacing w:val="-4"/>
              </w:rPr>
              <w:footnoteReference w:id="42"/>
            </w:r>
            <w:r w:rsidRPr="0093242F">
              <w:rPr>
                <w:rFonts w:cs="Arial"/>
                <w:color w:val="0D0D0D" w:themeColor="text1" w:themeTint="F2"/>
                <w:spacing w:val="-4"/>
              </w:rPr>
              <w:t>.</w:t>
            </w:r>
          </w:p>
        </w:tc>
      </w:tr>
      <w:tr w:rsidR="00DD1A46" w:rsidRPr="004A0F58" w14:paraId="2A3C2351" w14:textId="77777777" w:rsidTr="00E962EE">
        <w:trPr>
          <w:trHeight w:val="170"/>
        </w:trPr>
        <w:tc>
          <w:tcPr>
            <w:tcW w:w="1814" w:type="dxa"/>
            <w:tcMar>
              <w:left w:w="0" w:type="dxa"/>
            </w:tcMar>
          </w:tcPr>
          <w:p w14:paraId="5A1F4127" w14:textId="77777777" w:rsidR="00DD1A46" w:rsidRPr="004A0F58" w:rsidRDefault="00DD1A46" w:rsidP="00E962EE">
            <w:pPr>
              <w:pStyle w:val="Marginlie"/>
              <w:rPr>
                <w:color w:val="0D0D0D" w:themeColor="text1" w:themeTint="F2"/>
                <w:spacing w:val="0"/>
              </w:rPr>
            </w:pPr>
            <w:r>
              <w:rPr>
                <w:color w:val="0D0D0D" w:themeColor="text1" w:themeTint="F2"/>
                <w:spacing w:val="0"/>
              </w:rPr>
              <w:lastRenderedPageBreak/>
              <w:t xml:space="preserve">Tržby ve stravování </w:t>
            </w:r>
            <w:r>
              <w:rPr>
                <w:color w:val="0D0D0D" w:themeColor="text1" w:themeTint="F2"/>
                <w:spacing w:val="0"/>
              </w:rPr>
              <w:br/>
              <w:t>a pohostinství pokračovaly v mírném růstu. V ubytování se ale pokles prohloubil.</w:t>
            </w:r>
          </w:p>
        </w:tc>
        <w:tc>
          <w:tcPr>
            <w:tcW w:w="181" w:type="dxa"/>
            <w:tcMar>
              <w:left w:w="0" w:type="dxa"/>
            </w:tcMar>
          </w:tcPr>
          <w:p w14:paraId="7C134B08" w14:textId="77777777" w:rsidR="00DD1A46" w:rsidRPr="004A0F58" w:rsidRDefault="00DD1A46" w:rsidP="00E962EE">
            <w:pPr>
              <w:pStyle w:val="Textpoznpodarou"/>
              <w:jc w:val="both"/>
              <w:rPr>
                <w:color w:val="0D0D0D" w:themeColor="text1" w:themeTint="F2"/>
              </w:rPr>
            </w:pPr>
          </w:p>
        </w:tc>
        <w:tc>
          <w:tcPr>
            <w:tcW w:w="7711" w:type="dxa"/>
            <w:tcMar>
              <w:left w:w="0" w:type="dxa"/>
            </w:tcMar>
          </w:tcPr>
          <w:p w14:paraId="0B327842" w14:textId="77777777" w:rsidR="00DD1A46" w:rsidRPr="00131FFC" w:rsidRDefault="00DD1A46" w:rsidP="00E962EE">
            <w:pPr>
              <w:spacing w:after="200"/>
              <w:rPr>
                <w:rStyle w:val="normaltextrun"/>
                <w:rFonts w:cs="Arial"/>
                <w:color w:val="0D0D0D" w:themeColor="text1" w:themeTint="F2"/>
                <w:spacing w:val="-4"/>
              </w:rPr>
            </w:pPr>
            <w:r w:rsidRPr="004A0F58">
              <w:rPr>
                <w:rFonts w:cs="Arial"/>
                <w:color w:val="0D0D0D" w:themeColor="text1" w:themeTint="F2"/>
                <w:spacing w:val="-4"/>
              </w:rPr>
              <w:t xml:space="preserve"> </w:t>
            </w:r>
            <w:r w:rsidRPr="004A0F58">
              <w:rPr>
                <w:bCs/>
                <w:color w:val="0D0D0D" w:themeColor="text1" w:themeTint="F2"/>
                <w:spacing w:val="-2"/>
              </w:rPr>
              <w:t xml:space="preserve">V </w:t>
            </w:r>
            <w:r w:rsidRPr="007122DA">
              <w:rPr>
                <w:bCs/>
                <w:color w:val="0D0D0D" w:themeColor="text1" w:themeTint="F2"/>
                <w:spacing w:val="-2"/>
              </w:rPr>
              <w:t xml:space="preserve">ubytování, stravování a pohostinství se letos tržby meziročně zvýšily o </w:t>
            </w:r>
            <w:r>
              <w:rPr>
                <w:bCs/>
                <w:color w:val="0D0D0D" w:themeColor="text1" w:themeTint="F2"/>
                <w:spacing w:val="-2"/>
              </w:rPr>
              <w:t>0</w:t>
            </w:r>
            <w:r w:rsidRPr="007122DA">
              <w:rPr>
                <w:bCs/>
                <w:color w:val="0D0D0D" w:themeColor="text1" w:themeTint="F2"/>
                <w:spacing w:val="-2"/>
              </w:rPr>
              <w:t>,</w:t>
            </w:r>
            <w:r>
              <w:rPr>
                <w:bCs/>
                <w:color w:val="0D0D0D" w:themeColor="text1" w:themeTint="F2"/>
                <w:spacing w:val="-2"/>
              </w:rPr>
              <w:t>6</w:t>
            </w:r>
            <w:r w:rsidRPr="007122DA">
              <w:rPr>
                <w:bCs/>
                <w:color w:val="0D0D0D" w:themeColor="text1" w:themeTint="F2"/>
                <w:spacing w:val="-2"/>
              </w:rPr>
              <w:t xml:space="preserve"> % a jejich </w:t>
            </w:r>
            <w:r>
              <w:rPr>
                <w:bCs/>
                <w:color w:val="0D0D0D" w:themeColor="text1" w:themeTint="F2"/>
                <w:spacing w:val="-2"/>
              </w:rPr>
              <w:t xml:space="preserve">velmi </w:t>
            </w:r>
            <w:r w:rsidRPr="007122DA">
              <w:rPr>
                <w:bCs/>
                <w:color w:val="0D0D0D" w:themeColor="text1" w:themeTint="F2"/>
                <w:spacing w:val="-2"/>
              </w:rPr>
              <w:t>mírný růst tak pokračoval třetí pololetí v</w:t>
            </w:r>
            <w:r>
              <w:rPr>
                <w:bCs/>
                <w:color w:val="0D0D0D" w:themeColor="text1" w:themeTint="F2"/>
                <w:spacing w:val="-2"/>
              </w:rPr>
              <w:t> </w:t>
            </w:r>
            <w:r w:rsidRPr="007122DA">
              <w:rPr>
                <w:bCs/>
                <w:color w:val="0D0D0D" w:themeColor="text1" w:themeTint="F2"/>
                <w:spacing w:val="-2"/>
              </w:rPr>
              <w:t>řadě</w:t>
            </w:r>
            <w:r>
              <w:rPr>
                <w:bCs/>
                <w:color w:val="0D0D0D" w:themeColor="text1" w:themeTint="F2"/>
                <w:spacing w:val="-2"/>
              </w:rPr>
              <w:t xml:space="preserve"> (tržby ale současně stále zřetelně zaostávají za předkrizovým rokem 2019)</w:t>
            </w:r>
            <w:r w:rsidRPr="007122DA">
              <w:rPr>
                <w:bCs/>
                <w:color w:val="0D0D0D" w:themeColor="text1" w:themeTint="F2"/>
                <w:spacing w:val="-2"/>
              </w:rPr>
              <w:t xml:space="preserve">. </w:t>
            </w:r>
            <w:r>
              <w:rPr>
                <w:bCs/>
                <w:color w:val="0D0D0D" w:themeColor="text1" w:themeTint="F2"/>
                <w:spacing w:val="-2"/>
              </w:rPr>
              <w:t xml:space="preserve">Podobně jako na počátku loňského roku k tomu přispěla výhradně mírně rostoucí poptávka ve stravování a pohostinství. Tržby podnikatelů, jejichž převažující ekonomickou činností je ubytování, se totiž snížily </w:t>
            </w:r>
            <w:r w:rsidRPr="007813A4">
              <w:rPr>
                <w:bCs/>
                <w:color w:val="0D0D0D" w:themeColor="text1" w:themeTint="F2"/>
                <w:spacing w:val="-8"/>
              </w:rPr>
              <w:t>o 3</w:t>
            </w:r>
            <w:r>
              <w:rPr>
                <w:bCs/>
                <w:color w:val="0D0D0D" w:themeColor="text1" w:themeTint="F2"/>
                <w:spacing w:val="-8"/>
              </w:rPr>
              <w:t>,3</w:t>
            </w:r>
            <w:r w:rsidRPr="007813A4">
              <w:rPr>
                <w:bCs/>
                <w:color w:val="0D0D0D" w:themeColor="text1" w:themeTint="F2"/>
                <w:spacing w:val="-8"/>
              </w:rPr>
              <w:t xml:space="preserve"> %, </w:t>
            </w:r>
            <w:r>
              <w:rPr>
                <w:bCs/>
                <w:color w:val="0D0D0D" w:themeColor="text1" w:themeTint="F2"/>
                <w:spacing w:val="-8"/>
              </w:rPr>
              <w:t>(</w:t>
            </w:r>
            <w:r w:rsidRPr="007813A4">
              <w:rPr>
                <w:bCs/>
                <w:color w:val="0D0D0D" w:themeColor="text1" w:themeTint="F2"/>
                <w:spacing w:val="-8"/>
              </w:rPr>
              <w:t>nejvíce od vrcholu protipandemických</w:t>
            </w:r>
            <w:r>
              <w:rPr>
                <w:bCs/>
                <w:color w:val="0D0D0D" w:themeColor="text1" w:themeTint="F2"/>
                <w:spacing w:val="-2"/>
              </w:rPr>
              <w:t xml:space="preserve"> restrikcí z počátku roku 2021), zejména </w:t>
            </w:r>
            <w:r w:rsidRPr="007813A4">
              <w:rPr>
                <w:bCs/>
                <w:color w:val="0D0D0D" w:themeColor="text1" w:themeTint="F2"/>
                <w:spacing w:val="-8"/>
              </w:rPr>
              <w:t>v</w:t>
            </w:r>
            <w:r>
              <w:rPr>
                <w:bCs/>
                <w:color w:val="0D0D0D" w:themeColor="text1" w:themeTint="F2"/>
                <w:spacing w:val="-8"/>
              </w:rPr>
              <w:t>livem</w:t>
            </w:r>
            <w:r w:rsidRPr="007813A4">
              <w:rPr>
                <w:bCs/>
                <w:color w:val="0D0D0D" w:themeColor="text1" w:themeTint="F2"/>
                <w:spacing w:val="-8"/>
              </w:rPr>
              <w:t xml:space="preserve"> hlubší</w:t>
            </w:r>
            <w:r>
              <w:rPr>
                <w:bCs/>
                <w:color w:val="0D0D0D" w:themeColor="text1" w:themeTint="F2"/>
                <w:spacing w:val="-8"/>
              </w:rPr>
              <w:t>ho</w:t>
            </w:r>
            <w:r w:rsidRPr="007813A4">
              <w:rPr>
                <w:bCs/>
                <w:color w:val="0D0D0D" w:themeColor="text1" w:themeTint="F2"/>
                <w:spacing w:val="-8"/>
              </w:rPr>
              <w:t xml:space="preserve"> poklesu v samotném 2. čtvrtletí</w:t>
            </w:r>
            <w:r>
              <w:rPr>
                <w:bCs/>
                <w:color w:val="0D0D0D" w:themeColor="text1" w:themeTint="F2"/>
                <w:spacing w:val="-2"/>
              </w:rPr>
              <w:t xml:space="preserve">. </w:t>
            </w:r>
            <w:r w:rsidRPr="004A0F58">
              <w:rPr>
                <w:bCs/>
                <w:color w:val="0D0D0D" w:themeColor="text1" w:themeTint="F2"/>
                <w:spacing w:val="-2"/>
              </w:rPr>
              <w:t xml:space="preserve">Stalo se tak i přes relativně svižně rostoucí kupní sílu tuzemských </w:t>
            </w:r>
            <w:r w:rsidRPr="004A0F58">
              <w:rPr>
                <w:bCs/>
                <w:color w:val="0D0D0D" w:themeColor="text1" w:themeTint="F2"/>
                <w:spacing w:val="-5"/>
              </w:rPr>
              <w:t>domácností i pokračující rozvoj příjezdového cestovního ruchu. Mohl se zde projevovat dopad</w:t>
            </w:r>
            <w:r w:rsidRPr="004A0F58">
              <w:rPr>
                <w:bCs/>
                <w:color w:val="0D0D0D" w:themeColor="text1" w:themeTint="F2"/>
                <w:spacing w:val="-2"/>
              </w:rPr>
              <w:t xml:space="preserve"> rychlého růstu cen souvisejících služeb</w:t>
            </w:r>
            <w:r w:rsidRPr="004A0F58">
              <w:rPr>
                <w:rStyle w:val="Znakapoznpodarou"/>
                <w:color w:val="0D0D0D" w:themeColor="text1" w:themeTint="F2"/>
                <w:spacing w:val="-2"/>
              </w:rPr>
              <w:footnoteReference w:id="43"/>
            </w:r>
            <w:r w:rsidRPr="004A0F58">
              <w:rPr>
                <w:bCs/>
                <w:color w:val="0D0D0D" w:themeColor="text1" w:themeTint="F2"/>
                <w:spacing w:val="-2"/>
              </w:rPr>
              <w:t xml:space="preserve">. </w:t>
            </w:r>
            <w:r w:rsidRPr="004A0F58">
              <w:rPr>
                <w:rFonts w:cs="Arial"/>
                <w:color w:val="0D0D0D" w:themeColor="text1" w:themeTint="F2"/>
                <w:spacing w:val="-2"/>
              </w:rPr>
              <w:t>Naturální ukazatele v oblasti příjezdového cestovního ruchu naznačují oproti reálným tržbám mírně lepší výsledky.</w:t>
            </w:r>
          </w:p>
        </w:tc>
      </w:tr>
      <w:tr w:rsidR="00DD1A46" w:rsidRPr="004A0F58" w14:paraId="0E0EBC8E" w14:textId="77777777" w:rsidTr="00E962EE">
        <w:trPr>
          <w:trHeight w:val="170"/>
        </w:trPr>
        <w:tc>
          <w:tcPr>
            <w:tcW w:w="1814" w:type="dxa"/>
            <w:tcMar>
              <w:left w:w="0" w:type="dxa"/>
            </w:tcMar>
          </w:tcPr>
          <w:p w14:paraId="60239BC3" w14:textId="77777777" w:rsidR="00DD1A46" w:rsidRPr="004A0F58" w:rsidRDefault="00DD1A46" w:rsidP="00E962EE">
            <w:pPr>
              <w:pStyle w:val="Marginlie"/>
              <w:rPr>
                <w:color w:val="0D0D0D" w:themeColor="text1" w:themeTint="F2"/>
              </w:rPr>
            </w:pPr>
            <w:r w:rsidRPr="004A0F58">
              <w:rPr>
                <w:color w:val="0D0D0D" w:themeColor="text1" w:themeTint="F2"/>
              </w:rPr>
              <w:t>Počet ubytovaných hostů v HUZ však dále mírně rostl</w:t>
            </w:r>
            <w:r>
              <w:rPr>
                <w:color w:val="0D0D0D" w:themeColor="text1" w:themeTint="F2"/>
              </w:rPr>
              <w:t>, avšak ve 2. čtvrtletí již pouze díky domácí klientele.</w:t>
            </w:r>
          </w:p>
          <w:p w14:paraId="511B70AA" w14:textId="77777777" w:rsidR="00DD1A46" w:rsidRPr="004A0F58" w:rsidRDefault="00DD1A46" w:rsidP="00E962EE">
            <w:pPr>
              <w:pStyle w:val="Marginlie"/>
              <w:rPr>
                <w:color w:val="0D0D0D" w:themeColor="text1" w:themeTint="F2"/>
                <w:spacing w:val="0"/>
              </w:rPr>
            </w:pPr>
          </w:p>
        </w:tc>
        <w:tc>
          <w:tcPr>
            <w:tcW w:w="181" w:type="dxa"/>
            <w:tcMar>
              <w:left w:w="0" w:type="dxa"/>
            </w:tcMar>
          </w:tcPr>
          <w:p w14:paraId="24BE0805" w14:textId="77777777" w:rsidR="00DD1A46" w:rsidRPr="004A0F58" w:rsidRDefault="00DD1A46" w:rsidP="00E962EE">
            <w:pPr>
              <w:pStyle w:val="Textpoznpodarou"/>
              <w:jc w:val="both"/>
              <w:rPr>
                <w:color w:val="0D0D0D" w:themeColor="text1" w:themeTint="F2"/>
              </w:rPr>
            </w:pPr>
          </w:p>
        </w:tc>
        <w:tc>
          <w:tcPr>
            <w:tcW w:w="7711" w:type="dxa"/>
            <w:tcMar>
              <w:left w:w="0" w:type="dxa"/>
            </w:tcMar>
          </w:tcPr>
          <w:p w14:paraId="29466EA0" w14:textId="77777777" w:rsidR="00DD1A46" w:rsidRPr="000E7FBC" w:rsidRDefault="00DD1A46" w:rsidP="00E962EE">
            <w:pPr>
              <w:spacing w:after="200"/>
              <w:rPr>
                <w:rStyle w:val="normaltextrun"/>
                <w:rFonts w:eastAsiaTheme="majorEastAsia"/>
                <w:color w:val="0D0D0D" w:themeColor="text1" w:themeTint="F2"/>
                <w:spacing w:val="-4"/>
              </w:rPr>
            </w:pPr>
            <w:r w:rsidRPr="000E7FBC">
              <w:rPr>
                <w:rFonts w:eastAsia="Arial" w:cs="Arial"/>
                <w:color w:val="0D0D0D" w:themeColor="text1" w:themeTint="F2"/>
                <w:spacing w:val="-4"/>
                <w:szCs w:val="20"/>
              </w:rPr>
              <w:t>Tuzemští poskytovatelé hromadného ubytov</w:t>
            </w:r>
            <w:r>
              <w:rPr>
                <w:rFonts w:eastAsia="Arial" w:cs="Arial"/>
                <w:color w:val="0D0D0D" w:themeColor="text1" w:themeTint="F2"/>
                <w:spacing w:val="-4"/>
                <w:szCs w:val="20"/>
              </w:rPr>
              <w:t>á</w:t>
            </w:r>
            <w:r w:rsidRPr="000E7FBC">
              <w:rPr>
                <w:rFonts w:eastAsia="Arial" w:cs="Arial"/>
                <w:color w:val="0D0D0D" w:themeColor="text1" w:themeTint="F2"/>
                <w:spacing w:val="-4"/>
                <w:szCs w:val="20"/>
              </w:rPr>
              <w:t xml:space="preserve">ní (HUZ) registrovali </w:t>
            </w:r>
            <w:r w:rsidRPr="000E7FBC">
              <w:rPr>
                <w:rStyle w:val="normaltextrun"/>
                <w:rFonts w:eastAsiaTheme="majorEastAsia"/>
                <w:color w:val="0D0D0D" w:themeColor="text1" w:themeTint="F2"/>
                <w:spacing w:val="-4"/>
              </w:rPr>
              <w:t xml:space="preserve">ve 2. čtvrtletí mírný meziroční růst </w:t>
            </w:r>
            <w:r w:rsidRPr="000E7FBC">
              <w:rPr>
                <w:rStyle w:val="normaltextrun"/>
                <w:rFonts w:eastAsiaTheme="majorEastAsia"/>
                <w:spacing w:val="-4"/>
              </w:rPr>
              <w:t xml:space="preserve">jak hostů (+0,5 %), tak jejich přenocování (0,3 %). To však bylo nejslabší tempo </w:t>
            </w:r>
            <w:r>
              <w:rPr>
                <w:rStyle w:val="normaltextrun"/>
                <w:rFonts w:eastAsiaTheme="majorEastAsia"/>
                <w:spacing w:val="-4"/>
              </w:rPr>
              <w:t>z</w:t>
            </w:r>
            <w:r w:rsidRPr="000E7FBC">
              <w:rPr>
                <w:rStyle w:val="normaltextrun"/>
                <w:rFonts w:eastAsiaTheme="majorEastAsia"/>
                <w:spacing w:val="-4"/>
              </w:rPr>
              <w:t xml:space="preserve">a posledních sedm, resp. pět kvartálů. Zpomalení je zvláště patrné ve srovnání s tempem dosaženým v 1. čtvrtletí 2026 (+5,2 %, +5,6 %), kdy se dařilo mj. i horským střediskům. </w:t>
            </w:r>
            <w:r w:rsidRPr="000E7FBC">
              <w:rPr>
                <w:rStyle w:val="normaltextrun"/>
                <w:rFonts w:eastAsiaTheme="majorEastAsia" w:cs="Arial"/>
                <w:spacing w:val="-4"/>
                <w:szCs w:val="20"/>
              </w:rPr>
              <w:t>Drobný meziroční růst počtu ubytovaných hostů byl ve 2. čtvrtletí podpořen</w:t>
            </w:r>
            <w:r>
              <w:rPr>
                <w:rStyle w:val="normaltextrun"/>
                <w:rFonts w:eastAsiaTheme="majorEastAsia" w:cs="Arial"/>
                <w:spacing w:val="-4"/>
                <w:szCs w:val="20"/>
              </w:rPr>
              <w:t xml:space="preserve"> </w:t>
            </w:r>
            <w:r w:rsidRPr="000E7FBC">
              <w:rPr>
                <w:rStyle w:val="normaltextrun"/>
                <w:rFonts w:eastAsiaTheme="majorEastAsia" w:cs="Arial"/>
                <w:spacing w:val="-4"/>
                <w:szCs w:val="20"/>
              </w:rPr>
              <w:t>pouze domácími klienty. Zahraničních hostů totiž nepatrně ubylo (</w:t>
            </w:r>
            <w:r w:rsidRPr="004A0F58">
              <w:rPr>
                <w:rFonts w:cs="Arial"/>
                <w:color w:val="0D0D0D" w:themeColor="text1" w:themeTint="F2"/>
                <w:spacing w:val="-4"/>
              </w:rPr>
              <w:t>–</w:t>
            </w:r>
            <w:r w:rsidRPr="000E7FBC">
              <w:rPr>
                <w:rStyle w:val="normaltextrun"/>
                <w:rFonts w:eastAsiaTheme="majorEastAsia" w:cs="Arial"/>
                <w:spacing w:val="-4"/>
                <w:szCs w:val="20"/>
              </w:rPr>
              <w:t>0,1 %), poprvé od vrcholu pandemie (1</w:t>
            </w:r>
            <w:r>
              <w:rPr>
                <w:rStyle w:val="normaltextrun"/>
                <w:rFonts w:eastAsiaTheme="majorEastAsia" w:cs="Arial"/>
                <w:spacing w:val="-4"/>
                <w:szCs w:val="20"/>
              </w:rPr>
              <w:t>.</w:t>
            </w:r>
            <w:r w:rsidRPr="000E7FBC">
              <w:rPr>
                <w:rStyle w:val="normaltextrun"/>
                <w:rFonts w:eastAsiaTheme="majorEastAsia" w:cs="Arial"/>
                <w:spacing w:val="-4"/>
                <w:szCs w:val="20"/>
              </w:rPr>
              <w:t xml:space="preserve"> čtvrtletí 2021). </w:t>
            </w:r>
            <w:r w:rsidRPr="000E7FBC">
              <w:rPr>
                <w:rStyle w:val="normaltextrun"/>
                <w:rFonts w:eastAsiaTheme="majorEastAsia"/>
                <w:spacing w:val="-4"/>
              </w:rPr>
              <w:t>Aktuální zvolnění růstu návštěvnosti může souviset také s dílčí proměnou klientely (růst počtu přenocování hostů z většiny států sousedících s Českem, dále z USA i Kanady, ale i z balkánských států a současně pokles např. z Velké Británie, Francie či regionu Blízkého východu) a jejich finančního chování (</w:t>
            </w:r>
            <w:r>
              <w:rPr>
                <w:rStyle w:val="normaltextrun"/>
                <w:rFonts w:eastAsiaTheme="majorEastAsia"/>
                <w:spacing w:val="-4"/>
              </w:rPr>
              <w:t xml:space="preserve">možný </w:t>
            </w:r>
            <w:r w:rsidRPr="000E7FBC">
              <w:rPr>
                <w:rStyle w:val="normaltextrun"/>
                <w:rFonts w:eastAsiaTheme="majorEastAsia"/>
                <w:spacing w:val="-4"/>
              </w:rPr>
              <w:t>větší sklon k úsporám ve vazbě na dlouhodoběji rostoucí ceny ubytování a stravování v Česku).</w:t>
            </w:r>
          </w:p>
        </w:tc>
      </w:tr>
      <w:tr w:rsidR="00DD1A46" w:rsidRPr="004A0F58" w14:paraId="1ABF8A6C" w14:textId="77777777" w:rsidTr="00E962EE">
        <w:trPr>
          <w:trHeight w:val="170"/>
        </w:trPr>
        <w:tc>
          <w:tcPr>
            <w:tcW w:w="1814" w:type="dxa"/>
            <w:tcMar>
              <w:left w:w="0" w:type="dxa"/>
            </w:tcMar>
          </w:tcPr>
          <w:p w14:paraId="6664518D" w14:textId="77777777" w:rsidR="00DD1A46" w:rsidRPr="004A0F58" w:rsidRDefault="00DD1A46" w:rsidP="00E962EE">
            <w:pPr>
              <w:pStyle w:val="Marginlie"/>
              <w:rPr>
                <w:color w:val="0D0D0D" w:themeColor="text1" w:themeTint="F2"/>
              </w:rPr>
            </w:pPr>
            <w:r w:rsidRPr="004A0F58">
              <w:rPr>
                <w:color w:val="0D0D0D" w:themeColor="text1" w:themeTint="F2"/>
              </w:rPr>
              <w:t xml:space="preserve">Vývoj v jednotlivých </w:t>
            </w:r>
            <w:r w:rsidRPr="004A0F58">
              <w:rPr>
                <w:color w:val="0D0D0D" w:themeColor="text1" w:themeTint="F2"/>
                <w:spacing w:val="-4"/>
              </w:rPr>
              <w:t>oborech administrativních</w:t>
            </w:r>
            <w:r w:rsidRPr="004A0F58">
              <w:rPr>
                <w:color w:val="0D0D0D" w:themeColor="text1" w:themeTint="F2"/>
              </w:rPr>
              <w:t xml:space="preserve"> a podpůrných činností byl protichůdný. V části z nich rostla vlivem </w:t>
            </w:r>
            <w:proofErr w:type="spellStart"/>
            <w:r w:rsidRPr="004A0F58">
              <w:rPr>
                <w:color w:val="0D0D0D" w:themeColor="text1" w:themeTint="F2"/>
              </w:rPr>
              <w:t>procyklického</w:t>
            </w:r>
            <w:proofErr w:type="spellEnd"/>
            <w:r w:rsidRPr="004A0F58">
              <w:rPr>
                <w:color w:val="0D0D0D" w:themeColor="text1" w:themeTint="F2"/>
              </w:rPr>
              <w:t xml:space="preserve"> oživení firemní poptávka, jinde se projevil útlum způsobený postupující digitalizací. </w:t>
            </w:r>
          </w:p>
          <w:p w14:paraId="31997061" w14:textId="77777777" w:rsidR="00DD1A46" w:rsidRPr="004A0F58" w:rsidRDefault="00DD1A46" w:rsidP="00E962EE">
            <w:pPr>
              <w:pStyle w:val="Marginlie"/>
              <w:rPr>
                <w:color w:val="0D0D0D" w:themeColor="text1" w:themeTint="F2"/>
              </w:rPr>
            </w:pPr>
          </w:p>
        </w:tc>
        <w:tc>
          <w:tcPr>
            <w:tcW w:w="181" w:type="dxa"/>
            <w:tcMar>
              <w:left w:w="0" w:type="dxa"/>
            </w:tcMar>
          </w:tcPr>
          <w:p w14:paraId="66791121" w14:textId="77777777" w:rsidR="00DD1A46" w:rsidRPr="004A0F58" w:rsidRDefault="00DD1A46" w:rsidP="00E962EE">
            <w:pPr>
              <w:pStyle w:val="Textpoznpodarou"/>
              <w:jc w:val="both"/>
              <w:rPr>
                <w:color w:val="0D0D0D" w:themeColor="text1" w:themeTint="F2"/>
              </w:rPr>
            </w:pPr>
          </w:p>
        </w:tc>
        <w:tc>
          <w:tcPr>
            <w:tcW w:w="7711" w:type="dxa"/>
            <w:tcMar>
              <w:left w:w="0" w:type="dxa"/>
            </w:tcMar>
          </w:tcPr>
          <w:p w14:paraId="4D92FB4D" w14:textId="77777777" w:rsidR="00DD1A46" w:rsidRPr="000E7FBC" w:rsidRDefault="00DD1A46" w:rsidP="00E962EE">
            <w:pPr>
              <w:spacing w:after="200"/>
              <w:rPr>
                <w:rFonts w:eastAsia="Arial" w:cs="Arial"/>
                <w:color w:val="0D0D0D" w:themeColor="text1" w:themeTint="F2"/>
                <w:spacing w:val="-4"/>
                <w:szCs w:val="20"/>
              </w:rPr>
            </w:pPr>
            <w:r w:rsidRPr="00ED3EFC">
              <w:rPr>
                <w:rFonts w:eastAsia="Arial" w:cs="Arial"/>
                <w:color w:val="0D0D0D" w:themeColor="text1" w:themeTint="F2"/>
                <w:spacing w:val="-6"/>
                <w:szCs w:val="20"/>
              </w:rPr>
              <w:t xml:space="preserve">Tržby v činnostech v oblasti nemovitostí třetí rok v řadě fakticky stagnovaly. V odvětví </w:t>
            </w:r>
            <w:r w:rsidRPr="00ED3EFC">
              <w:rPr>
                <w:bCs/>
                <w:color w:val="0D0D0D" w:themeColor="text1" w:themeTint="F2"/>
                <w:spacing w:val="-6"/>
              </w:rPr>
              <w:t>administrativních a podpůrných činností, jež poskytuje především podnikům</w:t>
            </w:r>
            <w:r w:rsidRPr="00ED3EFC">
              <w:rPr>
                <w:bCs/>
                <w:color w:val="0D0D0D" w:themeColor="text1" w:themeTint="F2"/>
                <w:spacing w:val="4"/>
              </w:rPr>
              <w:t xml:space="preserve"> zpravidla služby s nižší přidanou hodnotou, bylo jejich tempo nadále nevýrazné (+0,</w:t>
            </w:r>
            <w:r>
              <w:rPr>
                <w:bCs/>
                <w:color w:val="0D0D0D" w:themeColor="text1" w:themeTint="F2"/>
                <w:spacing w:val="4"/>
              </w:rPr>
              <w:t>6</w:t>
            </w:r>
            <w:r w:rsidRPr="00ED3EFC">
              <w:rPr>
                <w:bCs/>
                <w:color w:val="0D0D0D" w:themeColor="text1" w:themeTint="F2"/>
                <w:spacing w:val="4"/>
              </w:rPr>
              <w:t xml:space="preserve"> %). Obdobně jako po většinu loňského roku zde k růstu nejvíce přispěl různorodý obor </w:t>
            </w:r>
            <w:r w:rsidRPr="00ED3EFC">
              <w:rPr>
                <w:color w:val="0D0D0D" w:themeColor="text1" w:themeTint="F2"/>
                <w:spacing w:val="4"/>
              </w:rPr>
              <w:t>administrativníc</w:t>
            </w:r>
            <w:r w:rsidRPr="00ED3EFC">
              <w:rPr>
                <w:spacing w:val="4"/>
              </w:rPr>
              <w:t>h</w:t>
            </w:r>
            <w:r w:rsidRPr="00ED3EFC">
              <w:rPr>
                <w:color w:val="0D0D0D" w:themeColor="text1" w:themeTint="F2"/>
                <w:spacing w:val="4"/>
              </w:rPr>
              <w:t>, kancelářských a jiných podpůrných činností pro podnikání (+4,</w:t>
            </w:r>
            <w:r>
              <w:rPr>
                <w:color w:val="0D0D0D" w:themeColor="text1" w:themeTint="F2"/>
                <w:spacing w:val="4"/>
              </w:rPr>
              <w:t>3</w:t>
            </w:r>
            <w:r w:rsidRPr="00ED3EFC">
              <w:rPr>
                <w:bCs/>
                <w:color w:val="0D0D0D" w:themeColor="text1" w:themeTint="F2"/>
                <w:spacing w:val="4"/>
              </w:rPr>
              <w:t> </w:t>
            </w:r>
            <w:r w:rsidRPr="00ED3EFC">
              <w:rPr>
                <w:color w:val="0D0D0D" w:themeColor="text1" w:themeTint="F2"/>
                <w:spacing w:val="4"/>
              </w:rPr>
              <w:t>%)</w:t>
            </w:r>
            <w:r w:rsidRPr="00ED3EFC">
              <w:rPr>
                <w:rStyle w:val="Znakapoznpodarou"/>
                <w:color w:val="0D0D0D" w:themeColor="text1" w:themeTint="F2"/>
                <w:spacing w:val="4"/>
              </w:rPr>
              <w:footnoteReference w:id="44"/>
            </w:r>
            <w:r w:rsidRPr="00ED3EFC">
              <w:rPr>
                <w:color w:val="0D0D0D" w:themeColor="text1" w:themeTint="F2"/>
                <w:spacing w:val="4"/>
              </w:rPr>
              <w:t>. Firemní poptávka se primárně promítla do přetrvávajícího růstu tržeb za pronájem a operativní leasing, kde tržby vzrostly (+</w:t>
            </w:r>
            <w:r>
              <w:rPr>
                <w:color w:val="0D0D0D" w:themeColor="text1" w:themeTint="F2"/>
                <w:spacing w:val="4"/>
              </w:rPr>
              <w:t>3,0</w:t>
            </w:r>
            <w:r w:rsidRPr="00ED3EFC">
              <w:rPr>
                <w:bCs/>
                <w:color w:val="0D0D0D" w:themeColor="text1" w:themeTint="F2"/>
                <w:spacing w:val="4"/>
              </w:rPr>
              <w:t> </w:t>
            </w:r>
            <w:r w:rsidRPr="00ED3EFC">
              <w:rPr>
                <w:color w:val="0D0D0D" w:themeColor="text1" w:themeTint="F2"/>
                <w:spacing w:val="4"/>
              </w:rPr>
              <w:t>%), neboť zde letos na jaře došlo k výraznějšímu oživení poptávky u automobilů (a jiných lehkých motorových vozidel) a dařilo se jí také u ostatních strojů (např. stavebních či zemědělských) a</w:t>
            </w:r>
            <w:r w:rsidRPr="00233339">
              <w:rPr>
                <w:color w:val="0D0D0D" w:themeColor="text1" w:themeTint="F2"/>
                <w:spacing w:val="-3"/>
              </w:rPr>
              <w:t> </w:t>
            </w:r>
            <w:r w:rsidRPr="00ED3EFC">
              <w:rPr>
                <w:color w:val="0D0D0D" w:themeColor="text1" w:themeTint="F2"/>
                <w:spacing w:val="4"/>
              </w:rPr>
              <w:t>nákladních automobilů. Naopak růst tržeb za pronájem a leasing výrobků pro osobní potřebu a převážně pro domácnost se v zásadě zastavil. Velmi mírné oživení poptávky nastalo v činnostech souvisejících se stavbami a úpravou krajiny (+2,</w:t>
            </w:r>
            <w:r>
              <w:rPr>
                <w:color w:val="0D0D0D" w:themeColor="text1" w:themeTint="F2"/>
                <w:spacing w:val="4"/>
              </w:rPr>
              <w:t>6</w:t>
            </w:r>
            <w:r w:rsidRPr="00ED3EFC">
              <w:rPr>
                <w:color w:val="0D0D0D" w:themeColor="text1" w:themeTint="F2"/>
                <w:spacing w:val="4"/>
              </w:rPr>
              <w:t> %)</w:t>
            </w:r>
            <w:r w:rsidRPr="00ED3EFC">
              <w:rPr>
                <w:rStyle w:val="Znakapoznpodarou"/>
                <w:color w:val="0D0D0D" w:themeColor="text1" w:themeTint="F2"/>
                <w:spacing w:val="4"/>
              </w:rPr>
              <w:footnoteReference w:id="45"/>
            </w:r>
            <w:r w:rsidRPr="00ED3EFC">
              <w:rPr>
                <w:color w:val="0D0D0D" w:themeColor="text1" w:themeTint="F2"/>
                <w:spacing w:val="4"/>
              </w:rPr>
              <w:t>. Pokles tržeb pracovních agentur pokračoval pátý rok v řadě, letos nicméně zmírnil (na 1,</w:t>
            </w:r>
            <w:r>
              <w:rPr>
                <w:color w:val="0D0D0D" w:themeColor="text1" w:themeTint="F2"/>
                <w:spacing w:val="4"/>
              </w:rPr>
              <w:t>0</w:t>
            </w:r>
            <w:r w:rsidRPr="00ED3EFC">
              <w:rPr>
                <w:color w:val="0D0D0D" w:themeColor="text1" w:themeTint="F2"/>
                <w:spacing w:val="4"/>
              </w:rPr>
              <w:t xml:space="preserve"> %)</w:t>
            </w:r>
            <w:r w:rsidRPr="00ED3EFC">
              <w:rPr>
                <w:rStyle w:val="Znakapoznpodarou"/>
                <w:color w:val="0D0D0D" w:themeColor="text1" w:themeTint="F2"/>
                <w:spacing w:val="4"/>
              </w:rPr>
              <w:footnoteReference w:id="46"/>
            </w:r>
            <w:r w:rsidRPr="00ED3EFC">
              <w:rPr>
                <w:color w:val="0D0D0D" w:themeColor="text1" w:themeTint="F2"/>
                <w:spacing w:val="4"/>
              </w:rPr>
              <w:t>, což může souviset se zlepšením situace v průmyslu. Podobně mírně klesla poptávka i po bezpečnostních a pátracích činnostech, jejíž nepříznivý vývoj (související s rozvojem digitalizace) má rovněž dlouhodobější povahu</w:t>
            </w:r>
            <w:r w:rsidRPr="00ED3EFC">
              <w:rPr>
                <w:rStyle w:val="Znakapoznpodarou"/>
                <w:color w:val="0D0D0D" w:themeColor="text1" w:themeTint="F2"/>
                <w:spacing w:val="4"/>
              </w:rPr>
              <w:footnoteReference w:id="47"/>
            </w:r>
            <w:r w:rsidRPr="00ED3EFC">
              <w:rPr>
                <w:color w:val="0D0D0D" w:themeColor="text1" w:themeTint="F2"/>
                <w:spacing w:val="4"/>
              </w:rPr>
              <w:t xml:space="preserve">. Tržby cestovních agentur a kanceláří se snížily o </w:t>
            </w:r>
            <w:r>
              <w:rPr>
                <w:color w:val="0D0D0D" w:themeColor="text1" w:themeTint="F2"/>
                <w:spacing w:val="4"/>
              </w:rPr>
              <w:t>3,0</w:t>
            </w:r>
            <w:r w:rsidRPr="00ED3EFC">
              <w:rPr>
                <w:color w:val="0D0D0D" w:themeColor="text1" w:themeTint="F2"/>
                <w:spacing w:val="4"/>
              </w:rPr>
              <w:t xml:space="preserve"> % a potvrdily tak </w:t>
            </w:r>
            <w:r w:rsidRPr="00ED3EFC">
              <w:rPr>
                <w:color w:val="0D0D0D" w:themeColor="text1" w:themeTint="F2"/>
                <w:spacing w:val="4"/>
              </w:rPr>
              <w:lastRenderedPageBreak/>
              <w:t xml:space="preserve">změnu trendu z loňského roku (až </w:t>
            </w:r>
            <w:r>
              <w:rPr>
                <w:color w:val="0D0D0D" w:themeColor="text1" w:themeTint="F2"/>
                <w:spacing w:val="4"/>
              </w:rPr>
              <w:t>do</w:t>
            </w:r>
            <w:r w:rsidRPr="00ED3EFC">
              <w:rPr>
                <w:color w:val="0D0D0D" w:themeColor="text1" w:themeTint="F2"/>
                <w:spacing w:val="4"/>
              </w:rPr>
              <w:t xml:space="preserve"> jeho počátku se v této oblasti poptávka zvyšovala, nepřetržitě od konce „pandemického období“). </w:t>
            </w:r>
          </w:p>
        </w:tc>
      </w:tr>
      <w:tr w:rsidR="00DD1A46" w:rsidRPr="004A0F58" w14:paraId="666EA12E" w14:textId="77777777" w:rsidTr="00E962EE">
        <w:trPr>
          <w:trHeight w:val="170"/>
        </w:trPr>
        <w:tc>
          <w:tcPr>
            <w:tcW w:w="1814" w:type="dxa"/>
            <w:tcMar>
              <w:left w:w="0" w:type="dxa"/>
            </w:tcMar>
          </w:tcPr>
          <w:p w14:paraId="412E15B8" w14:textId="77777777" w:rsidR="00DD1A46" w:rsidRPr="004A0F58" w:rsidRDefault="00DD1A46" w:rsidP="00E962EE">
            <w:pPr>
              <w:pStyle w:val="Marginlie"/>
              <w:rPr>
                <w:color w:val="0D0D0D" w:themeColor="text1" w:themeTint="F2"/>
                <w:spacing w:val="0"/>
              </w:rPr>
            </w:pPr>
          </w:p>
        </w:tc>
        <w:tc>
          <w:tcPr>
            <w:tcW w:w="181" w:type="dxa"/>
            <w:tcMar>
              <w:left w:w="0" w:type="dxa"/>
            </w:tcMar>
          </w:tcPr>
          <w:p w14:paraId="20040E6F" w14:textId="77777777" w:rsidR="00DD1A46" w:rsidRPr="004A0F58" w:rsidRDefault="00DD1A46" w:rsidP="00E962EE">
            <w:pPr>
              <w:pStyle w:val="Textpoznpodarou"/>
              <w:jc w:val="both"/>
              <w:rPr>
                <w:color w:val="0D0D0D" w:themeColor="text1" w:themeTint="F2"/>
              </w:rPr>
            </w:pPr>
          </w:p>
        </w:tc>
        <w:tc>
          <w:tcPr>
            <w:tcW w:w="7711" w:type="dxa"/>
            <w:tcMar>
              <w:left w:w="0" w:type="dxa"/>
            </w:tcMar>
          </w:tcPr>
          <w:p w14:paraId="56AA82F4" w14:textId="77777777" w:rsidR="00DD1A46" w:rsidRPr="004A0F58" w:rsidRDefault="00DD1A46" w:rsidP="00E962EE">
            <w:pPr>
              <w:spacing w:after="0"/>
              <w:rPr>
                <w:bCs/>
                <w:color w:val="0D0D0D" w:themeColor="text1" w:themeTint="F2"/>
                <w:spacing w:val="-2"/>
              </w:rPr>
            </w:pPr>
            <w:r w:rsidRPr="004A0F58">
              <w:rPr>
                <w:b/>
                <w:color w:val="0D0D0D" w:themeColor="text1" w:themeTint="F2"/>
                <w:spacing w:val="-4"/>
              </w:rPr>
              <w:t>Graf č. </w:t>
            </w:r>
            <w:r>
              <w:rPr>
                <w:b/>
                <w:color w:val="0D0D0D" w:themeColor="text1" w:themeTint="F2"/>
                <w:spacing w:val="-4"/>
              </w:rPr>
              <w:t xml:space="preserve">8 </w:t>
            </w:r>
            <w:r w:rsidRPr="00295544">
              <w:rPr>
                <w:rFonts w:cs="Arial"/>
                <w:b/>
                <w:bCs/>
                <w:color w:val="000000"/>
                <w:spacing w:val="2"/>
                <w:szCs w:val="20"/>
              </w:rPr>
              <w:t>Rozklad meziroční změny</w:t>
            </w:r>
            <w:r w:rsidRPr="00295544">
              <w:rPr>
                <w:b/>
                <w:bCs/>
                <w:color w:val="0D0D0D" w:themeColor="text1" w:themeTint="F2"/>
                <w:spacing w:val="2"/>
              </w:rPr>
              <w:t xml:space="preserve"> tržeb ve službách* </w:t>
            </w:r>
            <w:r w:rsidRPr="00295544">
              <w:rPr>
                <w:color w:val="0D0D0D" w:themeColor="text1" w:themeTint="F2"/>
                <w:spacing w:val="2"/>
              </w:rPr>
              <w:t>(</w:t>
            </w:r>
            <w:r w:rsidRPr="00295544">
              <w:rPr>
                <w:rFonts w:cs="Arial"/>
                <w:bCs/>
                <w:color w:val="000000"/>
                <w:spacing w:val="2"/>
                <w:szCs w:val="20"/>
              </w:rPr>
              <w:t>příspěvky k růstu, v p. b.)</w:t>
            </w:r>
            <w:r w:rsidRPr="00295544">
              <w:rPr>
                <w:color w:val="0D0D0D" w:themeColor="text1" w:themeTint="F2"/>
                <w:spacing w:val="2"/>
              </w:rPr>
              <w:t>,</w:t>
            </w:r>
            <w:r w:rsidRPr="00295544">
              <w:rPr>
                <w:b/>
                <w:color w:val="0D0D0D" w:themeColor="text1" w:themeTint="F2"/>
                <w:spacing w:val="2"/>
              </w:rPr>
              <w:t xml:space="preserve"> </w:t>
            </w:r>
            <w:r w:rsidRPr="00295544">
              <w:rPr>
                <w:b/>
                <w:bCs/>
                <w:color w:val="0D0D0D" w:themeColor="text1" w:themeTint="F2"/>
                <w:spacing w:val="2"/>
              </w:rPr>
              <w:t>saldo důvěry podnikatelů ve službách**</w:t>
            </w:r>
            <w:r w:rsidRPr="00295544">
              <w:rPr>
                <w:b/>
                <w:color w:val="0D0D0D" w:themeColor="text1" w:themeTint="F2"/>
                <w:spacing w:val="2"/>
              </w:rPr>
              <w:t xml:space="preserve"> </w:t>
            </w:r>
            <w:r w:rsidRPr="00295544">
              <w:rPr>
                <w:color w:val="0D0D0D" w:themeColor="text1" w:themeTint="F2"/>
                <w:spacing w:val="2"/>
              </w:rPr>
              <w:t>(v p. b.)</w:t>
            </w:r>
          </w:p>
        </w:tc>
      </w:tr>
      <w:tr w:rsidR="00DD1A46" w:rsidRPr="004A0F58" w14:paraId="76110FE1" w14:textId="77777777" w:rsidTr="00E962EE">
        <w:tblPrEx>
          <w:tblCellMar>
            <w:left w:w="70" w:type="dxa"/>
            <w:right w:w="70" w:type="dxa"/>
          </w:tblCellMar>
        </w:tblPrEx>
        <w:trPr>
          <w:trHeight w:val="170"/>
        </w:trPr>
        <w:tc>
          <w:tcPr>
            <w:tcW w:w="1814" w:type="dxa"/>
          </w:tcPr>
          <w:p w14:paraId="3D2A5A0C" w14:textId="77777777" w:rsidR="00DD1A46" w:rsidRPr="004A0F58" w:rsidRDefault="00DD1A46" w:rsidP="00E962EE">
            <w:pPr>
              <w:pStyle w:val="Marginlie"/>
              <w:rPr>
                <w:color w:val="0D0D0D" w:themeColor="text1" w:themeTint="F2"/>
              </w:rPr>
            </w:pPr>
          </w:p>
        </w:tc>
        <w:tc>
          <w:tcPr>
            <w:tcW w:w="181" w:type="dxa"/>
          </w:tcPr>
          <w:p w14:paraId="1CCD4D43" w14:textId="77777777" w:rsidR="00DD1A46" w:rsidRPr="004A0F58" w:rsidRDefault="00DD1A46" w:rsidP="00E962EE">
            <w:pPr>
              <w:pStyle w:val="Textpoznpodarou"/>
              <w:jc w:val="both"/>
              <w:rPr>
                <w:color w:val="0D0D0D" w:themeColor="text1" w:themeTint="F2"/>
                <w:spacing w:val="-4"/>
              </w:rPr>
            </w:pPr>
          </w:p>
        </w:tc>
        <w:tc>
          <w:tcPr>
            <w:tcW w:w="7711" w:type="dxa"/>
          </w:tcPr>
          <w:p w14:paraId="0B19C116" w14:textId="77777777" w:rsidR="00DD1A46" w:rsidRPr="004A0F58" w:rsidRDefault="00DD1A46" w:rsidP="00E962EE">
            <w:pPr>
              <w:spacing w:before="20" w:after="40"/>
              <w:rPr>
                <w:b/>
                <w:color w:val="0D0D0D" w:themeColor="text1" w:themeTint="F2"/>
                <w:spacing w:val="-4"/>
              </w:rPr>
            </w:pPr>
            <w:r>
              <w:rPr>
                <w:noProof/>
              </w:rPr>
              <w:drawing>
                <wp:inline distT="0" distB="0" distL="0" distR="0" wp14:anchorId="7505F28B" wp14:editId="0036B051">
                  <wp:extent cx="4737600" cy="3553200"/>
                  <wp:effectExtent l="0" t="0" r="6350" b="0"/>
                  <wp:docPr id="482409861" name="Graf 1">
                    <a:extLst xmlns:a="http://schemas.openxmlformats.org/drawingml/2006/main">
                      <a:ext uri="{FF2B5EF4-FFF2-40B4-BE49-F238E27FC236}">
                        <a16:creationId xmlns:a16="http://schemas.microsoft.com/office/drawing/2014/main" id="{D78E6081-4916-4CA6-AD3E-49A13EA039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DD1A46" w:rsidRPr="004A0F58" w14:paraId="01ECDFBF" w14:textId="77777777" w:rsidTr="00E962EE">
        <w:tblPrEx>
          <w:tblCellMar>
            <w:left w:w="70" w:type="dxa"/>
            <w:right w:w="70" w:type="dxa"/>
          </w:tblCellMar>
        </w:tblPrEx>
        <w:trPr>
          <w:trHeight w:val="170"/>
        </w:trPr>
        <w:tc>
          <w:tcPr>
            <w:tcW w:w="1814" w:type="dxa"/>
          </w:tcPr>
          <w:p w14:paraId="079B0EFF" w14:textId="77777777" w:rsidR="00DD1A46" w:rsidRPr="004A0F58" w:rsidRDefault="00DD1A46" w:rsidP="00E962EE">
            <w:pPr>
              <w:pStyle w:val="Marginlie"/>
              <w:rPr>
                <w:color w:val="0D0D0D" w:themeColor="text1" w:themeTint="F2"/>
              </w:rPr>
            </w:pPr>
          </w:p>
        </w:tc>
        <w:tc>
          <w:tcPr>
            <w:tcW w:w="181" w:type="dxa"/>
          </w:tcPr>
          <w:p w14:paraId="629B019C" w14:textId="77777777" w:rsidR="00DD1A46" w:rsidRPr="004A0F58" w:rsidRDefault="00DD1A46" w:rsidP="00E962EE">
            <w:pPr>
              <w:pStyle w:val="Textpoznpodarou"/>
              <w:jc w:val="both"/>
              <w:rPr>
                <w:color w:val="0D0D0D" w:themeColor="text1" w:themeTint="F2"/>
                <w:spacing w:val="-4"/>
              </w:rPr>
            </w:pPr>
          </w:p>
        </w:tc>
        <w:tc>
          <w:tcPr>
            <w:tcW w:w="7711" w:type="dxa"/>
          </w:tcPr>
          <w:p w14:paraId="6F99A79E" w14:textId="77777777" w:rsidR="00DD1A46" w:rsidRPr="004A0F58" w:rsidRDefault="00DD1A46" w:rsidP="00E962EE">
            <w:pPr>
              <w:spacing w:after="0" w:line="240" w:lineRule="auto"/>
              <w:rPr>
                <w:color w:val="0D0D0D" w:themeColor="text1" w:themeTint="F2"/>
                <w:sz w:val="14"/>
                <w:szCs w:val="14"/>
              </w:rPr>
            </w:pPr>
            <w:r w:rsidRPr="004A0F58">
              <w:rPr>
                <w:rFonts w:cs="Arial"/>
                <w:color w:val="0D0D0D" w:themeColor="text1" w:themeTint="F2"/>
                <w:spacing w:val="-4"/>
                <w:sz w:val="14"/>
                <w:szCs w:val="14"/>
              </w:rPr>
              <w:t>Poznámka</w:t>
            </w:r>
            <w:r w:rsidRPr="004A0F58">
              <w:rPr>
                <w:color w:val="0D0D0D" w:themeColor="text1" w:themeTint="F2"/>
                <w:sz w:val="14"/>
                <w:szCs w:val="14"/>
              </w:rPr>
              <w:t xml:space="preserve">: </w:t>
            </w:r>
            <w:r>
              <w:rPr>
                <w:color w:val="0D0D0D" w:themeColor="text1" w:themeTint="F2"/>
                <w:sz w:val="14"/>
                <w:szCs w:val="14"/>
              </w:rPr>
              <w:t>Tržby</w:t>
            </w:r>
            <w:r w:rsidRPr="004A0F58">
              <w:rPr>
                <w:color w:val="0D0D0D" w:themeColor="text1" w:themeTint="F2"/>
                <w:sz w:val="14"/>
                <w:szCs w:val="14"/>
              </w:rPr>
              <w:t xml:space="preserve"> </w:t>
            </w:r>
            <w:r>
              <w:rPr>
                <w:color w:val="0D0D0D" w:themeColor="text1" w:themeTint="F2"/>
                <w:sz w:val="14"/>
                <w:szCs w:val="14"/>
              </w:rPr>
              <w:t xml:space="preserve">jsou uvedeny </w:t>
            </w:r>
            <w:r>
              <w:rPr>
                <w:color w:val="0D0D0D" w:themeColor="text1" w:themeTint="F2"/>
                <w:spacing w:val="-2"/>
                <w:sz w:val="14"/>
                <w:szCs w:val="14"/>
              </w:rPr>
              <w:t>v reálném vyjádření a očištěny</w:t>
            </w:r>
            <w:r w:rsidRPr="004A0F58">
              <w:rPr>
                <w:color w:val="0D0D0D" w:themeColor="text1" w:themeTint="F2"/>
                <w:sz w:val="14"/>
                <w:szCs w:val="14"/>
              </w:rPr>
              <w:t> </w:t>
            </w:r>
            <w:r>
              <w:rPr>
                <w:color w:val="0D0D0D" w:themeColor="text1" w:themeTint="F2"/>
                <w:sz w:val="14"/>
                <w:szCs w:val="14"/>
              </w:rPr>
              <w:t xml:space="preserve">o </w:t>
            </w:r>
            <w:r w:rsidRPr="004A0F58">
              <w:rPr>
                <w:color w:val="0D0D0D" w:themeColor="text1" w:themeTint="F2"/>
                <w:sz w:val="14"/>
                <w:szCs w:val="14"/>
              </w:rPr>
              <w:t>kalendářní vlivy</w:t>
            </w:r>
            <w:r>
              <w:rPr>
                <w:color w:val="0D0D0D" w:themeColor="text1" w:themeTint="F2"/>
                <w:sz w:val="14"/>
                <w:szCs w:val="14"/>
              </w:rPr>
              <w:t>. Saldo důvěry podnikatelů je sezónně očištěno.</w:t>
            </w:r>
          </w:p>
          <w:p w14:paraId="74C05274" w14:textId="77777777" w:rsidR="00DD1A46" w:rsidRPr="004A0F58" w:rsidRDefault="00DD1A46" w:rsidP="00E962EE">
            <w:pPr>
              <w:spacing w:after="0" w:line="240" w:lineRule="auto"/>
              <w:rPr>
                <w:rFonts w:cs="Arial"/>
                <w:color w:val="0D0D0D" w:themeColor="text1" w:themeTint="F2"/>
                <w:sz w:val="14"/>
                <w:szCs w:val="14"/>
              </w:rPr>
            </w:pPr>
            <w:r w:rsidRPr="004A0F58">
              <w:rPr>
                <w:rFonts w:cs="Arial"/>
                <w:color w:val="0D0D0D" w:themeColor="text1" w:themeTint="F2"/>
                <w:sz w:val="14"/>
                <w:szCs w:val="14"/>
              </w:rPr>
              <w:t>*</w:t>
            </w:r>
            <w:r>
              <w:rPr>
                <w:rFonts w:cs="Arial"/>
                <w:color w:val="0D0D0D" w:themeColor="text1" w:themeTint="F2"/>
                <w:sz w:val="14"/>
                <w:szCs w:val="14"/>
              </w:rPr>
              <w:t>Tržby ve službách nezahrnují</w:t>
            </w:r>
            <w:r w:rsidRPr="004A0F58">
              <w:rPr>
                <w:rFonts w:cs="Arial"/>
                <w:color w:val="0D0D0D" w:themeColor="text1" w:themeTint="F2"/>
                <w:sz w:val="14"/>
                <w:szCs w:val="14"/>
              </w:rPr>
              <w:t xml:space="preserve"> odvětví obchodu, peněžnictví, pojišťovnictví, vědy, výzkumu a veřejných služeb.</w:t>
            </w:r>
          </w:p>
          <w:p w14:paraId="1128284D" w14:textId="77777777" w:rsidR="00DD1A46" w:rsidRPr="004A0F58" w:rsidRDefault="00DD1A46" w:rsidP="00E962EE">
            <w:pPr>
              <w:spacing w:after="0" w:line="240" w:lineRule="auto"/>
              <w:rPr>
                <w:rFonts w:cs="Arial"/>
                <w:color w:val="0D0D0D" w:themeColor="text1" w:themeTint="F2"/>
                <w:sz w:val="14"/>
                <w:szCs w:val="14"/>
              </w:rPr>
            </w:pPr>
            <w:r w:rsidRPr="004A0F58">
              <w:rPr>
                <w:rFonts w:cs="Arial"/>
                <w:color w:val="0D0D0D" w:themeColor="text1" w:themeTint="F2"/>
                <w:sz w:val="14"/>
                <w:szCs w:val="14"/>
              </w:rPr>
              <w:t>**</w:t>
            </w:r>
            <w:r>
              <w:rPr>
                <w:rFonts w:cs="Arial"/>
                <w:color w:val="0D0D0D" w:themeColor="text1" w:themeTint="F2"/>
                <w:spacing w:val="-2"/>
                <w:sz w:val="14"/>
                <w:szCs w:val="14"/>
              </w:rPr>
              <w:t>Saldo důvěry</w:t>
            </w:r>
            <w:r w:rsidRPr="004A0F58">
              <w:rPr>
                <w:rFonts w:cs="Arial"/>
                <w:color w:val="0D0D0D" w:themeColor="text1" w:themeTint="F2"/>
                <w:spacing w:val="-2"/>
                <w:sz w:val="14"/>
                <w:szCs w:val="14"/>
              </w:rPr>
              <w:t xml:space="preserve"> </w:t>
            </w:r>
            <w:r>
              <w:rPr>
                <w:rFonts w:cs="Arial"/>
                <w:color w:val="0D0D0D" w:themeColor="text1" w:themeTint="F2"/>
                <w:spacing w:val="-2"/>
                <w:sz w:val="14"/>
                <w:szCs w:val="14"/>
              </w:rPr>
              <w:t xml:space="preserve">podnikatelů </w:t>
            </w:r>
            <w:r>
              <w:rPr>
                <w:rFonts w:cs="Arial"/>
                <w:color w:val="0D0D0D" w:themeColor="text1" w:themeTint="F2"/>
                <w:sz w:val="14"/>
                <w:szCs w:val="14"/>
              </w:rPr>
              <w:t>z</w:t>
            </w:r>
            <w:r w:rsidRPr="004A0F58">
              <w:rPr>
                <w:rFonts w:cs="Arial"/>
                <w:color w:val="0D0D0D" w:themeColor="text1" w:themeTint="F2"/>
                <w:spacing w:val="-2"/>
                <w:sz w:val="14"/>
                <w:szCs w:val="14"/>
              </w:rPr>
              <w:t xml:space="preserve">ahrnuje i finanční sektor </w:t>
            </w:r>
            <w:r>
              <w:rPr>
                <w:rFonts w:cs="Arial"/>
                <w:color w:val="0D0D0D" w:themeColor="text1" w:themeTint="F2"/>
                <w:spacing w:val="-2"/>
                <w:sz w:val="14"/>
                <w:szCs w:val="14"/>
              </w:rPr>
              <w:t xml:space="preserve">a </w:t>
            </w:r>
            <w:r w:rsidRPr="004A0F58">
              <w:rPr>
                <w:rFonts w:cs="Arial"/>
                <w:color w:val="0D0D0D" w:themeColor="text1" w:themeTint="F2"/>
                <w:spacing w:val="-2"/>
                <w:sz w:val="14"/>
                <w:szCs w:val="14"/>
              </w:rPr>
              <w:t>vyjadřuj</w:t>
            </w:r>
            <w:r>
              <w:rPr>
                <w:rFonts w:cs="Arial"/>
                <w:color w:val="0D0D0D" w:themeColor="text1" w:themeTint="F2"/>
                <w:spacing w:val="-2"/>
                <w:sz w:val="14"/>
                <w:szCs w:val="14"/>
              </w:rPr>
              <w:t>e</w:t>
            </w:r>
            <w:r>
              <w:rPr>
                <w:rFonts w:cs="Arial"/>
                <w:color w:val="0D0D0D" w:themeColor="text1" w:themeTint="F2"/>
                <w:sz w:val="14"/>
                <w:szCs w:val="14"/>
              </w:rPr>
              <w:t xml:space="preserve"> měsíční </w:t>
            </w:r>
            <w:r w:rsidRPr="001C6832">
              <w:rPr>
                <w:rFonts w:cs="Arial"/>
                <w:color w:val="0D0D0D" w:themeColor="text1" w:themeTint="F2"/>
                <w:sz w:val="14"/>
                <w:szCs w:val="14"/>
              </w:rPr>
              <w:t xml:space="preserve">průměr za celý kvartál, u posledního období </w:t>
            </w:r>
            <w:r>
              <w:rPr>
                <w:rFonts w:cs="Arial"/>
                <w:color w:val="0D0D0D" w:themeColor="text1" w:themeTint="F2"/>
                <w:sz w:val="14"/>
                <w:szCs w:val="14"/>
              </w:rPr>
              <w:t xml:space="preserve">potom </w:t>
            </w:r>
            <w:r w:rsidRPr="001C6832">
              <w:rPr>
                <w:rFonts w:cs="Arial"/>
                <w:color w:val="0D0D0D" w:themeColor="text1" w:themeTint="F2"/>
                <w:sz w:val="14"/>
                <w:szCs w:val="14"/>
              </w:rPr>
              <w:t>průměr za první dva měsíce.</w:t>
            </w:r>
          </w:p>
          <w:p w14:paraId="4C9EC4B3" w14:textId="77777777" w:rsidR="00DD1A46" w:rsidRPr="004A0F58" w:rsidRDefault="00DD1A46" w:rsidP="00E962EE">
            <w:pPr>
              <w:spacing w:after="220" w:line="240" w:lineRule="auto"/>
              <w:rPr>
                <w:rFonts w:cs="Arial"/>
                <w:color w:val="0D0D0D" w:themeColor="text1" w:themeTint="F2"/>
                <w:sz w:val="14"/>
                <w:szCs w:val="14"/>
              </w:rPr>
            </w:pPr>
            <w:r w:rsidRPr="004A0F58">
              <w:rPr>
                <w:rFonts w:cs="Arial"/>
                <w:color w:val="0D0D0D" w:themeColor="text1" w:themeTint="F2"/>
                <w:sz w:val="14"/>
                <w:szCs w:val="14"/>
              </w:rPr>
              <w:t>Zdroj: ČSÚ, Eurostat</w:t>
            </w:r>
          </w:p>
        </w:tc>
      </w:tr>
      <w:tr w:rsidR="00DD1A46" w:rsidRPr="004A0F58" w14:paraId="7BF9EF92" w14:textId="77777777" w:rsidTr="00E962EE">
        <w:trPr>
          <w:trHeight w:val="155"/>
        </w:trPr>
        <w:tc>
          <w:tcPr>
            <w:tcW w:w="1814" w:type="dxa"/>
            <w:tcMar>
              <w:left w:w="0" w:type="dxa"/>
            </w:tcMar>
          </w:tcPr>
          <w:p w14:paraId="77505842" w14:textId="77777777" w:rsidR="00DD1A46" w:rsidRDefault="00DD1A46" w:rsidP="00E962EE">
            <w:pPr>
              <w:pStyle w:val="Marginlie"/>
              <w:rPr>
                <w:color w:val="0D0D0D" w:themeColor="text1" w:themeTint="F2"/>
              </w:rPr>
            </w:pPr>
            <w:r>
              <w:rPr>
                <w:color w:val="0D0D0D" w:themeColor="text1" w:themeTint="F2"/>
              </w:rPr>
              <w:t xml:space="preserve">Maloobchod těžil ze stabilní důvěry domácností v ekonomiku podpořenou svižným růstem mezd. </w:t>
            </w:r>
          </w:p>
        </w:tc>
        <w:tc>
          <w:tcPr>
            <w:tcW w:w="181" w:type="dxa"/>
            <w:tcMar>
              <w:left w:w="0" w:type="dxa"/>
            </w:tcMar>
          </w:tcPr>
          <w:p w14:paraId="6056CCD2" w14:textId="77777777" w:rsidR="00DD1A46" w:rsidRPr="004A0F58" w:rsidRDefault="00DD1A46" w:rsidP="00E962EE">
            <w:pPr>
              <w:pStyle w:val="Textpoznpodarou"/>
              <w:jc w:val="both"/>
              <w:rPr>
                <w:bCs/>
                <w:color w:val="0D0D0D" w:themeColor="text1" w:themeTint="F2"/>
                <w:spacing w:val="-4"/>
              </w:rPr>
            </w:pPr>
          </w:p>
        </w:tc>
        <w:tc>
          <w:tcPr>
            <w:tcW w:w="7711" w:type="dxa"/>
            <w:tcMar>
              <w:left w:w="0" w:type="dxa"/>
            </w:tcMar>
          </w:tcPr>
          <w:p w14:paraId="7CFC73F8" w14:textId="77777777" w:rsidR="00DD1A46" w:rsidRPr="0095025E" w:rsidRDefault="00DD1A46" w:rsidP="00E962EE">
            <w:pPr>
              <w:spacing w:after="200"/>
              <w:rPr>
                <w:rFonts w:cs="Arial"/>
                <w:color w:val="0D0D0D" w:themeColor="text1" w:themeTint="F2"/>
                <w:spacing w:val="-4"/>
                <w:szCs w:val="20"/>
              </w:rPr>
            </w:pPr>
            <w:r w:rsidRPr="0095025E">
              <w:rPr>
                <w:rFonts w:cs="Arial"/>
                <w:color w:val="0D0D0D" w:themeColor="text1" w:themeTint="F2"/>
                <w:spacing w:val="-4"/>
                <w:szCs w:val="20"/>
              </w:rPr>
              <w:t>Maloobchodu se i letos zatím dařilo, neboť těžil z relativně stabilní důvěry domácností v ekonomiku (výrazně neovlivněnou zhoršenou geopolitickou situací) podpořenou příznivým vývojem na trhu práce odrážejícím s</w:t>
            </w:r>
            <w:r w:rsidRPr="0095025E">
              <w:rPr>
                <w:color w:val="0D0D0D" w:themeColor="text1" w:themeTint="F2"/>
                <w:spacing w:val="-4"/>
              </w:rPr>
              <w:t xml:space="preserve">e </w:t>
            </w:r>
            <w:r w:rsidRPr="0095025E">
              <w:rPr>
                <w:rFonts w:cs="Arial"/>
                <w:color w:val="0D0D0D" w:themeColor="text1" w:themeTint="F2"/>
                <w:spacing w:val="-4"/>
                <w:szCs w:val="20"/>
              </w:rPr>
              <w:t xml:space="preserve">ve stabilně rostoucí zaměstnanosti i svižném růstu reálných mezd. Finanční situace domácností se mírně zlepšila i optikou sebehodnotících otázek v rámci pravidelných konjunkturálních šetření, na druhou stranu přetrvávaly jisté obavy </w:t>
            </w:r>
            <w:r w:rsidRPr="00B65AB0">
              <w:rPr>
                <w:rFonts w:cs="Arial"/>
                <w:color w:val="0D0D0D" w:themeColor="text1" w:themeTint="F2"/>
                <w:spacing w:val="-6"/>
                <w:szCs w:val="20"/>
              </w:rPr>
              <w:t>ohledně hospodářského vývoje Česka v nejbližším roce. To se promítlo také do přetrvávajícího</w:t>
            </w:r>
            <w:r w:rsidRPr="0095025E">
              <w:rPr>
                <w:rFonts w:cs="Arial"/>
                <w:color w:val="0D0D0D" w:themeColor="text1" w:themeTint="F2"/>
                <w:spacing w:val="-4"/>
                <w:szCs w:val="20"/>
              </w:rPr>
              <w:t xml:space="preserve"> rezervovanějšího přístupu spotřebitelů směrem k velkým očekávaným nákupům (zejména zboží dlouhodobé povahy a investic). Rovněž pokračoval trend vyššího sklonu domácností </w:t>
            </w:r>
            <w:r w:rsidRPr="00B65AB0">
              <w:rPr>
                <w:rFonts w:cs="Arial"/>
                <w:color w:val="0D0D0D" w:themeColor="text1" w:themeTint="F2"/>
                <w:spacing w:val="-6"/>
                <w:szCs w:val="20"/>
              </w:rPr>
              <w:t xml:space="preserve">k úsporám (nastartovaný na počátku současné dekády). </w:t>
            </w:r>
            <w:proofErr w:type="spellStart"/>
            <w:r w:rsidRPr="00B65AB0">
              <w:rPr>
                <w:rFonts w:cs="Arial"/>
                <w:color w:val="0D0D0D" w:themeColor="text1" w:themeTint="F2"/>
                <w:spacing w:val="-6"/>
                <w:szCs w:val="20"/>
              </w:rPr>
              <w:t>Mezikvartální</w:t>
            </w:r>
            <w:proofErr w:type="spellEnd"/>
            <w:r w:rsidRPr="00B65AB0">
              <w:rPr>
                <w:rFonts w:cs="Arial"/>
                <w:color w:val="0D0D0D" w:themeColor="text1" w:themeTint="F2"/>
                <w:spacing w:val="-6"/>
                <w:szCs w:val="20"/>
              </w:rPr>
              <w:t xml:space="preserve"> tržby v maloobchodu</w:t>
            </w:r>
            <w:r w:rsidRPr="0095025E">
              <w:rPr>
                <w:rStyle w:val="Znakapoznpodarou"/>
                <w:color w:val="0D0D0D" w:themeColor="text1" w:themeTint="F2"/>
                <w:spacing w:val="-4"/>
              </w:rPr>
              <w:footnoteReference w:id="48"/>
            </w:r>
            <w:r w:rsidRPr="0095025E">
              <w:rPr>
                <w:rFonts w:cs="Arial"/>
                <w:color w:val="0D0D0D" w:themeColor="text1" w:themeTint="F2"/>
                <w:spacing w:val="-4"/>
                <w:szCs w:val="20"/>
              </w:rPr>
              <w:t xml:space="preserve"> tak v 1. čtvrtletí zrychlily na 1,7 % (nejvíce za poslední dva roky)</w:t>
            </w:r>
            <w:r>
              <w:rPr>
                <w:rFonts w:cs="Arial"/>
                <w:color w:val="0D0D0D" w:themeColor="text1" w:themeTint="F2"/>
                <w:spacing w:val="-4"/>
                <w:szCs w:val="20"/>
              </w:rPr>
              <w:t>.</w:t>
            </w:r>
          </w:p>
        </w:tc>
      </w:tr>
      <w:tr w:rsidR="00DD1A46" w:rsidRPr="004A0F58" w14:paraId="3F88EC7C" w14:textId="77777777" w:rsidTr="00E962EE">
        <w:trPr>
          <w:trHeight w:val="155"/>
        </w:trPr>
        <w:tc>
          <w:tcPr>
            <w:tcW w:w="1814" w:type="dxa"/>
            <w:tcMar>
              <w:left w:w="0" w:type="dxa"/>
            </w:tcMar>
          </w:tcPr>
          <w:p w14:paraId="3E68A542" w14:textId="77777777" w:rsidR="00DD1A46" w:rsidRDefault="00DD1A46" w:rsidP="00E962EE">
            <w:pPr>
              <w:pStyle w:val="Marginlie"/>
              <w:rPr>
                <w:color w:val="0D0D0D" w:themeColor="text1" w:themeTint="F2"/>
              </w:rPr>
            </w:pPr>
            <w:r>
              <w:rPr>
                <w:color w:val="0D0D0D" w:themeColor="text1" w:themeTint="F2"/>
              </w:rPr>
              <w:t xml:space="preserve">K meziročnímu růstu maloobchodu nadále dominantně přispíval prodej přes internet </w:t>
            </w:r>
            <w:r>
              <w:rPr>
                <w:color w:val="0D0D0D" w:themeColor="text1" w:themeTint="F2"/>
              </w:rPr>
              <w:br/>
              <w:t xml:space="preserve">a zásilkovou službu. </w:t>
            </w:r>
          </w:p>
          <w:p w14:paraId="4F989A22" w14:textId="77777777" w:rsidR="00DD1A46" w:rsidRDefault="00DD1A46" w:rsidP="00E962EE">
            <w:pPr>
              <w:pStyle w:val="Marginlie"/>
              <w:rPr>
                <w:color w:val="0D0D0D" w:themeColor="text1" w:themeTint="F2"/>
              </w:rPr>
            </w:pPr>
          </w:p>
          <w:p w14:paraId="2C5DFD4B" w14:textId="77777777" w:rsidR="00DD1A46" w:rsidRPr="004A0F58" w:rsidRDefault="00DD1A46" w:rsidP="00E962EE">
            <w:pPr>
              <w:pStyle w:val="Marginlie"/>
              <w:rPr>
                <w:color w:val="0D0D0D" w:themeColor="text1" w:themeTint="F2"/>
              </w:rPr>
            </w:pPr>
            <w:r>
              <w:rPr>
                <w:color w:val="0D0D0D" w:themeColor="text1" w:themeTint="F2"/>
              </w:rPr>
              <w:t xml:space="preserve">Se slabší poptávkou se nadále potýkaly specializované prodejny s počítačovým </w:t>
            </w:r>
            <w:r>
              <w:rPr>
                <w:color w:val="0D0D0D" w:themeColor="text1" w:themeTint="F2"/>
              </w:rPr>
              <w:br/>
              <w:t>a komunikačním zařízením.</w:t>
            </w:r>
          </w:p>
        </w:tc>
        <w:tc>
          <w:tcPr>
            <w:tcW w:w="181" w:type="dxa"/>
            <w:tcMar>
              <w:left w:w="0" w:type="dxa"/>
            </w:tcMar>
          </w:tcPr>
          <w:p w14:paraId="2CCAF226" w14:textId="77777777" w:rsidR="00DD1A46" w:rsidRPr="004A0F58" w:rsidRDefault="00DD1A46" w:rsidP="00E962EE">
            <w:pPr>
              <w:pStyle w:val="Textpoznpodarou"/>
              <w:jc w:val="both"/>
              <w:rPr>
                <w:bCs/>
                <w:color w:val="0D0D0D" w:themeColor="text1" w:themeTint="F2"/>
                <w:spacing w:val="-4"/>
              </w:rPr>
            </w:pPr>
          </w:p>
        </w:tc>
        <w:tc>
          <w:tcPr>
            <w:tcW w:w="7711" w:type="dxa"/>
            <w:tcMar>
              <w:left w:w="0" w:type="dxa"/>
            </w:tcMar>
          </w:tcPr>
          <w:p w14:paraId="00B875B9" w14:textId="77777777" w:rsidR="00DD1A46" w:rsidRPr="00B65AB0" w:rsidRDefault="00DD1A46" w:rsidP="00E962EE">
            <w:pPr>
              <w:spacing w:after="200"/>
              <w:rPr>
                <w:rFonts w:cs="Arial"/>
                <w:color w:val="0D0D0D" w:themeColor="text1" w:themeTint="F2"/>
                <w:spacing w:val="-3"/>
                <w:szCs w:val="20"/>
              </w:rPr>
            </w:pPr>
            <w:r w:rsidRPr="00B65AB0">
              <w:rPr>
                <w:rFonts w:cs="Arial"/>
                <w:color w:val="0D0D0D" w:themeColor="text1" w:themeTint="F2"/>
                <w:spacing w:val="-3"/>
                <w:szCs w:val="20"/>
              </w:rPr>
              <w:t>V úhrnu za celé 1. pololetí se maloobchodní tržby meziročně zvýšily o 4,0 % (podobným tempe</w:t>
            </w:r>
            <w:r>
              <w:rPr>
                <w:rFonts w:cs="Arial"/>
                <w:color w:val="0D0D0D" w:themeColor="text1" w:themeTint="F2"/>
                <w:spacing w:val="-3"/>
                <w:szCs w:val="20"/>
              </w:rPr>
              <w:t>m</w:t>
            </w:r>
            <w:r w:rsidRPr="00B65AB0">
              <w:rPr>
                <w:rFonts w:cs="Arial"/>
                <w:color w:val="0D0D0D" w:themeColor="text1" w:themeTint="F2"/>
                <w:spacing w:val="-3"/>
                <w:szCs w:val="20"/>
              </w:rPr>
              <w:t xml:space="preserve"> jako ve stejném období v roce 2024 i 2025). Těžiště jejich růstu spočívalo v</w:t>
            </w:r>
            <w:r w:rsidRPr="00233339">
              <w:rPr>
                <w:color w:val="0D0D0D" w:themeColor="text1" w:themeTint="F2"/>
                <w:spacing w:val="-3"/>
              </w:rPr>
              <w:t> </w:t>
            </w:r>
            <w:r w:rsidRPr="00B65AB0">
              <w:rPr>
                <w:rFonts w:cs="Arial"/>
                <w:color w:val="0D0D0D" w:themeColor="text1" w:themeTint="F2"/>
                <w:spacing w:val="-3"/>
                <w:szCs w:val="20"/>
              </w:rPr>
              <w:t>dynamicky se rozvíjejícím obchod</w:t>
            </w:r>
            <w:r>
              <w:rPr>
                <w:rFonts w:cs="Arial"/>
                <w:color w:val="0D0D0D" w:themeColor="text1" w:themeTint="F2"/>
                <w:spacing w:val="-3"/>
                <w:szCs w:val="20"/>
              </w:rPr>
              <w:t>u</w:t>
            </w:r>
            <w:r w:rsidRPr="00B65AB0">
              <w:rPr>
                <w:rFonts w:cs="Arial"/>
                <w:color w:val="0D0D0D" w:themeColor="text1" w:themeTint="F2"/>
                <w:spacing w:val="-3"/>
                <w:szCs w:val="20"/>
              </w:rPr>
              <w:t xml:space="preserve"> prostřednictvím internetu nebo zásilkové služby, v němž se tržby zvýšily o 14,5 % a k růstu celého maloobchodu přispěly 2,1 p. b. Dlouhodobý svižný růst tohoto segmentu, je</w:t>
            </w:r>
            <w:r>
              <w:rPr>
                <w:rFonts w:cs="Arial"/>
                <w:color w:val="0D0D0D" w:themeColor="text1" w:themeTint="F2"/>
                <w:spacing w:val="-3"/>
                <w:szCs w:val="20"/>
              </w:rPr>
              <w:t>n</w:t>
            </w:r>
            <w:r w:rsidRPr="00B65AB0">
              <w:rPr>
                <w:rFonts w:cs="Arial"/>
                <w:color w:val="0D0D0D" w:themeColor="text1" w:themeTint="F2"/>
                <w:spacing w:val="-3"/>
                <w:szCs w:val="20"/>
              </w:rPr>
              <w:t xml:space="preserve">ž v posledních dvou letech představoval nejdynamičtější segment celého maloobchodu, souvisí s postupnou změnou nákupního chování domácností, technologickým pokrokem, </w:t>
            </w:r>
            <w:r>
              <w:rPr>
                <w:rFonts w:cs="Arial"/>
                <w:color w:val="0D0D0D" w:themeColor="text1" w:themeTint="F2"/>
                <w:spacing w:val="-3"/>
                <w:szCs w:val="20"/>
              </w:rPr>
              <w:t xml:space="preserve">s </w:t>
            </w:r>
            <w:r w:rsidRPr="00B65AB0">
              <w:rPr>
                <w:rFonts w:cs="Arial"/>
                <w:color w:val="0D0D0D" w:themeColor="text1" w:themeTint="F2"/>
                <w:spacing w:val="-3"/>
                <w:szCs w:val="20"/>
              </w:rPr>
              <w:t>inovac</w:t>
            </w:r>
            <w:r>
              <w:rPr>
                <w:rFonts w:cs="Arial"/>
                <w:color w:val="0D0D0D" w:themeColor="text1" w:themeTint="F2"/>
                <w:spacing w:val="-3"/>
                <w:szCs w:val="20"/>
              </w:rPr>
              <w:t>emi</w:t>
            </w:r>
            <w:r w:rsidRPr="00B65AB0">
              <w:rPr>
                <w:rFonts w:cs="Arial"/>
                <w:color w:val="0D0D0D" w:themeColor="text1" w:themeTint="F2"/>
                <w:spacing w:val="-3"/>
                <w:szCs w:val="20"/>
              </w:rPr>
              <w:t xml:space="preserve"> v marketingu i logistice a také </w:t>
            </w:r>
            <w:r>
              <w:rPr>
                <w:rFonts w:cs="Arial"/>
                <w:color w:val="0D0D0D" w:themeColor="text1" w:themeTint="F2"/>
                <w:spacing w:val="-3"/>
                <w:szCs w:val="20"/>
              </w:rPr>
              <w:t xml:space="preserve">s </w:t>
            </w:r>
            <w:r w:rsidRPr="00B65AB0">
              <w:rPr>
                <w:rFonts w:cs="Arial"/>
                <w:color w:val="0D0D0D" w:themeColor="text1" w:themeTint="F2"/>
                <w:spacing w:val="-3"/>
                <w:szCs w:val="20"/>
              </w:rPr>
              <w:t>globálním dosah</w:t>
            </w:r>
            <w:r>
              <w:rPr>
                <w:rFonts w:cs="Arial"/>
                <w:color w:val="0D0D0D" w:themeColor="text1" w:themeTint="F2"/>
                <w:spacing w:val="-3"/>
                <w:szCs w:val="20"/>
              </w:rPr>
              <w:t>em</w:t>
            </w:r>
            <w:r w:rsidRPr="00B65AB0">
              <w:rPr>
                <w:rFonts w:cs="Arial"/>
                <w:color w:val="0D0D0D" w:themeColor="text1" w:themeTint="F2"/>
                <w:spacing w:val="-3"/>
                <w:szCs w:val="20"/>
              </w:rPr>
              <w:t xml:space="preserve"> řad</w:t>
            </w:r>
            <w:r>
              <w:rPr>
                <w:rFonts w:cs="Arial"/>
                <w:color w:val="0D0D0D" w:themeColor="text1" w:themeTint="F2"/>
                <w:spacing w:val="-3"/>
                <w:szCs w:val="20"/>
              </w:rPr>
              <w:t>y</w:t>
            </w:r>
            <w:r w:rsidRPr="00B65AB0">
              <w:rPr>
                <w:rFonts w:cs="Arial"/>
                <w:color w:val="0D0D0D" w:themeColor="text1" w:themeTint="F2"/>
                <w:spacing w:val="-3"/>
                <w:szCs w:val="20"/>
              </w:rPr>
              <w:t xml:space="preserve"> významných prodejců v Česku. Slabším, ovšem stabilním </w:t>
            </w:r>
            <w:r w:rsidRPr="00B65AB0">
              <w:rPr>
                <w:rFonts w:cs="Arial"/>
                <w:color w:val="0D0D0D" w:themeColor="text1" w:themeTint="F2"/>
                <w:spacing w:val="-3"/>
                <w:szCs w:val="20"/>
              </w:rPr>
              <w:lastRenderedPageBreak/>
              <w:t>tempem pokračoval růst většiny specializovaných prodejen s nepotravinářským zbožím</w:t>
            </w:r>
            <w:r w:rsidRPr="00B65AB0">
              <w:rPr>
                <w:rStyle w:val="Znakapoznpodarou"/>
                <w:color w:val="0D0D0D" w:themeColor="text1" w:themeTint="F2"/>
                <w:spacing w:val="-3"/>
                <w:szCs w:val="20"/>
              </w:rPr>
              <w:footnoteReference w:id="49"/>
            </w:r>
            <w:r w:rsidRPr="00B65AB0">
              <w:rPr>
                <w:rFonts w:cs="Arial"/>
                <w:color w:val="0D0D0D" w:themeColor="text1" w:themeTint="F2"/>
                <w:spacing w:val="-3"/>
                <w:szCs w:val="20"/>
              </w:rPr>
              <w:t xml:space="preserve">. Dařilo se </w:t>
            </w:r>
            <w:r>
              <w:rPr>
                <w:rFonts w:cs="Arial"/>
                <w:color w:val="0D0D0D" w:themeColor="text1" w:themeTint="F2"/>
                <w:spacing w:val="-3"/>
                <w:szCs w:val="20"/>
              </w:rPr>
              <w:t>především</w:t>
            </w:r>
            <w:r w:rsidRPr="00FF0A04">
              <w:rPr>
                <w:rFonts w:cs="Arial"/>
                <w:color w:val="0D0D0D" w:themeColor="text1" w:themeTint="F2"/>
                <w:spacing w:val="-6"/>
                <w:szCs w:val="20"/>
              </w:rPr>
              <w:t xml:space="preserve"> prodeji kosmetických a toaletních výrobků (+8,3 %), farmaceutickému a</w:t>
            </w:r>
            <w:r w:rsidRPr="00FF0A04">
              <w:rPr>
                <w:color w:val="0D0D0D" w:themeColor="text1" w:themeTint="F2"/>
                <w:spacing w:val="-6"/>
              </w:rPr>
              <w:t> </w:t>
            </w:r>
            <w:r w:rsidRPr="00FF0A04">
              <w:rPr>
                <w:rFonts w:cs="Arial"/>
                <w:color w:val="0D0D0D" w:themeColor="text1" w:themeTint="F2"/>
                <w:spacing w:val="-6"/>
                <w:szCs w:val="20"/>
              </w:rPr>
              <w:t>zdravotnickému</w:t>
            </w:r>
            <w:r w:rsidRPr="00B65AB0">
              <w:rPr>
                <w:rFonts w:cs="Arial"/>
                <w:color w:val="0D0D0D" w:themeColor="text1" w:themeTint="F2"/>
                <w:spacing w:val="-3"/>
                <w:szCs w:val="20"/>
              </w:rPr>
              <w:t xml:space="preserve"> zboží (+5,6 %) a též výrobkům pro kulturu a rekreaci</w:t>
            </w:r>
            <w:r w:rsidRPr="00B65AB0">
              <w:rPr>
                <w:rStyle w:val="Znakapoznpodarou"/>
                <w:color w:val="0D0D0D" w:themeColor="text1" w:themeTint="F2"/>
                <w:spacing w:val="-3"/>
                <w:szCs w:val="20"/>
              </w:rPr>
              <w:footnoteReference w:id="50"/>
            </w:r>
            <w:r w:rsidRPr="00B65AB0">
              <w:rPr>
                <w:rFonts w:cs="Arial"/>
                <w:color w:val="0D0D0D" w:themeColor="text1" w:themeTint="F2"/>
                <w:spacing w:val="-3"/>
                <w:szCs w:val="20"/>
              </w:rPr>
              <w:t xml:space="preserve"> (+3,1 %). Poptávka po oděvech, obuvi a koženém zboží ožila, </w:t>
            </w:r>
            <w:r>
              <w:rPr>
                <w:rFonts w:cs="Arial"/>
                <w:color w:val="0D0D0D" w:themeColor="text1" w:themeTint="F2"/>
                <w:spacing w:val="-3"/>
                <w:szCs w:val="20"/>
              </w:rPr>
              <w:t xml:space="preserve">a to </w:t>
            </w:r>
            <w:r w:rsidRPr="00B65AB0">
              <w:rPr>
                <w:rFonts w:cs="Arial"/>
                <w:color w:val="0D0D0D" w:themeColor="text1" w:themeTint="F2"/>
                <w:spacing w:val="-3"/>
                <w:szCs w:val="20"/>
              </w:rPr>
              <w:t>především zásluhou vývoje ve 2. čtvrtletí 2026. Naopak pouze mírně posílily tržby za výrobky převážně pro domácnost</w:t>
            </w:r>
            <w:r w:rsidRPr="00B65AB0">
              <w:rPr>
                <w:rStyle w:val="Znakapoznpodarou"/>
                <w:color w:val="0D0D0D" w:themeColor="text1" w:themeTint="F2"/>
                <w:spacing w:val="-3"/>
                <w:szCs w:val="20"/>
              </w:rPr>
              <w:footnoteReference w:id="51"/>
            </w:r>
            <w:r w:rsidRPr="00B65AB0">
              <w:rPr>
                <w:rFonts w:cs="Arial"/>
                <w:color w:val="0D0D0D" w:themeColor="text1" w:themeTint="F2"/>
                <w:spacing w:val="-3"/>
                <w:szCs w:val="20"/>
              </w:rPr>
              <w:t xml:space="preserve"> (+0,9 %), </w:t>
            </w:r>
            <w:r>
              <w:rPr>
                <w:rFonts w:cs="Arial"/>
                <w:color w:val="0D0D0D" w:themeColor="text1" w:themeTint="F2"/>
                <w:spacing w:val="-3"/>
                <w:szCs w:val="20"/>
              </w:rPr>
              <w:br/>
            </w:r>
            <w:r w:rsidRPr="00B65AB0">
              <w:rPr>
                <w:rFonts w:cs="Arial"/>
                <w:color w:val="0D0D0D" w:themeColor="text1" w:themeTint="F2"/>
                <w:spacing w:val="-3"/>
                <w:szCs w:val="20"/>
              </w:rPr>
              <w:t xml:space="preserve">i to </w:t>
            </w:r>
            <w:r>
              <w:rPr>
                <w:rFonts w:cs="Arial"/>
                <w:color w:val="0D0D0D" w:themeColor="text1" w:themeTint="F2"/>
                <w:spacing w:val="-3"/>
                <w:szCs w:val="20"/>
              </w:rPr>
              <w:t>ovšem</w:t>
            </w:r>
            <w:r w:rsidRPr="00B65AB0">
              <w:rPr>
                <w:rFonts w:cs="Arial"/>
                <w:color w:val="0D0D0D" w:themeColor="text1" w:themeTint="F2"/>
                <w:spacing w:val="-3"/>
                <w:szCs w:val="20"/>
              </w:rPr>
              <w:t xml:space="preserve"> znamenalo nejlepší </w:t>
            </w:r>
            <w:r w:rsidRPr="00ED3EFC">
              <w:rPr>
                <w:rFonts w:cs="Arial"/>
                <w:color w:val="0D0D0D" w:themeColor="text1" w:themeTint="F2"/>
                <w:spacing w:val="-4"/>
                <w:szCs w:val="20"/>
              </w:rPr>
              <w:t xml:space="preserve">výsledek </w:t>
            </w:r>
            <w:r>
              <w:rPr>
                <w:rFonts w:cs="Arial"/>
                <w:color w:val="0D0D0D" w:themeColor="text1" w:themeTint="F2"/>
                <w:spacing w:val="-4"/>
                <w:szCs w:val="20"/>
              </w:rPr>
              <w:t>po</w:t>
            </w:r>
            <w:r w:rsidRPr="00ED3EFC">
              <w:rPr>
                <w:rFonts w:cs="Arial"/>
                <w:color w:val="0D0D0D" w:themeColor="text1" w:themeTint="F2"/>
                <w:spacing w:val="-4"/>
                <w:szCs w:val="20"/>
              </w:rPr>
              <w:t xml:space="preserve"> 1. pololetí 2022.  Sestupnou tendenc</w:t>
            </w:r>
            <w:r>
              <w:rPr>
                <w:rFonts w:cs="Arial"/>
                <w:color w:val="0D0D0D" w:themeColor="text1" w:themeTint="F2"/>
                <w:spacing w:val="-4"/>
                <w:szCs w:val="20"/>
              </w:rPr>
              <w:t>i</w:t>
            </w:r>
            <w:r w:rsidRPr="00ED3EFC">
              <w:rPr>
                <w:rFonts w:cs="Arial"/>
                <w:color w:val="0D0D0D" w:themeColor="text1" w:themeTint="F2"/>
                <w:spacing w:val="-4"/>
                <w:szCs w:val="20"/>
              </w:rPr>
              <w:t xml:space="preserve"> mají v období po ústupu pandemie covid</w:t>
            </w:r>
            <w:r>
              <w:rPr>
                <w:rFonts w:cs="Arial"/>
                <w:color w:val="0D0D0D" w:themeColor="text1" w:themeTint="F2"/>
                <w:spacing w:val="-4"/>
                <w:szCs w:val="20"/>
              </w:rPr>
              <w:t>u</w:t>
            </w:r>
            <w:r w:rsidRPr="00ED3EFC">
              <w:rPr>
                <w:rFonts w:cs="Arial"/>
                <w:color w:val="0D0D0D" w:themeColor="text1" w:themeTint="F2"/>
                <w:spacing w:val="-4"/>
                <w:szCs w:val="20"/>
              </w:rPr>
              <w:t>-19 také tržby ve spíše okrajovém segmentu prodejen s počítačovým a komunikačním</w:t>
            </w:r>
            <w:r w:rsidRPr="00B65AB0">
              <w:rPr>
                <w:rFonts w:cs="Arial"/>
                <w:color w:val="0D0D0D" w:themeColor="text1" w:themeTint="F2"/>
                <w:szCs w:val="20"/>
              </w:rPr>
              <w:t xml:space="preserve"> zařízením, což potvrdil i letošní výsledek</w:t>
            </w:r>
            <w:r w:rsidRPr="00B65AB0">
              <w:rPr>
                <w:rFonts w:cs="Arial"/>
                <w:color w:val="0D0D0D" w:themeColor="text1" w:themeTint="F2"/>
                <w:spacing w:val="-4"/>
                <w:szCs w:val="20"/>
              </w:rPr>
              <w:t xml:space="preserve"> (</w:t>
            </w:r>
            <w:r w:rsidRPr="00B65AB0">
              <w:rPr>
                <w:rFonts w:cs="Arial"/>
                <w:color w:val="0D0D0D" w:themeColor="text1" w:themeTint="F2"/>
                <w:spacing w:val="-4"/>
              </w:rPr>
              <w:t>–</w:t>
            </w:r>
            <w:r w:rsidRPr="00B65AB0">
              <w:rPr>
                <w:rFonts w:cs="Arial"/>
                <w:color w:val="0D0D0D" w:themeColor="text1" w:themeTint="F2"/>
                <w:spacing w:val="-4"/>
                <w:szCs w:val="20"/>
              </w:rPr>
              <w:t>0,</w:t>
            </w:r>
            <w:r>
              <w:rPr>
                <w:rFonts w:cs="Arial"/>
                <w:color w:val="0D0D0D" w:themeColor="text1" w:themeTint="F2"/>
                <w:spacing w:val="-4"/>
                <w:szCs w:val="20"/>
              </w:rPr>
              <w:t>8</w:t>
            </w:r>
            <w:r w:rsidRPr="00B65AB0">
              <w:rPr>
                <w:rFonts w:cs="Arial"/>
                <w:color w:val="0D0D0D" w:themeColor="text1" w:themeTint="F2"/>
                <w:spacing w:val="-4"/>
                <w:szCs w:val="20"/>
              </w:rPr>
              <w:t xml:space="preserve"> %)</w:t>
            </w:r>
            <w:r>
              <w:rPr>
                <w:rStyle w:val="Znakapoznpodarou"/>
                <w:color w:val="0D0D0D" w:themeColor="text1" w:themeTint="F2"/>
                <w:spacing w:val="-4"/>
                <w:szCs w:val="20"/>
              </w:rPr>
              <w:footnoteReference w:id="52"/>
            </w:r>
            <w:r>
              <w:rPr>
                <w:rFonts w:cs="Arial"/>
                <w:color w:val="0D0D0D" w:themeColor="text1" w:themeTint="F2"/>
                <w:spacing w:val="-4"/>
                <w:szCs w:val="20"/>
              </w:rPr>
              <w:t xml:space="preserve">. </w:t>
            </w:r>
          </w:p>
        </w:tc>
      </w:tr>
      <w:tr w:rsidR="00DD1A46" w:rsidRPr="004A0F58" w14:paraId="0A27ADF1" w14:textId="77777777" w:rsidTr="00E962EE">
        <w:trPr>
          <w:trHeight w:val="155"/>
        </w:trPr>
        <w:tc>
          <w:tcPr>
            <w:tcW w:w="1814" w:type="dxa"/>
            <w:tcMar>
              <w:left w:w="0" w:type="dxa"/>
            </w:tcMar>
          </w:tcPr>
          <w:p w14:paraId="02E52652" w14:textId="77777777" w:rsidR="00DD1A46" w:rsidRPr="004A0F58" w:rsidRDefault="00DD1A46" w:rsidP="00E962EE">
            <w:pPr>
              <w:pStyle w:val="Marginlie"/>
              <w:rPr>
                <w:color w:val="0D0D0D" w:themeColor="text1" w:themeTint="F2"/>
                <w:spacing w:val="-4"/>
              </w:rPr>
            </w:pPr>
          </w:p>
        </w:tc>
        <w:tc>
          <w:tcPr>
            <w:tcW w:w="181" w:type="dxa"/>
            <w:tcMar>
              <w:left w:w="0" w:type="dxa"/>
            </w:tcMar>
          </w:tcPr>
          <w:p w14:paraId="2BFBCB7E" w14:textId="77777777" w:rsidR="00DD1A46" w:rsidRPr="004A0F58" w:rsidRDefault="00DD1A46" w:rsidP="00E962EE">
            <w:pPr>
              <w:pStyle w:val="Textpoznpodarou"/>
              <w:jc w:val="both"/>
              <w:rPr>
                <w:color w:val="0D0D0D" w:themeColor="text1" w:themeTint="F2"/>
                <w:spacing w:val="-4"/>
              </w:rPr>
            </w:pPr>
          </w:p>
        </w:tc>
        <w:tc>
          <w:tcPr>
            <w:tcW w:w="7711" w:type="dxa"/>
            <w:tcMar>
              <w:left w:w="0" w:type="dxa"/>
            </w:tcMar>
          </w:tcPr>
          <w:p w14:paraId="75BA60FD" w14:textId="77777777" w:rsidR="00DD1A46" w:rsidRPr="004A0F58" w:rsidRDefault="00DD1A46" w:rsidP="00E962EE">
            <w:pPr>
              <w:spacing w:after="0"/>
              <w:rPr>
                <w:rFonts w:cs="Arial"/>
                <w:color w:val="0D0D0D" w:themeColor="text1" w:themeTint="F2"/>
                <w:spacing w:val="-4"/>
                <w:szCs w:val="20"/>
              </w:rPr>
            </w:pPr>
            <w:r w:rsidRPr="001B073E">
              <w:rPr>
                <w:b/>
                <w:color w:val="0D0D0D" w:themeColor="text1" w:themeTint="F2"/>
                <w:spacing w:val="-2"/>
              </w:rPr>
              <w:t>Graf č. </w:t>
            </w:r>
            <w:r>
              <w:rPr>
                <w:b/>
                <w:color w:val="0D0D0D" w:themeColor="text1" w:themeTint="F2"/>
                <w:spacing w:val="-2"/>
              </w:rPr>
              <w:t>9</w:t>
            </w:r>
            <w:r w:rsidRPr="001B073E">
              <w:rPr>
                <w:b/>
                <w:color w:val="0D0D0D" w:themeColor="text1" w:themeTint="F2"/>
                <w:spacing w:val="-2"/>
              </w:rPr>
              <w:t xml:space="preserve"> </w:t>
            </w:r>
            <w:r w:rsidRPr="001B073E">
              <w:rPr>
                <w:rFonts w:cs="Arial"/>
                <w:b/>
                <w:bCs/>
                <w:color w:val="000000"/>
                <w:spacing w:val="-2"/>
                <w:szCs w:val="20"/>
              </w:rPr>
              <w:t>Rozklad meziroční změny</w:t>
            </w:r>
            <w:r w:rsidRPr="001B073E">
              <w:rPr>
                <w:b/>
                <w:bCs/>
                <w:color w:val="0D0D0D" w:themeColor="text1" w:themeTint="F2"/>
                <w:spacing w:val="-2"/>
              </w:rPr>
              <w:t xml:space="preserve"> tržeb v maloobchodu </w:t>
            </w:r>
            <w:r w:rsidRPr="001B073E">
              <w:rPr>
                <w:color w:val="0D0D0D" w:themeColor="text1" w:themeTint="F2"/>
                <w:spacing w:val="-2"/>
              </w:rPr>
              <w:t>(</w:t>
            </w:r>
            <w:r w:rsidRPr="001B073E">
              <w:rPr>
                <w:rFonts w:cs="Arial"/>
                <w:bCs/>
                <w:color w:val="000000"/>
                <w:spacing w:val="-2"/>
                <w:szCs w:val="20"/>
              </w:rPr>
              <w:t>příspěvky k růstu, v p. b.)</w:t>
            </w:r>
            <w:r w:rsidRPr="001B073E">
              <w:rPr>
                <w:color w:val="0D0D0D" w:themeColor="text1" w:themeTint="F2"/>
                <w:spacing w:val="-2"/>
              </w:rPr>
              <w:t>,</w:t>
            </w:r>
            <w:r w:rsidRPr="00295544">
              <w:rPr>
                <w:b/>
                <w:color w:val="0D0D0D" w:themeColor="text1" w:themeTint="F2"/>
                <w:spacing w:val="2"/>
              </w:rPr>
              <w:t xml:space="preserve"> </w:t>
            </w:r>
            <w:r>
              <w:rPr>
                <w:b/>
                <w:color w:val="0D0D0D" w:themeColor="text1" w:themeTint="F2"/>
                <w:spacing w:val="2"/>
              </w:rPr>
              <w:t>s</w:t>
            </w:r>
            <w:r w:rsidRPr="004A0F58">
              <w:rPr>
                <w:rFonts w:cs="Arial"/>
                <w:b/>
                <w:bCs/>
                <w:color w:val="0D0D0D" w:themeColor="text1" w:themeTint="F2"/>
                <w:spacing w:val="-2"/>
              </w:rPr>
              <w:t xml:space="preserve">aldo důvěry spotřebitelů i obchodníků </w:t>
            </w:r>
            <w:r w:rsidRPr="004A0F58">
              <w:rPr>
                <w:rFonts w:cs="Arial"/>
                <w:color w:val="0D0D0D" w:themeColor="text1" w:themeTint="F2"/>
                <w:spacing w:val="-2"/>
              </w:rPr>
              <w:t>(v p. b.)</w:t>
            </w:r>
          </w:p>
        </w:tc>
      </w:tr>
      <w:tr w:rsidR="00DD1A46" w:rsidRPr="004A0F58" w14:paraId="3E51F8D6" w14:textId="77777777" w:rsidTr="00E962EE">
        <w:tblPrEx>
          <w:tblCellMar>
            <w:left w:w="70" w:type="dxa"/>
            <w:right w:w="70" w:type="dxa"/>
          </w:tblCellMar>
        </w:tblPrEx>
        <w:trPr>
          <w:trHeight w:val="155"/>
        </w:trPr>
        <w:tc>
          <w:tcPr>
            <w:tcW w:w="1814" w:type="dxa"/>
          </w:tcPr>
          <w:p w14:paraId="2F48BCE9" w14:textId="77777777" w:rsidR="00DD1A46" w:rsidRPr="004A0F58" w:rsidRDefault="00DD1A46" w:rsidP="00E962EE">
            <w:pPr>
              <w:pStyle w:val="Marginlie"/>
              <w:rPr>
                <w:color w:val="0D0D0D" w:themeColor="text1" w:themeTint="F2"/>
              </w:rPr>
            </w:pPr>
          </w:p>
        </w:tc>
        <w:tc>
          <w:tcPr>
            <w:tcW w:w="181" w:type="dxa"/>
          </w:tcPr>
          <w:p w14:paraId="1483FFA1" w14:textId="77777777" w:rsidR="00DD1A46" w:rsidRPr="004A0F58" w:rsidRDefault="00DD1A46" w:rsidP="00E962EE">
            <w:pPr>
              <w:pStyle w:val="Textpoznpodarou"/>
              <w:jc w:val="both"/>
              <w:rPr>
                <w:color w:val="0D0D0D" w:themeColor="text1" w:themeTint="F2"/>
                <w:spacing w:val="-4"/>
              </w:rPr>
            </w:pPr>
          </w:p>
        </w:tc>
        <w:tc>
          <w:tcPr>
            <w:tcW w:w="7711" w:type="dxa"/>
          </w:tcPr>
          <w:p w14:paraId="26F273D2" w14:textId="77777777" w:rsidR="00DD1A46" w:rsidRPr="004A0F58" w:rsidRDefault="00DD1A46" w:rsidP="00E962EE">
            <w:pPr>
              <w:spacing w:before="20" w:after="20"/>
              <w:rPr>
                <w:rFonts w:cs="Arial"/>
                <w:color w:val="0D0D0D" w:themeColor="text1" w:themeTint="F2"/>
                <w:spacing w:val="-2"/>
                <w:szCs w:val="20"/>
              </w:rPr>
            </w:pPr>
            <w:r>
              <w:rPr>
                <w:noProof/>
              </w:rPr>
              <w:drawing>
                <wp:inline distT="0" distB="0" distL="0" distR="0" wp14:anchorId="4D16C39B" wp14:editId="7D5AE347">
                  <wp:extent cx="4737600" cy="3553200"/>
                  <wp:effectExtent l="0" t="0" r="6350" b="0"/>
                  <wp:docPr id="938304475" name="Graf 1">
                    <a:extLst xmlns:a="http://schemas.openxmlformats.org/drawingml/2006/main">
                      <a:ext uri="{FF2B5EF4-FFF2-40B4-BE49-F238E27FC236}">
                        <a16:creationId xmlns:a16="http://schemas.microsoft.com/office/drawing/2014/main" id="{6AB129D2-6E6D-4B43-A66E-5E62FE5EA9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DD1A46" w:rsidRPr="004A0F58" w14:paraId="1877C9E6" w14:textId="77777777" w:rsidTr="00E962EE">
        <w:trPr>
          <w:trHeight w:val="155"/>
        </w:trPr>
        <w:tc>
          <w:tcPr>
            <w:tcW w:w="1814" w:type="dxa"/>
            <w:tcMar>
              <w:left w:w="0" w:type="dxa"/>
            </w:tcMar>
          </w:tcPr>
          <w:p w14:paraId="69C3F066" w14:textId="77777777" w:rsidR="00DD1A46" w:rsidRPr="004A0F58" w:rsidRDefault="00DD1A46" w:rsidP="00E962EE">
            <w:pPr>
              <w:pStyle w:val="Marginlie"/>
              <w:rPr>
                <w:color w:val="0D0D0D" w:themeColor="text1" w:themeTint="F2"/>
              </w:rPr>
            </w:pPr>
          </w:p>
        </w:tc>
        <w:tc>
          <w:tcPr>
            <w:tcW w:w="181" w:type="dxa"/>
            <w:tcMar>
              <w:left w:w="0" w:type="dxa"/>
            </w:tcMar>
          </w:tcPr>
          <w:p w14:paraId="1CEA5DE9" w14:textId="77777777" w:rsidR="00DD1A46" w:rsidRPr="00596B52" w:rsidRDefault="00DD1A46" w:rsidP="00E962EE">
            <w:pPr>
              <w:pStyle w:val="Textpoznpodarou"/>
              <w:jc w:val="both"/>
              <w:rPr>
                <w:color w:val="0D0D0D" w:themeColor="text1" w:themeTint="F2"/>
                <w:spacing w:val="-4"/>
                <w:sz w:val="16"/>
                <w:szCs w:val="16"/>
              </w:rPr>
            </w:pPr>
          </w:p>
        </w:tc>
        <w:tc>
          <w:tcPr>
            <w:tcW w:w="7711" w:type="dxa"/>
            <w:tcMar>
              <w:left w:w="0" w:type="dxa"/>
            </w:tcMar>
          </w:tcPr>
          <w:p w14:paraId="662179DA" w14:textId="77777777" w:rsidR="00DD1A46" w:rsidRPr="00596B52" w:rsidRDefault="00DD1A46" w:rsidP="00E962EE">
            <w:pPr>
              <w:spacing w:after="0" w:line="240" w:lineRule="auto"/>
              <w:rPr>
                <w:rFonts w:cs="Arial"/>
                <w:color w:val="0D0D0D" w:themeColor="text1" w:themeTint="F2"/>
                <w:spacing w:val="-4"/>
                <w:sz w:val="14"/>
                <w:szCs w:val="14"/>
              </w:rPr>
            </w:pPr>
            <w:r w:rsidRPr="00596B52">
              <w:rPr>
                <w:rFonts w:cs="Arial"/>
                <w:color w:val="0D0D0D" w:themeColor="text1" w:themeTint="F2"/>
                <w:sz w:val="14"/>
                <w:szCs w:val="14"/>
              </w:rPr>
              <w:t>Poznámka: Tržby jsou uvedeny v reálném vyjádření a očištěny </w:t>
            </w:r>
            <w:r>
              <w:rPr>
                <w:rFonts w:cs="Arial"/>
                <w:color w:val="0D0D0D" w:themeColor="text1" w:themeTint="F2"/>
                <w:sz w:val="14"/>
                <w:szCs w:val="14"/>
              </w:rPr>
              <w:t xml:space="preserve">o </w:t>
            </w:r>
            <w:r w:rsidRPr="00596B52">
              <w:rPr>
                <w:rFonts w:cs="Arial"/>
                <w:color w:val="0D0D0D" w:themeColor="text1" w:themeTint="F2"/>
                <w:sz w:val="14"/>
                <w:szCs w:val="14"/>
              </w:rPr>
              <w:t>kalendářní vlivy. Salda důvěry jsou sezónně očištěna a vyjadřují měsíční průměr za celý kvartál, u posledního období potom průměr za první dva měsíce.</w:t>
            </w:r>
          </w:p>
          <w:p w14:paraId="2D4C819B" w14:textId="77777777" w:rsidR="00DD1A46" w:rsidRDefault="00DD1A46" w:rsidP="00E962EE">
            <w:pPr>
              <w:spacing w:after="0" w:line="240" w:lineRule="auto"/>
              <w:rPr>
                <w:rFonts w:cs="Arial"/>
                <w:color w:val="0D0D0D" w:themeColor="text1" w:themeTint="F2"/>
                <w:spacing w:val="-4"/>
                <w:sz w:val="14"/>
                <w:szCs w:val="14"/>
              </w:rPr>
            </w:pPr>
            <w:r w:rsidRPr="00596B52">
              <w:rPr>
                <w:rFonts w:cs="Arial"/>
                <w:color w:val="0D0D0D" w:themeColor="text1" w:themeTint="F2"/>
                <w:spacing w:val="-4"/>
                <w:sz w:val="14"/>
                <w:szCs w:val="14"/>
              </w:rPr>
              <w:t>Zdroj: ČSÚ</w:t>
            </w:r>
          </w:p>
          <w:p w14:paraId="6B14CFE1" w14:textId="77777777" w:rsidR="00DD1A46" w:rsidRPr="00DA2AEE" w:rsidRDefault="00DD1A46" w:rsidP="00E962EE">
            <w:pPr>
              <w:spacing w:after="0" w:line="240" w:lineRule="auto"/>
              <w:rPr>
                <w:rFonts w:cs="Arial"/>
                <w:color w:val="0D0D0D" w:themeColor="text1" w:themeTint="F2"/>
                <w:szCs w:val="20"/>
              </w:rPr>
            </w:pPr>
          </w:p>
        </w:tc>
      </w:tr>
      <w:tr w:rsidR="00DD1A46" w:rsidRPr="004A0F58" w14:paraId="4030B000" w14:textId="77777777" w:rsidTr="00E962EE">
        <w:trPr>
          <w:trHeight w:val="155"/>
        </w:trPr>
        <w:tc>
          <w:tcPr>
            <w:tcW w:w="1814" w:type="dxa"/>
            <w:tcMar>
              <w:left w:w="0" w:type="dxa"/>
            </w:tcMar>
          </w:tcPr>
          <w:p w14:paraId="46894A68" w14:textId="77777777" w:rsidR="00DD1A46" w:rsidRPr="00DC2D30" w:rsidRDefault="00DD1A46" w:rsidP="00E962EE">
            <w:pPr>
              <w:pStyle w:val="Marginlie"/>
              <w:rPr>
                <w:color w:val="0D0D0D" w:themeColor="text1" w:themeTint="F2"/>
              </w:rPr>
            </w:pPr>
            <w:r w:rsidRPr="00DC2D30">
              <w:rPr>
                <w:color w:val="0D0D0D" w:themeColor="text1" w:themeTint="F2"/>
              </w:rPr>
              <w:t>Růst tržeb za prodej potravin mírně zrychlil, týkal se však převážně jen velkých řetězců.</w:t>
            </w:r>
          </w:p>
          <w:p w14:paraId="1BF8470F" w14:textId="77777777" w:rsidR="00DD1A46" w:rsidRPr="00DC2D30" w:rsidRDefault="00DD1A46" w:rsidP="00E962EE">
            <w:pPr>
              <w:pStyle w:val="Marginlie"/>
              <w:rPr>
                <w:color w:val="0D0D0D" w:themeColor="text1" w:themeTint="F2"/>
              </w:rPr>
            </w:pPr>
          </w:p>
          <w:p w14:paraId="1ECAC4AC" w14:textId="77777777" w:rsidR="00DD1A46" w:rsidRPr="00DC2D30" w:rsidRDefault="00DD1A46" w:rsidP="00E962EE">
            <w:pPr>
              <w:pStyle w:val="Marginlie"/>
              <w:rPr>
                <w:color w:val="0D0D0D" w:themeColor="text1" w:themeTint="F2"/>
              </w:rPr>
            </w:pPr>
          </w:p>
          <w:p w14:paraId="63E7B321" w14:textId="77777777" w:rsidR="00DD1A46" w:rsidRPr="00DC2D30" w:rsidRDefault="00DD1A46" w:rsidP="00E962EE">
            <w:pPr>
              <w:pStyle w:val="Marginlie"/>
              <w:rPr>
                <w:color w:val="0D0D0D" w:themeColor="text1" w:themeTint="F2"/>
              </w:rPr>
            </w:pPr>
          </w:p>
          <w:p w14:paraId="4ACFDF1D" w14:textId="77777777" w:rsidR="00DD1A46" w:rsidRPr="00DC2D30" w:rsidRDefault="00DD1A46" w:rsidP="00E962EE">
            <w:pPr>
              <w:pStyle w:val="Marginlie"/>
              <w:rPr>
                <w:color w:val="0D0D0D" w:themeColor="text1" w:themeTint="F2"/>
              </w:rPr>
            </w:pPr>
          </w:p>
          <w:p w14:paraId="23AF4B7B" w14:textId="77777777" w:rsidR="00DD1A46" w:rsidRPr="00DC2D30" w:rsidRDefault="00DD1A46" w:rsidP="00E962EE">
            <w:pPr>
              <w:pStyle w:val="Marginlie"/>
              <w:rPr>
                <w:color w:val="0D0D0D" w:themeColor="text1" w:themeTint="F2"/>
              </w:rPr>
            </w:pPr>
          </w:p>
          <w:p w14:paraId="16EF6F66" w14:textId="77777777" w:rsidR="00DD1A46" w:rsidRPr="00DC2D30" w:rsidRDefault="00DD1A46" w:rsidP="00E962EE">
            <w:pPr>
              <w:pStyle w:val="Marginlie"/>
              <w:rPr>
                <w:color w:val="0D0D0D" w:themeColor="text1" w:themeTint="F2"/>
                <w:sz w:val="20"/>
                <w:szCs w:val="20"/>
              </w:rPr>
            </w:pPr>
            <w:r w:rsidRPr="00DC2D30">
              <w:rPr>
                <w:color w:val="0D0D0D" w:themeColor="text1" w:themeTint="F2"/>
              </w:rPr>
              <w:t xml:space="preserve">Poptávka po pohonných hmotách vlivem cenového šoku od </w:t>
            </w:r>
            <w:r w:rsidRPr="00DC2D30">
              <w:rPr>
                <w:color w:val="0D0D0D" w:themeColor="text1" w:themeTint="F2"/>
              </w:rPr>
              <w:lastRenderedPageBreak/>
              <w:t>počátku roku výrazně kolísala.</w:t>
            </w:r>
          </w:p>
        </w:tc>
        <w:tc>
          <w:tcPr>
            <w:tcW w:w="181" w:type="dxa"/>
            <w:tcMar>
              <w:left w:w="0" w:type="dxa"/>
            </w:tcMar>
          </w:tcPr>
          <w:p w14:paraId="7A915AFE" w14:textId="77777777" w:rsidR="00DD1A46" w:rsidRPr="00DC2D30" w:rsidRDefault="00DD1A46" w:rsidP="00E962EE">
            <w:pPr>
              <w:pStyle w:val="Textpoznpodarou"/>
              <w:jc w:val="both"/>
              <w:rPr>
                <w:color w:val="0D0D0D" w:themeColor="text1" w:themeTint="F2"/>
                <w:spacing w:val="-4"/>
              </w:rPr>
            </w:pPr>
          </w:p>
        </w:tc>
        <w:tc>
          <w:tcPr>
            <w:tcW w:w="7711" w:type="dxa"/>
            <w:tcMar>
              <w:left w:w="0" w:type="dxa"/>
            </w:tcMar>
          </w:tcPr>
          <w:p w14:paraId="355CB24B" w14:textId="389ACAE7" w:rsidR="00DD1A46" w:rsidRPr="00DC2D30" w:rsidRDefault="00DD1A46" w:rsidP="00E962EE">
            <w:pPr>
              <w:spacing w:after="0"/>
              <w:rPr>
                <w:rFonts w:cs="Arial"/>
                <w:color w:val="0D0D0D" w:themeColor="text1" w:themeTint="F2"/>
                <w:szCs w:val="20"/>
              </w:rPr>
            </w:pPr>
            <w:r w:rsidRPr="00DC2D30">
              <w:rPr>
                <w:rFonts w:cs="Arial"/>
                <w:color w:val="0D0D0D" w:themeColor="text1" w:themeTint="F2"/>
                <w:spacing w:val="-2"/>
                <w:szCs w:val="20"/>
              </w:rPr>
              <w:t>Tržby v maloobchodu s potravinami se letos meziročně zvýšily o 1,7 % (nejvíce od konce roku 2024) a k růstu celého maloobchodu přispěly 0,6 p. b. I přes toto oživení, k němuž mohl přispět i cenový pokles některých základních potravin, podporoval růst poptávky v zásadě jen dominantní segment velkých řetězců, neboť v malých specializovaných prodejnách</w:t>
            </w:r>
            <w:r w:rsidRPr="00DC2D30">
              <w:rPr>
                <w:rStyle w:val="Znakapoznpodarou"/>
                <w:color w:val="0D0D0D" w:themeColor="text1" w:themeTint="F2"/>
                <w:spacing w:val="-2"/>
                <w:szCs w:val="20"/>
              </w:rPr>
              <w:footnoteReference w:id="53"/>
            </w:r>
            <w:r w:rsidRPr="00DC2D30">
              <w:rPr>
                <w:rFonts w:cs="Arial"/>
                <w:color w:val="0D0D0D" w:themeColor="text1" w:themeTint="F2"/>
                <w:spacing w:val="-2"/>
                <w:szCs w:val="20"/>
              </w:rPr>
              <w:t xml:space="preserve"> tržby fakticky stagnovaly. Meziroční růst tržeb za prodej pohonných hmot se za celé 1. pololetí zvýšil o 1,4 % a jeho příspěvek k růstu celého maloobchodu byl nízký (+0,2 p. b.). Ještě v 1. čtvrtletí přitom pokračovala silná poptávka po pohonných hmotách, jež pramenila hlavně z jejich příznivého cenového vývoje po většinu tohoto období a</w:t>
            </w:r>
            <w:r w:rsidR="00650942">
              <w:rPr>
                <w:rFonts w:cs="Arial"/>
                <w:color w:val="0D0D0D" w:themeColor="text1" w:themeTint="F2"/>
                <w:spacing w:val="-2"/>
                <w:szCs w:val="20"/>
              </w:rPr>
              <w:t> </w:t>
            </w:r>
            <w:r w:rsidRPr="00DC2D30">
              <w:rPr>
                <w:rFonts w:cs="Arial"/>
                <w:color w:val="0D0D0D" w:themeColor="text1" w:themeTint="F2"/>
                <w:spacing w:val="-2"/>
                <w:szCs w:val="20"/>
              </w:rPr>
              <w:t xml:space="preserve">částečně rovněž z efektu předzásobení vlivem očekávaného prudkého růstu světových cen paliv po eskalaci konfliktu v Perském zálivu. V dubnu se ale meziroční růst poptávky </w:t>
            </w:r>
            <w:r w:rsidRPr="00DC2D30">
              <w:rPr>
                <w:rFonts w:cs="Arial"/>
                <w:color w:val="0D0D0D" w:themeColor="text1" w:themeTint="F2"/>
                <w:spacing w:val="-2"/>
                <w:szCs w:val="20"/>
              </w:rPr>
              <w:lastRenderedPageBreak/>
              <w:t>po PHM, trvající nepřetržitě předchozích dvaadvacet měsíců, zastavil (–7,8 %). Cenový šok částečně tlumila vládní opatření</w:t>
            </w:r>
            <w:r w:rsidRPr="00DC2D30">
              <w:rPr>
                <w:rStyle w:val="Znakapoznpodarou"/>
                <w:color w:val="0D0D0D" w:themeColor="text1" w:themeTint="F2"/>
                <w:spacing w:val="-2"/>
                <w:szCs w:val="20"/>
              </w:rPr>
              <w:footnoteReference w:id="54"/>
            </w:r>
            <w:r w:rsidRPr="00DC2D30">
              <w:rPr>
                <w:rFonts w:cs="Arial"/>
                <w:color w:val="0D0D0D" w:themeColor="text1" w:themeTint="F2"/>
                <w:spacing w:val="-2"/>
                <w:szCs w:val="20"/>
              </w:rPr>
              <w:t>, nicméně k většímu oživení prodejů došlo až v červenci (v důsledku dočasné stabilizace světových cen ropy i pravidelného růstu poptávky v hlavní motoristické sezóně</w:t>
            </w:r>
            <w:r w:rsidRPr="00DC2D30">
              <w:rPr>
                <w:rFonts w:cs="Arial"/>
                <w:color w:val="0D0D0D" w:themeColor="text1" w:themeTint="F2"/>
                <w:spacing w:val="-4"/>
                <w:szCs w:val="20"/>
              </w:rPr>
              <w:t>).</w:t>
            </w:r>
          </w:p>
        </w:tc>
      </w:tr>
    </w:tbl>
    <w:p w14:paraId="26DCD827" w14:textId="77777777" w:rsidR="00DD1A46" w:rsidRPr="004A0F58" w:rsidRDefault="00DD1A46" w:rsidP="00DD1A46">
      <w:pPr>
        <w:spacing w:after="0" w:line="240" w:lineRule="auto"/>
        <w:jc w:val="left"/>
        <w:rPr>
          <w:rFonts w:eastAsia="MS Gothic"/>
          <w:b/>
          <w:bCs/>
          <w:color w:val="0D0D0D" w:themeColor="text1" w:themeTint="F2"/>
          <w:sz w:val="6"/>
          <w:szCs w:val="6"/>
        </w:rPr>
      </w:pPr>
    </w:p>
    <w:p w14:paraId="17FB2394" w14:textId="77777777" w:rsidR="00DD1A46" w:rsidRDefault="00DD1A46">
      <w:pPr>
        <w:spacing w:after="0" w:line="240" w:lineRule="auto"/>
        <w:jc w:val="left"/>
        <w:rPr>
          <w:rFonts w:eastAsia="MS Gothic"/>
          <w:b/>
          <w:bCs/>
          <w:color w:val="86BF5E"/>
          <w:sz w:val="32"/>
          <w:szCs w:val="28"/>
        </w:rPr>
      </w:pPr>
      <w:r>
        <w:br w:type="page"/>
      </w:r>
    </w:p>
    <w:p w14:paraId="5152840B" w14:textId="443A9F39" w:rsidR="006B1AFC" w:rsidRPr="00F204DA" w:rsidRDefault="006B1AFC" w:rsidP="009324EF">
      <w:pPr>
        <w:pStyle w:val="Nadpis1"/>
      </w:pPr>
      <w:bookmarkStart w:id="29" w:name="_Toc240366898"/>
      <w:r>
        <w:lastRenderedPageBreak/>
        <w:t>4</w:t>
      </w:r>
      <w:bookmarkStart w:id="30" w:name="_Toc19090679"/>
      <w:bookmarkStart w:id="31" w:name="_Toc74643856"/>
      <w:bookmarkStart w:id="32" w:name="_Toc42852411"/>
      <w:bookmarkStart w:id="33" w:name="_Toc74643857"/>
      <w:bookmarkEnd w:id="30"/>
      <w:r>
        <w:t>. Vnější vztahy</w:t>
      </w:r>
      <w:bookmarkEnd w:id="23"/>
      <w:bookmarkEnd w:id="29"/>
    </w:p>
    <w:tbl>
      <w:tblPr>
        <w:tblW w:w="9677" w:type="dxa"/>
        <w:tblInd w:w="-15" w:type="dxa"/>
        <w:tblLayout w:type="fixed"/>
        <w:tblCellMar>
          <w:left w:w="0" w:type="dxa"/>
          <w:right w:w="0" w:type="dxa"/>
        </w:tblCellMar>
        <w:tblLook w:val="00A0" w:firstRow="1" w:lastRow="0" w:firstColumn="1" w:lastColumn="0" w:noHBand="0" w:noVBand="0"/>
      </w:tblPr>
      <w:tblGrid>
        <w:gridCol w:w="1716"/>
        <w:gridCol w:w="284"/>
        <w:gridCol w:w="2811"/>
        <w:gridCol w:w="57"/>
        <w:gridCol w:w="4809"/>
      </w:tblGrid>
      <w:tr w:rsidR="006B1AFC" w14:paraId="6A59C300" w14:textId="77777777" w:rsidTr="003C4A79">
        <w:trPr>
          <w:trHeight w:val="145"/>
        </w:trPr>
        <w:tc>
          <w:tcPr>
            <w:tcW w:w="1716" w:type="dxa"/>
            <w:hideMark/>
          </w:tcPr>
          <w:p w14:paraId="65A06991" w14:textId="77777777" w:rsidR="006B1AFC" w:rsidRDefault="006B1AFC" w:rsidP="003C4A79">
            <w:pPr>
              <w:pStyle w:val="Marginlie"/>
              <w:rPr>
                <w:lang w:eastAsia="en-US"/>
              </w:rPr>
            </w:pPr>
            <w:r>
              <w:rPr>
                <w:lang w:eastAsia="en-US"/>
              </w:rPr>
              <w:t>Ve 2. čtvrtletí zrychlil růst vývozu.</w:t>
            </w:r>
          </w:p>
        </w:tc>
        <w:tc>
          <w:tcPr>
            <w:tcW w:w="284" w:type="dxa"/>
          </w:tcPr>
          <w:p w14:paraId="55FEDC21" w14:textId="77777777" w:rsidR="006B1AFC" w:rsidRDefault="006B1AFC" w:rsidP="003C4A79">
            <w:pPr>
              <w:pStyle w:val="Textpoznpodarou"/>
              <w:jc w:val="both"/>
              <w:rPr>
                <w:spacing w:val="-4"/>
                <w:lang w:eastAsia="en-US"/>
              </w:rPr>
            </w:pPr>
          </w:p>
        </w:tc>
        <w:tc>
          <w:tcPr>
            <w:tcW w:w="7677" w:type="dxa"/>
            <w:gridSpan w:val="3"/>
            <w:hideMark/>
          </w:tcPr>
          <w:p w14:paraId="2D4FD2E1" w14:textId="77777777" w:rsidR="006B1AFC" w:rsidRDefault="006B1AFC" w:rsidP="003C4A79">
            <w:pPr>
              <w:spacing w:after="180"/>
              <w:rPr>
                <w:spacing w:val="-4"/>
                <w:lang w:eastAsia="en-US"/>
              </w:rPr>
            </w:pPr>
            <w:r>
              <w:rPr>
                <w:spacing w:val="-4"/>
                <w:lang w:eastAsia="en-US"/>
              </w:rPr>
              <w:t>Hodnota vývozu zboží</w:t>
            </w:r>
            <w:r>
              <w:rPr>
                <w:rStyle w:val="Znakapoznpodarou"/>
                <w:spacing w:val="-4"/>
                <w:lang w:eastAsia="en-US"/>
              </w:rPr>
              <w:footnoteReference w:id="55"/>
            </w:r>
            <w:r>
              <w:rPr>
                <w:spacing w:val="-4"/>
                <w:lang w:eastAsia="en-US"/>
              </w:rPr>
              <w:t xml:space="preserve"> v 1. pololetí 2026 dosáhla 2 509,2 mld. korun a meziročně byla vyšší o 64,5 mld. (2,6 %). Na růstu za celé pololetí se podílel z většiny vývoj ve druhé čtvrtině roku. Ve 2. čtvrtletí totiž hodnota exportu zboží meziročně vzrostla o 63,0 mld. korun (5,2 %) na 1 282,4 mld. Zrychlení dynamiky exportu (v 1. čtvrtletí prakticky stagnoval) bylo zčásti podpořeno i vývojem cen zahraničního obchodu</w:t>
            </w:r>
            <w:r>
              <w:rPr>
                <w:rStyle w:val="Znakapoznpodarou"/>
                <w:spacing w:val="-4"/>
                <w:lang w:eastAsia="en-US"/>
              </w:rPr>
              <w:footnoteReference w:id="56"/>
            </w:r>
            <w:r>
              <w:rPr>
                <w:spacing w:val="-4"/>
                <w:lang w:eastAsia="en-US"/>
              </w:rPr>
              <w:t xml:space="preserve">, hlavně výrazným růstem cen ropy a některých navázaných výrob. Celkově ale ceny vývozu meziročně rostly jen mírně, takže souhrnný přírůstek vývozu jimi byl podpořen jen minimálně. Jiná byla situace v mezičtvrtletním pohledu. Podle sezónně očištěných údajů se hodnota vývozu zboží mezičtvrtletně zvýšila o 2,8 % a cenový vývoj na tom měl značný podíl. </w:t>
            </w:r>
          </w:p>
        </w:tc>
      </w:tr>
      <w:tr w:rsidR="006B1AFC" w14:paraId="39752D7F" w14:textId="77777777" w:rsidTr="003C4A79">
        <w:trPr>
          <w:trHeight w:val="150"/>
        </w:trPr>
        <w:tc>
          <w:tcPr>
            <w:tcW w:w="1716" w:type="dxa"/>
            <w:vMerge w:val="restart"/>
          </w:tcPr>
          <w:p w14:paraId="109AB8DC" w14:textId="77777777" w:rsidR="006B1AFC" w:rsidRDefault="006B1AFC" w:rsidP="003C4A79">
            <w:pPr>
              <w:pStyle w:val="Marginlie"/>
              <w:rPr>
                <w:lang w:eastAsia="en-US"/>
              </w:rPr>
            </w:pPr>
          </w:p>
        </w:tc>
        <w:tc>
          <w:tcPr>
            <w:tcW w:w="284" w:type="dxa"/>
            <w:vMerge w:val="restart"/>
          </w:tcPr>
          <w:p w14:paraId="1AB28BF1" w14:textId="77777777" w:rsidR="006B1AFC" w:rsidRDefault="006B1AFC" w:rsidP="003C4A79">
            <w:pPr>
              <w:pStyle w:val="Textpoznpodarou"/>
              <w:jc w:val="both"/>
              <w:rPr>
                <w:spacing w:val="-4"/>
                <w:lang w:eastAsia="en-US"/>
              </w:rPr>
            </w:pPr>
          </w:p>
        </w:tc>
        <w:tc>
          <w:tcPr>
            <w:tcW w:w="7677" w:type="dxa"/>
            <w:gridSpan w:val="3"/>
          </w:tcPr>
          <w:p w14:paraId="4EAF62FC" w14:textId="77777777" w:rsidR="006B1AFC" w:rsidRDefault="006B1AFC" w:rsidP="003C4A79">
            <w:pPr>
              <w:spacing w:after="0"/>
              <w:rPr>
                <w:spacing w:val="-4"/>
                <w:lang w:eastAsia="en-US"/>
              </w:rPr>
            </w:pPr>
            <w:r>
              <w:rPr>
                <w:rFonts w:cs="Arial"/>
                <w:b/>
                <w:bCs/>
                <w:color w:val="000000"/>
                <w:szCs w:val="20"/>
                <w:lang w:eastAsia="en-US"/>
              </w:rPr>
              <w:t xml:space="preserve">Graf č. 10 Vývoz a dovoz zboží </w:t>
            </w:r>
            <w:r>
              <w:rPr>
                <w:rFonts w:cs="Arial"/>
                <w:bCs/>
                <w:color w:val="000000"/>
                <w:szCs w:val="20"/>
                <w:lang w:eastAsia="en-US"/>
              </w:rPr>
              <w:t>(meziročně v %)</w:t>
            </w:r>
            <w:r>
              <w:rPr>
                <w:rFonts w:cs="Arial"/>
                <w:b/>
                <w:bCs/>
                <w:color w:val="000000"/>
                <w:szCs w:val="20"/>
                <w:lang w:eastAsia="en-US"/>
              </w:rPr>
              <w:t xml:space="preserve"> a bilance zahraničního obchodu se zbožím </w:t>
            </w:r>
            <w:r>
              <w:rPr>
                <w:rFonts w:cs="Arial"/>
                <w:bCs/>
                <w:color w:val="000000"/>
                <w:szCs w:val="20"/>
                <w:lang w:eastAsia="en-US"/>
              </w:rPr>
              <w:t>(v mld. korun, pravá osa)</w:t>
            </w:r>
            <w:r>
              <w:rPr>
                <w:rFonts w:cs="Arial"/>
                <w:b/>
                <w:bCs/>
                <w:color w:val="000000"/>
                <w:szCs w:val="20"/>
                <w:lang w:eastAsia="en-US"/>
              </w:rPr>
              <w:t xml:space="preserve"> </w:t>
            </w:r>
          </w:p>
        </w:tc>
      </w:tr>
      <w:tr w:rsidR="006B1AFC" w14:paraId="2D404ED1" w14:textId="77777777" w:rsidTr="003C4A79">
        <w:tblPrEx>
          <w:tblCellMar>
            <w:left w:w="70" w:type="dxa"/>
            <w:right w:w="70" w:type="dxa"/>
          </w:tblCellMar>
        </w:tblPrEx>
        <w:trPr>
          <w:trHeight w:val="150"/>
        </w:trPr>
        <w:tc>
          <w:tcPr>
            <w:tcW w:w="1716" w:type="dxa"/>
            <w:vMerge/>
          </w:tcPr>
          <w:p w14:paraId="5F5F33B5" w14:textId="77777777" w:rsidR="006B1AFC" w:rsidRDefault="006B1AFC" w:rsidP="003C4A79">
            <w:pPr>
              <w:pStyle w:val="Marginlie"/>
              <w:rPr>
                <w:lang w:eastAsia="en-US"/>
              </w:rPr>
            </w:pPr>
          </w:p>
        </w:tc>
        <w:tc>
          <w:tcPr>
            <w:tcW w:w="284" w:type="dxa"/>
            <w:vMerge/>
          </w:tcPr>
          <w:p w14:paraId="624F8709" w14:textId="77777777" w:rsidR="006B1AFC" w:rsidRDefault="006B1AFC" w:rsidP="003C4A79">
            <w:pPr>
              <w:pStyle w:val="Textpoznpodarou"/>
              <w:jc w:val="both"/>
              <w:rPr>
                <w:spacing w:val="-4"/>
                <w:lang w:eastAsia="en-US"/>
              </w:rPr>
            </w:pPr>
          </w:p>
        </w:tc>
        <w:tc>
          <w:tcPr>
            <w:tcW w:w="7677" w:type="dxa"/>
            <w:gridSpan w:val="3"/>
          </w:tcPr>
          <w:p w14:paraId="1FFC4DC5" w14:textId="77777777" w:rsidR="006B1AFC" w:rsidRDefault="006B1AFC" w:rsidP="003C4A79">
            <w:pPr>
              <w:spacing w:after="0"/>
              <w:rPr>
                <w:spacing w:val="-4"/>
                <w:lang w:eastAsia="en-US"/>
              </w:rPr>
            </w:pPr>
            <w:r>
              <w:rPr>
                <w:noProof/>
              </w:rPr>
              <w:drawing>
                <wp:inline distT="0" distB="0" distL="0" distR="0" wp14:anchorId="720AF69C" wp14:editId="63933B06">
                  <wp:extent cx="4752000" cy="3420000"/>
                  <wp:effectExtent l="0" t="0" r="0" b="0"/>
                  <wp:docPr id="59690366" name="Graf 1">
                    <a:extLst xmlns:a="http://schemas.openxmlformats.org/drawingml/2006/main">
                      <a:ext uri="{FF2B5EF4-FFF2-40B4-BE49-F238E27FC236}">
                        <a16:creationId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r w:rsidR="006B1AFC" w14:paraId="2602A460" w14:textId="77777777" w:rsidTr="003C4A79">
        <w:trPr>
          <w:trHeight w:val="150"/>
        </w:trPr>
        <w:tc>
          <w:tcPr>
            <w:tcW w:w="1716" w:type="dxa"/>
            <w:vMerge/>
          </w:tcPr>
          <w:p w14:paraId="171C7002" w14:textId="77777777" w:rsidR="006B1AFC" w:rsidRDefault="006B1AFC" w:rsidP="003C4A79">
            <w:pPr>
              <w:pStyle w:val="Marginlie"/>
              <w:rPr>
                <w:lang w:eastAsia="en-US"/>
              </w:rPr>
            </w:pPr>
          </w:p>
        </w:tc>
        <w:tc>
          <w:tcPr>
            <w:tcW w:w="284" w:type="dxa"/>
            <w:vMerge/>
          </w:tcPr>
          <w:p w14:paraId="3901CC87" w14:textId="77777777" w:rsidR="006B1AFC" w:rsidRDefault="006B1AFC" w:rsidP="003C4A79">
            <w:pPr>
              <w:pStyle w:val="Textpoznpodarou"/>
              <w:jc w:val="both"/>
              <w:rPr>
                <w:spacing w:val="-4"/>
                <w:lang w:eastAsia="en-US"/>
              </w:rPr>
            </w:pPr>
          </w:p>
        </w:tc>
        <w:tc>
          <w:tcPr>
            <w:tcW w:w="7677" w:type="dxa"/>
            <w:gridSpan w:val="3"/>
          </w:tcPr>
          <w:p w14:paraId="15101BAE" w14:textId="77777777" w:rsidR="006B1AFC" w:rsidRDefault="006B1AFC" w:rsidP="003C4A79">
            <w:pPr>
              <w:spacing w:after="180"/>
              <w:rPr>
                <w:spacing w:val="-4"/>
                <w:lang w:eastAsia="en-US"/>
              </w:rPr>
            </w:pPr>
            <w:r>
              <w:rPr>
                <w:sz w:val="16"/>
                <w:szCs w:val="16"/>
                <w:lang w:eastAsia="en-US"/>
              </w:rPr>
              <w:t>Zdroj: ČSÚ</w:t>
            </w:r>
          </w:p>
        </w:tc>
      </w:tr>
      <w:tr w:rsidR="006B1AFC" w14:paraId="53CF37B5" w14:textId="77777777" w:rsidTr="003C4A79">
        <w:trPr>
          <w:trHeight w:val="145"/>
        </w:trPr>
        <w:tc>
          <w:tcPr>
            <w:tcW w:w="1716" w:type="dxa"/>
          </w:tcPr>
          <w:p w14:paraId="4E68B943" w14:textId="77777777" w:rsidR="006B1AFC" w:rsidRDefault="006B1AFC" w:rsidP="003C4A79">
            <w:pPr>
              <w:pStyle w:val="Marginlie"/>
              <w:rPr>
                <w:lang w:eastAsia="en-US"/>
              </w:rPr>
            </w:pPr>
            <w:r>
              <w:rPr>
                <w:lang w:eastAsia="en-US"/>
              </w:rPr>
              <w:t>Rostl zejména export do EU.</w:t>
            </w:r>
          </w:p>
        </w:tc>
        <w:tc>
          <w:tcPr>
            <w:tcW w:w="284" w:type="dxa"/>
          </w:tcPr>
          <w:p w14:paraId="229816A2" w14:textId="77777777" w:rsidR="006B1AFC" w:rsidRDefault="006B1AFC" w:rsidP="003C4A79">
            <w:pPr>
              <w:pStyle w:val="Textpoznpodarou"/>
              <w:jc w:val="both"/>
              <w:rPr>
                <w:spacing w:val="-4"/>
                <w:lang w:eastAsia="en-US"/>
              </w:rPr>
            </w:pPr>
          </w:p>
        </w:tc>
        <w:tc>
          <w:tcPr>
            <w:tcW w:w="7677" w:type="dxa"/>
            <w:gridSpan w:val="3"/>
          </w:tcPr>
          <w:p w14:paraId="3FA90FC8" w14:textId="77777777" w:rsidR="006B1AFC" w:rsidRDefault="006B1AFC" w:rsidP="003C4A79">
            <w:pPr>
              <w:spacing w:after="180"/>
              <w:rPr>
                <w:spacing w:val="-4"/>
                <w:lang w:eastAsia="en-US"/>
              </w:rPr>
            </w:pPr>
            <w:r>
              <w:rPr>
                <w:spacing w:val="-4"/>
                <w:lang w:eastAsia="en-US"/>
              </w:rPr>
              <w:t>K meziročnímu nárůstu hodnoty exportu v 1. pololetí přispěl výhradně export do zemí EU (+82,1 mld. korun, 4,3 %), zatímco vývoz mimo EU byl nižší o 18,0 mld. (−3,3 %). Největší navýšení byla zaznamenána v případě vývozu do Rakouska</w:t>
            </w:r>
            <w:r>
              <w:rPr>
                <w:rStyle w:val="Znakapoznpodarou"/>
                <w:spacing w:val="-4"/>
                <w:lang w:eastAsia="en-US"/>
              </w:rPr>
              <w:footnoteReference w:id="57"/>
            </w:r>
            <w:r>
              <w:rPr>
                <w:spacing w:val="-4"/>
                <w:lang w:eastAsia="en-US"/>
              </w:rPr>
              <w:t xml:space="preserve"> (+22,9 mld. korun, 24,7 %), Francie</w:t>
            </w:r>
            <w:r>
              <w:rPr>
                <w:rStyle w:val="Znakapoznpodarou"/>
                <w:spacing w:val="-4"/>
                <w:lang w:eastAsia="en-US"/>
              </w:rPr>
              <w:footnoteReference w:id="58"/>
            </w:r>
            <w:r>
              <w:rPr>
                <w:spacing w:val="-4"/>
                <w:lang w:eastAsia="en-US"/>
              </w:rPr>
              <w:t xml:space="preserve"> (+12,2 mld., 10,1 %) a Itálie (+9,3 mld., 9,5 %). V 1. pololetí klesl export do menšiny sledovaných zemí, nejvíce do Spojených států amerických</w:t>
            </w:r>
            <w:r>
              <w:rPr>
                <w:rStyle w:val="Znakapoznpodarou"/>
                <w:spacing w:val="-4"/>
                <w:lang w:eastAsia="en-US"/>
              </w:rPr>
              <w:footnoteReference w:id="59"/>
            </w:r>
            <w:r>
              <w:rPr>
                <w:spacing w:val="-4"/>
                <w:lang w:eastAsia="en-US"/>
              </w:rPr>
              <w:t xml:space="preserve"> (−9,7 mld. korun, −13,1 %). Také v samotném 2. čtvrtletí měl na meziročním růstu exportu zboží podíl vývoz do EU (+63,5 mld. korun, 6,7 %), zatímco vývoz mimo EU pokračoval v poklesu (−0,7 mld., −0,2 %). Po dvou předchozích poklesech se opět meziročně zvýšila hodnota vývozu do Německa</w:t>
            </w:r>
            <w:r>
              <w:rPr>
                <w:rStyle w:val="Znakapoznpodarou"/>
                <w:spacing w:val="-4"/>
                <w:lang w:eastAsia="en-US"/>
              </w:rPr>
              <w:footnoteReference w:id="60"/>
            </w:r>
            <w:r>
              <w:rPr>
                <w:spacing w:val="-4"/>
                <w:lang w:eastAsia="en-US"/>
              </w:rPr>
              <w:t xml:space="preserve"> (viz Tabulka č. 4) a silně rostl export do Rakouska a Francie. Významně ve směru růstu exportu působil také obchod s Nizozemskem, Polskem, Itálií nebo Maďarskem. </w:t>
            </w:r>
            <w:r>
              <w:rPr>
                <w:spacing w:val="-4"/>
                <w:lang w:eastAsia="en-US"/>
              </w:rPr>
              <w:lastRenderedPageBreak/>
              <w:t xml:space="preserve">Jen u menšiny sledovaných zemí byl zaznamenán pokles exportu – více než 1 mld. korun dosáhl propad u Spojených států amerických, Kazachstánu, Velké Británie, Rumunska, SAE a Mexika.   </w:t>
            </w:r>
          </w:p>
        </w:tc>
      </w:tr>
      <w:tr w:rsidR="006B1AFC" w14:paraId="0547587D" w14:textId="77777777" w:rsidTr="003C4A79">
        <w:trPr>
          <w:trHeight w:val="145"/>
        </w:trPr>
        <w:tc>
          <w:tcPr>
            <w:tcW w:w="1716" w:type="dxa"/>
          </w:tcPr>
          <w:p w14:paraId="4F99029B" w14:textId="77777777" w:rsidR="006B1AFC" w:rsidRDefault="006B1AFC" w:rsidP="003C4A79">
            <w:pPr>
              <w:pStyle w:val="Marginlie"/>
              <w:rPr>
                <w:lang w:eastAsia="en-US"/>
              </w:rPr>
            </w:pPr>
            <w:r>
              <w:rPr>
                <w:lang w:eastAsia="en-US"/>
              </w:rPr>
              <w:lastRenderedPageBreak/>
              <w:t>Nejvíce rostl vývoz počítačů, elektronických a optických přístrojů.</w:t>
            </w:r>
          </w:p>
        </w:tc>
        <w:tc>
          <w:tcPr>
            <w:tcW w:w="284" w:type="dxa"/>
          </w:tcPr>
          <w:p w14:paraId="3C05C4B5" w14:textId="77777777" w:rsidR="006B1AFC" w:rsidRDefault="006B1AFC" w:rsidP="003C4A79">
            <w:pPr>
              <w:pStyle w:val="Textpoznpodarou"/>
              <w:jc w:val="both"/>
              <w:rPr>
                <w:spacing w:val="-4"/>
                <w:lang w:eastAsia="en-US"/>
              </w:rPr>
            </w:pPr>
          </w:p>
        </w:tc>
        <w:tc>
          <w:tcPr>
            <w:tcW w:w="7677" w:type="dxa"/>
            <w:gridSpan w:val="3"/>
          </w:tcPr>
          <w:p w14:paraId="445829C6" w14:textId="77777777" w:rsidR="006B1AFC" w:rsidRDefault="006B1AFC" w:rsidP="003C4A79">
            <w:pPr>
              <w:spacing w:after="180"/>
              <w:rPr>
                <w:spacing w:val="-4"/>
                <w:lang w:eastAsia="en-US"/>
              </w:rPr>
            </w:pPr>
            <w:r>
              <w:rPr>
                <w:spacing w:val="-4"/>
                <w:lang w:eastAsia="en-US"/>
              </w:rPr>
              <w:t>V 1. pololetí meziročně vzrostl export u většiny z oddílů produkce. Nejvíce se zvýšil vývoz počítačů, elektronických a optických přístrojů (+21,6 mld. korun, 9,9 %), motorových vozidel (+18,2 mld., 2,6 %) a chemických látek a přípravků (+8,5 mld., 7,9 %). V samotném 2. čtvrtletí nejvíce vzrostl export počítačů, elektronických a optických přístrojů a zařízení (viz Tabulka č. 3) a motorových vozidel. V obou zmíněných případech růst vývozu posílil, stejně jako u chemických látek a přípravků, elektřiny, plynu, páry a klimatizovaného vzduchu nebo také v oblasti sběru, přípravy k likvidaci a zpracování odpadu, kde se projevil m</w:t>
            </w:r>
            <w:r w:rsidRPr="006B6C63">
              <w:rPr>
                <w:spacing w:val="-4"/>
                <w:lang w:eastAsia="en-US"/>
              </w:rPr>
              <w:t>eziroční růst cen</w:t>
            </w:r>
            <w:r>
              <w:rPr>
                <w:spacing w:val="-4"/>
                <w:lang w:eastAsia="en-US"/>
              </w:rPr>
              <w:t xml:space="preserve">. Jen u minima oddílů klasifikace výroby byl ve 2. čtvrtletí zachycen meziroční pokles vývozu a 1 mld. korun propad překročil jen u potravinářských výrobků.  </w:t>
            </w:r>
          </w:p>
        </w:tc>
      </w:tr>
      <w:tr w:rsidR="006B1AFC" w14:paraId="4850B436" w14:textId="77777777" w:rsidTr="003C4A79">
        <w:trPr>
          <w:trHeight w:val="170"/>
        </w:trPr>
        <w:tc>
          <w:tcPr>
            <w:tcW w:w="4811" w:type="dxa"/>
            <w:gridSpan w:val="3"/>
            <w:hideMark/>
          </w:tcPr>
          <w:p w14:paraId="1D1A78CC" w14:textId="77777777" w:rsidR="006B1AFC" w:rsidRDefault="006B1AFC" w:rsidP="003C4A79">
            <w:pPr>
              <w:spacing w:after="0"/>
              <w:rPr>
                <w:rFonts w:cs="Arial"/>
                <w:b/>
                <w:bCs/>
                <w:color w:val="000000"/>
                <w:sz w:val="18"/>
                <w:szCs w:val="18"/>
                <w:lang w:eastAsia="en-US"/>
              </w:rPr>
            </w:pPr>
            <w:r>
              <w:rPr>
                <w:rFonts w:cs="Arial"/>
                <w:b/>
                <w:bCs/>
                <w:color w:val="000000"/>
                <w:sz w:val="18"/>
                <w:szCs w:val="18"/>
                <w:lang w:eastAsia="en-US"/>
              </w:rPr>
              <w:t xml:space="preserve">Tabulka č. 3 Oddíly klasifikace CPA s největším </w:t>
            </w:r>
          </w:p>
          <w:p w14:paraId="1B98E53B" w14:textId="77777777" w:rsidR="006B1AFC" w:rsidRDefault="006B1AFC" w:rsidP="003C4A79">
            <w:pPr>
              <w:spacing w:after="0"/>
              <w:jc w:val="left"/>
              <w:rPr>
                <w:spacing w:val="-4"/>
                <w:lang w:eastAsia="en-US"/>
              </w:rPr>
            </w:pPr>
            <w:r>
              <w:rPr>
                <w:rFonts w:cs="Arial"/>
                <w:b/>
                <w:bCs/>
                <w:color w:val="000000"/>
                <w:sz w:val="18"/>
                <w:szCs w:val="18"/>
                <w:lang w:eastAsia="en-US"/>
              </w:rPr>
              <w:t xml:space="preserve">vlivem na vývoj vývozu zboží ve 2. čtvrtletí 2026 </w:t>
            </w:r>
            <w:r>
              <w:rPr>
                <w:rFonts w:cs="Arial"/>
                <w:bCs/>
                <w:color w:val="000000"/>
                <w:sz w:val="18"/>
                <w:szCs w:val="18"/>
                <w:lang w:eastAsia="en-US"/>
              </w:rPr>
              <w:t>(meziročně)</w:t>
            </w:r>
          </w:p>
        </w:tc>
        <w:tc>
          <w:tcPr>
            <w:tcW w:w="57" w:type="dxa"/>
          </w:tcPr>
          <w:p w14:paraId="539EC7F9" w14:textId="77777777" w:rsidR="006B1AFC" w:rsidRDefault="006B1AFC" w:rsidP="003C4A79">
            <w:pPr>
              <w:spacing w:after="0"/>
              <w:rPr>
                <w:spacing w:val="-4"/>
                <w:lang w:eastAsia="en-US"/>
              </w:rPr>
            </w:pPr>
          </w:p>
        </w:tc>
        <w:tc>
          <w:tcPr>
            <w:tcW w:w="4809" w:type="dxa"/>
            <w:hideMark/>
          </w:tcPr>
          <w:p w14:paraId="0D6A7680" w14:textId="77777777" w:rsidR="006B1AFC" w:rsidRDefault="006B1AFC" w:rsidP="003C4A79">
            <w:pPr>
              <w:spacing w:after="0"/>
              <w:jc w:val="left"/>
              <w:rPr>
                <w:spacing w:val="-4"/>
                <w:sz w:val="18"/>
                <w:szCs w:val="18"/>
                <w:lang w:eastAsia="en-US"/>
              </w:rPr>
            </w:pPr>
            <w:r>
              <w:rPr>
                <w:rFonts w:cs="Arial"/>
                <w:b/>
                <w:bCs/>
                <w:color w:val="000000"/>
                <w:sz w:val="18"/>
                <w:szCs w:val="18"/>
                <w:lang w:eastAsia="en-US"/>
              </w:rPr>
              <w:t xml:space="preserve">Tabulka č. 4 Země s největším vlivem na vývoj vývozu zboží ve 2. čtvrtletí 2026 </w:t>
            </w:r>
            <w:r>
              <w:rPr>
                <w:rFonts w:cs="Arial"/>
                <w:bCs/>
                <w:color w:val="000000"/>
                <w:sz w:val="18"/>
                <w:szCs w:val="18"/>
                <w:lang w:eastAsia="en-US"/>
              </w:rPr>
              <w:t>(meziročně)</w:t>
            </w:r>
          </w:p>
        </w:tc>
      </w:tr>
      <w:tr w:rsidR="006B1AFC" w14:paraId="385DBA02" w14:textId="77777777" w:rsidTr="003C4A79">
        <w:trPr>
          <w:trHeight w:val="170"/>
        </w:trPr>
        <w:tc>
          <w:tcPr>
            <w:tcW w:w="4811" w:type="dxa"/>
            <w:gridSpan w:val="3"/>
            <w:hideMark/>
          </w:tcPr>
          <w:tbl>
            <w:tblPr>
              <w:tblW w:w="4817" w:type="dxa"/>
              <w:tblLayout w:type="fixed"/>
              <w:tblCellMar>
                <w:left w:w="70" w:type="dxa"/>
                <w:right w:w="70" w:type="dxa"/>
              </w:tblCellMar>
              <w:tblLook w:val="04A0" w:firstRow="1" w:lastRow="0" w:firstColumn="1" w:lastColumn="0" w:noHBand="0" w:noVBand="1"/>
            </w:tblPr>
            <w:tblGrid>
              <w:gridCol w:w="3417"/>
              <w:gridCol w:w="700"/>
              <w:gridCol w:w="700"/>
            </w:tblGrid>
            <w:tr w:rsidR="006B1AFC" w:rsidRPr="006B71FB" w14:paraId="031A8ADF" w14:textId="77777777" w:rsidTr="003C4A79">
              <w:trPr>
                <w:trHeight w:val="255"/>
              </w:trPr>
              <w:tc>
                <w:tcPr>
                  <w:tcW w:w="3417" w:type="dxa"/>
                  <w:tcBorders>
                    <w:top w:val="nil"/>
                    <w:left w:val="nil"/>
                    <w:bottom w:val="nil"/>
                    <w:right w:val="nil"/>
                  </w:tcBorders>
                  <w:noWrap/>
                  <w:vAlign w:val="bottom"/>
                  <w:hideMark/>
                </w:tcPr>
                <w:p w14:paraId="5B1E5FCC" w14:textId="77777777" w:rsidR="006B1AFC" w:rsidRPr="006B71FB" w:rsidRDefault="006B1AFC" w:rsidP="003C4A79">
                  <w:pPr>
                    <w:spacing w:after="0" w:line="240" w:lineRule="auto"/>
                    <w:jc w:val="left"/>
                    <w:rPr>
                      <w:rFonts w:ascii="Times New Roman" w:hAnsi="Times New Roman"/>
                      <w:sz w:val="24"/>
                      <w:szCs w:val="20"/>
                      <w:lang w:eastAsia="ko-KR"/>
                    </w:rPr>
                  </w:pPr>
                </w:p>
              </w:tc>
              <w:tc>
                <w:tcPr>
                  <w:tcW w:w="700" w:type="dxa"/>
                  <w:tcBorders>
                    <w:top w:val="nil"/>
                    <w:left w:val="nil"/>
                    <w:bottom w:val="nil"/>
                    <w:right w:val="nil"/>
                  </w:tcBorders>
                  <w:noWrap/>
                  <w:vAlign w:val="bottom"/>
                  <w:hideMark/>
                </w:tcPr>
                <w:p w14:paraId="374DE954"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mld. Kč</w:t>
                  </w:r>
                </w:p>
              </w:tc>
              <w:tc>
                <w:tcPr>
                  <w:tcW w:w="700" w:type="dxa"/>
                  <w:tcBorders>
                    <w:top w:val="nil"/>
                    <w:left w:val="nil"/>
                    <w:bottom w:val="nil"/>
                    <w:right w:val="nil"/>
                  </w:tcBorders>
                  <w:noWrap/>
                  <w:vAlign w:val="bottom"/>
                  <w:hideMark/>
                </w:tcPr>
                <w:p w14:paraId="42FD1BA6"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w:t>
                  </w:r>
                </w:p>
              </w:tc>
            </w:tr>
            <w:tr w:rsidR="006B1AFC" w:rsidRPr="006B71FB" w14:paraId="2131FAB1" w14:textId="77777777" w:rsidTr="003C4A79">
              <w:trPr>
                <w:trHeight w:val="255"/>
              </w:trPr>
              <w:tc>
                <w:tcPr>
                  <w:tcW w:w="3417" w:type="dxa"/>
                  <w:tcBorders>
                    <w:top w:val="single" w:sz="4" w:space="0" w:color="auto"/>
                    <w:left w:val="nil"/>
                    <w:bottom w:val="nil"/>
                    <w:right w:val="nil"/>
                  </w:tcBorders>
                  <w:vAlign w:val="bottom"/>
                  <w:hideMark/>
                </w:tcPr>
                <w:p w14:paraId="2C4E3F24" w14:textId="77777777" w:rsidR="006B1AFC" w:rsidRPr="006B71FB" w:rsidRDefault="006B1AFC" w:rsidP="003C4A79">
                  <w:pPr>
                    <w:spacing w:after="0" w:line="240" w:lineRule="auto"/>
                    <w:jc w:val="left"/>
                    <w:rPr>
                      <w:rFonts w:cs="Arial"/>
                      <w:color w:val="000000"/>
                      <w:sz w:val="16"/>
                      <w:szCs w:val="16"/>
                      <w:lang w:eastAsia="ko-KR"/>
                    </w:rPr>
                  </w:pPr>
                  <w:r w:rsidRPr="006B71FB">
                    <w:rPr>
                      <w:rFonts w:cs="Arial"/>
                      <w:color w:val="000000"/>
                      <w:sz w:val="16"/>
                      <w:szCs w:val="16"/>
                      <w:lang w:eastAsia="ko-KR"/>
                    </w:rPr>
                    <w:t>Počítače, elektron. a opt. přístroje a zařízení</w:t>
                  </w:r>
                </w:p>
              </w:tc>
              <w:tc>
                <w:tcPr>
                  <w:tcW w:w="700" w:type="dxa"/>
                  <w:tcBorders>
                    <w:top w:val="single" w:sz="4" w:space="0" w:color="auto"/>
                    <w:left w:val="nil"/>
                    <w:bottom w:val="nil"/>
                    <w:right w:val="nil"/>
                  </w:tcBorders>
                  <w:noWrap/>
                  <w:vAlign w:val="bottom"/>
                  <w:hideMark/>
                </w:tcPr>
                <w:p w14:paraId="50D90F69"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+14,5</w:t>
                  </w:r>
                </w:p>
              </w:tc>
              <w:tc>
                <w:tcPr>
                  <w:tcW w:w="700" w:type="dxa"/>
                  <w:tcBorders>
                    <w:top w:val="single" w:sz="4" w:space="0" w:color="auto"/>
                    <w:left w:val="nil"/>
                    <w:bottom w:val="nil"/>
                    <w:right w:val="nil"/>
                  </w:tcBorders>
                  <w:noWrap/>
                  <w:vAlign w:val="bottom"/>
                  <w:hideMark/>
                </w:tcPr>
                <w:p w14:paraId="32311CFE"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+13,2</w:t>
                  </w:r>
                </w:p>
              </w:tc>
            </w:tr>
            <w:tr w:rsidR="006B1AFC" w:rsidRPr="006B71FB" w14:paraId="714A1E52" w14:textId="77777777" w:rsidTr="003C4A79">
              <w:trPr>
                <w:trHeight w:val="255"/>
              </w:trPr>
              <w:tc>
                <w:tcPr>
                  <w:tcW w:w="3417" w:type="dxa"/>
                  <w:tcBorders>
                    <w:top w:val="nil"/>
                    <w:left w:val="nil"/>
                    <w:bottom w:val="nil"/>
                    <w:right w:val="nil"/>
                  </w:tcBorders>
                  <w:vAlign w:val="bottom"/>
                  <w:hideMark/>
                </w:tcPr>
                <w:p w14:paraId="156B178B" w14:textId="77777777" w:rsidR="006B1AFC" w:rsidRPr="006B71FB" w:rsidRDefault="006B1AFC" w:rsidP="003C4A79">
                  <w:pPr>
                    <w:spacing w:after="0" w:line="240" w:lineRule="auto"/>
                    <w:jc w:val="left"/>
                    <w:rPr>
                      <w:rFonts w:cs="Arial"/>
                      <w:color w:val="000000"/>
                      <w:sz w:val="16"/>
                      <w:szCs w:val="16"/>
                      <w:lang w:eastAsia="ko-KR"/>
                    </w:rPr>
                  </w:pPr>
                  <w:r w:rsidRPr="006B71FB">
                    <w:rPr>
                      <w:rFonts w:cs="Arial"/>
                      <w:color w:val="000000"/>
                      <w:sz w:val="16"/>
                      <w:szCs w:val="16"/>
                      <w:lang w:eastAsia="ko-KR"/>
                    </w:rPr>
                    <w:t>Motorová vozidla (kromě motocyklů) a díly</w:t>
                  </w:r>
                </w:p>
              </w:tc>
              <w:tc>
                <w:tcPr>
                  <w:tcW w:w="700" w:type="dxa"/>
                  <w:tcBorders>
                    <w:top w:val="nil"/>
                    <w:left w:val="nil"/>
                    <w:bottom w:val="nil"/>
                    <w:right w:val="nil"/>
                  </w:tcBorders>
                  <w:noWrap/>
                  <w:vAlign w:val="bottom"/>
                  <w:hideMark/>
                </w:tcPr>
                <w:p w14:paraId="4872EEA9"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+12,1</w:t>
                  </w:r>
                </w:p>
              </w:tc>
              <w:tc>
                <w:tcPr>
                  <w:tcW w:w="700" w:type="dxa"/>
                  <w:tcBorders>
                    <w:top w:val="nil"/>
                    <w:left w:val="nil"/>
                    <w:bottom w:val="nil"/>
                    <w:right w:val="nil"/>
                  </w:tcBorders>
                  <w:noWrap/>
                  <w:vAlign w:val="bottom"/>
                  <w:hideMark/>
                </w:tcPr>
                <w:p w14:paraId="7C3AA7F3"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+3,4</w:t>
                  </w:r>
                </w:p>
              </w:tc>
            </w:tr>
            <w:tr w:rsidR="006B1AFC" w:rsidRPr="006B71FB" w14:paraId="610A54C0" w14:textId="77777777" w:rsidTr="003C4A79">
              <w:trPr>
                <w:trHeight w:val="255"/>
              </w:trPr>
              <w:tc>
                <w:tcPr>
                  <w:tcW w:w="3417" w:type="dxa"/>
                  <w:tcBorders>
                    <w:top w:val="nil"/>
                    <w:left w:val="nil"/>
                    <w:bottom w:val="nil"/>
                    <w:right w:val="nil"/>
                  </w:tcBorders>
                  <w:vAlign w:val="bottom"/>
                  <w:hideMark/>
                </w:tcPr>
                <w:p w14:paraId="437A122C" w14:textId="77777777" w:rsidR="006B1AFC" w:rsidRPr="006B71FB" w:rsidRDefault="006B1AFC" w:rsidP="003C4A79">
                  <w:pPr>
                    <w:spacing w:after="0" w:line="240" w:lineRule="auto"/>
                    <w:jc w:val="left"/>
                    <w:rPr>
                      <w:rFonts w:cs="Arial"/>
                      <w:color w:val="000000"/>
                      <w:sz w:val="16"/>
                      <w:szCs w:val="16"/>
                      <w:lang w:eastAsia="ko-KR"/>
                    </w:rPr>
                  </w:pPr>
                  <w:r w:rsidRPr="006B71FB">
                    <w:rPr>
                      <w:rFonts w:cs="Arial"/>
                      <w:color w:val="000000"/>
                      <w:sz w:val="16"/>
                      <w:szCs w:val="16"/>
                      <w:lang w:eastAsia="ko-KR"/>
                    </w:rPr>
                    <w:t>Chemické látky a přípravky</w:t>
                  </w:r>
                </w:p>
              </w:tc>
              <w:tc>
                <w:tcPr>
                  <w:tcW w:w="700" w:type="dxa"/>
                  <w:tcBorders>
                    <w:top w:val="nil"/>
                    <w:left w:val="nil"/>
                    <w:bottom w:val="nil"/>
                    <w:right w:val="nil"/>
                  </w:tcBorders>
                  <w:noWrap/>
                  <w:vAlign w:val="bottom"/>
                  <w:hideMark/>
                </w:tcPr>
                <w:p w14:paraId="3D17E87E"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+9,0</w:t>
                  </w:r>
                </w:p>
              </w:tc>
              <w:tc>
                <w:tcPr>
                  <w:tcW w:w="700" w:type="dxa"/>
                  <w:tcBorders>
                    <w:top w:val="nil"/>
                    <w:left w:val="nil"/>
                    <w:bottom w:val="nil"/>
                    <w:right w:val="nil"/>
                  </w:tcBorders>
                  <w:noWrap/>
                  <w:vAlign w:val="bottom"/>
                  <w:hideMark/>
                </w:tcPr>
                <w:p w14:paraId="593F00B0"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+17,2</w:t>
                  </w:r>
                </w:p>
              </w:tc>
            </w:tr>
            <w:tr w:rsidR="006B1AFC" w:rsidRPr="006B71FB" w14:paraId="0D7B6801" w14:textId="77777777" w:rsidTr="003C4A79">
              <w:trPr>
                <w:trHeight w:val="255"/>
              </w:trPr>
              <w:tc>
                <w:tcPr>
                  <w:tcW w:w="3417" w:type="dxa"/>
                  <w:tcBorders>
                    <w:top w:val="nil"/>
                    <w:left w:val="nil"/>
                    <w:bottom w:val="nil"/>
                    <w:right w:val="nil"/>
                  </w:tcBorders>
                  <w:vAlign w:val="bottom"/>
                  <w:hideMark/>
                </w:tcPr>
                <w:p w14:paraId="64622A68" w14:textId="77777777" w:rsidR="006B1AFC" w:rsidRPr="006B71FB" w:rsidRDefault="006B1AFC" w:rsidP="003C4A79">
                  <w:pPr>
                    <w:spacing w:after="0" w:line="240" w:lineRule="auto"/>
                    <w:jc w:val="left"/>
                    <w:rPr>
                      <w:rFonts w:cs="Arial"/>
                      <w:color w:val="000000"/>
                      <w:sz w:val="16"/>
                      <w:szCs w:val="16"/>
                      <w:lang w:eastAsia="ko-KR"/>
                    </w:rPr>
                  </w:pPr>
                  <w:r w:rsidRPr="006B71FB">
                    <w:rPr>
                      <w:rFonts w:cs="Arial"/>
                      <w:color w:val="000000"/>
                      <w:sz w:val="16"/>
                      <w:szCs w:val="16"/>
                      <w:lang w:eastAsia="ko-KR"/>
                    </w:rPr>
                    <w:t>Elektřina, plyn, pára a klimatizovaný vzduch</w:t>
                  </w:r>
                </w:p>
              </w:tc>
              <w:tc>
                <w:tcPr>
                  <w:tcW w:w="700" w:type="dxa"/>
                  <w:tcBorders>
                    <w:top w:val="nil"/>
                    <w:left w:val="nil"/>
                    <w:bottom w:val="nil"/>
                    <w:right w:val="nil"/>
                  </w:tcBorders>
                  <w:noWrap/>
                  <w:vAlign w:val="bottom"/>
                  <w:hideMark/>
                </w:tcPr>
                <w:p w14:paraId="2501BDC3"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+6,6</w:t>
                  </w:r>
                </w:p>
              </w:tc>
              <w:tc>
                <w:tcPr>
                  <w:tcW w:w="700" w:type="dxa"/>
                  <w:tcBorders>
                    <w:top w:val="nil"/>
                    <w:left w:val="nil"/>
                    <w:bottom w:val="nil"/>
                    <w:right w:val="nil"/>
                  </w:tcBorders>
                  <w:noWrap/>
                  <w:vAlign w:val="bottom"/>
                  <w:hideMark/>
                </w:tcPr>
                <w:p w14:paraId="4ED99D7B"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+71,9</w:t>
                  </w:r>
                </w:p>
              </w:tc>
            </w:tr>
            <w:tr w:rsidR="006B1AFC" w:rsidRPr="006B71FB" w14:paraId="080B29CC" w14:textId="77777777" w:rsidTr="003C4A79">
              <w:trPr>
                <w:trHeight w:val="255"/>
              </w:trPr>
              <w:tc>
                <w:tcPr>
                  <w:tcW w:w="3417" w:type="dxa"/>
                  <w:tcBorders>
                    <w:top w:val="nil"/>
                    <w:left w:val="nil"/>
                    <w:bottom w:val="nil"/>
                    <w:right w:val="nil"/>
                  </w:tcBorders>
                  <w:vAlign w:val="bottom"/>
                  <w:hideMark/>
                </w:tcPr>
                <w:p w14:paraId="5251AC8E" w14:textId="77777777" w:rsidR="006B1AFC" w:rsidRPr="006B71FB" w:rsidRDefault="006B1AFC" w:rsidP="003C4A79">
                  <w:pPr>
                    <w:spacing w:after="0" w:line="240" w:lineRule="auto"/>
                    <w:jc w:val="left"/>
                    <w:rPr>
                      <w:rFonts w:cs="Arial"/>
                      <w:color w:val="000000"/>
                      <w:sz w:val="16"/>
                      <w:szCs w:val="16"/>
                      <w:lang w:eastAsia="ko-KR"/>
                    </w:rPr>
                  </w:pPr>
                  <w:r w:rsidRPr="006B71FB">
                    <w:rPr>
                      <w:rFonts w:cs="Arial"/>
                      <w:color w:val="000000"/>
                      <w:sz w:val="16"/>
                      <w:szCs w:val="16"/>
                      <w:lang w:eastAsia="ko-KR"/>
                    </w:rPr>
                    <w:t>Sběr, likvidace a zpracování odpadu</w:t>
                  </w:r>
                </w:p>
              </w:tc>
              <w:tc>
                <w:tcPr>
                  <w:tcW w:w="700" w:type="dxa"/>
                  <w:tcBorders>
                    <w:top w:val="nil"/>
                    <w:left w:val="nil"/>
                    <w:bottom w:val="nil"/>
                    <w:right w:val="nil"/>
                  </w:tcBorders>
                  <w:noWrap/>
                  <w:vAlign w:val="bottom"/>
                  <w:hideMark/>
                </w:tcPr>
                <w:p w14:paraId="22559449"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+3,8</w:t>
                  </w:r>
                </w:p>
              </w:tc>
              <w:tc>
                <w:tcPr>
                  <w:tcW w:w="700" w:type="dxa"/>
                  <w:tcBorders>
                    <w:top w:val="nil"/>
                    <w:left w:val="nil"/>
                    <w:bottom w:val="nil"/>
                    <w:right w:val="nil"/>
                  </w:tcBorders>
                  <w:noWrap/>
                  <w:vAlign w:val="bottom"/>
                  <w:hideMark/>
                </w:tcPr>
                <w:p w14:paraId="4826800C"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+31,5</w:t>
                  </w:r>
                </w:p>
              </w:tc>
            </w:tr>
            <w:tr w:rsidR="006B1AFC" w:rsidRPr="006B71FB" w14:paraId="13D5650D" w14:textId="77777777" w:rsidTr="003C4A79">
              <w:trPr>
                <w:trHeight w:val="255"/>
              </w:trPr>
              <w:tc>
                <w:tcPr>
                  <w:tcW w:w="3417" w:type="dxa"/>
                  <w:tcBorders>
                    <w:top w:val="nil"/>
                    <w:left w:val="nil"/>
                    <w:bottom w:val="nil"/>
                    <w:right w:val="nil"/>
                  </w:tcBorders>
                  <w:vAlign w:val="bottom"/>
                  <w:hideMark/>
                </w:tcPr>
                <w:p w14:paraId="2F4F3DFE" w14:textId="77777777" w:rsidR="006B1AFC" w:rsidRPr="006B71FB" w:rsidRDefault="006B1AFC" w:rsidP="003C4A79">
                  <w:pPr>
                    <w:spacing w:after="0" w:line="240" w:lineRule="auto"/>
                    <w:jc w:val="left"/>
                    <w:rPr>
                      <w:rFonts w:cs="Arial"/>
                      <w:color w:val="000000"/>
                      <w:sz w:val="16"/>
                      <w:szCs w:val="16"/>
                      <w:lang w:eastAsia="ko-KR"/>
                    </w:rPr>
                  </w:pPr>
                  <w:r w:rsidRPr="006B71FB">
                    <w:rPr>
                      <w:rFonts w:cs="Arial"/>
                      <w:color w:val="000000"/>
                      <w:sz w:val="16"/>
                      <w:szCs w:val="16"/>
                      <w:lang w:eastAsia="ko-KR"/>
                    </w:rPr>
                    <w:t>Produkty zemědělství a myslivosti</w:t>
                  </w:r>
                </w:p>
              </w:tc>
              <w:tc>
                <w:tcPr>
                  <w:tcW w:w="700" w:type="dxa"/>
                  <w:tcBorders>
                    <w:top w:val="nil"/>
                    <w:left w:val="nil"/>
                    <w:bottom w:val="nil"/>
                    <w:right w:val="nil"/>
                  </w:tcBorders>
                  <w:noWrap/>
                  <w:vAlign w:val="bottom"/>
                  <w:hideMark/>
                </w:tcPr>
                <w:p w14:paraId="0E0A0CAC"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+3,2</w:t>
                  </w:r>
                </w:p>
              </w:tc>
              <w:tc>
                <w:tcPr>
                  <w:tcW w:w="700" w:type="dxa"/>
                  <w:tcBorders>
                    <w:top w:val="nil"/>
                    <w:left w:val="nil"/>
                    <w:bottom w:val="nil"/>
                    <w:right w:val="nil"/>
                  </w:tcBorders>
                  <w:noWrap/>
                  <w:vAlign w:val="bottom"/>
                  <w:hideMark/>
                </w:tcPr>
                <w:p w14:paraId="3294DC55"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+24,4</w:t>
                  </w:r>
                </w:p>
              </w:tc>
            </w:tr>
            <w:tr w:rsidR="006B1AFC" w:rsidRPr="006B71FB" w14:paraId="6B71C8AA" w14:textId="77777777" w:rsidTr="003C4A79">
              <w:trPr>
                <w:trHeight w:val="255"/>
              </w:trPr>
              <w:tc>
                <w:tcPr>
                  <w:tcW w:w="3417" w:type="dxa"/>
                  <w:tcBorders>
                    <w:top w:val="nil"/>
                    <w:left w:val="nil"/>
                    <w:bottom w:val="nil"/>
                    <w:right w:val="nil"/>
                  </w:tcBorders>
                  <w:vAlign w:val="bottom"/>
                  <w:hideMark/>
                </w:tcPr>
                <w:p w14:paraId="7C9251BA" w14:textId="77777777" w:rsidR="006B1AFC" w:rsidRPr="006B71FB" w:rsidRDefault="006B1AFC" w:rsidP="003C4A79">
                  <w:pPr>
                    <w:spacing w:after="0" w:line="240" w:lineRule="auto"/>
                    <w:jc w:val="left"/>
                    <w:rPr>
                      <w:rFonts w:cs="Arial"/>
                      <w:color w:val="000000"/>
                      <w:sz w:val="16"/>
                      <w:szCs w:val="16"/>
                      <w:lang w:eastAsia="ko-KR"/>
                    </w:rPr>
                  </w:pPr>
                  <w:r w:rsidRPr="006B71FB">
                    <w:rPr>
                      <w:rFonts w:cs="Arial"/>
                      <w:color w:val="000000"/>
                      <w:sz w:val="16"/>
                      <w:szCs w:val="16"/>
                      <w:lang w:eastAsia="ko-KR"/>
                    </w:rPr>
                    <w:t>Stroje a zařízení j. n.</w:t>
                  </w:r>
                </w:p>
              </w:tc>
              <w:tc>
                <w:tcPr>
                  <w:tcW w:w="700" w:type="dxa"/>
                  <w:tcBorders>
                    <w:top w:val="nil"/>
                    <w:left w:val="nil"/>
                    <w:bottom w:val="nil"/>
                    <w:right w:val="nil"/>
                  </w:tcBorders>
                  <w:noWrap/>
                  <w:vAlign w:val="bottom"/>
                  <w:hideMark/>
                </w:tcPr>
                <w:p w14:paraId="14563AA5"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+2,8</w:t>
                  </w:r>
                </w:p>
              </w:tc>
              <w:tc>
                <w:tcPr>
                  <w:tcW w:w="700" w:type="dxa"/>
                  <w:tcBorders>
                    <w:top w:val="nil"/>
                    <w:left w:val="nil"/>
                    <w:bottom w:val="nil"/>
                    <w:right w:val="nil"/>
                  </w:tcBorders>
                  <w:noWrap/>
                  <w:vAlign w:val="bottom"/>
                  <w:hideMark/>
                </w:tcPr>
                <w:p w14:paraId="4B1478F9"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+2,1</w:t>
                  </w:r>
                </w:p>
              </w:tc>
            </w:tr>
            <w:tr w:rsidR="006B1AFC" w:rsidRPr="006B71FB" w14:paraId="4E8E6F00" w14:textId="77777777" w:rsidTr="003C4A79">
              <w:trPr>
                <w:trHeight w:val="255"/>
              </w:trPr>
              <w:tc>
                <w:tcPr>
                  <w:tcW w:w="3417" w:type="dxa"/>
                  <w:tcBorders>
                    <w:top w:val="nil"/>
                    <w:left w:val="nil"/>
                    <w:bottom w:val="nil"/>
                    <w:right w:val="nil"/>
                  </w:tcBorders>
                  <w:vAlign w:val="bottom"/>
                  <w:hideMark/>
                </w:tcPr>
                <w:p w14:paraId="072C044B" w14:textId="77777777" w:rsidR="006B1AFC" w:rsidRPr="006B71FB" w:rsidRDefault="006B1AFC" w:rsidP="003C4A79">
                  <w:pPr>
                    <w:spacing w:after="0" w:line="240" w:lineRule="auto"/>
                    <w:jc w:val="left"/>
                    <w:rPr>
                      <w:rFonts w:cs="Arial"/>
                      <w:color w:val="000000"/>
                      <w:sz w:val="16"/>
                      <w:szCs w:val="16"/>
                      <w:lang w:eastAsia="ko-KR"/>
                    </w:rPr>
                  </w:pPr>
                  <w:r w:rsidRPr="006B71FB">
                    <w:rPr>
                      <w:rFonts w:cs="Arial"/>
                      <w:color w:val="000000"/>
                      <w:sz w:val="16"/>
                      <w:szCs w:val="16"/>
                      <w:lang w:eastAsia="ko-KR"/>
                    </w:rPr>
                    <w:t>Základní kovy</w:t>
                  </w:r>
                </w:p>
              </w:tc>
              <w:tc>
                <w:tcPr>
                  <w:tcW w:w="700" w:type="dxa"/>
                  <w:tcBorders>
                    <w:top w:val="nil"/>
                    <w:left w:val="nil"/>
                    <w:bottom w:val="nil"/>
                    <w:right w:val="nil"/>
                  </w:tcBorders>
                  <w:noWrap/>
                  <w:vAlign w:val="bottom"/>
                  <w:hideMark/>
                </w:tcPr>
                <w:p w14:paraId="3EAD5F54"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+2,5</w:t>
                  </w:r>
                </w:p>
              </w:tc>
              <w:tc>
                <w:tcPr>
                  <w:tcW w:w="700" w:type="dxa"/>
                  <w:tcBorders>
                    <w:top w:val="nil"/>
                    <w:left w:val="nil"/>
                    <w:bottom w:val="nil"/>
                    <w:right w:val="nil"/>
                  </w:tcBorders>
                  <w:noWrap/>
                  <w:vAlign w:val="bottom"/>
                  <w:hideMark/>
                </w:tcPr>
                <w:p w14:paraId="1C2EE831"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+6,2</w:t>
                  </w:r>
                </w:p>
              </w:tc>
            </w:tr>
            <w:tr w:rsidR="006B1AFC" w:rsidRPr="006B71FB" w14:paraId="4EDF2357" w14:textId="77777777" w:rsidTr="003C4A79">
              <w:trPr>
                <w:trHeight w:val="255"/>
              </w:trPr>
              <w:tc>
                <w:tcPr>
                  <w:tcW w:w="3417" w:type="dxa"/>
                  <w:tcBorders>
                    <w:top w:val="nil"/>
                    <w:left w:val="nil"/>
                    <w:bottom w:val="nil"/>
                    <w:right w:val="nil"/>
                  </w:tcBorders>
                  <w:vAlign w:val="bottom"/>
                  <w:hideMark/>
                </w:tcPr>
                <w:p w14:paraId="49452C9D" w14:textId="77777777" w:rsidR="006B1AFC" w:rsidRPr="006B71FB" w:rsidRDefault="006B1AFC" w:rsidP="003C4A79">
                  <w:pPr>
                    <w:spacing w:after="0" w:line="240" w:lineRule="auto"/>
                    <w:jc w:val="left"/>
                    <w:rPr>
                      <w:rFonts w:cs="Arial"/>
                      <w:color w:val="000000"/>
                      <w:sz w:val="16"/>
                      <w:szCs w:val="16"/>
                      <w:lang w:eastAsia="ko-KR"/>
                    </w:rPr>
                  </w:pPr>
                  <w:r w:rsidRPr="006B71FB">
                    <w:rPr>
                      <w:rFonts w:cs="Arial"/>
                      <w:color w:val="000000"/>
                      <w:sz w:val="16"/>
                      <w:szCs w:val="16"/>
                      <w:lang w:eastAsia="ko-KR"/>
                    </w:rPr>
                    <w:t>Ostatní dopravní prostředky a zařízení</w:t>
                  </w:r>
                </w:p>
              </w:tc>
              <w:tc>
                <w:tcPr>
                  <w:tcW w:w="700" w:type="dxa"/>
                  <w:tcBorders>
                    <w:top w:val="nil"/>
                    <w:left w:val="nil"/>
                    <w:bottom w:val="nil"/>
                    <w:right w:val="nil"/>
                  </w:tcBorders>
                  <w:noWrap/>
                  <w:vAlign w:val="bottom"/>
                  <w:hideMark/>
                </w:tcPr>
                <w:p w14:paraId="7DCD6629"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+1,7</w:t>
                  </w:r>
                </w:p>
              </w:tc>
              <w:tc>
                <w:tcPr>
                  <w:tcW w:w="700" w:type="dxa"/>
                  <w:tcBorders>
                    <w:top w:val="nil"/>
                    <w:left w:val="nil"/>
                    <w:bottom w:val="nil"/>
                    <w:right w:val="nil"/>
                  </w:tcBorders>
                  <w:noWrap/>
                  <w:vAlign w:val="bottom"/>
                  <w:hideMark/>
                </w:tcPr>
                <w:p w14:paraId="4BD53F03"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+6,4</w:t>
                  </w:r>
                </w:p>
              </w:tc>
            </w:tr>
            <w:tr w:rsidR="006B1AFC" w:rsidRPr="006B71FB" w14:paraId="3C05DC03" w14:textId="77777777" w:rsidTr="003C4A79">
              <w:trPr>
                <w:trHeight w:val="255"/>
              </w:trPr>
              <w:tc>
                <w:tcPr>
                  <w:tcW w:w="3417" w:type="dxa"/>
                  <w:tcBorders>
                    <w:top w:val="nil"/>
                    <w:left w:val="nil"/>
                    <w:bottom w:val="nil"/>
                    <w:right w:val="nil"/>
                  </w:tcBorders>
                  <w:vAlign w:val="bottom"/>
                  <w:hideMark/>
                </w:tcPr>
                <w:p w14:paraId="615BA4DC" w14:textId="77777777" w:rsidR="006B1AFC" w:rsidRPr="006B71FB" w:rsidRDefault="006B1AFC" w:rsidP="003C4A79">
                  <w:pPr>
                    <w:spacing w:after="0" w:line="240" w:lineRule="auto"/>
                    <w:jc w:val="left"/>
                    <w:rPr>
                      <w:rFonts w:cs="Arial"/>
                      <w:color w:val="000000"/>
                      <w:sz w:val="16"/>
                      <w:szCs w:val="16"/>
                      <w:lang w:eastAsia="ko-KR"/>
                    </w:rPr>
                  </w:pPr>
                  <w:r w:rsidRPr="006B71FB">
                    <w:rPr>
                      <w:rFonts w:cs="Arial"/>
                      <w:color w:val="000000"/>
                      <w:sz w:val="16"/>
                      <w:szCs w:val="16"/>
                      <w:lang w:eastAsia="ko-KR"/>
                    </w:rPr>
                    <w:t>Ropa a zemní plyn</w:t>
                  </w:r>
                </w:p>
              </w:tc>
              <w:tc>
                <w:tcPr>
                  <w:tcW w:w="700" w:type="dxa"/>
                  <w:tcBorders>
                    <w:top w:val="nil"/>
                    <w:left w:val="nil"/>
                    <w:bottom w:val="nil"/>
                    <w:right w:val="nil"/>
                  </w:tcBorders>
                  <w:noWrap/>
                  <w:vAlign w:val="bottom"/>
                  <w:hideMark/>
                </w:tcPr>
                <w:p w14:paraId="13D0671D"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+1,5</w:t>
                  </w:r>
                </w:p>
              </w:tc>
              <w:tc>
                <w:tcPr>
                  <w:tcW w:w="700" w:type="dxa"/>
                  <w:tcBorders>
                    <w:top w:val="nil"/>
                    <w:left w:val="nil"/>
                    <w:bottom w:val="nil"/>
                    <w:right w:val="nil"/>
                  </w:tcBorders>
                  <w:noWrap/>
                  <w:vAlign w:val="bottom"/>
                  <w:hideMark/>
                </w:tcPr>
                <w:p w14:paraId="3D10792F"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+864,0</w:t>
                  </w:r>
                </w:p>
              </w:tc>
            </w:tr>
            <w:tr w:rsidR="006B1AFC" w:rsidRPr="006B71FB" w14:paraId="579FEB11" w14:textId="77777777" w:rsidTr="003C4A79">
              <w:trPr>
                <w:trHeight w:val="255"/>
              </w:trPr>
              <w:tc>
                <w:tcPr>
                  <w:tcW w:w="3417" w:type="dxa"/>
                  <w:tcBorders>
                    <w:top w:val="nil"/>
                    <w:left w:val="nil"/>
                    <w:bottom w:val="nil"/>
                    <w:right w:val="nil"/>
                  </w:tcBorders>
                  <w:vAlign w:val="bottom"/>
                  <w:hideMark/>
                </w:tcPr>
                <w:p w14:paraId="47D6340F" w14:textId="77777777" w:rsidR="006B1AFC" w:rsidRPr="006B71FB" w:rsidRDefault="006B1AFC" w:rsidP="003C4A79">
                  <w:pPr>
                    <w:spacing w:after="0" w:line="240" w:lineRule="auto"/>
                    <w:jc w:val="left"/>
                    <w:rPr>
                      <w:rFonts w:cs="Arial"/>
                      <w:color w:val="000000"/>
                      <w:sz w:val="16"/>
                      <w:szCs w:val="16"/>
                      <w:lang w:eastAsia="ko-KR"/>
                    </w:rPr>
                  </w:pPr>
                  <w:r w:rsidRPr="006B71FB">
                    <w:rPr>
                      <w:rFonts w:cs="Arial"/>
                      <w:color w:val="000000"/>
                      <w:sz w:val="16"/>
                      <w:szCs w:val="16"/>
                      <w:lang w:eastAsia="ko-KR"/>
                    </w:rPr>
                    <w:t>Ostatní výrobky zpracovatelského průmyslu</w:t>
                  </w:r>
                </w:p>
              </w:tc>
              <w:tc>
                <w:tcPr>
                  <w:tcW w:w="700" w:type="dxa"/>
                  <w:tcBorders>
                    <w:top w:val="nil"/>
                    <w:left w:val="nil"/>
                    <w:bottom w:val="nil"/>
                    <w:right w:val="nil"/>
                  </w:tcBorders>
                  <w:noWrap/>
                  <w:vAlign w:val="bottom"/>
                  <w:hideMark/>
                </w:tcPr>
                <w:p w14:paraId="7F97FC89"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+1,5</w:t>
                  </w:r>
                </w:p>
              </w:tc>
              <w:tc>
                <w:tcPr>
                  <w:tcW w:w="700" w:type="dxa"/>
                  <w:tcBorders>
                    <w:top w:val="nil"/>
                    <w:left w:val="nil"/>
                    <w:bottom w:val="nil"/>
                    <w:right w:val="nil"/>
                  </w:tcBorders>
                  <w:noWrap/>
                  <w:vAlign w:val="bottom"/>
                  <w:hideMark/>
                </w:tcPr>
                <w:p w14:paraId="04C012DA"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+5,4</w:t>
                  </w:r>
                </w:p>
              </w:tc>
            </w:tr>
            <w:tr w:rsidR="006B1AFC" w:rsidRPr="006B71FB" w14:paraId="601962ED" w14:textId="77777777" w:rsidTr="003C4A79">
              <w:trPr>
                <w:trHeight w:val="255"/>
              </w:trPr>
              <w:tc>
                <w:tcPr>
                  <w:tcW w:w="3417" w:type="dxa"/>
                  <w:tcBorders>
                    <w:top w:val="nil"/>
                    <w:left w:val="nil"/>
                    <w:bottom w:val="nil"/>
                    <w:right w:val="nil"/>
                  </w:tcBorders>
                  <w:vAlign w:val="bottom"/>
                  <w:hideMark/>
                </w:tcPr>
                <w:p w14:paraId="2D09DC05" w14:textId="77777777" w:rsidR="006B1AFC" w:rsidRPr="006B71FB" w:rsidRDefault="006B1AFC" w:rsidP="003C4A79">
                  <w:pPr>
                    <w:spacing w:after="0" w:line="240" w:lineRule="auto"/>
                    <w:jc w:val="left"/>
                    <w:rPr>
                      <w:rFonts w:cs="Arial"/>
                      <w:color w:val="000000"/>
                      <w:sz w:val="16"/>
                      <w:szCs w:val="16"/>
                      <w:lang w:eastAsia="ko-KR"/>
                    </w:rPr>
                  </w:pPr>
                  <w:r w:rsidRPr="006B71FB">
                    <w:rPr>
                      <w:rFonts w:cs="Arial"/>
                      <w:color w:val="000000"/>
                      <w:sz w:val="16"/>
                      <w:szCs w:val="16"/>
                      <w:lang w:eastAsia="ko-KR"/>
                    </w:rPr>
                    <w:t>Pryžové a plastové výrobky</w:t>
                  </w:r>
                </w:p>
              </w:tc>
              <w:tc>
                <w:tcPr>
                  <w:tcW w:w="700" w:type="dxa"/>
                  <w:tcBorders>
                    <w:top w:val="nil"/>
                    <w:left w:val="nil"/>
                    <w:bottom w:val="nil"/>
                    <w:right w:val="nil"/>
                  </w:tcBorders>
                  <w:noWrap/>
                  <w:vAlign w:val="bottom"/>
                  <w:hideMark/>
                </w:tcPr>
                <w:p w14:paraId="6E4A746B"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+1,3</w:t>
                  </w:r>
                </w:p>
              </w:tc>
              <w:tc>
                <w:tcPr>
                  <w:tcW w:w="700" w:type="dxa"/>
                  <w:tcBorders>
                    <w:top w:val="nil"/>
                    <w:left w:val="nil"/>
                    <w:bottom w:val="nil"/>
                    <w:right w:val="nil"/>
                  </w:tcBorders>
                  <w:noWrap/>
                  <w:vAlign w:val="bottom"/>
                  <w:hideMark/>
                </w:tcPr>
                <w:p w14:paraId="39612D73"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+2,2</w:t>
                  </w:r>
                </w:p>
              </w:tc>
            </w:tr>
            <w:tr w:rsidR="006B1AFC" w:rsidRPr="006B71FB" w14:paraId="3955F221" w14:textId="77777777" w:rsidTr="003C4A79">
              <w:trPr>
                <w:trHeight w:val="255"/>
              </w:trPr>
              <w:tc>
                <w:tcPr>
                  <w:tcW w:w="3417" w:type="dxa"/>
                  <w:tcBorders>
                    <w:top w:val="nil"/>
                    <w:left w:val="nil"/>
                    <w:bottom w:val="nil"/>
                    <w:right w:val="nil"/>
                  </w:tcBorders>
                  <w:vAlign w:val="bottom"/>
                  <w:hideMark/>
                </w:tcPr>
                <w:p w14:paraId="48F5093F" w14:textId="77777777" w:rsidR="006B1AFC" w:rsidRPr="006B71FB" w:rsidRDefault="006B1AFC" w:rsidP="003C4A79">
                  <w:pPr>
                    <w:spacing w:after="0" w:line="240" w:lineRule="auto"/>
                    <w:jc w:val="left"/>
                    <w:rPr>
                      <w:rFonts w:cs="Arial"/>
                      <w:color w:val="000000"/>
                      <w:sz w:val="16"/>
                      <w:szCs w:val="16"/>
                      <w:lang w:eastAsia="ko-KR"/>
                    </w:rPr>
                  </w:pPr>
                  <w:r w:rsidRPr="006B71FB">
                    <w:rPr>
                      <w:rFonts w:cs="Arial"/>
                      <w:color w:val="000000"/>
                      <w:sz w:val="16"/>
                      <w:szCs w:val="16"/>
                      <w:lang w:eastAsia="ko-KR"/>
                    </w:rPr>
                    <w:t>Základní farmaceutické výrobky a přípravky</w:t>
                  </w:r>
                </w:p>
              </w:tc>
              <w:tc>
                <w:tcPr>
                  <w:tcW w:w="700" w:type="dxa"/>
                  <w:tcBorders>
                    <w:top w:val="nil"/>
                    <w:left w:val="nil"/>
                    <w:bottom w:val="nil"/>
                    <w:right w:val="nil"/>
                  </w:tcBorders>
                  <w:noWrap/>
                  <w:vAlign w:val="bottom"/>
                  <w:hideMark/>
                </w:tcPr>
                <w:p w14:paraId="7B7085FB"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+1,2</w:t>
                  </w:r>
                </w:p>
              </w:tc>
              <w:tc>
                <w:tcPr>
                  <w:tcW w:w="700" w:type="dxa"/>
                  <w:tcBorders>
                    <w:top w:val="nil"/>
                    <w:left w:val="nil"/>
                    <w:bottom w:val="nil"/>
                    <w:right w:val="nil"/>
                  </w:tcBorders>
                  <w:noWrap/>
                  <w:vAlign w:val="bottom"/>
                  <w:hideMark/>
                </w:tcPr>
                <w:p w14:paraId="26D0F50E"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+6,2</w:t>
                  </w:r>
                </w:p>
              </w:tc>
            </w:tr>
            <w:tr w:rsidR="006B1AFC" w:rsidRPr="006B71FB" w14:paraId="11B09D55" w14:textId="77777777" w:rsidTr="003C4A79">
              <w:trPr>
                <w:trHeight w:val="255"/>
              </w:trPr>
              <w:tc>
                <w:tcPr>
                  <w:tcW w:w="3417" w:type="dxa"/>
                  <w:tcBorders>
                    <w:top w:val="nil"/>
                    <w:left w:val="nil"/>
                    <w:bottom w:val="nil"/>
                    <w:right w:val="nil"/>
                  </w:tcBorders>
                  <w:vAlign w:val="bottom"/>
                  <w:hideMark/>
                </w:tcPr>
                <w:p w14:paraId="31369FE0" w14:textId="77777777" w:rsidR="006B1AFC" w:rsidRPr="006B71FB" w:rsidRDefault="006B1AFC" w:rsidP="003C4A79">
                  <w:pPr>
                    <w:spacing w:after="0" w:line="240" w:lineRule="auto"/>
                    <w:jc w:val="left"/>
                    <w:rPr>
                      <w:rFonts w:cs="Arial"/>
                      <w:color w:val="000000"/>
                      <w:sz w:val="16"/>
                      <w:szCs w:val="16"/>
                      <w:lang w:eastAsia="ko-KR"/>
                    </w:rPr>
                  </w:pPr>
                  <w:r w:rsidRPr="006B71FB">
                    <w:rPr>
                      <w:rFonts w:cs="Arial"/>
                      <w:color w:val="000000"/>
                      <w:sz w:val="16"/>
                      <w:szCs w:val="16"/>
                      <w:lang w:eastAsia="ko-KR"/>
                    </w:rPr>
                    <w:t>Černé a hnědé uhlí a lignit</w:t>
                  </w:r>
                </w:p>
              </w:tc>
              <w:tc>
                <w:tcPr>
                  <w:tcW w:w="700" w:type="dxa"/>
                  <w:tcBorders>
                    <w:top w:val="nil"/>
                    <w:left w:val="nil"/>
                    <w:bottom w:val="nil"/>
                    <w:right w:val="nil"/>
                  </w:tcBorders>
                  <w:noWrap/>
                  <w:vAlign w:val="bottom"/>
                  <w:hideMark/>
                </w:tcPr>
                <w:p w14:paraId="17A01D95" w14:textId="77777777" w:rsidR="006B1AFC" w:rsidRPr="006B71FB"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6B71FB">
                    <w:rPr>
                      <w:rFonts w:cs="Arial"/>
                      <w:color w:val="000000"/>
                      <w:sz w:val="16"/>
                      <w:szCs w:val="16"/>
                      <w:lang w:eastAsia="ko-KR"/>
                    </w:rPr>
                    <w:t>0,7</w:t>
                  </w:r>
                </w:p>
              </w:tc>
              <w:tc>
                <w:tcPr>
                  <w:tcW w:w="700" w:type="dxa"/>
                  <w:tcBorders>
                    <w:top w:val="nil"/>
                    <w:left w:val="nil"/>
                    <w:bottom w:val="nil"/>
                    <w:right w:val="nil"/>
                  </w:tcBorders>
                  <w:noWrap/>
                  <w:vAlign w:val="bottom"/>
                  <w:hideMark/>
                </w:tcPr>
                <w:p w14:paraId="749BA25C" w14:textId="77777777" w:rsidR="006B1AFC" w:rsidRPr="006B71FB"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6B71FB">
                    <w:rPr>
                      <w:rFonts w:cs="Arial"/>
                      <w:color w:val="000000"/>
                      <w:sz w:val="16"/>
                      <w:szCs w:val="16"/>
                      <w:lang w:eastAsia="ko-KR"/>
                    </w:rPr>
                    <w:t>44,2</w:t>
                  </w:r>
                </w:p>
              </w:tc>
            </w:tr>
            <w:tr w:rsidR="006B1AFC" w:rsidRPr="006B71FB" w14:paraId="3DE4E988" w14:textId="77777777" w:rsidTr="003C4A79">
              <w:trPr>
                <w:trHeight w:val="255"/>
              </w:trPr>
              <w:tc>
                <w:tcPr>
                  <w:tcW w:w="3417" w:type="dxa"/>
                  <w:tcBorders>
                    <w:top w:val="nil"/>
                    <w:left w:val="nil"/>
                    <w:bottom w:val="nil"/>
                    <w:right w:val="nil"/>
                  </w:tcBorders>
                  <w:vAlign w:val="bottom"/>
                  <w:hideMark/>
                </w:tcPr>
                <w:p w14:paraId="3F908DBC" w14:textId="77777777" w:rsidR="006B1AFC" w:rsidRPr="006B71FB" w:rsidRDefault="006B1AFC" w:rsidP="003C4A79">
                  <w:pPr>
                    <w:spacing w:after="0" w:line="240" w:lineRule="auto"/>
                    <w:jc w:val="left"/>
                    <w:rPr>
                      <w:rFonts w:cs="Arial"/>
                      <w:color w:val="000000"/>
                      <w:sz w:val="16"/>
                      <w:szCs w:val="16"/>
                      <w:lang w:eastAsia="ko-KR"/>
                    </w:rPr>
                  </w:pPr>
                  <w:r w:rsidRPr="006B71FB">
                    <w:rPr>
                      <w:rFonts w:cs="Arial"/>
                      <w:color w:val="000000"/>
                      <w:sz w:val="16"/>
                      <w:szCs w:val="16"/>
                      <w:lang w:eastAsia="ko-KR"/>
                    </w:rPr>
                    <w:t>Potravinářské výrobky</w:t>
                  </w:r>
                </w:p>
              </w:tc>
              <w:tc>
                <w:tcPr>
                  <w:tcW w:w="700" w:type="dxa"/>
                  <w:tcBorders>
                    <w:top w:val="nil"/>
                    <w:left w:val="nil"/>
                    <w:bottom w:val="nil"/>
                    <w:right w:val="nil"/>
                  </w:tcBorders>
                  <w:noWrap/>
                  <w:vAlign w:val="bottom"/>
                  <w:hideMark/>
                </w:tcPr>
                <w:p w14:paraId="279A468E" w14:textId="77777777" w:rsidR="006B1AFC" w:rsidRPr="006B71FB"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6B71FB">
                    <w:rPr>
                      <w:rFonts w:cs="Arial"/>
                      <w:color w:val="000000"/>
                      <w:sz w:val="16"/>
                      <w:szCs w:val="16"/>
                      <w:lang w:eastAsia="ko-KR"/>
                    </w:rPr>
                    <w:t>1,1</w:t>
                  </w:r>
                </w:p>
              </w:tc>
              <w:tc>
                <w:tcPr>
                  <w:tcW w:w="700" w:type="dxa"/>
                  <w:tcBorders>
                    <w:top w:val="nil"/>
                    <w:left w:val="nil"/>
                    <w:bottom w:val="nil"/>
                    <w:right w:val="nil"/>
                  </w:tcBorders>
                  <w:noWrap/>
                  <w:vAlign w:val="bottom"/>
                  <w:hideMark/>
                </w:tcPr>
                <w:p w14:paraId="64918695" w14:textId="77777777" w:rsidR="006B1AFC" w:rsidRPr="006B71FB"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6B71FB">
                    <w:rPr>
                      <w:rFonts w:cs="Arial"/>
                      <w:color w:val="000000"/>
                      <w:sz w:val="16"/>
                      <w:szCs w:val="16"/>
                      <w:lang w:eastAsia="ko-KR"/>
                    </w:rPr>
                    <w:t>2,2</w:t>
                  </w:r>
                </w:p>
              </w:tc>
            </w:tr>
          </w:tbl>
          <w:p w14:paraId="11DFD35C" w14:textId="77777777" w:rsidR="006B1AFC" w:rsidRDefault="006B1AFC" w:rsidP="003C4A79">
            <w:pPr>
              <w:spacing w:after="0"/>
              <w:rPr>
                <w:spacing w:val="-4"/>
                <w:lang w:eastAsia="en-US"/>
              </w:rPr>
            </w:pPr>
          </w:p>
        </w:tc>
        <w:tc>
          <w:tcPr>
            <w:tcW w:w="57" w:type="dxa"/>
          </w:tcPr>
          <w:p w14:paraId="52BC38CD" w14:textId="77777777" w:rsidR="006B1AFC" w:rsidRDefault="006B1AFC" w:rsidP="003C4A79">
            <w:pPr>
              <w:spacing w:after="0"/>
              <w:rPr>
                <w:spacing w:val="-4"/>
                <w:lang w:eastAsia="en-US"/>
              </w:rPr>
            </w:pPr>
          </w:p>
        </w:tc>
        <w:tc>
          <w:tcPr>
            <w:tcW w:w="4809" w:type="dxa"/>
            <w:hideMark/>
          </w:tcPr>
          <w:tbl>
            <w:tblPr>
              <w:tblW w:w="4762" w:type="dxa"/>
              <w:tblLayout w:type="fixed"/>
              <w:tblCellMar>
                <w:left w:w="70" w:type="dxa"/>
                <w:right w:w="70" w:type="dxa"/>
              </w:tblCellMar>
              <w:tblLook w:val="04A0" w:firstRow="1" w:lastRow="0" w:firstColumn="1" w:lastColumn="0" w:noHBand="0" w:noVBand="1"/>
            </w:tblPr>
            <w:tblGrid>
              <w:gridCol w:w="3362"/>
              <w:gridCol w:w="700"/>
              <w:gridCol w:w="700"/>
            </w:tblGrid>
            <w:tr w:rsidR="006B1AFC" w:rsidRPr="006B71FB" w14:paraId="1769DF6D" w14:textId="77777777" w:rsidTr="003C4A79">
              <w:trPr>
                <w:trHeight w:val="255"/>
              </w:trPr>
              <w:tc>
                <w:tcPr>
                  <w:tcW w:w="3362" w:type="dxa"/>
                  <w:tcBorders>
                    <w:top w:val="nil"/>
                    <w:left w:val="nil"/>
                    <w:bottom w:val="nil"/>
                    <w:right w:val="nil"/>
                  </w:tcBorders>
                  <w:noWrap/>
                  <w:vAlign w:val="bottom"/>
                  <w:hideMark/>
                </w:tcPr>
                <w:p w14:paraId="19DBFC26" w14:textId="77777777" w:rsidR="006B1AFC" w:rsidRPr="003E55AB" w:rsidRDefault="006B1AFC" w:rsidP="003C4A79">
                  <w:pPr>
                    <w:spacing w:after="0" w:line="240" w:lineRule="auto"/>
                    <w:jc w:val="left"/>
                    <w:rPr>
                      <w:rFonts w:cs="Arial"/>
                      <w:szCs w:val="20"/>
                      <w:lang w:eastAsia="ko-KR"/>
                    </w:rPr>
                  </w:pPr>
                </w:p>
              </w:tc>
              <w:tc>
                <w:tcPr>
                  <w:tcW w:w="700" w:type="dxa"/>
                  <w:tcBorders>
                    <w:top w:val="nil"/>
                    <w:left w:val="nil"/>
                    <w:bottom w:val="nil"/>
                    <w:right w:val="nil"/>
                  </w:tcBorders>
                  <w:noWrap/>
                  <w:vAlign w:val="bottom"/>
                  <w:hideMark/>
                </w:tcPr>
                <w:p w14:paraId="2764F1F5"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mld. Kč</w:t>
                  </w:r>
                </w:p>
              </w:tc>
              <w:tc>
                <w:tcPr>
                  <w:tcW w:w="700" w:type="dxa"/>
                  <w:tcBorders>
                    <w:top w:val="nil"/>
                    <w:left w:val="nil"/>
                    <w:bottom w:val="nil"/>
                    <w:right w:val="nil"/>
                  </w:tcBorders>
                  <w:noWrap/>
                  <w:vAlign w:val="bottom"/>
                  <w:hideMark/>
                </w:tcPr>
                <w:p w14:paraId="66A307AA"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w:t>
                  </w:r>
                </w:p>
              </w:tc>
            </w:tr>
            <w:tr w:rsidR="006B1AFC" w:rsidRPr="006B71FB" w14:paraId="16DBD9AB" w14:textId="77777777" w:rsidTr="003C4A79">
              <w:trPr>
                <w:trHeight w:val="255"/>
              </w:trPr>
              <w:tc>
                <w:tcPr>
                  <w:tcW w:w="3362" w:type="dxa"/>
                  <w:tcBorders>
                    <w:top w:val="single" w:sz="4" w:space="0" w:color="auto"/>
                    <w:left w:val="nil"/>
                    <w:bottom w:val="nil"/>
                    <w:right w:val="nil"/>
                  </w:tcBorders>
                  <w:noWrap/>
                  <w:vAlign w:val="bottom"/>
                  <w:hideMark/>
                </w:tcPr>
                <w:p w14:paraId="53AD03D5" w14:textId="77777777" w:rsidR="006B1AFC" w:rsidRPr="006B71FB" w:rsidRDefault="006B1AFC" w:rsidP="003C4A79">
                  <w:pPr>
                    <w:spacing w:after="0" w:line="240" w:lineRule="auto"/>
                    <w:jc w:val="left"/>
                    <w:rPr>
                      <w:rFonts w:cs="Arial"/>
                      <w:color w:val="000000"/>
                      <w:sz w:val="16"/>
                      <w:szCs w:val="16"/>
                      <w:lang w:eastAsia="ko-KR"/>
                    </w:rPr>
                  </w:pPr>
                  <w:r w:rsidRPr="006B71FB">
                    <w:rPr>
                      <w:rFonts w:cs="Arial"/>
                      <w:color w:val="000000"/>
                      <w:sz w:val="16"/>
                      <w:szCs w:val="16"/>
                      <w:lang w:eastAsia="ko-KR"/>
                    </w:rPr>
                    <w:t>Německo</w:t>
                  </w:r>
                </w:p>
              </w:tc>
              <w:tc>
                <w:tcPr>
                  <w:tcW w:w="700" w:type="dxa"/>
                  <w:tcBorders>
                    <w:top w:val="single" w:sz="4" w:space="0" w:color="auto"/>
                    <w:left w:val="nil"/>
                    <w:bottom w:val="nil"/>
                    <w:right w:val="nil"/>
                  </w:tcBorders>
                  <w:noWrap/>
                  <w:vAlign w:val="bottom"/>
                  <w:hideMark/>
                </w:tcPr>
                <w:p w14:paraId="2F78D4CD"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+13,8</w:t>
                  </w:r>
                </w:p>
              </w:tc>
              <w:tc>
                <w:tcPr>
                  <w:tcW w:w="700" w:type="dxa"/>
                  <w:tcBorders>
                    <w:top w:val="single" w:sz="4" w:space="0" w:color="auto"/>
                    <w:left w:val="nil"/>
                    <w:bottom w:val="nil"/>
                    <w:right w:val="nil"/>
                  </w:tcBorders>
                  <w:noWrap/>
                  <w:vAlign w:val="bottom"/>
                  <w:hideMark/>
                </w:tcPr>
                <w:p w14:paraId="49888ED2"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+3,9</w:t>
                  </w:r>
                </w:p>
              </w:tc>
            </w:tr>
            <w:tr w:rsidR="006B1AFC" w:rsidRPr="006B71FB" w14:paraId="719FBA6C" w14:textId="77777777" w:rsidTr="003C4A79">
              <w:trPr>
                <w:trHeight w:val="255"/>
              </w:trPr>
              <w:tc>
                <w:tcPr>
                  <w:tcW w:w="3362" w:type="dxa"/>
                  <w:tcBorders>
                    <w:top w:val="nil"/>
                    <w:left w:val="nil"/>
                    <w:bottom w:val="nil"/>
                    <w:right w:val="nil"/>
                  </w:tcBorders>
                  <w:noWrap/>
                  <w:vAlign w:val="bottom"/>
                  <w:hideMark/>
                </w:tcPr>
                <w:p w14:paraId="0B3A44A0" w14:textId="77777777" w:rsidR="006B1AFC" w:rsidRPr="006B71FB" w:rsidRDefault="006B1AFC" w:rsidP="003C4A79">
                  <w:pPr>
                    <w:spacing w:after="0" w:line="240" w:lineRule="auto"/>
                    <w:jc w:val="left"/>
                    <w:rPr>
                      <w:rFonts w:cs="Arial"/>
                      <w:color w:val="000000"/>
                      <w:sz w:val="16"/>
                      <w:szCs w:val="16"/>
                      <w:lang w:eastAsia="ko-KR"/>
                    </w:rPr>
                  </w:pPr>
                  <w:r w:rsidRPr="006B71FB">
                    <w:rPr>
                      <w:rFonts w:cs="Arial"/>
                      <w:color w:val="000000"/>
                      <w:sz w:val="16"/>
                      <w:szCs w:val="16"/>
                      <w:lang w:eastAsia="ko-KR"/>
                    </w:rPr>
                    <w:t>Rakousko</w:t>
                  </w:r>
                </w:p>
              </w:tc>
              <w:tc>
                <w:tcPr>
                  <w:tcW w:w="700" w:type="dxa"/>
                  <w:tcBorders>
                    <w:top w:val="nil"/>
                    <w:left w:val="nil"/>
                    <w:bottom w:val="nil"/>
                    <w:right w:val="nil"/>
                  </w:tcBorders>
                  <w:noWrap/>
                  <w:vAlign w:val="bottom"/>
                  <w:hideMark/>
                </w:tcPr>
                <w:p w14:paraId="556756E3"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+10,1</w:t>
                  </w:r>
                </w:p>
              </w:tc>
              <w:tc>
                <w:tcPr>
                  <w:tcW w:w="700" w:type="dxa"/>
                  <w:tcBorders>
                    <w:top w:val="nil"/>
                    <w:left w:val="nil"/>
                    <w:bottom w:val="nil"/>
                    <w:right w:val="nil"/>
                  </w:tcBorders>
                  <w:noWrap/>
                  <w:vAlign w:val="bottom"/>
                  <w:hideMark/>
                </w:tcPr>
                <w:p w14:paraId="787D151C"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+21,5</w:t>
                  </w:r>
                </w:p>
              </w:tc>
            </w:tr>
            <w:tr w:rsidR="006B1AFC" w:rsidRPr="006B71FB" w14:paraId="2382647F" w14:textId="77777777" w:rsidTr="003C4A79">
              <w:trPr>
                <w:trHeight w:val="255"/>
              </w:trPr>
              <w:tc>
                <w:tcPr>
                  <w:tcW w:w="3362" w:type="dxa"/>
                  <w:tcBorders>
                    <w:top w:val="nil"/>
                    <w:left w:val="nil"/>
                    <w:bottom w:val="nil"/>
                    <w:right w:val="nil"/>
                  </w:tcBorders>
                  <w:noWrap/>
                  <w:vAlign w:val="bottom"/>
                  <w:hideMark/>
                </w:tcPr>
                <w:p w14:paraId="17BFA6C4" w14:textId="77777777" w:rsidR="006B1AFC" w:rsidRPr="006B71FB" w:rsidRDefault="006B1AFC" w:rsidP="003C4A79">
                  <w:pPr>
                    <w:spacing w:after="0" w:line="240" w:lineRule="auto"/>
                    <w:jc w:val="left"/>
                    <w:rPr>
                      <w:rFonts w:cs="Arial"/>
                      <w:color w:val="000000"/>
                      <w:sz w:val="16"/>
                      <w:szCs w:val="16"/>
                      <w:lang w:eastAsia="ko-KR"/>
                    </w:rPr>
                  </w:pPr>
                  <w:r w:rsidRPr="006B71FB">
                    <w:rPr>
                      <w:rFonts w:cs="Arial"/>
                      <w:color w:val="000000"/>
                      <w:sz w:val="16"/>
                      <w:szCs w:val="16"/>
                      <w:lang w:eastAsia="ko-KR"/>
                    </w:rPr>
                    <w:t>Francie</w:t>
                  </w:r>
                </w:p>
              </w:tc>
              <w:tc>
                <w:tcPr>
                  <w:tcW w:w="700" w:type="dxa"/>
                  <w:tcBorders>
                    <w:top w:val="nil"/>
                    <w:left w:val="nil"/>
                    <w:bottom w:val="nil"/>
                    <w:right w:val="nil"/>
                  </w:tcBorders>
                  <w:noWrap/>
                  <w:vAlign w:val="bottom"/>
                  <w:hideMark/>
                </w:tcPr>
                <w:p w14:paraId="2E6D657A"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+9,4</w:t>
                  </w:r>
                </w:p>
              </w:tc>
              <w:tc>
                <w:tcPr>
                  <w:tcW w:w="700" w:type="dxa"/>
                  <w:tcBorders>
                    <w:top w:val="nil"/>
                    <w:left w:val="nil"/>
                    <w:bottom w:val="nil"/>
                    <w:right w:val="nil"/>
                  </w:tcBorders>
                  <w:noWrap/>
                  <w:vAlign w:val="bottom"/>
                  <w:hideMark/>
                </w:tcPr>
                <w:p w14:paraId="35DABC9B"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+15,8</w:t>
                  </w:r>
                </w:p>
              </w:tc>
            </w:tr>
            <w:tr w:rsidR="006B1AFC" w:rsidRPr="006B71FB" w14:paraId="3AA4E346" w14:textId="77777777" w:rsidTr="003C4A79">
              <w:trPr>
                <w:trHeight w:val="255"/>
              </w:trPr>
              <w:tc>
                <w:tcPr>
                  <w:tcW w:w="3362" w:type="dxa"/>
                  <w:tcBorders>
                    <w:top w:val="nil"/>
                    <w:left w:val="nil"/>
                    <w:bottom w:val="nil"/>
                    <w:right w:val="nil"/>
                  </w:tcBorders>
                  <w:noWrap/>
                  <w:vAlign w:val="bottom"/>
                  <w:hideMark/>
                </w:tcPr>
                <w:p w14:paraId="5C561BF9" w14:textId="77777777" w:rsidR="006B1AFC" w:rsidRPr="006B71FB" w:rsidRDefault="006B1AFC" w:rsidP="003C4A79">
                  <w:pPr>
                    <w:spacing w:after="0" w:line="240" w:lineRule="auto"/>
                    <w:jc w:val="left"/>
                    <w:rPr>
                      <w:rFonts w:cs="Arial"/>
                      <w:color w:val="000000"/>
                      <w:sz w:val="16"/>
                      <w:szCs w:val="16"/>
                      <w:lang w:eastAsia="ko-KR"/>
                    </w:rPr>
                  </w:pPr>
                  <w:r w:rsidRPr="006B71FB">
                    <w:rPr>
                      <w:rFonts w:cs="Arial"/>
                      <w:color w:val="000000"/>
                      <w:sz w:val="16"/>
                      <w:szCs w:val="16"/>
                      <w:lang w:eastAsia="ko-KR"/>
                    </w:rPr>
                    <w:t>Nizozemsko</w:t>
                  </w:r>
                </w:p>
              </w:tc>
              <w:tc>
                <w:tcPr>
                  <w:tcW w:w="700" w:type="dxa"/>
                  <w:tcBorders>
                    <w:top w:val="nil"/>
                    <w:left w:val="nil"/>
                    <w:bottom w:val="nil"/>
                    <w:right w:val="nil"/>
                  </w:tcBorders>
                  <w:noWrap/>
                  <w:vAlign w:val="bottom"/>
                  <w:hideMark/>
                </w:tcPr>
                <w:p w14:paraId="6E7C165E"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+5,9</w:t>
                  </w:r>
                </w:p>
              </w:tc>
              <w:tc>
                <w:tcPr>
                  <w:tcW w:w="700" w:type="dxa"/>
                  <w:tcBorders>
                    <w:top w:val="nil"/>
                    <w:left w:val="nil"/>
                    <w:bottom w:val="nil"/>
                    <w:right w:val="nil"/>
                  </w:tcBorders>
                  <w:noWrap/>
                  <w:vAlign w:val="bottom"/>
                  <w:hideMark/>
                </w:tcPr>
                <w:p w14:paraId="2972F81B"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+16,7</w:t>
                  </w:r>
                </w:p>
              </w:tc>
            </w:tr>
            <w:tr w:rsidR="006B1AFC" w:rsidRPr="006B71FB" w14:paraId="5DAD0B55" w14:textId="77777777" w:rsidTr="003C4A79">
              <w:trPr>
                <w:trHeight w:val="255"/>
              </w:trPr>
              <w:tc>
                <w:tcPr>
                  <w:tcW w:w="3362" w:type="dxa"/>
                  <w:tcBorders>
                    <w:top w:val="nil"/>
                    <w:left w:val="nil"/>
                    <w:bottom w:val="nil"/>
                    <w:right w:val="nil"/>
                  </w:tcBorders>
                  <w:noWrap/>
                  <w:vAlign w:val="bottom"/>
                  <w:hideMark/>
                </w:tcPr>
                <w:p w14:paraId="62AFC87F" w14:textId="77777777" w:rsidR="006B1AFC" w:rsidRPr="006B71FB" w:rsidRDefault="006B1AFC" w:rsidP="003C4A79">
                  <w:pPr>
                    <w:spacing w:after="0" w:line="240" w:lineRule="auto"/>
                    <w:jc w:val="left"/>
                    <w:rPr>
                      <w:rFonts w:cs="Arial"/>
                      <w:color w:val="000000"/>
                      <w:sz w:val="16"/>
                      <w:szCs w:val="16"/>
                      <w:lang w:eastAsia="ko-KR"/>
                    </w:rPr>
                  </w:pPr>
                  <w:r w:rsidRPr="006B71FB">
                    <w:rPr>
                      <w:rFonts w:cs="Arial"/>
                      <w:color w:val="000000"/>
                      <w:sz w:val="16"/>
                      <w:szCs w:val="16"/>
                      <w:lang w:eastAsia="ko-KR"/>
                    </w:rPr>
                    <w:t>Polsko</w:t>
                  </w:r>
                </w:p>
              </w:tc>
              <w:tc>
                <w:tcPr>
                  <w:tcW w:w="700" w:type="dxa"/>
                  <w:tcBorders>
                    <w:top w:val="nil"/>
                    <w:left w:val="nil"/>
                    <w:bottom w:val="nil"/>
                    <w:right w:val="nil"/>
                  </w:tcBorders>
                  <w:noWrap/>
                  <w:vAlign w:val="bottom"/>
                  <w:hideMark/>
                </w:tcPr>
                <w:p w14:paraId="0CABA8B3"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+5,8</w:t>
                  </w:r>
                </w:p>
              </w:tc>
              <w:tc>
                <w:tcPr>
                  <w:tcW w:w="700" w:type="dxa"/>
                  <w:tcBorders>
                    <w:top w:val="nil"/>
                    <w:left w:val="nil"/>
                    <w:bottom w:val="nil"/>
                    <w:right w:val="nil"/>
                  </w:tcBorders>
                  <w:noWrap/>
                  <w:vAlign w:val="bottom"/>
                  <w:hideMark/>
                </w:tcPr>
                <w:p w14:paraId="30739878"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+6,7</w:t>
                  </w:r>
                </w:p>
              </w:tc>
            </w:tr>
            <w:tr w:rsidR="006B1AFC" w:rsidRPr="006B71FB" w14:paraId="4ECC60FD" w14:textId="77777777" w:rsidTr="003C4A79">
              <w:trPr>
                <w:trHeight w:val="255"/>
              </w:trPr>
              <w:tc>
                <w:tcPr>
                  <w:tcW w:w="3362" w:type="dxa"/>
                  <w:tcBorders>
                    <w:top w:val="nil"/>
                    <w:left w:val="nil"/>
                    <w:bottom w:val="nil"/>
                    <w:right w:val="nil"/>
                  </w:tcBorders>
                  <w:noWrap/>
                  <w:vAlign w:val="bottom"/>
                  <w:hideMark/>
                </w:tcPr>
                <w:p w14:paraId="5298B09E" w14:textId="77777777" w:rsidR="006B1AFC" w:rsidRPr="006B71FB" w:rsidRDefault="006B1AFC" w:rsidP="003C4A79">
                  <w:pPr>
                    <w:spacing w:after="0" w:line="240" w:lineRule="auto"/>
                    <w:jc w:val="left"/>
                    <w:rPr>
                      <w:rFonts w:cs="Arial"/>
                      <w:color w:val="000000"/>
                      <w:sz w:val="16"/>
                      <w:szCs w:val="16"/>
                      <w:lang w:eastAsia="ko-KR"/>
                    </w:rPr>
                  </w:pPr>
                  <w:r w:rsidRPr="006B71FB">
                    <w:rPr>
                      <w:rFonts w:cs="Arial"/>
                      <w:color w:val="000000"/>
                      <w:sz w:val="16"/>
                      <w:szCs w:val="16"/>
                      <w:lang w:eastAsia="ko-KR"/>
                    </w:rPr>
                    <w:t>Itálie</w:t>
                  </w:r>
                </w:p>
              </w:tc>
              <w:tc>
                <w:tcPr>
                  <w:tcW w:w="700" w:type="dxa"/>
                  <w:tcBorders>
                    <w:top w:val="nil"/>
                    <w:left w:val="nil"/>
                    <w:bottom w:val="nil"/>
                    <w:right w:val="nil"/>
                  </w:tcBorders>
                  <w:noWrap/>
                  <w:vAlign w:val="bottom"/>
                  <w:hideMark/>
                </w:tcPr>
                <w:p w14:paraId="46BC7716"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+4,5</w:t>
                  </w:r>
                </w:p>
              </w:tc>
              <w:tc>
                <w:tcPr>
                  <w:tcW w:w="700" w:type="dxa"/>
                  <w:tcBorders>
                    <w:top w:val="nil"/>
                    <w:left w:val="nil"/>
                    <w:bottom w:val="nil"/>
                    <w:right w:val="nil"/>
                  </w:tcBorders>
                  <w:noWrap/>
                  <w:vAlign w:val="bottom"/>
                  <w:hideMark/>
                </w:tcPr>
                <w:p w14:paraId="47317117"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+9,0</w:t>
                  </w:r>
                </w:p>
              </w:tc>
            </w:tr>
            <w:tr w:rsidR="006B1AFC" w:rsidRPr="006B71FB" w14:paraId="4DA3BCE5" w14:textId="77777777" w:rsidTr="003C4A79">
              <w:trPr>
                <w:trHeight w:val="255"/>
              </w:trPr>
              <w:tc>
                <w:tcPr>
                  <w:tcW w:w="3362" w:type="dxa"/>
                  <w:tcBorders>
                    <w:top w:val="nil"/>
                    <w:left w:val="nil"/>
                    <w:bottom w:val="nil"/>
                    <w:right w:val="nil"/>
                  </w:tcBorders>
                  <w:noWrap/>
                  <w:vAlign w:val="bottom"/>
                  <w:hideMark/>
                </w:tcPr>
                <w:p w14:paraId="11B19764" w14:textId="77777777" w:rsidR="006B1AFC" w:rsidRPr="006B71FB" w:rsidRDefault="006B1AFC" w:rsidP="003C4A79">
                  <w:pPr>
                    <w:spacing w:after="0" w:line="240" w:lineRule="auto"/>
                    <w:jc w:val="left"/>
                    <w:rPr>
                      <w:rFonts w:cs="Arial"/>
                      <w:color w:val="000000"/>
                      <w:sz w:val="16"/>
                      <w:szCs w:val="16"/>
                      <w:lang w:eastAsia="ko-KR"/>
                    </w:rPr>
                  </w:pPr>
                  <w:r w:rsidRPr="006B71FB">
                    <w:rPr>
                      <w:rFonts w:cs="Arial"/>
                      <w:color w:val="000000"/>
                      <w:sz w:val="16"/>
                      <w:szCs w:val="16"/>
                      <w:lang w:eastAsia="ko-KR"/>
                    </w:rPr>
                    <w:t>Maďarsko</w:t>
                  </w:r>
                </w:p>
              </w:tc>
              <w:tc>
                <w:tcPr>
                  <w:tcW w:w="700" w:type="dxa"/>
                  <w:tcBorders>
                    <w:top w:val="nil"/>
                    <w:left w:val="nil"/>
                    <w:bottom w:val="nil"/>
                    <w:right w:val="nil"/>
                  </w:tcBorders>
                  <w:noWrap/>
                  <w:vAlign w:val="bottom"/>
                  <w:hideMark/>
                </w:tcPr>
                <w:p w14:paraId="650983C2"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+4,3</w:t>
                  </w:r>
                </w:p>
              </w:tc>
              <w:tc>
                <w:tcPr>
                  <w:tcW w:w="700" w:type="dxa"/>
                  <w:tcBorders>
                    <w:top w:val="nil"/>
                    <w:left w:val="nil"/>
                    <w:bottom w:val="nil"/>
                    <w:right w:val="nil"/>
                  </w:tcBorders>
                  <w:noWrap/>
                  <w:vAlign w:val="bottom"/>
                  <w:hideMark/>
                </w:tcPr>
                <w:p w14:paraId="39109EAA"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+12,1</w:t>
                  </w:r>
                </w:p>
              </w:tc>
            </w:tr>
            <w:tr w:rsidR="006B1AFC" w:rsidRPr="006B71FB" w14:paraId="5DF067D8" w14:textId="77777777" w:rsidTr="003C4A79">
              <w:trPr>
                <w:trHeight w:val="255"/>
              </w:trPr>
              <w:tc>
                <w:tcPr>
                  <w:tcW w:w="3362" w:type="dxa"/>
                  <w:tcBorders>
                    <w:top w:val="nil"/>
                    <w:left w:val="nil"/>
                    <w:bottom w:val="nil"/>
                    <w:right w:val="nil"/>
                  </w:tcBorders>
                  <w:noWrap/>
                  <w:vAlign w:val="bottom"/>
                  <w:hideMark/>
                </w:tcPr>
                <w:p w14:paraId="1D926E91" w14:textId="77777777" w:rsidR="006B1AFC" w:rsidRPr="006B71FB" w:rsidRDefault="006B1AFC" w:rsidP="003C4A79">
                  <w:pPr>
                    <w:spacing w:after="0" w:line="240" w:lineRule="auto"/>
                    <w:jc w:val="left"/>
                    <w:rPr>
                      <w:rFonts w:cs="Arial"/>
                      <w:color w:val="000000"/>
                      <w:sz w:val="16"/>
                      <w:szCs w:val="16"/>
                      <w:lang w:eastAsia="ko-KR"/>
                    </w:rPr>
                  </w:pPr>
                  <w:r w:rsidRPr="006B71FB">
                    <w:rPr>
                      <w:rFonts w:cs="Arial"/>
                      <w:color w:val="000000"/>
                      <w:sz w:val="16"/>
                      <w:szCs w:val="16"/>
                      <w:lang w:eastAsia="ko-KR"/>
                    </w:rPr>
                    <w:t>Belgie</w:t>
                  </w:r>
                </w:p>
              </w:tc>
              <w:tc>
                <w:tcPr>
                  <w:tcW w:w="700" w:type="dxa"/>
                  <w:tcBorders>
                    <w:top w:val="nil"/>
                    <w:left w:val="nil"/>
                    <w:bottom w:val="nil"/>
                    <w:right w:val="nil"/>
                  </w:tcBorders>
                  <w:noWrap/>
                  <w:vAlign w:val="bottom"/>
                  <w:hideMark/>
                </w:tcPr>
                <w:p w14:paraId="15A86E32"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+3,3</w:t>
                  </w:r>
                </w:p>
              </w:tc>
              <w:tc>
                <w:tcPr>
                  <w:tcW w:w="700" w:type="dxa"/>
                  <w:tcBorders>
                    <w:top w:val="nil"/>
                    <w:left w:val="nil"/>
                    <w:bottom w:val="nil"/>
                    <w:right w:val="nil"/>
                  </w:tcBorders>
                  <w:noWrap/>
                  <w:vAlign w:val="bottom"/>
                  <w:hideMark/>
                </w:tcPr>
                <w:p w14:paraId="79982C82"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+12,1</w:t>
                  </w:r>
                </w:p>
              </w:tc>
            </w:tr>
            <w:tr w:rsidR="006B1AFC" w:rsidRPr="006B71FB" w14:paraId="271624B3" w14:textId="77777777" w:rsidTr="003C4A79">
              <w:trPr>
                <w:trHeight w:val="255"/>
              </w:trPr>
              <w:tc>
                <w:tcPr>
                  <w:tcW w:w="3362" w:type="dxa"/>
                  <w:tcBorders>
                    <w:top w:val="nil"/>
                    <w:left w:val="nil"/>
                    <w:bottom w:val="nil"/>
                    <w:right w:val="nil"/>
                  </w:tcBorders>
                  <w:noWrap/>
                  <w:vAlign w:val="bottom"/>
                  <w:hideMark/>
                </w:tcPr>
                <w:p w14:paraId="6ACCA39B" w14:textId="77777777" w:rsidR="006B1AFC" w:rsidRPr="006B71FB" w:rsidRDefault="006B1AFC" w:rsidP="003C4A79">
                  <w:pPr>
                    <w:spacing w:after="0" w:line="240" w:lineRule="auto"/>
                    <w:jc w:val="left"/>
                    <w:rPr>
                      <w:rFonts w:cs="Arial"/>
                      <w:color w:val="000000"/>
                      <w:sz w:val="16"/>
                      <w:szCs w:val="16"/>
                      <w:lang w:eastAsia="ko-KR"/>
                    </w:rPr>
                  </w:pPr>
                  <w:r w:rsidRPr="006B71FB">
                    <w:rPr>
                      <w:rFonts w:cs="Arial"/>
                      <w:color w:val="000000"/>
                      <w:sz w:val="16"/>
                      <w:szCs w:val="16"/>
                      <w:lang w:eastAsia="ko-KR"/>
                    </w:rPr>
                    <w:t>Slovensko</w:t>
                  </w:r>
                </w:p>
              </w:tc>
              <w:tc>
                <w:tcPr>
                  <w:tcW w:w="700" w:type="dxa"/>
                  <w:tcBorders>
                    <w:top w:val="nil"/>
                    <w:left w:val="nil"/>
                    <w:bottom w:val="nil"/>
                    <w:right w:val="nil"/>
                  </w:tcBorders>
                  <w:noWrap/>
                  <w:vAlign w:val="bottom"/>
                  <w:hideMark/>
                </w:tcPr>
                <w:p w14:paraId="47AD5EDB"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+2,7</w:t>
                  </w:r>
                </w:p>
              </w:tc>
              <w:tc>
                <w:tcPr>
                  <w:tcW w:w="700" w:type="dxa"/>
                  <w:tcBorders>
                    <w:top w:val="nil"/>
                    <w:left w:val="nil"/>
                    <w:bottom w:val="nil"/>
                    <w:right w:val="nil"/>
                  </w:tcBorders>
                  <w:noWrap/>
                  <w:vAlign w:val="bottom"/>
                  <w:hideMark/>
                </w:tcPr>
                <w:p w14:paraId="611CC09D"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+2,5</w:t>
                  </w:r>
                </w:p>
              </w:tc>
            </w:tr>
            <w:tr w:rsidR="006B1AFC" w:rsidRPr="006B71FB" w14:paraId="4EAA2D64" w14:textId="77777777" w:rsidTr="003C4A79">
              <w:trPr>
                <w:trHeight w:val="255"/>
              </w:trPr>
              <w:tc>
                <w:tcPr>
                  <w:tcW w:w="3362" w:type="dxa"/>
                  <w:tcBorders>
                    <w:top w:val="nil"/>
                    <w:left w:val="nil"/>
                    <w:bottom w:val="nil"/>
                    <w:right w:val="nil"/>
                  </w:tcBorders>
                  <w:noWrap/>
                  <w:vAlign w:val="bottom"/>
                  <w:hideMark/>
                </w:tcPr>
                <w:p w14:paraId="178A9C74" w14:textId="77777777" w:rsidR="006B1AFC" w:rsidRPr="006B71FB" w:rsidRDefault="006B1AFC" w:rsidP="003C4A79">
                  <w:pPr>
                    <w:spacing w:after="0" w:line="240" w:lineRule="auto"/>
                    <w:jc w:val="left"/>
                    <w:rPr>
                      <w:rFonts w:cs="Arial"/>
                      <w:color w:val="000000"/>
                      <w:sz w:val="16"/>
                      <w:szCs w:val="16"/>
                      <w:lang w:eastAsia="ko-KR"/>
                    </w:rPr>
                  </w:pPr>
                  <w:r w:rsidRPr="006B71FB">
                    <w:rPr>
                      <w:rFonts w:cs="Arial"/>
                      <w:color w:val="000000"/>
                      <w:sz w:val="16"/>
                      <w:szCs w:val="16"/>
                      <w:lang w:eastAsia="ko-KR"/>
                    </w:rPr>
                    <w:t>Švýcarsko</w:t>
                  </w:r>
                </w:p>
              </w:tc>
              <w:tc>
                <w:tcPr>
                  <w:tcW w:w="700" w:type="dxa"/>
                  <w:tcBorders>
                    <w:top w:val="nil"/>
                    <w:left w:val="nil"/>
                    <w:bottom w:val="nil"/>
                    <w:right w:val="nil"/>
                  </w:tcBorders>
                  <w:noWrap/>
                  <w:vAlign w:val="bottom"/>
                  <w:hideMark/>
                </w:tcPr>
                <w:p w14:paraId="3BA0D52C"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+2,0</w:t>
                  </w:r>
                </w:p>
              </w:tc>
              <w:tc>
                <w:tcPr>
                  <w:tcW w:w="700" w:type="dxa"/>
                  <w:tcBorders>
                    <w:top w:val="nil"/>
                    <w:left w:val="nil"/>
                    <w:bottom w:val="nil"/>
                    <w:right w:val="nil"/>
                  </w:tcBorders>
                  <w:noWrap/>
                  <w:vAlign w:val="bottom"/>
                  <w:hideMark/>
                </w:tcPr>
                <w:p w14:paraId="241EDA51"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+9,4</w:t>
                  </w:r>
                </w:p>
              </w:tc>
            </w:tr>
            <w:tr w:rsidR="006B1AFC" w:rsidRPr="006B71FB" w14:paraId="171438FE" w14:textId="77777777" w:rsidTr="003C4A79">
              <w:trPr>
                <w:trHeight w:val="255"/>
              </w:trPr>
              <w:tc>
                <w:tcPr>
                  <w:tcW w:w="3362" w:type="dxa"/>
                  <w:tcBorders>
                    <w:top w:val="nil"/>
                    <w:left w:val="nil"/>
                    <w:bottom w:val="nil"/>
                    <w:right w:val="nil"/>
                  </w:tcBorders>
                  <w:noWrap/>
                  <w:vAlign w:val="bottom"/>
                  <w:hideMark/>
                </w:tcPr>
                <w:p w14:paraId="719C389B" w14:textId="77777777" w:rsidR="006B1AFC" w:rsidRPr="006B71FB" w:rsidRDefault="006B1AFC" w:rsidP="003C4A79">
                  <w:pPr>
                    <w:spacing w:after="0" w:line="240" w:lineRule="auto"/>
                    <w:jc w:val="left"/>
                    <w:rPr>
                      <w:rFonts w:cs="Arial"/>
                      <w:color w:val="000000"/>
                      <w:sz w:val="16"/>
                      <w:szCs w:val="16"/>
                      <w:lang w:eastAsia="ko-KR"/>
                    </w:rPr>
                  </w:pPr>
                  <w:r w:rsidRPr="006B71FB">
                    <w:rPr>
                      <w:rFonts w:cs="Arial"/>
                      <w:color w:val="000000"/>
                      <w:sz w:val="16"/>
                      <w:szCs w:val="16"/>
                      <w:lang w:eastAsia="ko-KR"/>
                    </w:rPr>
                    <w:t>Tchaj-wan</w:t>
                  </w:r>
                </w:p>
              </w:tc>
              <w:tc>
                <w:tcPr>
                  <w:tcW w:w="700" w:type="dxa"/>
                  <w:tcBorders>
                    <w:top w:val="nil"/>
                    <w:left w:val="nil"/>
                    <w:bottom w:val="nil"/>
                    <w:right w:val="nil"/>
                  </w:tcBorders>
                  <w:noWrap/>
                  <w:vAlign w:val="bottom"/>
                  <w:hideMark/>
                </w:tcPr>
                <w:p w14:paraId="11348600"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+1,8</w:t>
                  </w:r>
                </w:p>
              </w:tc>
              <w:tc>
                <w:tcPr>
                  <w:tcW w:w="700" w:type="dxa"/>
                  <w:tcBorders>
                    <w:top w:val="nil"/>
                    <w:left w:val="nil"/>
                    <w:bottom w:val="nil"/>
                    <w:right w:val="nil"/>
                  </w:tcBorders>
                  <w:noWrap/>
                  <w:vAlign w:val="bottom"/>
                  <w:hideMark/>
                </w:tcPr>
                <w:p w14:paraId="270572DC"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+93,5</w:t>
                  </w:r>
                </w:p>
              </w:tc>
            </w:tr>
            <w:tr w:rsidR="006B1AFC" w:rsidRPr="006B71FB" w14:paraId="48856D3E" w14:textId="77777777" w:rsidTr="003C4A79">
              <w:trPr>
                <w:trHeight w:val="255"/>
              </w:trPr>
              <w:tc>
                <w:tcPr>
                  <w:tcW w:w="3362" w:type="dxa"/>
                  <w:tcBorders>
                    <w:top w:val="nil"/>
                    <w:left w:val="nil"/>
                    <w:bottom w:val="nil"/>
                    <w:right w:val="nil"/>
                  </w:tcBorders>
                  <w:noWrap/>
                  <w:vAlign w:val="bottom"/>
                  <w:hideMark/>
                </w:tcPr>
                <w:p w14:paraId="7DDB1E4B" w14:textId="77777777" w:rsidR="006B1AFC" w:rsidRPr="006B71FB" w:rsidRDefault="006B1AFC" w:rsidP="003C4A79">
                  <w:pPr>
                    <w:spacing w:after="0" w:line="240" w:lineRule="auto"/>
                    <w:jc w:val="left"/>
                    <w:rPr>
                      <w:rFonts w:cs="Arial"/>
                      <w:color w:val="000000"/>
                      <w:sz w:val="16"/>
                      <w:szCs w:val="16"/>
                      <w:lang w:eastAsia="ko-KR"/>
                    </w:rPr>
                  </w:pPr>
                  <w:r w:rsidRPr="006B71FB">
                    <w:rPr>
                      <w:rFonts w:cs="Arial"/>
                      <w:color w:val="000000"/>
                      <w:sz w:val="16"/>
                      <w:szCs w:val="16"/>
                      <w:lang w:eastAsia="ko-KR"/>
                    </w:rPr>
                    <w:t>Finsko</w:t>
                  </w:r>
                </w:p>
              </w:tc>
              <w:tc>
                <w:tcPr>
                  <w:tcW w:w="700" w:type="dxa"/>
                  <w:tcBorders>
                    <w:top w:val="nil"/>
                    <w:left w:val="nil"/>
                    <w:bottom w:val="nil"/>
                    <w:right w:val="nil"/>
                  </w:tcBorders>
                  <w:noWrap/>
                  <w:vAlign w:val="bottom"/>
                  <w:hideMark/>
                </w:tcPr>
                <w:p w14:paraId="5A262206"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+1,6</w:t>
                  </w:r>
                </w:p>
              </w:tc>
              <w:tc>
                <w:tcPr>
                  <w:tcW w:w="700" w:type="dxa"/>
                  <w:tcBorders>
                    <w:top w:val="nil"/>
                    <w:left w:val="nil"/>
                    <w:bottom w:val="nil"/>
                    <w:right w:val="nil"/>
                  </w:tcBorders>
                  <w:noWrap/>
                  <w:vAlign w:val="bottom"/>
                  <w:hideMark/>
                </w:tcPr>
                <w:p w14:paraId="03F426E9"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+28,9</w:t>
                  </w:r>
                </w:p>
              </w:tc>
            </w:tr>
            <w:tr w:rsidR="006B1AFC" w:rsidRPr="006B71FB" w14:paraId="628EAB8A" w14:textId="77777777" w:rsidTr="003C4A79">
              <w:trPr>
                <w:trHeight w:val="255"/>
              </w:trPr>
              <w:tc>
                <w:tcPr>
                  <w:tcW w:w="3362" w:type="dxa"/>
                  <w:tcBorders>
                    <w:top w:val="nil"/>
                    <w:left w:val="nil"/>
                    <w:bottom w:val="nil"/>
                    <w:right w:val="nil"/>
                  </w:tcBorders>
                  <w:noWrap/>
                  <w:vAlign w:val="bottom"/>
                  <w:hideMark/>
                </w:tcPr>
                <w:p w14:paraId="41BCD0FE" w14:textId="77777777" w:rsidR="006B1AFC" w:rsidRPr="006B71FB" w:rsidRDefault="006B1AFC" w:rsidP="003C4A79">
                  <w:pPr>
                    <w:spacing w:after="0" w:line="240" w:lineRule="auto"/>
                    <w:jc w:val="left"/>
                    <w:rPr>
                      <w:rFonts w:cs="Arial"/>
                      <w:color w:val="000000"/>
                      <w:sz w:val="16"/>
                      <w:szCs w:val="16"/>
                      <w:lang w:eastAsia="ko-KR"/>
                    </w:rPr>
                  </w:pPr>
                  <w:r w:rsidRPr="006B71FB">
                    <w:rPr>
                      <w:rFonts w:cs="Arial"/>
                      <w:color w:val="000000"/>
                      <w:sz w:val="16"/>
                      <w:szCs w:val="16"/>
                      <w:lang w:eastAsia="ko-KR"/>
                    </w:rPr>
                    <w:t>Bulharsko</w:t>
                  </w:r>
                </w:p>
              </w:tc>
              <w:tc>
                <w:tcPr>
                  <w:tcW w:w="700" w:type="dxa"/>
                  <w:tcBorders>
                    <w:top w:val="nil"/>
                    <w:left w:val="nil"/>
                    <w:bottom w:val="nil"/>
                    <w:right w:val="nil"/>
                  </w:tcBorders>
                  <w:noWrap/>
                  <w:vAlign w:val="bottom"/>
                  <w:hideMark/>
                </w:tcPr>
                <w:p w14:paraId="03AA8894"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+1,5</w:t>
                  </w:r>
                </w:p>
              </w:tc>
              <w:tc>
                <w:tcPr>
                  <w:tcW w:w="700" w:type="dxa"/>
                  <w:tcBorders>
                    <w:top w:val="nil"/>
                    <w:left w:val="nil"/>
                    <w:bottom w:val="nil"/>
                    <w:right w:val="nil"/>
                  </w:tcBorders>
                  <w:noWrap/>
                  <w:vAlign w:val="bottom"/>
                  <w:hideMark/>
                </w:tcPr>
                <w:p w14:paraId="4046433F" w14:textId="77777777" w:rsidR="006B1AFC" w:rsidRPr="006B71FB" w:rsidRDefault="006B1AFC" w:rsidP="003C4A79">
                  <w:pPr>
                    <w:spacing w:after="0" w:line="240" w:lineRule="auto"/>
                    <w:jc w:val="right"/>
                    <w:rPr>
                      <w:rFonts w:cs="Arial"/>
                      <w:color w:val="000000"/>
                      <w:sz w:val="16"/>
                      <w:szCs w:val="16"/>
                      <w:lang w:eastAsia="ko-KR"/>
                    </w:rPr>
                  </w:pPr>
                  <w:r w:rsidRPr="006B71FB">
                    <w:rPr>
                      <w:rFonts w:cs="Arial"/>
                      <w:color w:val="000000"/>
                      <w:sz w:val="16"/>
                      <w:szCs w:val="16"/>
                      <w:lang w:eastAsia="ko-KR"/>
                    </w:rPr>
                    <w:t>+17,2</w:t>
                  </w:r>
                </w:p>
              </w:tc>
            </w:tr>
            <w:tr w:rsidR="006B1AFC" w:rsidRPr="006B71FB" w14:paraId="626662E3" w14:textId="77777777" w:rsidTr="003C4A79">
              <w:trPr>
                <w:trHeight w:val="255"/>
              </w:trPr>
              <w:tc>
                <w:tcPr>
                  <w:tcW w:w="3362" w:type="dxa"/>
                  <w:tcBorders>
                    <w:top w:val="nil"/>
                    <w:left w:val="nil"/>
                    <w:bottom w:val="nil"/>
                    <w:right w:val="nil"/>
                  </w:tcBorders>
                  <w:noWrap/>
                  <w:vAlign w:val="bottom"/>
                  <w:hideMark/>
                </w:tcPr>
                <w:p w14:paraId="1657BD4E" w14:textId="77777777" w:rsidR="006B1AFC" w:rsidRPr="006B71FB" w:rsidRDefault="006B1AFC" w:rsidP="003C4A79">
                  <w:pPr>
                    <w:spacing w:after="0" w:line="240" w:lineRule="auto"/>
                    <w:jc w:val="left"/>
                    <w:rPr>
                      <w:rFonts w:cs="Arial"/>
                      <w:color w:val="000000"/>
                      <w:sz w:val="16"/>
                      <w:szCs w:val="16"/>
                      <w:lang w:eastAsia="ko-KR"/>
                    </w:rPr>
                  </w:pPr>
                  <w:r w:rsidRPr="006B71FB">
                    <w:rPr>
                      <w:rFonts w:cs="Arial"/>
                      <w:color w:val="000000"/>
                      <w:sz w:val="16"/>
                      <w:szCs w:val="16"/>
                      <w:lang w:eastAsia="ko-KR"/>
                    </w:rPr>
                    <w:t>Kazachstán</w:t>
                  </w:r>
                </w:p>
              </w:tc>
              <w:tc>
                <w:tcPr>
                  <w:tcW w:w="700" w:type="dxa"/>
                  <w:tcBorders>
                    <w:top w:val="nil"/>
                    <w:left w:val="nil"/>
                    <w:bottom w:val="nil"/>
                    <w:right w:val="nil"/>
                  </w:tcBorders>
                  <w:noWrap/>
                  <w:vAlign w:val="bottom"/>
                  <w:hideMark/>
                </w:tcPr>
                <w:p w14:paraId="3F060997" w14:textId="77777777" w:rsidR="006B1AFC" w:rsidRPr="006B71FB"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6B71FB">
                    <w:rPr>
                      <w:rFonts w:cs="Arial"/>
                      <w:color w:val="000000"/>
                      <w:sz w:val="16"/>
                      <w:szCs w:val="16"/>
                      <w:lang w:eastAsia="ko-KR"/>
                    </w:rPr>
                    <w:t>1,7</w:t>
                  </w:r>
                </w:p>
              </w:tc>
              <w:tc>
                <w:tcPr>
                  <w:tcW w:w="700" w:type="dxa"/>
                  <w:tcBorders>
                    <w:top w:val="nil"/>
                    <w:left w:val="nil"/>
                    <w:bottom w:val="nil"/>
                    <w:right w:val="nil"/>
                  </w:tcBorders>
                  <w:noWrap/>
                  <w:vAlign w:val="bottom"/>
                  <w:hideMark/>
                </w:tcPr>
                <w:p w14:paraId="65AABECB" w14:textId="77777777" w:rsidR="006B1AFC" w:rsidRPr="006B71FB"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6B71FB">
                    <w:rPr>
                      <w:rFonts w:cs="Arial"/>
                      <w:color w:val="000000"/>
                      <w:sz w:val="16"/>
                      <w:szCs w:val="16"/>
                      <w:lang w:eastAsia="ko-KR"/>
                    </w:rPr>
                    <w:t>44,4</w:t>
                  </w:r>
                </w:p>
              </w:tc>
            </w:tr>
            <w:tr w:rsidR="006B1AFC" w:rsidRPr="006B71FB" w14:paraId="796701EA" w14:textId="77777777" w:rsidTr="003C4A79">
              <w:trPr>
                <w:trHeight w:val="255"/>
              </w:trPr>
              <w:tc>
                <w:tcPr>
                  <w:tcW w:w="3362" w:type="dxa"/>
                  <w:tcBorders>
                    <w:top w:val="nil"/>
                    <w:left w:val="nil"/>
                    <w:bottom w:val="nil"/>
                    <w:right w:val="nil"/>
                  </w:tcBorders>
                  <w:noWrap/>
                  <w:vAlign w:val="bottom"/>
                  <w:hideMark/>
                </w:tcPr>
                <w:p w14:paraId="0CEC82F2" w14:textId="77777777" w:rsidR="006B1AFC" w:rsidRPr="006B71FB" w:rsidRDefault="006B1AFC" w:rsidP="003C4A79">
                  <w:pPr>
                    <w:spacing w:after="0" w:line="240" w:lineRule="auto"/>
                    <w:jc w:val="left"/>
                    <w:rPr>
                      <w:rFonts w:cs="Arial"/>
                      <w:color w:val="000000"/>
                      <w:sz w:val="16"/>
                      <w:szCs w:val="16"/>
                      <w:lang w:eastAsia="ko-KR"/>
                    </w:rPr>
                  </w:pPr>
                  <w:r w:rsidRPr="006B71FB">
                    <w:rPr>
                      <w:rFonts w:cs="Arial"/>
                      <w:color w:val="000000"/>
                      <w:sz w:val="16"/>
                      <w:szCs w:val="16"/>
                      <w:lang w:eastAsia="ko-KR"/>
                    </w:rPr>
                    <w:t>Spojené státy</w:t>
                  </w:r>
                  <w:r>
                    <w:rPr>
                      <w:rFonts w:cs="Arial"/>
                      <w:color w:val="000000"/>
                      <w:sz w:val="16"/>
                      <w:szCs w:val="16"/>
                      <w:lang w:eastAsia="ko-KR"/>
                    </w:rPr>
                    <w:t xml:space="preserve"> americké</w:t>
                  </w:r>
                </w:p>
              </w:tc>
              <w:tc>
                <w:tcPr>
                  <w:tcW w:w="700" w:type="dxa"/>
                  <w:tcBorders>
                    <w:top w:val="nil"/>
                    <w:left w:val="nil"/>
                    <w:bottom w:val="nil"/>
                    <w:right w:val="nil"/>
                  </w:tcBorders>
                  <w:noWrap/>
                  <w:vAlign w:val="bottom"/>
                  <w:hideMark/>
                </w:tcPr>
                <w:p w14:paraId="686847A4" w14:textId="77777777" w:rsidR="006B1AFC" w:rsidRPr="006B71FB"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6B71FB">
                    <w:rPr>
                      <w:rFonts w:cs="Arial"/>
                      <w:color w:val="000000"/>
                      <w:sz w:val="16"/>
                      <w:szCs w:val="16"/>
                      <w:lang w:eastAsia="ko-KR"/>
                    </w:rPr>
                    <w:t>3,4</w:t>
                  </w:r>
                </w:p>
              </w:tc>
              <w:tc>
                <w:tcPr>
                  <w:tcW w:w="700" w:type="dxa"/>
                  <w:tcBorders>
                    <w:top w:val="nil"/>
                    <w:left w:val="nil"/>
                    <w:bottom w:val="nil"/>
                    <w:right w:val="nil"/>
                  </w:tcBorders>
                  <w:noWrap/>
                  <w:vAlign w:val="bottom"/>
                  <w:hideMark/>
                </w:tcPr>
                <w:p w14:paraId="03915498" w14:textId="77777777" w:rsidR="006B1AFC" w:rsidRPr="006B71FB"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6B71FB">
                    <w:rPr>
                      <w:rFonts w:cs="Arial"/>
                      <w:color w:val="000000"/>
                      <w:sz w:val="16"/>
                      <w:szCs w:val="16"/>
                      <w:lang w:eastAsia="ko-KR"/>
                    </w:rPr>
                    <w:t>9,1</w:t>
                  </w:r>
                </w:p>
              </w:tc>
            </w:tr>
          </w:tbl>
          <w:p w14:paraId="7FC15EC5" w14:textId="77777777" w:rsidR="006B1AFC" w:rsidRDefault="006B1AFC" w:rsidP="003C4A79">
            <w:pPr>
              <w:spacing w:after="0"/>
              <w:rPr>
                <w:spacing w:val="-4"/>
                <w:lang w:eastAsia="en-US"/>
              </w:rPr>
            </w:pPr>
          </w:p>
        </w:tc>
      </w:tr>
      <w:tr w:rsidR="006B1AFC" w14:paraId="16B5F5D8" w14:textId="77777777" w:rsidTr="003C4A79">
        <w:trPr>
          <w:trHeight w:val="170"/>
        </w:trPr>
        <w:tc>
          <w:tcPr>
            <w:tcW w:w="4811" w:type="dxa"/>
            <w:gridSpan w:val="3"/>
            <w:hideMark/>
          </w:tcPr>
          <w:p w14:paraId="7EB59DBD" w14:textId="77777777" w:rsidR="006B1AFC" w:rsidRDefault="006B1AFC" w:rsidP="003C4A79">
            <w:pPr>
              <w:jc w:val="left"/>
              <w:rPr>
                <w:spacing w:val="-4"/>
                <w:sz w:val="16"/>
                <w:szCs w:val="16"/>
                <w:lang w:eastAsia="en-US"/>
              </w:rPr>
            </w:pPr>
            <w:r>
              <w:rPr>
                <w:spacing w:val="-4"/>
                <w:sz w:val="16"/>
                <w:szCs w:val="16"/>
                <w:lang w:eastAsia="en-US"/>
              </w:rPr>
              <w:t>Zdroj: ČSÚ</w:t>
            </w:r>
          </w:p>
        </w:tc>
        <w:tc>
          <w:tcPr>
            <w:tcW w:w="57" w:type="dxa"/>
          </w:tcPr>
          <w:p w14:paraId="187152A6" w14:textId="77777777" w:rsidR="006B1AFC" w:rsidRDefault="006B1AFC" w:rsidP="003C4A79">
            <w:pPr>
              <w:spacing w:after="0"/>
              <w:rPr>
                <w:spacing w:val="-4"/>
                <w:lang w:eastAsia="en-US"/>
              </w:rPr>
            </w:pPr>
          </w:p>
        </w:tc>
        <w:tc>
          <w:tcPr>
            <w:tcW w:w="4809" w:type="dxa"/>
            <w:hideMark/>
          </w:tcPr>
          <w:p w14:paraId="4E7C6EDD" w14:textId="77777777" w:rsidR="006B1AFC" w:rsidRDefault="006B1AFC" w:rsidP="003C4A79">
            <w:pPr>
              <w:spacing w:after="0"/>
              <w:ind w:right="21"/>
              <w:jc w:val="left"/>
              <w:rPr>
                <w:spacing w:val="-4"/>
                <w:lang w:eastAsia="en-US"/>
              </w:rPr>
            </w:pPr>
            <w:r>
              <w:rPr>
                <w:spacing w:val="-4"/>
                <w:sz w:val="16"/>
                <w:szCs w:val="16"/>
                <w:lang w:eastAsia="en-US"/>
              </w:rPr>
              <w:t>Zdroj: ČSÚ</w:t>
            </w:r>
          </w:p>
        </w:tc>
      </w:tr>
      <w:tr w:rsidR="006B1AFC" w14:paraId="5C613DD4" w14:textId="77777777" w:rsidTr="003C4A79">
        <w:trPr>
          <w:trHeight w:val="145"/>
        </w:trPr>
        <w:tc>
          <w:tcPr>
            <w:tcW w:w="1716" w:type="dxa"/>
          </w:tcPr>
          <w:p w14:paraId="5DA525FA" w14:textId="77777777" w:rsidR="006B1AFC" w:rsidRDefault="006B1AFC" w:rsidP="003C4A79">
            <w:pPr>
              <w:pStyle w:val="Marginlie"/>
              <w:rPr>
                <w:lang w:eastAsia="en-US"/>
              </w:rPr>
            </w:pPr>
            <w:r>
              <w:rPr>
                <w:lang w:eastAsia="en-US"/>
              </w:rPr>
              <w:t>Dovoz rostl rychleji než vývoz.</w:t>
            </w:r>
          </w:p>
        </w:tc>
        <w:tc>
          <w:tcPr>
            <w:tcW w:w="284" w:type="dxa"/>
          </w:tcPr>
          <w:p w14:paraId="23AEBEBD" w14:textId="77777777" w:rsidR="006B1AFC" w:rsidRDefault="006B1AFC" w:rsidP="003C4A79">
            <w:pPr>
              <w:pStyle w:val="Textpoznpodarou"/>
              <w:jc w:val="both"/>
              <w:rPr>
                <w:spacing w:val="-4"/>
                <w:lang w:eastAsia="en-US"/>
              </w:rPr>
            </w:pPr>
          </w:p>
        </w:tc>
        <w:tc>
          <w:tcPr>
            <w:tcW w:w="7677" w:type="dxa"/>
            <w:gridSpan w:val="3"/>
            <w:hideMark/>
          </w:tcPr>
          <w:p w14:paraId="01D8271D" w14:textId="69DA6506" w:rsidR="006B1AFC" w:rsidRDefault="006B1AFC" w:rsidP="003C4A79">
            <w:pPr>
              <w:rPr>
                <w:spacing w:val="-4"/>
                <w:lang w:eastAsia="en-US"/>
              </w:rPr>
            </w:pPr>
            <w:r>
              <w:rPr>
                <w:spacing w:val="-4"/>
                <w:lang w:eastAsia="en-US"/>
              </w:rPr>
              <w:t xml:space="preserve">Dovoz zboží v 1. pololetí dosáhl hodnoty 2 406,7 mld. korun a byl tak meziročně vyšší o 91,8 mld. (4,0 %). V samotném 2. čtvrtletí hodnota dovozu meziročně vzrostla </w:t>
            </w:r>
            <w:r>
              <w:rPr>
                <w:spacing w:val="-4"/>
                <w:lang w:eastAsia="en-US"/>
              </w:rPr>
              <w:br/>
              <w:t>o 85,4 mld. korun (7,3 %) na 1 250,1 mld. a stejně jako u vývozu hrál výraznou roli ve zrychlení dynamiky růst cen</w:t>
            </w:r>
            <w:r w:rsidRPr="00C11451">
              <w:rPr>
                <w:rStyle w:val="Znakapoznpodarou"/>
                <w:spacing w:val="-4"/>
                <w:lang w:eastAsia="en-US"/>
              </w:rPr>
              <w:footnoteReference w:id="61"/>
            </w:r>
            <w:r>
              <w:rPr>
                <w:spacing w:val="-4"/>
                <w:lang w:eastAsia="en-US"/>
              </w:rPr>
              <w:t xml:space="preserve">. Mezičtvrtletně se hodnota importu podle sezónně očištěných dat zvýšila o 5,0 %. V 1. pololetí se zvyšoval dovoz z EU (+73,5 mld. korun, 5,1 %) i ze zemí mimo Unii (+16,0 mld., 1,9 %). Největší nárůst dovozu byl v 1. pololetí zaznamenán </w:t>
            </w:r>
            <w:r>
              <w:rPr>
                <w:spacing w:val="-4"/>
                <w:lang w:eastAsia="en-US"/>
              </w:rPr>
              <w:br/>
              <w:t>u Německa</w:t>
            </w:r>
            <w:r>
              <w:rPr>
                <w:rStyle w:val="Znakapoznpodarou"/>
                <w:spacing w:val="-4"/>
                <w:lang w:eastAsia="en-US"/>
              </w:rPr>
              <w:footnoteReference w:id="62"/>
            </w:r>
            <w:r>
              <w:rPr>
                <w:spacing w:val="-4"/>
                <w:lang w:eastAsia="en-US"/>
              </w:rPr>
              <w:t xml:space="preserve"> (+31,7 mld. korun, 6,1 %), Polska (+10,1 mld., 4,7 %), Tchaj-wanu</w:t>
            </w:r>
            <w:r>
              <w:rPr>
                <w:rStyle w:val="Znakapoznpodarou"/>
                <w:spacing w:val="-4"/>
                <w:lang w:eastAsia="en-US"/>
              </w:rPr>
              <w:footnoteReference w:id="63"/>
            </w:r>
            <w:r>
              <w:rPr>
                <w:spacing w:val="-4"/>
                <w:lang w:eastAsia="en-US"/>
              </w:rPr>
              <w:t xml:space="preserve"> (+9,4</w:t>
            </w:r>
            <w:r w:rsidR="00A171A3">
              <w:rPr>
                <w:spacing w:val="-4"/>
                <w:lang w:eastAsia="en-US"/>
              </w:rPr>
              <w:t> </w:t>
            </w:r>
            <w:r>
              <w:rPr>
                <w:spacing w:val="-4"/>
                <w:lang w:eastAsia="en-US"/>
              </w:rPr>
              <w:t>mld., 53,2 %) a Maďarska (+9,2 mld., 18,2 %). Import klesl jen u menšiny zemí, nejvíce z Ruska</w:t>
            </w:r>
            <w:r>
              <w:rPr>
                <w:rStyle w:val="Znakapoznpodarou"/>
                <w:spacing w:val="-4"/>
                <w:lang w:eastAsia="en-US"/>
              </w:rPr>
              <w:footnoteReference w:id="64"/>
            </w:r>
            <w:r>
              <w:rPr>
                <w:spacing w:val="-4"/>
                <w:lang w:eastAsia="en-US"/>
              </w:rPr>
              <w:t xml:space="preserve"> (−7,7 mld. korun, −47,6 %). Ve 2. čtvrtletí dovoz z EU vzrostl meziročně o</w:t>
            </w:r>
            <w:r w:rsidR="00A171A3">
              <w:rPr>
                <w:spacing w:val="-4"/>
                <w:lang w:eastAsia="en-US"/>
              </w:rPr>
              <w:t> </w:t>
            </w:r>
            <w:r>
              <w:rPr>
                <w:spacing w:val="-4"/>
                <w:lang w:eastAsia="en-US"/>
              </w:rPr>
              <w:t>61,3</w:t>
            </w:r>
            <w:r w:rsidR="00A171A3">
              <w:rPr>
                <w:spacing w:val="-4"/>
                <w:lang w:eastAsia="en-US"/>
              </w:rPr>
              <w:t> </w:t>
            </w:r>
            <w:r>
              <w:rPr>
                <w:spacing w:val="-4"/>
                <w:lang w:eastAsia="en-US"/>
              </w:rPr>
              <w:t xml:space="preserve">mld. korun (8,5 %) a z mimounijních zemí o 22,1 mld. (5,2 %). Mimořádně silný byl nárůst dovozu z Německa (viz Tabulka č. 6) a výrazné přírůstky měl také import z Polska, </w:t>
            </w:r>
            <w:r>
              <w:rPr>
                <w:spacing w:val="-4"/>
                <w:lang w:eastAsia="en-US"/>
              </w:rPr>
              <w:lastRenderedPageBreak/>
              <w:t>Slovenska, Spojených států amerických</w:t>
            </w:r>
            <w:r>
              <w:rPr>
                <w:rStyle w:val="Znakapoznpodarou"/>
                <w:spacing w:val="-4"/>
                <w:lang w:eastAsia="en-US"/>
              </w:rPr>
              <w:footnoteReference w:id="65"/>
            </w:r>
            <w:r>
              <w:rPr>
                <w:spacing w:val="-4"/>
                <w:lang w:eastAsia="en-US"/>
              </w:rPr>
              <w:t xml:space="preserve"> nebo Číny. Do seznamu zemí s významným příspěvkem k růstu dovozu se dostaly i méně obvyklé destinace, jako je Malajsie nebo Irsko</w:t>
            </w:r>
            <w:r>
              <w:rPr>
                <w:rStyle w:val="Znakapoznpodarou"/>
                <w:spacing w:val="-4"/>
                <w:lang w:eastAsia="en-US"/>
              </w:rPr>
              <w:footnoteReference w:id="66"/>
            </w:r>
            <w:r>
              <w:rPr>
                <w:spacing w:val="-4"/>
                <w:lang w:eastAsia="en-US"/>
              </w:rPr>
              <w:t>. Jen u mála zemí import klesl, největší pokles byl zachycen v případě Norska.</w:t>
            </w:r>
          </w:p>
        </w:tc>
      </w:tr>
      <w:tr w:rsidR="006B1AFC" w14:paraId="6C51F84F" w14:textId="77777777" w:rsidTr="003C4A79">
        <w:trPr>
          <w:trHeight w:val="145"/>
        </w:trPr>
        <w:tc>
          <w:tcPr>
            <w:tcW w:w="1716" w:type="dxa"/>
          </w:tcPr>
          <w:p w14:paraId="198DD3FF" w14:textId="77777777" w:rsidR="006B1AFC" w:rsidRDefault="006B1AFC" w:rsidP="003C4A79">
            <w:pPr>
              <w:pStyle w:val="Marginlie"/>
              <w:rPr>
                <w:lang w:eastAsia="en-US"/>
              </w:rPr>
            </w:pPr>
            <w:r>
              <w:rPr>
                <w:lang w:eastAsia="en-US"/>
              </w:rPr>
              <w:lastRenderedPageBreak/>
              <w:t>Část z nárůstu hodnoty dovozu souvisela se zvýšením cen surovin.</w:t>
            </w:r>
          </w:p>
        </w:tc>
        <w:tc>
          <w:tcPr>
            <w:tcW w:w="284" w:type="dxa"/>
          </w:tcPr>
          <w:p w14:paraId="710AB048" w14:textId="77777777" w:rsidR="006B1AFC" w:rsidRDefault="006B1AFC" w:rsidP="003C4A79">
            <w:pPr>
              <w:pStyle w:val="Textpoznpodarou"/>
              <w:jc w:val="both"/>
              <w:rPr>
                <w:spacing w:val="-4"/>
                <w:lang w:eastAsia="en-US"/>
              </w:rPr>
            </w:pPr>
          </w:p>
        </w:tc>
        <w:tc>
          <w:tcPr>
            <w:tcW w:w="7677" w:type="dxa"/>
            <w:gridSpan w:val="3"/>
          </w:tcPr>
          <w:p w14:paraId="4219A168" w14:textId="77777777" w:rsidR="006B1AFC" w:rsidRDefault="006B1AFC" w:rsidP="003C4A79">
            <w:pPr>
              <w:spacing w:after="180"/>
              <w:rPr>
                <w:spacing w:val="-4"/>
                <w:lang w:eastAsia="en-US"/>
              </w:rPr>
            </w:pPr>
            <w:r>
              <w:rPr>
                <w:spacing w:val="-4"/>
                <w:lang w:eastAsia="en-US"/>
              </w:rPr>
              <w:t>Největší meziroční nárůst hodnoty dovozu byl v 1. pololetí 2026 zachycen u počítačů, elektronických a optických přístrojů a zařízení (+20,2 mld. korun</w:t>
            </w:r>
            <w:r>
              <w:rPr>
                <w:rStyle w:val="Znakapoznpodarou"/>
                <w:spacing w:val="-4"/>
                <w:lang w:eastAsia="en-US"/>
              </w:rPr>
              <w:footnoteReference w:id="67"/>
            </w:r>
            <w:r>
              <w:rPr>
                <w:spacing w:val="-4"/>
                <w:lang w:eastAsia="en-US"/>
              </w:rPr>
              <w:t xml:space="preserve">, 7,9 %). Dále se významně zvýšila hodnota importu koksu a rafinovaných ropných produktů (+13,6 mld. korun, 29,3 %) a motorových vozidel (+11,2 mld., 3,2 %). Z pohledu odvětvové struktury lze faktory ovlivňující dynamiku dovozu v samotném 2. čtvrtletí rozdělit do více skupin. Na jedné straně pokračoval silný růst dovozu počítačů, elektronických a optických přístrojů a zařízení (viz Tabulka č. 5), motorových vozidel, základních farmaceutických výrobků a přípravků, elektřiny, plynu, páry a klimatizovaného vzduchu a ostatních nekovových minerálních výrobků, který byl patrný už v 1. kvartálu. V souvislosti s nárůstem cen značně posílil nebo se nově objevil přírůstek importu koksu a rafinovaných ropných produktů, chemických látek a přípravků, ropy a zemního plynu, základních kovů a pryžových a plastových výrobků. Oživení meziročního růstu dovozu bylo ve 2. čtvrtletí zaznamenáno také u elektrických zařízení, kovodělných výrobků, ostatních dopravních prostředků a zařízení a strojů a zařízení. Významnější meziroční pokles (více než 1 mld. korun) se ve 2. čtvrtletí odehrál jen u potravinářských výrobků. </w:t>
            </w:r>
          </w:p>
        </w:tc>
      </w:tr>
      <w:tr w:rsidR="006B1AFC" w14:paraId="375A86DA" w14:textId="77777777" w:rsidTr="003C4A79">
        <w:trPr>
          <w:trHeight w:val="170"/>
        </w:trPr>
        <w:tc>
          <w:tcPr>
            <w:tcW w:w="4811" w:type="dxa"/>
            <w:gridSpan w:val="3"/>
            <w:hideMark/>
          </w:tcPr>
          <w:p w14:paraId="1FAFCD43" w14:textId="77777777" w:rsidR="006B1AFC" w:rsidRDefault="006B1AFC" w:rsidP="003C4A79">
            <w:pPr>
              <w:spacing w:after="0"/>
              <w:jc w:val="left"/>
              <w:rPr>
                <w:spacing w:val="-4"/>
                <w:lang w:eastAsia="en-US"/>
              </w:rPr>
            </w:pPr>
            <w:r>
              <w:rPr>
                <w:rFonts w:cs="Arial"/>
                <w:b/>
                <w:bCs/>
                <w:color w:val="000000"/>
                <w:sz w:val="18"/>
                <w:szCs w:val="18"/>
                <w:lang w:eastAsia="en-US"/>
              </w:rPr>
              <w:t xml:space="preserve">Tabulka č. 5 Oddíly klasifikace CPA s největším vlivem na vývoj dovozu zboží ve 2. čtvrtletí 2026 </w:t>
            </w:r>
            <w:r>
              <w:rPr>
                <w:rFonts w:cs="Arial"/>
                <w:bCs/>
                <w:color w:val="000000"/>
                <w:sz w:val="18"/>
                <w:szCs w:val="18"/>
                <w:lang w:eastAsia="en-US"/>
              </w:rPr>
              <w:t>(meziročně)</w:t>
            </w:r>
          </w:p>
        </w:tc>
        <w:tc>
          <w:tcPr>
            <w:tcW w:w="57" w:type="dxa"/>
          </w:tcPr>
          <w:p w14:paraId="36623FCF" w14:textId="77777777" w:rsidR="006B1AFC" w:rsidRDefault="006B1AFC" w:rsidP="003C4A79">
            <w:pPr>
              <w:spacing w:after="0"/>
              <w:rPr>
                <w:spacing w:val="-4"/>
                <w:lang w:eastAsia="en-US"/>
              </w:rPr>
            </w:pPr>
          </w:p>
        </w:tc>
        <w:tc>
          <w:tcPr>
            <w:tcW w:w="4809" w:type="dxa"/>
            <w:hideMark/>
          </w:tcPr>
          <w:p w14:paraId="7236B213" w14:textId="77777777" w:rsidR="006B1AFC" w:rsidRDefault="006B1AFC" w:rsidP="003C4A79">
            <w:pPr>
              <w:spacing w:after="0"/>
              <w:jc w:val="left"/>
              <w:rPr>
                <w:spacing w:val="-4"/>
                <w:sz w:val="18"/>
                <w:szCs w:val="18"/>
                <w:lang w:eastAsia="en-US"/>
              </w:rPr>
            </w:pPr>
            <w:r>
              <w:rPr>
                <w:rFonts w:cs="Arial"/>
                <w:b/>
                <w:bCs/>
                <w:color w:val="000000"/>
                <w:sz w:val="18"/>
                <w:szCs w:val="18"/>
                <w:lang w:eastAsia="en-US"/>
              </w:rPr>
              <w:t xml:space="preserve">Tabulka č. 6 Země s největším vlivem na vývoj dovozu zboží ve 2. čtvrtletí 2026 </w:t>
            </w:r>
            <w:r>
              <w:rPr>
                <w:rFonts w:cs="Arial"/>
                <w:bCs/>
                <w:color w:val="000000"/>
                <w:sz w:val="18"/>
                <w:szCs w:val="18"/>
                <w:lang w:eastAsia="en-US"/>
              </w:rPr>
              <w:t>(meziročně)</w:t>
            </w:r>
          </w:p>
        </w:tc>
      </w:tr>
      <w:tr w:rsidR="006B1AFC" w:rsidRPr="005A40B7" w14:paraId="1A27C311" w14:textId="77777777" w:rsidTr="003C4A79">
        <w:trPr>
          <w:trHeight w:val="170"/>
        </w:trPr>
        <w:tc>
          <w:tcPr>
            <w:tcW w:w="4811" w:type="dxa"/>
            <w:gridSpan w:val="3"/>
            <w:hideMark/>
          </w:tcPr>
          <w:tbl>
            <w:tblPr>
              <w:tblW w:w="4817" w:type="dxa"/>
              <w:tblLayout w:type="fixed"/>
              <w:tblCellMar>
                <w:left w:w="70" w:type="dxa"/>
                <w:right w:w="70" w:type="dxa"/>
              </w:tblCellMar>
              <w:tblLook w:val="04A0" w:firstRow="1" w:lastRow="0" w:firstColumn="1" w:lastColumn="0" w:noHBand="0" w:noVBand="1"/>
            </w:tblPr>
            <w:tblGrid>
              <w:gridCol w:w="3417"/>
              <w:gridCol w:w="700"/>
              <w:gridCol w:w="700"/>
            </w:tblGrid>
            <w:tr w:rsidR="006B1AFC" w:rsidRPr="00E66209" w14:paraId="038F9566" w14:textId="77777777" w:rsidTr="003C4A79">
              <w:trPr>
                <w:trHeight w:val="252"/>
              </w:trPr>
              <w:tc>
                <w:tcPr>
                  <w:tcW w:w="3417" w:type="dxa"/>
                  <w:tcBorders>
                    <w:top w:val="nil"/>
                    <w:left w:val="nil"/>
                    <w:bottom w:val="single" w:sz="4" w:space="0" w:color="auto"/>
                    <w:right w:val="nil"/>
                  </w:tcBorders>
                  <w:noWrap/>
                  <w:vAlign w:val="bottom"/>
                  <w:hideMark/>
                </w:tcPr>
                <w:p w14:paraId="26F42E17" w14:textId="77777777" w:rsidR="006B1AFC" w:rsidRPr="00E66209" w:rsidRDefault="006B1AFC" w:rsidP="003C4A79">
                  <w:pPr>
                    <w:spacing w:after="0" w:line="240" w:lineRule="auto"/>
                    <w:jc w:val="left"/>
                    <w:rPr>
                      <w:rFonts w:cs="Arial"/>
                      <w:color w:val="000000"/>
                      <w:sz w:val="16"/>
                      <w:szCs w:val="16"/>
                      <w:lang w:eastAsia="ko-KR"/>
                    </w:rPr>
                  </w:pPr>
                  <w:r w:rsidRPr="00E66209">
                    <w:rPr>
                      <w:rFonts w:cs="Arial"/>
                      <w:color w:val="000000"/>
                      <w:sz w:val="16"/>
                      <w:szCs w:val="16"/>
                      <w:lang w:eastAsia="ko-KR"/>
                    </w:rPr>
                    <w:t> </w:t>
                  </w:r>
                </w:p>
              </w:tc>
              <w:tc>
                <w:tcPr>
                  <w:tcW w:w="700" w:type="dxa"/>
                  <w:tcBorders>
                    <w:top w:val="nil"/>
                    <w:left w:val="nil"/>
                    <w:bottom w:val="single" w:sz="4" w:space="0" w:color="auto"/>
                    <w:right w:val="nil"/>
                  </w:tcBorders>
                  <w:noWrap/>
                  <w:vAlign w:val="bottom"/>
                  <w:hideMark/>
                </w:tcPr>
                <w:p w14:paraId="0098FA7B" w14:textId="77777777" w:rsidR="006B1AFC" w:rsidRPr="00E66209" w:rsidRDefault="006B1AFC" w:rsidP="003C4A79">
                  <w:pPr>
                    <w:spacing w:after="0" w:line="240" w:lineRule="auto"/>
                    <w:jc w:val="right"/>
                    <w:rPr>
                      <w:rFonts w:cs="Arial"/>
                      <w:color w:val="000000"/>
                      <w:sz w:val="16"/>
                      <w:szCs w:val="16"/>
                      <w:lang w:eastAsia="ko-KR"/>
                    </w:rPr>
                  </w:pPr>
                  <w:r w:rsidRPr="00E66209">
                    <w:rPr>
                      <w:rFonts w:cs="Arial"/>
                      <w:color w:val="000000"/>
                      <w:sz w:val="16"/>
                      <w:szCs w:val="16"/>
                      <w:lang w:eastAsia="ko-KR"/>
                    </w:rPr>
                    <w:t>mld. Kč</w:t>
                  </w:r>
                </w:p>
              </w:tc>
              <w:tc>
                <w:tcPr>
                  <w:tcW w:w="700" w:type="dxa"/>
                  <w:tcBorders>
                    <w:top w:val="nil"/>
                    <w:left w:val="nil"/>
                    <w:bottom w:val="single" w:sz="4" w:space="0" w:color="auto"/>
                    <w:right w:val="nil"/>
                  </w:tcBorders>
                  <w:noWrap/>
                  <w:vAlign w:val="bottom"/>
                  <w:hideMark/>
                </w:tcPr>
                <w:p w14:paraId="07CDF729" w14:textId="77777777" w:rsidR="006B1AFC" w:rsidRPr="00E66209" w:rsidRDefault="006B1AFC" w:rsidP="003C4A79">
                  <w:pPr>
                    <w:spacing w:after="0" w:line="240" w:lineRule="auto"/>
                    <w:jc w:val="right"/>
                    <w:rPr>
                      <w:rFonts w:cs="Arial"/>
                      <w:color w:val="000000"/>
                      <w:sz w:val="16"/>
                      <w:szCs w:val="16"/>
                      <w:lang w:eastAsia="ko-KR"/>
                    </w:rPr>
                  </w:pPr>
                  <w:r w:rsidRPr="00E66209">
                    <w:rPr>
                      <w:rFonts w:cs="Arial"/>
                      <w:color w:val="000000"/>
                      <w:sz w:val="16"/>
                      <w:szCs w:val="16"/>
                      <w:lang w:eastAsia="ko-KR"/>
                    </w:rPr>
                    <w:t>%</w:t>
                  </w:r>
                </w:p>
              </w:tc>
            </w:tr>
            <w:tr w:rsidR="006B1AFC" w:rsidRPr="00E66209" w14:paraId="3D6E3669" w14:textId="77777777" w:rsidTr="003C4A79">
              <w:trPr>
                <w:trHeight w:val="252"/>
              </w:trPr>
              <w:tc>
                <w:tcPr>
                  <w:tcW w:w="3417" w:type="dxa"/>
                  <w:tcBorders>
                    <w:top w:val="nil"/>
                    <w:left w:val="nil"/>
                    <w:bottom w:val="nil"/>
                    <w:right w:val="nil"/>
                  </w:tcBorders>
                  <w:noWrap/>
                  <w:vAlign w:val="bottom"/>
                  <w:hideMark/>
                </w:tcPr>
                <w:p w14:paraId="36631D32" w14:textId="77777777" w:rsidR="006B1AFC" w:rsidRPr="00E66209" w:rsidRDefault="006B1AFC" w:rsidP="003C4A79">
                  <w:pPr>
                    <w:spacing w:after="0" w:line="240" w:lineRule="auto"/>
                    <w:jc w:val="left"/>
                    <w:rPr>
                      <w:rFonts w:cs="Arial"/>
                      <w:color w:val="000000"/>
                      <w:sz w:val="16"/>
                      <w:szCs w:val="16"/>
                      <w:lang w:eastAsia="ko-KR"/>
                    </w:rPr>
                  </w:pPr>
                  <w:r w:rsidRPr="00E66209">
                    <w:rPr>
                      <w:rFonts w:cs="Arial"/>
                      <w:color w:val="000000"/>
                      <w:sz w:val="16"/>
                      <w:szCs w:val="16"/>
                      <w:lang w:eastAsia="ko-KR"/>
                    </w:rPr>
                    <w:t>Koks a rafinované ropné produkty</w:t>
                  </w:r>
                </w:p>
              </w:tc>
              <w:tc>
                <w:tcPr>
                  <w:tcW w:w="700" w:type="dxa"/>
                  <w:tcBorders>
                    <w:top w:val="nil"/>
                    <w:left w:val="nil"/>
                    <w:bottom w:val="nil"/>
                    <w:right w:val="nil"/>
                  </w:tcBorders>
                  <w:noWrap/>
                  <w:vAlign w:val="bottom"/>
                  <w:hideMark/>
                </w:tcPr>
                <w:p w14:paraId="1363CCAA" w14:textId="77777777" w:rsidR="006B1AFC" w:rsidRPr="00E66209" w:rsidRDefault="006B1AFC" w:rsidP="003C4A79">
                  <w:pPr>
                    <w:spacing w:after="0" w:line="240" w:lineRule="auto"/>
                    <w:jc w:val="right"/>
                    <w:rPr>
                      <w:rFonts w:cs="Arial"/>
                      <w:color w:val="000000"/>
                      <w:sz w:val="16"/>
                      <w:szCs w:val="16"/>
                      <w:lang w:eastAsia="ko-KR"/>
                    </w:rPr>
                  </w:pPr>
                  <w:r w:rsidRPr="00E66209">
                    <w:rPr>
                      <w:rFonts w:cs="Arial"/>
                      <w:color w:val="000000"/>
                      <w:sz w:val="16"/>
                      <w:szCs w:val="16"/>
                      <w:lang w:eastAsia="ko-KR"/>
                    </w:rPr>
                    <w:t>+13,0</w:t>
                  </w:r>
                </w:p>
              </w:tc>
              <w:tc>
                <w:tcPr>
                  <w:tcW w:w="700" w:type="dxa"/>
                  <w:tcBorders>
                    <w:top w:val="nil"/>
                    <w:left w:val="nil"/>
                    <w:bottom w:val="nil"/>
                    <w:right w:val="nil"/>
                  </w:tcBorders>
                  <w:noWrap/>
                  <w:vAlign w:val="bottom"/>
                  <w:hideMark/>
                </w:tcPr>
                <w:p w14:paraId="76AF481B" w14:textId="77777777" w:rsidR="006B1AFC" w:rsidRPr="00E66209" w:rsidRDefault="006B1AFC" w:rsidP="003C4A79">
                  <w:pPr>
                    <w:spacing w:after="0" w:line="240" w:lineRule="auto"/>
                    <w:jc w:val="right"/>
                    <w:rPr>
                      <w:rFonts w:cs="Arial"/>
                      <w:color w:val="000000"/>
                      <w:sz w:val="16"/>
                      <w:szCs w:val="16"/>
                      <w:lang w:eastAsia="ko-KR"/>
                    </w:rPr>
                  </w:pPr>
                  <w:r w:rsidRPr="00E66209">
                    <w:rPr>
                      <w:rFonts w:cs="Arial"/>
                      <w:color w:val="000000"/>
                      <w:sz w:val="16"/>
                      <w:szCs w:val="16"/>
                      <w:lang w:eastAsia="ko-KR"/>
                    </w:rPr>
                    <w:t>+57,9</w:t>
                  </w:r>
                </w:p>
              </w:tc>
            </w:tr>
            <w:tr w:rsidR="006B1AFC" w:rsidRPr="00E66209" w14:paraId="3F813628" w14:textId="77777777" w:rsidTr="003C4A79">
              <w:trPr>
                <w:trHeight w:val="252"/>
              </w:trPr>
              <w:tc>
                <w:tcPr>
                  <w:tcW w:w="3417" w:type="dxa"/>
                  <w:tcBorders>
                    <w:top w:val="nil"/>
                    <w:left w:val="nil"/>
                    <w:bottom w:val="nil"/>
                    <w:right w:val="nil"/>
                  </w:tcBorders>
                  <w:noWrap/>
                  <w:vAlign w:val="bottom"/>
                  <w:hideMark/>
                </w:tcPr>
                <w:p w14:paraId="482A24B3" w14:textId="77777777" w:rsidR="006B1AFC" w:rsidRPr="00E66209" w:rsidRDefault="006B1AFC" w:rsidP="003C4A79">
                  <w:pPr>
                    <w:spacing w:after="0" w:line="240" w:lineRule="auto"/>
                    <w:jc w:val="left"/>
                    <w:rPr>
                      <w:rFonts w:cs="Arial"/>
                      <w:color w:val="000000"/>
                      <w:sz w:val="16"/>
                      <w:szCs w:val="16"/>
                      <w:lang w:eastAsia="ko-KR"/>
                    </w:rPr>
                  </w:pPr>
                  <w:r w:rsidRPr="00E66209">
                    <w:rPr>
                      <w:rFonts w:cs="Arial"/>
                      <w:color w:val="000000"/>
                      <w:sz w:val="16"/>
                      <w:szCs w:val="16"/>
                      <w:lang w:eastAsia="ko-KR"/>
                    </w:rPr>
                    <w:t>Počítače, elektron. a opt. přístroje a zařízení</w:t>
                  </w:r>
                </w:p>
              </w:tc>
              <w:tc>
                <w:tcPr>
                  <w:tcW w:w="700" w:type="dxa"/>
                  <w:tcBorders>
                    <w:top w:val="nil"/>
                    <w:left w:val="nil"/>
                    <w:bottom w:val="nil"/>
                    <w:right w:val="nil"/>
                  </w:tcBorders>
                  <w:noWrap/>
                  <w:vAlign w:val="bottom"/>
                  <w:hideMark/>
                </w:tcPr>
                <w:p w14:paraId="13CEB69B" w14:textId="77777777" w:rsidR="006B1AFC" w:rsidRPr="00E66209" w:rsidRDefault="006B1AFC" w:rsidP="003C4A79">
                  <w:pPr>
                    <w:spacing w:after="0" w:line="240" w:lineRule="auto"/>
                    <w:jc w:val="right"/>
                    <w:rPr>
                      <w:rFonts w:cs="Arial"/>
                      <w:color w:val="000000"/>
                      <w:sz w:val="16"/>
                      <w:szCs w:val="16"/>
                      <w:lang w:eastAsia="ko-KR"/>
                    </w:rPr>
                  </w:pPr>
                  <w:r w:rsidRPr="00E66209">
                    <w:rPr>
                      <w:rFonts w:cs="Arial"/>
                      <w:color w:val="000000"/>
                      <w:sz w:val="16"/>
                      <w:szCs w:val="16"/>
                      <w:lang w:eastAsia="ko-KR"/>
                    </w:rPr>
                    <w:t>+10,0</w:t>
                  </w:r>
                </w:p>
              </w:tc>
              <w:tc>
                <w:tcPr>
                  <w:tcW w:w="700" w:type="dxa"/>
                  <w:tcBorders>
                    <w:top w:val="nil"/>
                    <w:left w:val="nil"/>
                    <w:bottom w:val="nil"/>
                    <w:right w:val="nil"/>
                  </w:tcBorders>
                  <w:noWrap/>
                  <w:vAlign w:val="bottom"/>
                  <w:hideMark/>
                </w:tcPr>
                <w:p w14:paraId="7C400809" w14:textId="77777777" w:rsidR="006B1AFC" w:rsidRPr="00E66209" w:rsidRDefault="006B1AFC" w:rsidP="003C4A79">
                  <w:pPr>
                    <w:spacing w:after="0" w:line="240" w:lineRule="auto"/>
                    <w:jc w:val="right"/>
                    <w:rPr>
                      <w:rFonts w:cs="Arial"/>
                      <w:color w:val="000000"/>
                      <w:sz w:val="16"/>
                      <w:szCs w:val="16"/>
                      <w:lang w:eastAsia="ko-KR"/>
                    </w:rPr>
                  </w:pPr>
                  <w:r w:rsidRPr="00E66209">
                    <w:rPr>
                      <w:rFonts w:cs="Arial"/>
                      <w:color w:val="000000"/>
                      <w:sz w:val="16"/>
                      <w:szCs w:val="16"/>
                      <w:lang w:eastAsia="ko-KR"/>
                    </w:rPr>
                    <w:t>+7,8</w:t>
                  </w:r>
                </w:p>
              </w:tc>
            </w:tr>
            <w:tr w:rsidR="006B1AFC" w:rsidRPr="00E66209" w14:paraId="54F368C4" w14:textId="77777777" w:rsidTr="003C4A79">
              <w:trPr>
                <w:trHeight w:val="252"/>
              </w:trPr>
              <w:tc>
                <w:tcPr>
                  <w:tcW w:w="3417" w:type="dxa"/>
                  <w:tcBorders>
                    <w:top w:val="nil"/>
                    <w:left w:val="nil"/>
                    <w:bottom w:val="nil"/>
                    <w:right w:val="nil"/>
                  </w:tcBorders>
                  <w:noWrap/>
                  <w:vAlign w:val="bottom"/>
                  <w:hideMark/>
                </w:tcPr>
                <w:p w14:paraId="5B078428" w14:textId="77777777" w:rsidR="006B1AFC" w:rsidRPr="00E66209" w:rsidRDefault="006B1AFC" w:rsidP="003C4A79">
                  <w:pPr>
                    <w:spacing w:after="0" w:line="240" w:lineRule="auto"/>
                    <w:jc w:val="left"/>
                    <w:rPr>
                      <w:rFonts w:cs="Arial"/>
                      <w:color w:val="000000"/>
                      <w:sz w:val="16"/>
                      <w:szCs w:val="16"/>
                      <w:lang w:eastAsia="ko-KR"/>
                    </w:rPr>
                  </w:pPr>
                  <w:r w:rsidRPr="00E66209">
                    <w:rPr>
                      <w:rFonts w:cs="Arial"/>
                      <w:color w:val="000000"/>
                      <w:sz w:val="16"/>
                      <w:szCs w:val="16"/>
                      <w:lang w:eastAsia="ko-KR"/>
                    </w:rPr>
                    <w:t>Chemické látky a přípravky</w:t>
                  </w:r>
                </w:p>
              </w:tc>
              <w:tc>
                <w:tcPr>
                  <w:tcW w:w="700" w:type="dxa"/>
                  <w:tcBorders>
                    <w:top w:val="nil"/>
                    <w:left w:val="nil"/>
                    <w:bottom w:val="nil"/>
                    <w:right w:val="nil"/>
                  </w:tcBorders>
                  <w:noWrap/>
                  <w:vAlign w:val="bottom"/>
                  <w:hideMark/>
                </w:tcPr>
                <w:p w14:paraId="4A65D463" w14:textId="77777777" w:rsidR="006B1AFC" w:rsidRPr="00E66209" w:rsidRDefault="006B1AFC" w:rsidP="003C4A79">
                  <w:pPr>
                    <w:spacing w:after="0" w:line="240" w:lineRule="auto"/>
                    <w:jc w:val="right"/>
                    <w:rPr>
                      <w:rFonts w:cs="Arial"/>
                      <w:color w:val="000000"/>
                      <w:sz w:val="16"/>
                      <w:szCs w:val="16"/>
                      <w:lang w:eastAsia="ko-KR"/>
                    </w:rPr>
                  </w:pPr>
                  <w:r w:rsidRPr="00E66209">
                    <w:rPr>
                      <w:rFonts w:cs="Arial"/>
                      <w:color w:val="000000"/>
                      <w:sz w:val="16"/>
                      <w:szCs w:val="16"/>
                      <w:lang w:eastAsia="ko-KR"/>
                    </w:rPr>
                    <w:t>+9,7</w:t>
                  </w:r>
                </w:p>
              </w:tc>
              <w:tc>
                <w:tcPr>
                  <w:tcW w:w="700" w:type="dxa"/>
                  <w:tcBorders>
                    <w:top w:val="nil"/>
                    <w:left w:val="nil"/>
                    <w:bottom w:val="nil"/>
                    <w:right w:val="nil"/>
                  </w:tcBorders>
                  <w:noWrap/>
                  <w:vAlign w:val="bottom"/>
                  <w:hideMark/>
                </w:tcPr>
                <w:p w14:paraId="3F91BC59" w14:textId="77777777" w:rsidR="006B1AFC" w:rsidRPr="00E66209" w:rsidRDefault="006B1AFC" w:rsidP="003C4A79">
                  <w:pPr>
                    <w:spacing w:after="0" w:line="240" w:lineRule="auto"/>
                    <w:jc w:val="right"/>
                    <w:rPr>
                      <w:rFonts w:cs="Arial"/>
                      <w:color w:val="000000"/>
                      <w:sz w:val="16"/>
                      <w:szCs w:val="16"/>
                      <w:lang w:eastAsia="ko-KR"/>
                    </w:rPr>
                  </w:pPr>
                  <w:r w:rsidRPr="00E66209">
                    <w:rPr>
                      <w:rFonts w:cs="Arial"/>
                      <w:color w:val="000000"/>
                      <w:sz w:val="16"/>
                      <w:szCs w:val="16"/>
                      <w:lang w:eastAsia="ko-KR"/>
                    </w:rPr>
                    <w:t>+10,8</w:t>
                  </w:r>
                </w:p>
              </w:tc>
            </w:tr>
            <w:tr w:rsidR="006B1AFC" w:rsidRPr="00E66209" w14:paraId="78D87E0C" w14:textId="77777777" w:rsidTr="003C4A79">
              <w:trPr>
                <w:trHeight w:val="252"/>
              </w:trPr>
              <w:tc>
                <w:tcPr>
                  <w:tcW w:w="3417" w:type="dxa"/>
                  <w:tcBorders>
                    <w:top w:val="nil"/>
                    <w:left w:val="nil"/>
                    <w:bottom w:val="nil"/>
                    <w:right w:val="nil"/>
                  </w:tcBorders>
                  <w:noWrap/>
                  <w:vAlign w:val="bottom"/>
                  <w:hideMark/>
                </w:tcPr>
                <w:p w14:paraId="1906F728" w14:textId="77777777" w:rsidR="006B1AFC" w:rsidRPr="00E66209" w:rsidRDefault="006B1AFC" w:rsidP="003C4A79">
                  <w:pPr>
                    <w:spacing w:after="0" w:line="240" w:lineRule="auto"/>
                    <w:jc w:val="left"/>
                    <w:rPr>
                      <w:rFonts w:cs="Arial"/>
                      <w:color w:val="000000"/>
                      <w:sz w:val="16"/>
                      <w:szCs w:val="16"/>
                      <w:lang w:eastAsia="ko-KR"/>
                    </w:rPr>
                  </w:pPr>
                  <w:r w:rsidRPr="00E66209">
                    <w:rPr>
                      <w:rFonts w:cs="Arial"/>
                      <w:color w:val="000000"/>
                      <w:sz w:val="16"/>
                      <w:szCs w:val="16"/>
                      <w:lang w:eastAsia="ko-KR"/>
                    </w:rPr>
                    <w:t>Elektrická zařízení</w:t>
                  </w:r>
                </w:p>
              </w:tc>
              <w:tc>
                <w:tcPr>
                  <w:tcW w:w="700" w:type="dxa"/>
                  <w:tcBorders>
                    <w:top w:val="nil"/>
                    <w:left w:val="nil"/>
                    <w:bottom w:val="nil"/>
                    <w:right w:val="nil"/>
                  </w:tcBorders>
                  <w:noWrap/>
                  <w:vAlign w:val="bottom"/>
                  <w:hideMark/>
                </w:tcPr>
                <w:p w14:paraId="3B4465BD" w14:textId="77777777" w:rsidR="006B1AFC" w:rsidRPr="00E66209" w:rsidRDefault="006B1AFC" w:rsidP="003C4A79">
                  <w:pPr>
                    <w:spacing w:after="0" w:line="240" w:lineRule="auto"/>
                    <w:jc w:val="right"/>
                    <w:rPr>
                      <w:rFonts w:cs="Arial"/>
                      <w:color w:val="000000"/>
                      <w:sz w:val="16"/>
                      <w:szCs w:val="16"/>
                      <w:lang w:eastAsia="ko-KR"/>
                    </w:rPr>
                  </w:pPr>
                  <w:r w:rsidRPr="00E66209">
                    <w:rPr>
                      <w:rFonts w:cs="Arial"/>
                      <w:color w:val="000000"/>
                      <w:sz w:val="16"/>
                      <w:szCs w:val="16"/>
                      <w:lang w:eastAsia="ko-KR"/>
                    </w:rPr>
                    <w:t>+9,2</w:t>
                  </w:r>
                </w:p>
              </w:tc>
              <w:tc>
                <w:tcPr>
                  <w:tcW w:w="700" w:type="dxa"/>
                  <w:tcBorders>
                    <w:top w:val="nil"/>
                    <w:left w:val="nil"/>
                    <w:bottom w:val="nil"/>
                    <w:right w:val="nil"/>
                  </w:tcBorders>
                  <w:noWrap/>
                  <w:vAlign w:val="bottom"/>
                  <w:hideMark/>
                </w:tcPr>
                <w:p w14:paraId="49FFE3F1" w14:textId="77777777" w:rsidR="006B1AFC" w:rsidRPr="00E66209" w:rsidRDefault="006B1AFC" w:rsidP="003C4A79">
                  <w:pPr>
                    <w:spacing w:after="0" w:line="240" w:lineRule="auto"/>
                    <w:jc w:val="right"/>
                    <w:rPr>
                      <w:rFonts w:cs="Arial"/>
                      <w:color w:val="000000"/>
                      <w:sz w:val="16"/>
                      <w:szCs w:val="16"/>
                      <w:lang w:eastAsia="ko-KR"/>
                    </w:rPr>
                  </w:pPr>
                  <w:r w:rsidRPr="00E66209">
                    <w:rPr>
                      <w:rFonts w:cs="Arial"/>
                      <w:color w:val="000000"/>
                      <w:sz w:val="16"/>
                      <w:szCs w:val="16"/>
                      <w:lang w:eastAsia="ko-KR"/>
                    </w:rPr>
                    <w:t>+7,6</w:t>
                  </w:r>
                </w:p>
              </w:tc>
            </w:tr>
            <w:tr w:rsidR="006B1AFC" w:rsidRPr="00E66209" w14:paraId="1386E85A" w14:textId="77777777" w:rsidTr="003C4A79">
              <w:trPr>
                <w:trHeight w:val="252"/>
              </w:trPr>
              <w:tc>
                <w:tcPr>
                  <w:tcW w:w="3417" w:type="dxa"/>
                  <w:tcBorders>
                    <w:top w:val="nil"/>
                    <w:left w:val="nil"/>
                    <w:bottom w:val="nil"/>
                    <w:right w:val="nil"/>
                  </w:tcBorders>
                  <w:noWrap/>
                  <w:vAlign w:val="bottom"/>
                  <w:hideMark/>
                </w:tcPr>
                <w:p w14:paraId="246888F9" w14:textId="77777777" w:rsidR="006B1AFC" w:rsidRPr="00E66209" w:rsidRDefault="006B1AFC" w:rsidP="003C4A79">
                  <w:pPr>
                    <w:spacing w:after="0" w:line="240" w:lineRule="auto"/>
                    <w:jc w:val="left"/>
                    <w:rPr>
                      <w:rFonts w:cs="Arial"/>
                      <w:color w:val="000000"/>
                      <w:sz w:val="16"/>
                      <w:szCs w:val="16"/>
                      <w:lang w:eastAsia="ko-KR"/>
                    </w:rPr>
                  </w:pPr>
                  <w:r w:rsidRPr="00E66209">
                    <w:rPr>
                      <w:rFonts w:cs="Arial"/>
                      <w:color w:val="000000"/>
                      <w:sz w:val="16"/>
                      <w:szCs w:val="16"/>
                      <w:lang w:eastAsia="ko-KR"/>
                    </w:rPr>
                    <w:t>Ropa a zemní plyn</w:t>
                  </w:r>
                </w:p>
              </w:tc>
              <w:tc>
                <w:tcPr>
                  <w:tcW w:w="700" w:type="dxa"/>
                  <w:tcBorders>
                    <w:top w:val="nil"/>
                    <w:left w:val="nil"/>
                    <w:bottom w:val="nil"/>
                    <w:right w:val="nil"/>
                  </w:tcBorders>
                  <w:noWrap/>
                  <w:vAlign w:val="bottom"/>
                  <w:hideMark/>
                </w:tcPr>
                <w:p w14:paraId="595B809D" w14:textId="77777777" w:rsidR="006B1AFC" w:rsidRPr="00E66209" w:rsidRDefault="006B1AFC" w:rsidP="003C4A79">
                  <w:pPr>
                    <w:spacing w:after="0" w:line="240" w:lineRule="auto"/>
                    <w:jc w:val="right"/>
                    <w:rPr>
                      <w:rFonts w:cs="Arial"/>
                      <w:color w:val="000000"/>
                      <w:sz w:val="16"/>
                      <w:szCs w:val="16"/>
                      <w:lang w:eastAsia="ko-KR"/>
                    </w:rPr>
                  </w:pPr>
                  <w:r w:rsidRPr="00E66209">
                    <w:rPr>
                      <w:rFonts w:cs="Arial"/>
                      <w:color w:val="000000"/>
                      <w:sz w:val="16"/>
                      <w:szCs w:val="16"/>
                      <w:lang w:eastAsia="ko-KR"/>
                    </w:rPr>
                    <w:t>+8,0</w:t>
                  </w:r>
                </w:p>
              </w:tc>
              <w:tc>
                <w:tcPr>
                  <w:tcW w:w="700" w:type="dxa"/>
                  <w:tcBorders>
                    <w:top w:val="nil"/>
                    <w:left w:val="nil"/>
                    <w:bottom w:val="nil"/>
                    <w:right w:val="nil"/>
                  </w:tcBorders>
                  <w:noWrap/>
                  <w:vAlign w:val="bottom"/>
                  <w:hideMark/>
                </w:tcPr>
                <w:p w14:paraId="2661DDCE" w14:textId="77777777" w:rsidR="006B1AFC" w:rsidRPr="00E66209" w:rsidRDefault="006B1AFC" w:rsidP="003C4A79">
                  <w:pPr>
                    <w:spacing w:after="0" w:line="240" w:lineRule="auto"/>
                    <w:jc w:val="right"/>
                    <w:rPr>
                      <w:rFonts w:cs="Arial"/>
                      <w:color w:val="000000"/>
                      <w:sz w:val="16"/>
                      <w:szCs w:val="16"/>
                      <w:lang w:eastAsia="ko-KR"/>
                    </w:rPr>
                  </w:pPr>
                  <w:r w:rsidRPr="00E66209">
                    <w:rPr>
                      <w:rFonts w:cs="Arial"/>
                      <w:color w:val="000000"/>
                      <w:sz w:val="16"/>
                      <w:szCs w:val="16"/>
                      <w:lang w:eastAsia="ko-KR"/>
                    </w:rPr>
                    <w:t>+17,5</w:t>
                  </w:r>
                </w:p>
              </w:tc>
            </w:tr>
            <w:tr w:rsidR="006B1AFC" w:rsidRPr="00E66209" w14:paraId="66FCED37" w14:textId="77777777" w:rsidTr="003C4A79">
              <w:trPr>
                <w:trHeight w:val="252"/>
              </w:trPr>
              <w:tc>
                <w:tcPr>
                  <w:tcW w:w="3417" w:type="dxa"/>
                  <w:tcBorders>
                    <w:top w:val="nil"/>
                    <w:left w:val="nil"/>
                    <w:bottom w:val="nil"/>
                    <w:right w:val="nil"/>
                  </w:tcBorders>
                  <w:noWrap/>
                  <w:vAlign w:val="bottom"/>
                  <w:hideMark/>
                </w:tcPr>
                <w:p w14:paraId="398C873B" w14:textId="77777777" w:rsidR="006B1AFC" w:rsidRPr="00E66209" w:rsidRDefault="006B1AFC" w:rsidP="003C4A79">
                  <w:pPr>
                    <w:spacing w:after="0" w:line="240" w:lineRule="auto"/>
                    <w:jc w:val="left"/>
                    <w:rPr>
                      <w:rFonts w:cs="Arial"/>
                      <w:color w:val="000000"/>
                      <w:sz w:val="16"/>
                      <w:szCs w:val="16"/>
                      <w:lang w:eastAsia="ko-KR"/>
                    </w:rPr>
                  </w:pPr>
                  <w:r w:rsidRPr="00E66209">
                    <w:rPr>
                      <w:rFonts w:cs="Arial"/>
                      <w:color w:val="000000"/>
                      <w:sz w:val="16"/>
                      <w:szCs w:val="16"/>
                      <w:lang w:eastAsia="ko-KR"/>
                    </w:rPr>
                    <w:t>Kovodělné výrobky kromě strojů a zařízení</w:t>
                  </w:r>
                </w:p>
              </w:tc>
              <w:tc>
                <w:tcPr>
                  <w:tcW w:w="700" w:type="dxa"/>
                  <w:tcBorders>
                    <w:top w:val="nil"/>
                    <w:left w:val="nil"/>
                    <w:bottom w:val="nil"/>
                    <w:right w:val="nil"/>
                  </w:tcBorders>
                  <w:noWrap/>
                  <w:vAlign w:val="bottom"/>
                  <w:hideMark/>
                </w:tcPr>
                <w:p w14:paraId="5F2CC7A9" w14:textId="77777777" w:rsidR="006B1AFC" w:rsidRPr="00E66209" w:rsidRDefault="006B1AFC" w:rsidP="003C4A79">
                  <w:pPr>
                    <w:spacing w:after="0" w:line="240" w:lineRule="auto"/>
                    <w:jc w:val="right"/>
                    <w:rPr>
                      <w:rFonts w:cs="Arial"/>
                      <w:color w:val="000000"/>
                      <w:sz w:val="16"/>
                      <w:szCs w:val="16"/>
                      <w:lang w:eastAsia="ko-KR"/>
                    </w:rPr>
                  </w:pPr>
                  <w:r w:rsidRPr="00E66209">
                    <w:rPr>
                      <w:rFonts w:cs="Arial"/>
                      <w:color w:val="000000"/>
                      <w:sz w:val="16"/>
                      <w:szCs w:val="16"/>
                      <w:lang w:eastAsia="ko-KR"/>
                    </w:rPr>
                    <w:t>+7,3</w:t>
                  </w:r>
                </w:p>
              </w:tc>
              <w:tc>
                <w:tcPr>
                  <w:tcW w:w="700" w:type="dxa"/>
                  <w:tcBorders>
                    <w:top w:val="nil"/>
                    <w:left w:val="nil"/>
                    <w:bottom w:val="nil"/>
                    <w:right w:val="nil"/>
                  </w:tcBorders>
                  <w:noWrap/>
                  <w:vAlign w:val="bottom"/>
                  <w:hideMark/>
                </w:tcPr>
                <w:p w14:paraId="53F48771" w14:textId="77777777" w:rsidR="006B1AFC" w:rsidRPr="00E66209" w:rsidRDefault="006B1AFC" w:rsidP="003C4A79">
                  <w:pPr>
                    <w:spacing w:after="0" w:line="240" w:lineRule="auto"/>
                    <w:jc w:val="right"/>
                    <w:rPr>
                      <w:rFonts w:cs="Arial"/>
                      <w:color w:val="000000"/>
                      <w:sz w:val="16"/>
                      <w:szCs w:val="16"/>
                      <w:lang w:eastAsia="ko-KR"/>
                    </w:rPr>
                  </w:pPr>
                  <w:r w:rsidRPr="00E66209">
                    <w:rPr>
                      <w:rFonts w:cs="Arial"/>
                      <w:color w:val="000000"/>
                      <w:sz w:val="16"/>
                      <w:szCs w:val="16"/>
                      <w:lang w:eastAsia="ko-KR"/>
                    </w:rPr>
                    <w:t>+11,7</w:t>
                  </w:r>
                </w:p>
              </w:tc>
            </w:tr>
            <w:tr w:rsidR="006B1AFC" w:rsidRPr="00E66209" w14:paraId="7CDA62B5" w14:textId="77777777" w:rsidTr="003C4A79">
              <w:trPr>
                <w:trHeight w:val="252"/>
              </w:trPr>
              <w:tc>
                <w:tcPr>
                  <w:tcW w:w="3417" w:type="dxa"/>
                  <w:tcBorders>
                    <w:top w:val="nil"/>
                    <w:left w:val="nil"/>
                    <w:bottom w:val="nil"/>
                    <w:right w:val="nil"/>
                  </w:tcBorders>
                  <w:noWrap/>
                  <w:vAlign w:val="bottom"/>
                  <w:hideMark/>
                </w:tcPr>
                <w:p w14:paraId="102537CB" w14:textId="77777777" w:rsidR="006B1AFC" w:rsidRPr="00E66209" w:rsidRDefault="006B1AFC" w:rsidP="003C4A79">
                  <w:pPr>
                    <w:spacing w:after="0" w:line="240" w:lineRule="auto"/>
                    <w:jc w:val="left"/>
                    <w:rPr>
                      <w:rFonts w:cs="Arial"/>
                      <w:color w:val="000000"/>
                      <w:sz w:val="16"/>
                      <w:szCs w:val="16"/>
                      <w:lang w:eastAsia="ko-KR"/>
                    </w:rPr>
                  </w:pPr>
                  <w:r w:rsidRPr="00E66209">
                    <w:rPr>
                      <w:rFonts w:cs="Arial"/>
                      <w:color w:val="000000"/>
                      <w:sz w:val="16"/>
                      <w:szCs w:val="16"/>
                      <w:lang w:eastAsia="ko-KR"/>
                    </w:rPr>
                    <w:t>Motorová vozidla (kromě motocyklů) a díly</w:t>
                  </w:r>
                </w:p>
              </w:tc>
              <w:tc>
                <w:tcPr>
                  <w:tcW w:w="700" w:type="dxa"/>
                  <w:tcBorders>
                    <w:top w:val="nil"/>
                    <w:left w:val="nil"/>
                    <w:bottom w:val="nil"/>
                    <w:right w:val="nil"/>
                  </w:tcBorders>
                  <w:noWrap/>
                  <w:vAlign w:val="bottom"/>
                  <w:hideMark/>
                </w:tcPr>
                <w:p w14:paraId="7EDA0DEE" w14:textId="77777777" w:rsidR="006B1AFC" w:rsidRPr="00E66209" w:rsidRDefault="006B1AFC" w:rsidP="003C4A79">
                  <w:pPr>
                    <w:spacing w:after="0" w:line="240" w:lineRule="auto"/>
                    <w:jc w:val="right"/>
                    <w:rPr>
                      <w:rFonts w:cs="Arial"/>
                      <w:color w:val="000000"/>
                      <w:sz w:val="16"/>
                      <w:szCs w:val="16"/>
                      <w:lang w:eastAsia="ko-KR"/>
                    </w:rPr>
                  </w:pPr>
                  <w:r w:rsidRPr="00E66209">
                    <w:rPr>
                      <w:rFonts w:cs="Arial"/>
                      <w:color w:val="000000"/>
                      <w:sz w:val="16"/>
                      <w:szCs w:val="16"/>
                      <w:lang w:eastAsia="ko-KR"/>
                    </w:rPr>
                    <w:t>+5,7</w:t>
                  </w:r>
                </w:p>
              </w:tc>
              <w:tc>
                <w:tcPr>
                  <w:tcW w:w="700" w:type="dxa"/>
                  <w:tcBorders>
                    <w:top w:val="nil"/>
                    <w:left w:val="nil"/>
                    <w:bottom w:val="nil"/>
                    <w:right w:val="nil"/>
                  </w:tcBorders>
                  <w:noWrap/>
                  <w:vAlign w:val="bottom"/>
                  <w:hideMark/>
                </w:tcPr>
                <w:p w14:paraId="0E556397" w14:textId="77777777" w:rsidR="006B1AFC" w:rsidRPr="00E66209" w:rsidRDefault="006B1AFC" w:rsidP="003C4A79">
                  <w:pPr>
                    <w:spacing w:after="0" w:line="240" w:lineRule="auto"/>
                    <w:jc w:val="right"/>
                    <w:rPr>
                      <w:rFonts w:cs="Arial"/>
                      <w:color w:val="000000"/>
                      <w:sz w:val="16"/>
                      <w:szCs w:val="16"/>
                      <w:lang w:eastAsia="ko-KR"/>
                    </w:rPr>
                  </w:pPr>
                  <w:r w:rsidRPr="00E66209">
                    <w:rPr>
                      <w:rFonts w:cs="Arial"/>
                      <w:color w:val="000000"/>
                      <w:sz w:val="16"/>
                      <w:szCs w:val="16"/>
                      <w:lang w:eastAsia="ko-KR"/>
                    </w:rPr>
                    <w:t>+3,2</w:t>
                  </w:r>
                </w:p>
              </w:tc>
            </w:tr>
            <w:tr w:rsidR="006B1AFC" w:rsidRPr="00E66209" w14:paraId="608E5100" w14:textId="77777777" w:rsidTr="003C4A79">
              <w:trPr>
                <w:trHeight w:val="252"/>
              </w:trPr>
              <w:tc>
                <w:tcPr>
                  <w:tcW w:w="3417" w:type="dxa"/>
                  <w:tcBorders>
                    <w:top w:val="nil"/>
                    <w:left w:val="nil"/>
                    <w:bottom w:val="nil"/>
                    <w:right w:val="nil"/>
                  </w:tcBorders>
                  <w:noWrap/>
                  <w:vAlign w:val="bottom"/>
                  <w:hideMark/>
                </w:tcPr>
                <w:p w14:paraId="6109A533" w14:textId="77777777" w:rsidR="006B1AFC" w:rsidRPr="00E66209" w:rsidRDefault="006B1AFC" w:rsidP="003C4A79">
                  <w:pPr>
                    <w:spacing w:after="0" w:line="240" w:lineRule="auto"/>
                    <w:jc w:val="left"/>
                    <w:rPr>
                      <w:rFonts w:cs="Arial"/>
                      <w:color w:val="000000"/>
                      <w:sz w:val="16"/>
                      <w:szCs w:val="16"/>
                      <w:lang w:eastAsia="ko-KR"/>
                    </w:rPr>
                  </w:pPr>
                  <w:r w:rsidRPr="00E66209">
                    <w:rPr>
                      <w:rFonts w:cs="Arial"/>
                      <w:color w:val="000000"/>
                      <w:sz w:val="16"/>
                      <w:szCs w:val="16"/>
                      <w:lang w:eastAsia="ko-KR"/>
                    </w:rPr>
                    <w:t>Základní kovy</w:t>
                  </w:r>
                </w:p>
              </w:tc>
              <w:tc>
                <w:tcPr>
                  <w:tcW w:w="700" w:type="dxa"/>
                  <w:tcBorders>
                    <w:top w:val="nil"/>
                    <w:left w:val="nil"/>
                    <w:bottom w:val="nil"/>
                    <w:right w:val="nil"/>
                  </w:tcBorders>
                  <w:noWrap/>
                  <w:vAlign w:val="bottom"/>
                  <w:hideMark/>
                </w:tcPr>
                <w:p w14:paraId="4A1381A6" w14:textId="77777777" w:rsidR="006B1AFC" w:rsidRPr="00E66209" w:rsidRDefault="006B1AFC" w:rsidP="003C4A79">
                  <w:pPr>
                    <w:spacing w:after="0" w:line="240" w:lineRule="auto"/>
                    <w:jc w:val="right"/>
                    <w:rPr>
                      <w:rFonts w:cs="Arial"/>
                      <w:color w:val="000000"/>
                      <w:sz w:val="16"/>
                      <w:szCs w:val="16"/>
                      <w:lang w:eastAsia="ko-KR"/>
                    </w:rPr>
                  </w:pPr>
                  <w:r w:rsidRPr="00E66209">
                    <w:rPr>
                      <w:rFonts w:cs="Arial"/>
                      <w:color w:val="000000"/>
                      <w:sz w:val="16"/>
                      <w:szCs w:val="16"/>
                      <w:lang w:eastAsia="ko-KR"/>
                    </w:rPr>
                    <w:t>+5,5</w:t>
                  </w:r>
                </w:p>
              </w:tc>
              <w:tc>
                <w:tcPr>
                  <w:tcW w:w="700" w:type="dxa"/>
                  <w:tcBorders>
                    <w:top w:val="nil"/>
                    <w:left w:val="nil"/>
                    <w:bottom w:val="nil"/>
                    <w:right w:val="nil"/>
                  </w:tcBorders>
                  <w:noWrap/>
                  <w:vAlign w:val="bottom"/>
                  <w:hideMark/>
                </w:tcPr>
                <w:p w14:paraId="69619B43" w14:textId="77777777" w:rsidR="006B1AFC" w:rsidRPr="00E66209" w:rsidRDefault="006B1AFC" w:rsidP="003C4A79">
                  <w:pPr>
                    <w:spacing w:after="0" w:line="240" w:lineRule="auto"/>
                    <w:jc w:val="right"/>
                    <w:rPr>
                      <w:rFonts w:cs="Arial"/>
                      <w:color w:val="000000"/>
                      <w:sz w:val="16"/>
                      <w:szCs w:val="16"/>
                      <w:lang w:eastAsia="ko-KR"/>
                    </w:rPr>
                  </w:pPr>
                  <w:r w:rsidRPr="00E66209">
                    <w:rPr>
                      <w:rFonts w:cs="Arial"/>
                      <w:color w:val="000000"/>
                      <w:sz w:val="16"/>
                      <w:szCs w:val="16"/>
                      <w:lang w:eastAsia="ko-KR"/>
                    </w:rPr>
                    <w:t>+6,4</w:t>
                  </w:r>
                </w:p>
              </w:tc>
            </w:tr>
            <w:tr w:rsidR="006B1AFC" w:rsidRPr="00E66209" w14:paraId="45D26E1D" w14:textId="77777777" w:rsidTr="003C4A79">
              <w:trPr>
                <w:trHeight w:val="252"/>
              </w:trPr>
              <w:tc>
                <w:tcPr>
                  <w:tcW w:w="3417" w:type="dxa"/>
                  <w:tcBorders>
                    <w:top w:val="nil"/>
                    <w:left w:val="nil"/>
                    <w:bottom w:val="nil"/>
                    <w:right w:val="nil"/>
                  </w:tcBorders>
                  <w:noWrap/>
                  <w:vAlign w:val="bottom"/>
                  <w:hideMark/>
                </w:tcPr>
                <w:p w14:paraId="4EC649E9" w14:textId="77777777" w:rsidR="006B1AFC" w:rsidRPr="00E66209" w:rsidRDefault="006B1AFC" w:rsidP="003C4A79">
                  <w:pPr>
                    <w:spacing w:after="0" w:line="240" w:lineRule="auto"/>
                    <w:jc w:val="left"/>
                    <w:rPr>
                      <w:rFonts w:cs="Arial"/>
                      <w:color w:val="000000"/>
                      <w:sz w:val="16"/>
                      <w:szCs w:val="16"/>
                      <w:lang w:eastAsia="ko-KR"/>
                    </w:rPr>
                  </w:pPr>
                  <w:r w:rsidRPr="00E66209">
                    <w:rPr>
                      <w:rFonts w:cs="Arial"/>
                      <w:color w:val="000000"/>
                      <w:sz w:val="16"/>
                      <w:szCs w:val="16"/>
                      <w:lang w:eastAsia="ko-KR"/>
                    </w:rPr>
                    <w:t>Ostatní dopravní prostředky a zařízení</w:t>
                  </w:r>
                </w:p>
              </w:tc>
              <w:tc>
                <w:tcPr>
                  <w:tcW w:w="700" w:type="dxa"/>
                  <w:tcBorders>
                    <w:top w:val="nil"/>
                    <w:left w:val="nil"/>
                    <w:bottom w:val="nil"/>
                    <w:right w:val="nil"/>
                  </w:tcBorders>
                  <w:noWrap/>
                  <w:vAlign w:val="bottom"/>
                  <w:hideMark/>
                </w:tcPr>
                <w:p w14:paraId="280E527A" w14:textId="77777777" w:rsidR="006B1AFC" w:rsidRPr="00E66209" w:rsidRDefault="006B1AFC" w:rsidP="003C4A79">
                  <w:pPr>
                    <w:spacing w:after="0" w:line="240" w:lineRule="auto"/>
                    <w:jc w:val="right"/>
                    <w:rPr>
                      <w:rFonts w:cs="Arial"/>
                      <w:color w:val="000000"/>
                      <w:sz w:val="16"/>
                      <w:szCs w:val="16"/>
                      <w:lang w:eastAsia="ko-KR"/>
                    </w:rPr>
                  </w:pPr>
                  <w:r w:rsidRPr="00E66209">
                    <w:rPr>
                      <w:rFonts w:cs="Arial"/>
                      <w:color w:val="000000"/>
                      <w:sz w:val="16"/>
                      <w:szCs w:val="16"/>
                      <w:lang w:eastAsia="ko-KR"/>
                    </w:rPr>
                    <w:t>+4,3</w:t>
                  </w:r>
                </w:p>
              </w:tc>
              <w:tc>
                <w:tcPr>
                  <w:tcW w:w="700" w:type="dxa"/>
                  <w:tcBorders>
                    <w:top w:val="nil"/>
                    <w:left w:val="nil"/>
                    <w:bottom w:val="nil"/>
                    <w:right w:val="nil"/>
                  </w:tcBorders>
                  <w:noWrap/>
                  <w:vAlign w:val="bottom"/>
                  <w:hideMark/>
                </w:tcPr>
                <w:p w14:paraId="487EDC33" w14:textId="77777777" w:rsidR="006B1AFC" w:rsidRPr="00E66209" w:rsidRDefault="006B1AFC" w:rsidP="003C4A79">
                  <w:pPr>
                    <w:spacing w:after="0" w:line="240" w:lineRule="auto"/>
                    <w:jc w:val="right"/>
                    <w:rPr>
                      <w:rFonts w:cs="Arial"/>
                      <w:color w:val="000000"/>
                      <w:sz w:val="16"/>
                      <w:szCs w:val="16"/>
                      <w:lang w:eastAsia="ko-KR"/>
                    </w:rPr>
                  </w:pPr>
                  <w:r w:rsidRPr="00E66209">
                    <w:rPr>
                      <w:rFonts w:cs="Arial"/>
                      <w:color w:val="000000"/>
                      <w:sz w:val="16"/>
                      <w:szCs w:val="16"/>
                      <w:lang w:eastAsia="ko-KR"/>
                    </w:rPr>
                    <w:t>+25,5</w:t>
                  </w:r>
                </w:p>
              </w:tc>
            </w:tr>
            <w:tr w:rsidR="006B1AFC" w:rsidRPr="00E66209" w14:paraId="601307E3" w14:textId="77777777" w:rsidTr="003C4A79">
              <w:trPr>
                <w:trHeight w:val="252"/>
              </w:trPr>
              <w:tc>
                <w:tcPr>
                  <w:tcW w:w="3417" w:type="dxa"/>
                  <w:tcBorders>
                    <w:top w:val="nil"/>
                    <w:left w:val="nil"/>
                    <w:bottom w:val="nil"/>
                    <w:right w:val="nil"/>
                  </w:tcBorders>
                  <w:noWrap/>
                  <w:vAlign w:val="bottom"/>
                  <w:hideMark/>
                </w:tcPr>
                <w:p w14:paraId="34D7235B" w14:textId="77777777" w:rsidR="006B1AFC" w:rsidRPr="00E66209" w:rsidRDefault="006B1AFC" w:rsidP="003C4A79">
                  <w:pPr>
                    <w:spacing w:after="0" w:line="240" w:lineRule="auto"/>
                    <w:jc w:val="left"/>
                    <w:rPr>
                      <w:rFonts w:cs="Arial"/>
                      <w:color w:val="000000"/>
                      <w:sz w:val="16"/>
                      <w:szCs w:val="16"/>
                      <w:lang w:eastAsia="ko-KR"/>
                    </w:rPr>
                  </w:pPr>
                  <w:r w:rsidRPr="00E66209">
                    <w:rPr>
                      <w:rFonts w:cs="Arial"/>
                      <w:color w:val="000000"/>
                      <w:sz w:val="16"/>
                      <w:szCs w:val="16"/>
                      <w:lang w:eastAsia="ko-KR"/>
                    </w:rPr>
                    <w:t>Základní farmaceutické výrobky a přípravky</w:t>
                  </w:r>
                </w:p>
              </w:tc>
              <w:tc>
                <w:tcPr>
                  <w:tcW w:w="700" w:type="dxa"/>
                  <w:tcBorders>
                    <w:top w:val="nil"/>
                    <w:left w:val="nil"/>
                    <w:bottom w:val="nil"/>
                    <w:right w:val="nil"/>
                  </w:tcBorders>
                  <w:noWrap/>
                  <w:vAlign w:val="bottom"/>
                  <w:hideMark/>
                </w:tcPr>
                <w:p w14:paraId="3C742536" w14:textId="77777777" w:rsidR="006B1AFC" w:rsidRPr="00E66209" w:rsidRDefault="006B1AFC" w:rsidP="003C4A79">
                  <w:pPr>
                    <w:spacing w:after="0" w:line="240" w:lineRule="auto"/>
                    <w:jc w:val="right"/>
                    <w:rPr>
                      <w:rFonts w:cs="Arial"/>
                      <w:color w:val="000000"/>
                      <w:sz w:val="16"/>
                      <w:szCs w:val="16"/>
                      <w:lang w:eastAsia="ko-KR"/>
                    </w:rPr>
                  </w:pPr>
                  <w:r w:rsidRPr="00E66209">
                    <w:rPr>
                      <w:rFonts w:cs="Arial"/>
                      <w:color w:val="000000"/>
                      <w:sz w:val="16"/>
                      <w:szCs w:val="16"/>
                      <w:lang w:eastAsia="ko-KR"/>
                    </w:rPr>
                    <w:t>+3,8</w:t>
                  </w:r>
                </w:p>
              </w:tc>
              <w:tc>
                <w:tcPr>
                  <w:tcW w:w="700" w:type="dxa"/>
                  <w:tcBorders>
                    <w:top w:val="nil"/>
                    <w:left w:val="nil"/>
                    <w:bottom w:val="nil"/>
                    <w:right w:val="nil"/>
                  </w:tcBorders>
                  <w:noWrap/>
                  <w:vAlign w:val="bottom"/>
                  <w:hideMark/>
                </w:tcPr>
                <w:p w14:paraId="4EC46993" w14:textId="77777777" w:rsidR="006B1AFC" w:rsidRPr="00E66209" w:rsidRDefault="006B1AFC" w:rsidP="003C4A79">
                  <w:pPr>
                    <w:spacing w:after="0" w:line="240" w:lineRule="auto"/>
                    <w:jc w:val="right"/>
                    <w:rPr>
                      <w:rFonts w:cs="Arial"/>
                      <w:color w:val="000000"/>
                      <w:sz w:val="16"/>
                      <w:szCs w:val="16"/>
                      <w:lang w:eastAsia="ko-KR"/>
                    </w:rPr>
                  </w:pPr>
                  <w:r w:rsidRPr="00E66209">
                    <w:rPr>
                      <w:rFonts w:cs="Arial"/>
                      <w:color w:val="000000"/>
                      <w:sz w:val="16"/>
                      <w:szCs w:val="16"/>
                      <w:lang w:eastAsia="ko-KR"/>
                    </w:rPr>
                    <w:t>+11,6</w:t>
                  </w:r>
                </w:p>
              </w:tc>
            </w:tr>
            <w:tr w:rsidR="006B1AFC" w:rsidRPr="00E66209" w14:paraId="7FF1DB6E" w14:textId="77777777" w:rsidTr="003C4A79">
              <w:trPr>
                <w:trHeight w:val="252"/>
              </w:trPr>
              <w:tc>
                <w:tcPr>
                  <w:tcW w:w="3417" w:type="dxa"/>
                  <w:tcBorders>
                    <w:top w:val="nil"/>
                    <w:left w:val="nil"/>
                    <w:bottom w:val="nil"/>
                    <w:right w:val="nil"/>
                  </w:tcBorders>
                  <w:noWrap/>
                  <w:vAlign w:val="bottom"/>
                  <w:hideMark/>
                </w:tcPr>
                <w:p w14:paraId="55228759" w14:textId="77777777" w:rsidR="006B1AFC" w:rsidRPr="00E66209" w:rsidRDefault="006B1AFC" w:rsidP="003C4A79">
                  <w:pPr>
                    <w:spacing w:after="0" w:line="240" w:lineRule="auto"/>
                    <w:jc w:val="left"/>
                    <w:rPr>
                      <w:rFonts w:cs="Arial"/>
                      <w:color w:val="000000"/>
                      <w:sz w:val="16"/>
                      <w:szCs w:val="16"/>
                      <w:lang w:eastAsia="ko-KR"/>
                    </w:rPr>
                  </w:pPr>
                  <w:r w:rsidRPr="00E66209">
                    <w:rPr>
                      <w:rFonts w:cs="Arial"/>
                      <w:color w:val="000000"/>
                      <w:sz w:val="16"/>
                      <w:szCs w:val="16"/>
                      <w:lang w:eastAsia="ko-KR"/>
                    </w:rPr>
                    <w:t>Stroje a zařízení j. n.</w:t>
                  </w:r>
                </w:p>
              </w:tc>
              <w:tc>
                <w:tcPr>
                  <w:tcW w:w="700" w:type="dxa"/>
                  <w:tcBorders>
                    <w:top w:val="nil"/>
                    <w:left w:val="nil"/>
                    <w:bottom w:val="nil"/>
                    <w:right w:val="nil"/>
                  </w:tcBorders>
                  <w:noWrap/>
                  <w:vAlign w:val="bottom"/>
                  <w:hideMark/>
                </w:tcPr>
                <w:p w14:paraId="28AF5326" w14:textId="77777777" w:rsidR="006B1AFC" w:rsidRPr="00E66209" w:rsidRDefault="006B1AFC" w:rsidP="003C4A79">
                  <w:pPr>
                    <w:spacing w:after="0" w:line="240" w:lineRule="auto"/>
                    <w:jc w:val="right"/>
                    <w:rPr>
                      <w:rFonts w:cs="Arial"/>
                      <w:color w:val="000000"/>
                      <w:sz w:val="16"/>
                      <w:szCs w:val="16"/>
                      <w:lang w:eastAsia="ko-KR"/>
                    </w:rPr>
                  </w:pPr>
                  <w:r w:rsidRPr="00E66209">
                    <w:rPr>
                      <w:rFonts w:cs="Arial"/>
                      <w:color w:val="000000"/>
                      <w:sz w:val="16"/>
                      <w:szCs w:val="16"/>
                      <w:lang w:eastAsia="ko-KR"/>
                    </w:rPr>
                    <w:t>+3,3</w:t>
                  </w:r>
                </w:p>
              </w:tc>
              <w:tc>
                <w:tcPr>
                  <w:tcW w:w="700" w:type="dxa"/>
                  <w:tcBorders>
                    <w:top w:val="nil"/>
                    <w:left w:val="nil"/>
                    <w:bottom w:val="nil"/>
                    <w:right w:val="nil"/>
                  </w:tcBorders>
                  <w:noWrap/>
                  <w:vAlign w:val="bottom"/>
                  <w:hideMark/>
                </w:tcPr>
                <w:p w14:paraId="6915AF45" w14:textId="77777777" w:rsidR="006B1AFC" w:rsidRPr="00E66209" w:rsidRDefault="006B1AFC" w:rsidP="003C4A79">
                  <w:pPr>
                    <w:spacing w:after="0" w:line="240" w:lineRule="auto"/>
                    <w:jc w:val="right"/>
                    <w:rPr>
                      <w:rFonts w:cs="Arial"/>
                      <w:color w:val="000000"/>
                      <w:sz w:val="16"/>
                      <w:szCs w:val="16"/>
                      <w:lang w:eastAsia="ko-KR"/>
                    </w:rPr>
                  </w:pPr>
                  <w:r w:rsidRPr="00E66209">
                    <w:rPr>
                      <w:rFonts w:cs="Arial"/>
                      <w:color w:val="000000"/>
                      <w:sz w:val="16"/>
                      <w:szCs w:val="16"/>
                      <w:lang w:eastAsia="ko-KR"/>
                    </w:rPr>
                    <w:t>+3,2</w:t>
                  </w:r>
                </w:p>
              </w:tc>
            </w:tr>
            <w:tr w:rsidR="006B1AFC" w:rsidRPr="00E66209" w14:paraId="2CD2A0D7" w14:textId="77777777" w:rsidTr="003C4A79">
              <w:trPr>
                <w:trHeight w:val="252"/>
              </w:trPr>
              <w:tc>
                <w:tcPr>
                  <w:tcW w:w="3417" w:type="dxa"/>
                  <w:tcBorders>
                    <w:top w:val="nil"/>
                    <w:left w:val="nil"/>
                    <w:bottom w:val="nil"/>
                    <w:right w:val="nil"/>
                  </w:tcBorders>
                  <w:noWrap/>
                  <w:vAlign w:val="bottom"/>
                  <w:hideMark/>
                </w:tcPr>
                <w:p w14:paraId="7C7C0457" w14:textId="77777777" w:rsidR="006B1AFC" w:rsidRPr="00E66209" w:rsidRDefault="006B1AFC" w:rsidP="003C4A79">
                  <w:pPr>
                    <w:spacing w:after="0" w:line="240" w:lineRule="auto"/>
                    <w:jc w:val="left"/>
                    <w:rPr>
                      <w:rFonts w:cs="Arial"/>
                      <w:color w:val="000000"/>
                      <w:sz w:val="16"/>
                      <w:szCs w:val="16"/>
                      <w:lang w:eastAsia="ko-KR"/>
                    </w:rPr>
                  </w:pPr>
                  <w:r w:rsidRPr="00E66209">
                    <w:rPr>
                      <w:rFonts w:cs="Arial"/>
                      <w:color w:val="000000"/>
                      <w:sz w:val="16"/>
                      <w:szCs w:val="16"/>
                      <w:lang w:eastAsia="ko-KR"/>
                    </w:rPr>
                    <w:t>Elektřina, plyn, pára a klimatizovaný vzduch</w:t>
                  </w:r>
                </w:p>
              </w:tc>
              <w:tc>
                <w:tcPr>
                  <w:tcW w:w="700" w:type="dxa"/>
                  <w:tcBorders>
                    <w:top w:val="nil"/>
                    <w:left w:val="nil"/>
                    <w:bottom w:val="nil"/>
                    <w:right w:val="nil"/>
                  </w:tcBorders>
                  <w:noWrap/>
                  <w:vAlign w:val="bottom"/>
                  <w:hideMark/>
                </w:tcPr>
                <w:p w14:paraId="3CBF87B3" w14:textId="77777777" w:rsidR="006B1AFC" w:rsidRPr="00E66209" w:rsidRDefault="006B1AFC" w:rsidP="003C4A79">
                  <w:pPr>
                    <w:spacing w:after="0" w:line="240" w:lineRule="auto"/>
                    <w:jc w:val="right"/>
                    <w:rPr>
                      <w:rFonts w:cs="Arial"/>
                      <w:color w:val="000000"/>
                      <w:sz w:val="16"/>
                      <w:szCs w:val="16"/>
                      <w:lang w:eastAsia="ko-KR"/>
                    </w:rPr>
                  </w:pPr>
                  <w:r w:rsidRPr="00E66209">
                    <w:rPr>
                      <w:rFonts w:cs="Arial"/>
                      <w:color w:val="000000"/>
                      <w:sz w:val="16"/>
                      <w:szCs w:val="16"/>
                      <w:lang w:eastAsia="ko-KR"/>
                    </w:rPr>
                    <w:t>+3,0</w:t>
                  </w:r>
                </w:p>
              </w:tc>
              <w:tc>
                <w:tcPr>
                  <w:tcW w:w="700" w:type="dxa"/>
                  <w:tcBorders>
                    <w:top w:val="nil"/>
                    <w:left w:val="nil"/>
                    <w:bottom w:val="nil"/>
                    <w:right w:val="nil"/>
                  </w:tcBorders>
                  <w:noWrap/>
                  <w:vAlign w:val="bottom"/>
                  <w:hideMark/>
                </w:tcPr>
                <w:p w14:paraId="1AC5AEE1" w14:textId="77777777" w:rsidR="006B1AFC" w:rsidRPr="00E66209" w:rsidRDefault="006B1AFC" w:rsidP="003C4A79">
                  <w:pPr>
                    <w:spacing w:after="0" w:line="240" w:lineRule="auto"/>
                    <w:jc w:val="right"/>
                    <w:rPr>
                      <w:rFonts w:cs="Arial"/>
                      <w:color w:val="000000"/>
                      <w:sz w:val="16"/>
                      <w:szCs w:val="16"/>
                      <w:lang w:eastAsia="ko-KR"/>
                    </w:rPr>
                  </w:pPr>
                  <w:r w:rsidRPr="00E66209">
                    <w:rPr>
                      <w:rFonts w:cs="Arial"/>
                      <w:color w:val="000000"/>
                      <w:sz w:val="16"/>
                      <w:szCs w:val="16"/>
                      <w:lang w:eastAsia="ko-KR"/>
                    </w:rPr>
                    <w:t>+53,6</w:t>
                  </w:r>
                </w:p>
              </w:tc>
            </w:tr>
            <w:tr w:rsidR="006B1AFC" w:rsidRPr="00E66209" w14:paraId="4062D8C1" w14:textId="77777777" w:rsidTr="003C4A79">
              <w:trPr>
                <w:trHeight w:val="252"/>
              </w:trPr>
              <w:tc>
                <w:tcPr>
                  <w:tcW w:w="3417" w:type="dxa"/>
                  <w:tcBorders>
                    <w:top w:val="nil"/>
                    <w:left w:val="nil"/>
                    <w:bottom w:val="nil"/>
                    <w:right w:val="nil"/>
                  </w:tcBorders>
                  <w:noWrap/>
                  <w:vAlign w:val="bottom"/>
                  <w:hideMark/>
                </w:tcPr>
                <w:p w14:paraId="27712D4D" w14:textId="77777777" w:rsidR="006B1AFC" w:rsidRPr="00E66209" w:rsidRDefault="006B1AFC" w:rsidP="003C4A79">
                  <w:pPr>
                    <w:spacing w:after="0" w:line="240" w:lineRule="auto"/>
                    <w:jc w:val="left"/>
                    <w:rPr>
                      <w:rFonts w:cs="Arial"/>
                      <w:color w:val="000000"/>
                      <w:sz w:val="16"/>
                      <w:szCs w:val="16"/>
                      <w:lang w:eastAsia="ko-KR"/>
                    </w:rPr>
                  </w:pPr>
                  <w:r w:rsidRPr="00E66209">
                    <w:rPr>
                      <w:rFonts w:cs="Arial"/>
                      <w:color w:val="000000"/>
                      <w:sz w:val="16"/>
                      <w:szCs w:val="16"/>
                      <w:lang w:eastAsia="ko-KR"/>
                    </w:rPr>
                    <w:t>Pryžové a plastové výrobky</w:t>
                  </w:r>
                </w:p>
              </w:tc>
              <w:tc>
                <w:tcPr>
                  <w:tcW w:w="700" w:type="dxa"/>
                  <w:tcBorders>
                    <w:top w:val="nil"/>
                    <w:left w:val="nil"/>
                    <w:bottom w:val="nil"/>
                    <w:right w:val="nil"/>
                  </w:tcBorders>
                  <w:noWrap/>
                  <w:vAlign w:val="bottom"/>
                  <w:hideMark/>
                </w:tcPr>
                <w:p w14:paraId="3BE3AA9B" w14:textId="77777777" w:rsidR="006B1AFC" w:rsidRPr="00E66209" w:rsidRDefault="006B1AFC" w:rsidP="003C4A79">
                  <w:pPr>
                    <w:spacing w:after="0" w:line="240" w:lineRule="auto"/>
                    <w:jc w:val="right"/>
                    <w:rPr>
                      <w:rFonts w:cs="Arial"/>
                      <w:color w:val="000000"/>
                      <w:sz w:val="16"/>
                      <w:szCs w:val="16"/>
                      <w:lang w:eastAsia="ko-KR"/>
                    </w:rPr>
                  </w:pPr>
                  <w:r w:rsidRPr="00E66209">
                    <w:rPr>
                      <w:rFonts w:cs="Arial"/>
                      <w:color w:val="000000"/>
                      <w:sz w:val="16"/>
                      <w:szCs w:val="16"/>
                      <w:lang w:eastAsia="ko-KR"/>
                    </w:rPr>
                    <w:t>+2,4</w:t>
                  </w:r>
                </w:p>
              </w:tc>
              <w:tc>
                <w:tcPr>
                  <w:tcW w:w="700" w:type="dxa"/>
                  <w:tcBorders>
                    <w:top w:val="nil"/>
                    <w:left w:val="nil"/>
                    <w:bottom w:val="nil"/>
                    <w:right w:val="nil"/>
                  </w:tcBorders>
                  <w:noWrap/>
                  <w:vAlign w:val="bottom"/>
                  <w:hideMark/>
                </w:tcPr>
                <w:p w14:paraId="2814C8AA" w14:textId="77777777" w:rsidR="006B1AFC" w:rsidRPr="00E66209" w:rsidRDefault="006B1AFC" w:rsidP="003C4A79">
                  <w:pPr>
                    <w:spacing w:after="0" w:line="240" w:lineRule="auto"/>
                    <w:jc w:val="right"/>
                    <w:rPr>
                      <w:rFonts w:cs="Arial"/>
                      <w:color w:val="000000"/>
                      <w:sz w:val="16"/>
                      <w:szCs w:val="16"/>
                      <w:lang w:eastAsia="ko-KR"/>
                    </w:rPr>
                  </w:pPr>
                  <w:r w:rsidRPr="00E66209">
                    <w:rPr>
                      <w:rFonts w:cs="Arial"/>
                      <w:color w:val="000000"/>
                      <w:sz w:val="16"/>
                      <w:szCs w:val="16"/>
                      <w:lang w:eastAsia="ko-KR"/>
                    </w:rPr>
                    <w:t>+4,5</w:t>
                  </w:r>
                </w:p>
              </w:tc>
            </w:tr>
            <w:tr w:rsidR="006B1AFC" w:rsidRPr="00E66209" w14:paraId="11D71307" w14:textId="77777777" w:rsidTr="003C4A79">
              <w:trPr>
                <w:trHeight w:val="252"/>
              </w:trPr>
              <w:tc>
                <w:tcPr>
                  <w:tcW w:w="3417" w:type="dxa"/>
                  <w:tcBorders>
                    <w:top w:val="nil"/>
                    <w:left w:val="nil"/>
                    <w:bottom w:val="nil"/>
                    <w:right w:val="nil"/>
                  </w:tcBorders>
                  <w:noWrap/>
                  <w:vAlign w:val="bottom"/>
                  <w:hideMark/>
                </w:tcPr>
                <w:p w14:paraId="2B224A64" w14:textId="77777777" w:rsidR="006B1AFC" w:rsidRPr="00E66209" w:rsidRDefault="006B1AFC" w:rsidP="003C4A79">
                  <w:pPr>
                    <w:spacing w:after="0" w:line="240" w:lineRule="auto"/>
                    <w:jc w:val="left"/>
                    <w:rPr>
                      <w:rFonts w:cs="Arial"/>
                      <w:color w:val="000000"/>
                      <w:sz w:val="16"/>
                      <w:szCs w:val="16"/>
                      <w:lang w:eastAsia="ko-KR"/>
                    </w:rPr>
                  </w:pPr>
                  <w:r w:rsidRPr="00E66209">
                    <w:rPr>
                      <w:rFonts w:cs="Arial"/>
                      <w:color w:val="000000"/>
                      <w:sz w:val="16"/>
                      <w:szCs w:val="16"/>
                      <w:lang w:eastAsia="ko-KR"/>
                    </w:rPr>
                    <w:t>Ostatní nekovové minerální výrobky</w:t>
                  </w:r>
                </w:p>
              </w:tc>
              <w:tc>
                <w:tcPr>
                  <w:tcW w:w="700" w:type="dxa"/>
                  <w:tcBorders>
                    <w:top w:val="nil"/>
                    <w:left w:val="nil"/>
                    <w:bottom w:val="nil"/>
                    <w:right w:val="nil"/>
                  </w:tcBorders>
                  <w:noWrap/>
                  <w:vAlign w:val="bottom"/>
                  <w:hideMark/>
                </w:tcPr>
                <w:p w14:paraId="5D8CB5D8" w14:textId="77777777" w:rsidR="006B1AFC" w:rsidRPr="00E66209" w:rsidRDefault="006B1AFC" w:rsidP="003C4A79">
                  <w:pPr>
                    <w:spacing w:after="0" w:line="240" w:lineRule="auto"/>
                    <w:jc w:val="right"/>
                    <w:rPr>
                      <w:rFonts w:cs="Arial"/>
                      <w:color w:val="000000"/>
                      <w:sz w:val="16"/>
                      <w:szCs w:val="16"/>
                      <w:lang w:eastAsia="ko-KR"/>
                    </w:rPr>
                  </w:pPr>
                  <w:r w:rsidRPr="00E66209">
                    <w:rPr>
                      <w:rFonts w:cs="Arial"/>
                      <w:color w:val="000000"/>
                      <w:sz w:val="16"/>
                      <w:szCs w:val="16"/>
                      <w:lang w:eastAsia="ko-KR"/>
                    </w:rPr>
                    <w:t>+1,8</w:t>
                  </w:r>
                </w:p>
              </w:tc>
              <w:tc>
                <w:tcPr>
                  <w:tcW w:w="700" w:type="dxa"/>
                  <w:tcBorders>
                    <w:top w:val="nil"/>
                    <w:left w:val="nil"/>
                    <w:bottom w:val="nil"/>
                    <w:right w:val="nil"/>
                  </w:tcBorders>
                  <w:noWrap/>
                  <w:vAlign w:val="bottom"/>
                  <w:hideMark/>
                </w:tcPr>
                <w:p w14:paraId="7A28FF4C" w14:textId="77777777" w:rsidR="006B1AFC" w:rsidRPr="00E66209" w:rsidRDefault="006B1AFC" w:rsidP="003C4A79">
                  <w:pPr>
                    <w:spacing w:after="0" w:line="240" w:lineRule="auto"/>
                    <w:jc w:val="right"/>
                    <w:rPr>
                      <w:rFonts w:cs="Arial"/>
                      <w:color w:val="000000"/>
                      <w:sz w:val="16"/>
                      <w:szCs w:val="16"/>
                      <w:lang w:eastAsia="ko-KR"/>
                    </w:rPr>
                  </w:pPr>
                  <w:r w:rsidRPr="00E66209">
                    <w:rPr>
                      <w:rFonts w:cs="Arial"/>
                      <w:color w:val="000000"/>
                      <w:sz w:val="16"/>
                      <w:szCs w:val="16"/>
                      <w:lang w:eastAsia="ko-KR"/>
                    </w:rPr>
                    <w:t>+12,1</w:t>
                  </w:r>
                </w:p>
              </w:tc>
            </w:tr>
            <w:tr w:rsidR="006B1AFC" w:rsidRPr="00E66209" w14:paraId="35A06711" w14:textId="77777777" w:rsidTr="003C4A79">
              <w:trPr>
                <w:trHeight w:val="252"/>
              </w:trPr>
              <w:tc>
                <w:tcPr>
                  <w:tcW w:w="3417" w:type="dxa"/>
                  <w:tcBorders>
                    <w:top w:val="nil"/>
                    <w:left w:val="nil"/>
                    <w:bottom w:val="nil"/>
                    <w:right w:val="nil"/>
                  </w:tcBorders>
                  <w:noWrap/>
                  <w:vAlign w:val="bottom"/>
                  <w:hideMark/>
                </w:tcPr>
                <w:p w14:paraId="0301B64F" w14:textId="77777777" w:rsidR="006B1AFC" w:rsidRPr="00E66209" w:rsidRDefault="006B1AFC" w:rsidP="003C4A79">
                  <w:pPr>
                    <w:spacing w:after="0" w:line="240" w:lineRule="auto"/>
                    <w:jc w:val="left"/>
                    <w:rPr>
                      <w:rFonts w:cs="Arial"/>
                      <w:color w:val="000000"/>
                      <w:sz w:val="16"/>
                      <w:szCs w:val="16"/>
                      <w:lang w:eastAsia="ko-KR"/>
                    </w:rPr>
                  </w:pPr>
                  <w:r w:rsidRPr="00E66209">
                    <w:rPr>
                      <w:rFonts w:cs="Arial"/>
                      <w:color w:val="000000"/>
                      <w:sz w:val="16"/>
                      <w:szCs w:val="16"/>
                      <w:lang w:eastAsia="ko-KR"/>
                    </w:rPr>
                    <w:t>Potravinářské výrobky</w:t>
                  </w:r>
                </w:p>
              </w:tc>
              <w:tc>
                <w:tcPr>
                  <w:tcW w:w="700" w:type="dxa"/>
                  <w:tcBorders>
                    <w:top w:val="nil"/>
                    <w:left w:val="nil"/>
                    <w:bottom w:val="nil"/>
                    <w:right w:val="nil"/>
                  </w:tcBorders>
                  <w:noWrap/>
                  <w:vAlign w:val="bottom"/>
                  <w:hideMark/>
                </w:tcPr>
                <w:p w14:paraId="73BBA21A" w14:textId="77777777" w:rsidR="006B1AFC" w:rsidRPr="00E66209"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66209">
                    <w:rPr>
                      <w:rFonts w:cs="Arial"/>
                      <w:color w:val="000000"/>
                      <w:sz w:val="16"/>
                      <w:szCs w:val="16"/>
                      <w:lang w:eastAsia="ko-KR"/>
                    </w:rPr>
                    <w:t>2,8</w:t>
                  </w:r>
                </w:p>
              </w:tc>
              <w:tc>
                <w:tcPr>
                  <w:tcW w:w="700" w:type="dxa"/>
                  <w:tcBorders>
                    <w:top w:val="nil"/>
                    <w:left w:val="nil"/>
                    <w:bottom w:val="nil"/>
                    <w:right w:val="nil"/>
                  </w:tcBorders>
                  <w:noWrap/>
                  <w:vAlign w:val="bottom"/>
                  <w:hideMark/>
                </w:tcPr>
                <w:p w14:paraId="0046C280" w14:textId="77777777" w:rsidR="006B1AFC" w:rsidRPr="00E66209"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66209">
                    <w:rPr>
                      <w:rFonts w:cs="Arial"/>
                      <w:color w:val="000000"/>
                      <w:sz w:val="16"/>
                      <w:szCs w:val="16"/>
                      <w:lang w:eastAsia="ko-KR"/>
                    </w:rPr>
                    <w:t>4,3</w:t>
                  </w:r>
                </w:p>
              </w:tc>
            </w:tr>
          </w:tbl>
          <w:p w14:paraId="659EC45A" w14:textId="77777777" w:rsidR="006B1AFC" w:rsidRPr="005A40B7" w:rsidRDefault="006B1AFC" w:rsidP="003C4A79">
            <w:pPr>
              <w:spacing w:after="0"/>
              <w:rPr>
                <w:spacing w:val="-4"/>
                <w:sz w:val="16"/>
                <w:szCs w:val="16"/>
                <w:lang w:eastAsia="en-US"/>
              </w:rPr>
            </w:pPr>
          </w:p>
        </w:tc>
        <w:tc>
          <w:tcPr>
            <w:tcW w:w="57" w:type="dxa"/>
          </w:tcPr>
          <w:p w14:paraId="16DF9C5F" w14:textId="77777777" w:rsidR="006B1AFC" w:rsidRPr="005A40B7" w:rsidRDefault="006B1AFC" w:rsidP="003C4A79">
            <w:pPr>
              <w:spacing w:after="0"/>
              <w:rPr>
                <w:spacing w:val="-4"/>
                <w:sz w:val="16"/>
                <w:szCs w:val="16"/>
                <w:lang w:eastAsia="en-US"/>
              </w:rPr>
            </w:pPr>
          </w:p>
        </w:tc>
        <w:tc>
          <w:tcPr>
            <w:tcW w:w="4809" w:type="dxa"/>
            <w:hideMark/>
          </w:tcPr>
          <w:tbl>
            <w:tblPr>
              <w:tblW w:w="4762" w:type="dxa"/>
              <w:tblLayout w:type="fixed"/>
              <w:tblCellMar>
                <w:left w:w="70" w:type="dxa"/>
                <w:right w:w="70" w:type="dxa"/>
              </w:tblCellMar>
              <w:tblLook w:val="04A0" w:firstRow="1" w:lastRow="0" w:firstColumn="1" w:lastColumn="0" w:noHBand="0" w:noVBand="1"/>
            </w:tblPr>
            <w:tblGrid>
              <w:gridCol w:w="3362"/>
              <w:gridCol w:w="700"/>
              <w:gridCol w:w="700"/>
            </w:tblGrid>
            <w:tr w:rsidR="006B1AFC" w:rsidRPr="00A15444" w14:paraId="54B9C15E" w14:textId="77777777" w:rsidTr="003C4A79">
              <w:trPr>
                <w:trHeight w:val="252"/>
              </w:trPr>
              <w:tc>
                <w:tcPr>
                  <w:tcW w:w="3362" w:type="dxa"/>
                  <w:tcBorders>
                    <w:top w:val="nil"/>
                    <w:left w:val="nil"/>
                    <w:bottom w:val="single" w:sz="4" w:space="0" w:color="auto"/>
                    <w:right w:val="nil"/>
                  </w:tcBorders>
                  <w:noWrap/>
                  <w:vAlign w:val="bottom"/>
                  <w:hideMark/>
                </w:tcPr>
                <w:p w14:paraId="1B7E9CAA" w14:textId="77777777" w:rsidR="006B1AFC" w:rsidRPr="00A15444" w:rsidRDefault="006B1AFC" w:rsidP="003C4A79">
                  <w:pPr>
                    <w:spacing w:after="0" w:line="240" w:lineRule="auto"/>
                    <w:jc w:val="left"/>
                    <w:rPr>
                      <w:rFonts w:cs="Arial"/>
                      <w:color w:val="000000"/>
                      <w:sz w:val="22"/>
                      <w:szCs w:val="22"/>
                      <w:lang w:eastAsia="ko-KR"/>
                    </w:rPr>
                  </w:pPr>
                  <w:r w:rsidRPr="00A15444">
                    <w:rPr>
                      <w:rFonts w:cs="Arial"/>
                      <w:color w:val="000000"/>
                      <w:sz w:val="22"/>
                      <w:szCs w:val="22"/>
                      <w:lang w:eastAsia="ko-KR"/>
                    </w:rPr>
                    <w:t> </w:t>
                  </w:r>
                </w:p>
              </w:tc>
              <w:tc>
                <w:tcPr>
                  <w:tcW w:w="700" w:type="dxa"/>
                  <w:tcBorders>
                    <w:top w:val="nil"/>
                    <w:left w:val="nil"/>
                    <w:bottom w:val="single" w:sz="4" w:space="0" w:color="auto"/>
                    <w:right w:val="nil"/>
                  </w:tcBorders>
                  <w:noWrap/>
                  <w:vAlign w:val="bottom"/>
                  <w:hideMark/>
                </w:tcPr>
                <w:p w14:paraId="634CE96B" w14:textId="77777777" w:rsidR="006B1AFC" w:rsidRPr="00A15444" w:rsidRDefault="006B1AFC" w:rsidP="003C4A79">
                  <w:pPr>
                    <w:spacing w:after="0" w:line="240" w:lineRule="auto"/>
                    <w:jc w:val="right"/>
                    <w:rPr>
                      <w:rFonts w:cs="Arial"/>
                      <w:color w:val="000000"/>
                      <w:sz w:val="16"/>
                      <w:szCs w:val="16"/>
                      <w:lang w:eastAsia="ko-KR"/>
                    </w:rPr>
                  </w:pPr>
                  <w:r w:rsidRPr="00A15444">
                    <w:rPr>
                      <w:rFonts w:cs="Arial"/>
                      <w:color w:val="000000"/>
                      <w:sz w:val="16"/>
                      <w:szCs w:val="16"/>
                      <w:lang w:eastAsia="ko-KR"/>
                    </w:rPr>
                    <w:t>mld. Kč</w:t>
                  </w:r>
                </w:p>
              </w:tc>
              <w:tc>
                <w:tcPr>
                  <w:tcW w:w="700" w:type="dxa"/>
                  <w:tcBorders>
                    <w:top w:val="nil"/>
                    <w:left w:val="nil"/>
                    <w:bottom w:val="single" w:sz="4" w:space="0" w:color="auto"/>
                    <w:right w:val="nil"/>
                  </w:tcBorders>
                  <w:noWrap/>
                  <w:vAlign w:val="bottom"/>
                  <w:hideMark/>
                </w:tcPr>
                <w:p w14:paraId="18A38889" w14:textId="77777777" w:rsidR="006B1AFC" w:rsidRPr="00A15444" w:rsidRDefault="006B1AFC" w:rsidP="003C4A79">
                  <w:pPr>
                    <w:spacing w:after="0" w:line="240" w:lineRule="auto"/>
                    <w:jc w:val="right"/>
                    <w:rPr>
                      <w:rFonts w:cs="Arial"/>
                      <w:color w:val="000000"/>
                      <w:sz w:val="16"/>
                      <w:szCs w:val="16"/>
                      <w:lang w:eastAsia="ko-KR"/>
                    </w:rPr>
                  </w:pPr>
                  <w:r w:rsidRPr="00A15444">
                    <w:rPr>
                      <w:rFonts w:cs="Arial"/>
                      <w:color w:val="000000"/>
                      <w:sz w:val="16"/>
                      <w:szCs w:val="16"/>
                      <w:lang w:eastAsia="ko-KR"/>
                    </w:rPr>
                    <w:t>%</w:t>
                  </w:r>
                </w:p>
              </w:tc>
            </w:tr>
            <w:tr w:rsidR="006B1AFC" w:rsidRPr="00A15444" w14:paraId="54860056" w14:textId="77777777" w:rsidTr="003C4A79">
              <w:trPr>
                <w:trHeight w:val="252"/>
              </w:trPr>
              <w:tc>
                <w:tcPr>
                  <w:tcW w:w="3362" w:type="dxa"/>
                  <w:tcBorders>
                    <w:top w:val="nil"/>
                    <w:left w:val="nil"/>
                    <w:bottom w:val="nil"/>
                    <w:right w:val="nil"/>
                  </w:tcBorders>
                  <w:noWrap/>
                  <w:vAlign w:val="bottom"/>
                  <w:hideMark/>
                </w:tcPr>
                <w:p w14:paraId="753C0591" w14:textId="77777777" w:rsidR="006B1AFC" w:rsidRPr="00A15444" w:rsidRDefault="006B1AFC" w:rsidP="003C4A79">
                  <w:pPr>
                    <w:spacing w:after="0" w:line="240" w:lineRule="auto"/>
                    <w:jc w:val="left"/>
                    <w:rPr>
                      <w:rFonts w:cs="Arial"/>
                      <w:color w:val="000000"/>
                      <w:sz w:val="16"/>
                      <w:szCs w:val="16"/>
                      <w:lang w:eastAsia="ko-KR"/>
                    </w:rPr>
                  </w:pPr>
                  <w:r w:rsidRPr="00A15444">
                    <w:rPr>
                      <w:rFonts w:cs="Arial"/>
                      <w:color w:val="000000"/>
                      <w:sz w:val="16"/>
                      <w:szCs w:val="16"/>
                      <w:lang w:eastAsia="ko-KR"/>
                    </w:rPr>
                    <w:t>Německo</w:t>
                  </w:r>
                </w:p>
              </w:tc>
              <w:tc>
                <w:tcPr>
                  <w:tcW w:w="700" w:type="dxa"/>
                  <w:tcBorders>
                    <w:top w:val="nil"/>
                    <w:left w:val="nil"/>
                    <w:bottom w:val="nil"/>
                    <w:right w:val="nil"/>
                  </w:tcBorders>
                  <w:noWrap/>
                  <w:vAlign w:val="bottom"/>
                  <w:hideMark/>
                </w:tcPr>
                <w:p w14:paraId="1AAE8463" w14:textId="77777777" w:rsidR="006B1AFC" w:rsidRPr="00A15444" w:rsidRDefault="006B1AFC" w:rsidP="003C4A79">
                  <w:pPr>
                    <w:spacing w:after="0" w:line="240" w:lineRule="auto"/>
                    <w:jc w:val="right"/>
                    <w:rPr>
                      <w:rFonts w:cs="Arial"/>
                      <w:color w:val="000000"/>
                      <w:sz w:val="16"/>
                      <w:szCs w:val="16"/>
                      <w:lang w:eastAsia="ko-KR"/>
                    </w:rPr>
                  </w:pPr>
                  <w:r w:rsidRPr="00A15444">
                    <w:rPr>
                      <w:rFonts w:cs="Arial"/>
                      <w:color w:val="000000"/>
                      <w:sz w:val="16"/>
                      <w:szCs w:val="16"/>
                      <w:lang w:eastAsia="ko-KR"/>
                    </w:rPr>
                    <w:t>+27,3</w:t>
                  </w:r>
                </w:p>
              </w:tc>
              <w:tc>
                <w:tcPr>
                  <w:tcW w:w="700" w:type="dxa"/>
                  <w:tcBorders>
                    <w:top w:val="nil"/>
                    <w:left w:val="nil"/>
                    <w:bottom w:val="nil"/>
                    <w:right w:val="nil"/>
                  </w:tcBorders>
                  <w:noWrap/>
                  <w:vAlign w:val="bottom"/>
                  <w:hideMark/>
                </w:tcPr>
                <w:p w14:paraId="3419956B" w14:textId="77777777" w:rsidR="006B1AFC" w:rsidRPr="00A15444" w:rsidRDefault="006B1AFC" w:rsidP="003C4A79">
                  <w:pPr>
                    <w:spacing w:after="0" w:line="240" w:lineRule="auto"/>
                    <w:jc w:val="right"/>
                    <w:rPr>
                      <w:rFonts w:cs="Arial"/>
                      <w:color w:val="000000"/>
                      <w:sz w:val="16"/>
                      <w:szCs w:val="16"/>
                      <w:lang w:eastAsia="ko-KR"/>
                    </w:rPr>
                  </w:pPr>
                  <w:r w:rsidRPr="00A15444">
                    <w:rPr>
                      <w:rFonts w:cs="Arial"/>
                      <w:color w:val="000000"/>
                      <w:sz w:val="16"/>
                      <w:szCs w:val="16"/>
                      <w:lang w:eastAsia="ko-KR"/>
                    </w:rPr>
                    <w:t>+10,6</w:t>
                  </w:r>
                </w:p>
              </w:tc>
            </w:tr>
            <w:tr w:rsidR="006B1AFC" w:rsidRPr="00A15444" w14:paraId="44B5B4AE" w14:textId="77777777" w:rsidTr="003C4A79">
              <w:trPr>
                <w:trHeight w:val="252"/>
              </w:trPr>
              <w:tc>
                <w:tcPr>
                  <w:tcW w:w="3362" w:type="dxa"/>
                  <w:tcBorders>
                    <w:top w:val="nil"/>
                    <w:left w:val="nil"/>
                    <w:bottom w:val="nil"/>
                    <w:right w:val="nil"/>
                  </w:tcBorders>
                  <w:noWrap/>
                  <w:vAlign w:val="bottom"/>
                  <w:hideMark/>
                </w:tcPr>
                <w:p w14:paraId="33C7D49C" w14:textId="77777777" w:rsidR="006B1AFC" w:rsidRPr="00A15444" w:rsidRDefault="006B1AFC" w:rsidP="003C4A79">
                  <w:pPr>
                    <w:spacing w:after="0" w:line="240" w:lineRule="auto"/>
                    <w:jc w:val="left"/>
                    <w:rPr>
                      <w:rFonts w:cs="Arial"/>
                      <w:color w:val="000000"/>
                      <w:sz w:val="16"/>
                      <w:szCs w:val="16"/>
                      <w:lang w:eastAsia="ko-KR"/>
                    </w:rPr>
                  </w:pPr>
                  <w:r w:rsidRPr="00A15444">
                    <w:rPr>
                      <w:rFonts w:cs="Arial"/>
                      <w:color w:val="000000"/>
                      <w:sz w:val="16"/>
                      <w:szCs w:val="16"/>
                      <w:lang w:eastAsia="ko-KR"/>
                    </w:rPr>
                    <w:t>Polsko</w:t>
                  </w:r>
                </w:p>
              </w:tc>
              <w:tc>
                <w:tcPr>
                  <w:tcW w:w="700" w:type="dxa"/>
                  <w:tcBorders>
                    <w:top w:val="nil"/>
                    <w:left w:val="nil"/>
                    <w:bottom w:val="nil"/>
                    <w:right w:val="nil"/>
                  </w:tcBorders>
                  <w:noWrap/>
                  <w:vAlign w:val="bottom"/>
                  <w:hideMark/>
                </w:tcPr>
                <w:p w14:paraId="143437B2" w14:textId="77777777" w:rsidR="006B1AFC" w:rsidRPr="00A15444" w:rsidRDefault="006B1AFC" w:rsidP="003C4A79">
                  <w:pPr>
                    <w:spacing w:after="0" w:line="240" w:lineRule="auto"/>
                    <w:jc w:val="right"/>
                    <w:rPr>
                      <w:rFonts w:cs="Arial"/>
                      <w:color w:val="000000"/>
                      <w:sz w:val="16"/>
                      <w:szCs w:val="16"/>
                      <w:lang w:eastAsia="ko-KR"/>
                    </w:rPr>
                  </w:pPr>
                  <w:r w:rsidRPr="00A15444">
                    <w:rPr>
                      <w:rFonts w:cs="Arial"/>
                      <w:color w:val="000000"/>
                      <w:sz w:val="16"/>
                      <w:szCs w:val="16"/>
                      <w:lang w:eastAsia="ko-KR"/>
                    </w:rPr>
                    <w:t>+8,6</w:t>
                  </w:r>
                </w:p>
              </w:tc>
              <w:tc>
                <w:tcPr>
                  <w:tcW w:w="700" w:type="dxa"/>
                  <w:tcBorders>
                    <w:top w:val="nil"/>
                    <w:left w:val="nil"/>
                    <w:bottom w:val="nil"/>
                    <w:right w:val="nil"/>
                  </w:tcBorders>
                  <w:noWrap/>
                  <w:vAlign w:val="bottom"/>
                  <w:hideMark/>
                </w:tcPr>
                <w:p w14:paraId="32496508" w14:textId="77777777" w:rsidR="006B1AFC" w:rsidRPr="00A15444" w:rsidRDefault="006B1AFC" w:rsidP="003C4A79">
                  <w:pPr>
                    <w:spacing w:after="0" w:line="240" w:lineRule="auto"/>
                    <w:jc w:val="right"/>
                    <w:rPr>
                      <w:rFonts w:cs="Arial"/>
                      <w:color w:val="000000"/>
                      <w:sz w:val="16"/>
                      <w:szCs w:val="16"/>
                      <w:lang w:eastAsia="ko-KR"/>
                    </w:rPr>
                  </w:pPr>
                  <w:r w:rsidRPr="00A15444">
                    <w:rPr>
                      <w:rFonts w:cs="Arial"/>
                      <w:color w:val="000000"/>
                      <w:sz w:val="16"/>
                      <w:szCs w:val="16"/>
                      <w:lang w:eastAsia="ko-KR"/>
                    </w:rPr>
                    <w:t>+7,9</w:t>
                  </w:r>
                </w:p>
              </w:tc>
            </w:tr>
            <w:tr w:rsidR="006B1AFC" w:rsidRPr="00A15444" w14:paraId="356644FC" w14:textId="77777777" w:rsidTr="003C4A79">
              <w:trPr>
                <w:trHeight w:val="252"/>
              </w:trPr>
              <w:tc>
                <w:tcPr>
                  <w:tcW w:w="3362" w:type="dxa"/>
                  <w:tcBorders>
                    <w:top w:val="nil"/>
                    <w:left w:val="nil"/>
                    <w:bottom w:val="nil"/>
                    <w:right w:val="nil"/>
                  </w:tcBorders>
                  <w:noWrap/>
                  <w:vAlign w:val="bottom"/>
                  <w:hideMark/>
                </w:tcPr>
                <w:p w14:paraId="09E149B6" w14:textId="77777777" w:rsidR="006B1AFC" w:rsidRPr="00A15444" w:rsidRDefault="006B1AFC" w:rsidP="003C4A79">
                  <w:pPr>
                    <w:spacing w:after="0" w:line="240" w:lineRule="auto"/>
                    <w:jc w:val="left"/>
                    <w:rPr>
                      <w:rFonts w:cs="Arial"/>
                      <w:color w:val="000000"/>
                      <w:sz w:val="16"/>
                      <w:szCs w:val="16"/>
                      <w:lang w:eastAsia="ko-KR"/>
                    </w:rPr>
                  </w:pPr>
                  <w:r w:rsidRPr="00A15444">
                    <w:rPr>
                      <w:rFonts w:cs="Arial"/>
                      <w:color w:val="000000"/>
                      <w:sz w:val="16"/>
                      <w:szCs w:val="16"/>
                      <w:lang w:eastAsia="ko-KR"/>
                    </w:rPr>
                    <w:t>Slovensko</w:t>
                  </w:r>
                </w:p>
              </w:tc>
              <w:tc>
                <w:tcPr>
                  <w:tcW w:w="700" w:type="dxa"/>
                  <w:tcBorders>
                    <w:top w:val="nil"/>
                    <w:left w:val="nil"/>
                    <w:bottom w:val="nil"/>
                    <w:right w:val="nil"/>
                  </w:tcBorders>
                  <w:noWrap/>
                  <w:vAlign w:val="bottom"/>
                  <w:hideMark/>
                </w:tcPr>
                <w:p w14:paraId="22D57E12" w14:textId="77777777" w:rsidR="006B1AFC" w:rsidRPr="00A15444" w:rsidRDefault="006B1AFC" w:rsidP="003C4A79">
                  <w:pPr>
                    <w:spacing w:after="0" w:line="240" w:lineRule="auto"/>
                    <w:jc w:val="right"/>
                    <w:rPr>
                      <w:rFonts w:cs="Arial"/>
                      <w:color w:val="000000"/>
                      <w:sz w:val="16"/>
                      <w:szCs w:val="16"/>
                      <w:lang w:eastAsia="ko-KR"/>
                    </w:rPr>
                  </w:pPr>
                  <w:r w:rsidRPr="00A15444">
                    <w:rPr>
                      <w:rFonts w:cs="Arial"/>
                      <w:color w:val="000000"/>
                      <w:sz w:val="16"/>
                      <w:szCs w:val="16"/>
                      <w:lang w:eastAsia="ko-KR"/>
                    </w:rPr>
                    <w:t>+6,3</w:t>
                  </w:r>
                </w:p>
              </w:tc>
              <w:tc>
                <w:tcPr>
                  <w:tcW w:w="700" w:type="dxa"/>
                  <w:tcBorders>
                    <w:top w:val="nil"/>
                    <w:left w:val="nil"/>
                    <w:bottom w:val="nil"/>
                    <w:right w:val="nil"/>
                  </w:tcBorders>
                  <w:noWrap/>
                  <w:vAlign w:val="bottom"/>
                  <w:hideMark/>
                </w:tcPr>
                <w:p w14:paraId="73523FCB" w14:textId="77777777" w:rsidR="006B1AFC" w:rsidRPr="00A15444" w:rsidRDefault="006B1AFC" w:rsidP="003C4A79">
                  <w:pPr>
                    <w:spacing w:after="0" w:line="240" w:lineRule="auto"/>
                    <w:jc w:val="right"/>
                    <w:rPr>
                      <w:rFonts w:cs="Arial"/>
                      <w:color w:val="000000"/>
                      <w:sz w:val="16"/>
                      <w:szCs w:val="16"/>
                      <w:lang w:eastAsia="ko-KR"/>
                    </w:rPr>
                  </w:pPr>
                  <w:r w:rsidRPr="00A15444">
                    <w:rPr>
                      <w:rFonts w:cs="Arial"/>
                      <w:color w:val="000000"/>
                      <w:sz w:val="16"/>
                      <w:szCs w:val="16"/>
                      <w:lang w:eastAsia="ko-KR"/>
                    </w:rPr>
                    <w:t>+10,3</w:t>
                  </w:r>
                </w:p>
              </w:tc>
            </w:tr>
            <w:tr w:rsidR="006B1AFC" w:rsidRPr="00A15444" w14:paraId="1787446B" w14:textId="77777777" w:rsidTr="003C4A79">
              <w:trPr>
                <w:trHeight w:val="252"/>
              </w:trPr>
              <w:tc>
                <w:tcPr>
                  <w:tcW w:w="3362" w:type="dxa"/>
                  <w:tcBorders>
                    <w:top w:val="nil"/>
                    <w:left w:val="nil"/>
                    <w:bottom w:val="nil"/>
                    <w:right w:val="nil"/>
                  </w:tcBorders>
                  <w:noWrap/>
                  <w:vAlign w:val="bottom"/>
                  <w:hideMark/>
                </w:tcPr>
                <w:p w14:paraId="2F71434D" w14:textId="77777777" w:rsidR="006B1AFC" w:rsidRPr="00A15444" w:rsidRDefault="006B1AFC" w:rsidP="003C4A79">
                  <w:pPr>
                    <w:spacing w:after="0" w:line="240" w:lineRule="auto"/>
                    <w:jc w:val="left"/>
                    <w:rPr>
                      <w:rFonts w:cs="Arial"/>
                      <w:color w:val="000000"/>
                      <w:sz w:val="16"/>
                      <w:szCs w:val="16"/>
                      <w:lang w:eastAsia="ko-KR"/>
                    </w:rPr>
                  </w:pPr>
                  <w:r w:rsidRPr="00A15444">
                    <w:rPr>
                      <w:rFonts w:cs="Arial"/>
                      <w:color w:val="000000"/>
                      <w:sz w:val="16"/>
                      <w:szCs w:val="16"/>
                      <w:lang w:eastAsia="ko-KR"/>
                    </w:rPr>
                    <w:t>Spojené státy</w:t>
                  </w:r>
                  <w:r>
                    <w:rPr>
                      <w:rFonts w:cs="Arial"/>
                      <w:color w:val="000000"/>
                      <w:sz w:val="16"/>
                      <w:szCs w:val="16"/>
                      <w:lang w:eastAsia="ko-KR"/>
                    </w:rPr>
                    <w:t xml:space="preserve"> americké</w:t>
                  </w:r>
                </w:p>
              </w:tc>
              <w:tc>
                <w:tcPr>
                  <w:tcW w:w="700" w:type="dxa"/>
                  <w:tcBorders>
                    <w:top w:val="nil"/>
                    <w:left w:val="nil"/>
                    <w:bottom w:val="nil"/>
                    <w:right w:val="nil"/>
                  </w:tcBorders>
                  <w:noWrap/>
                  <w:vAlign w:val="bottom"/>
                  <w:hideMark/>
                </w:tcPr>
                <w:p w14:paraId="272FACF4" w14:textId="77777777" w:rsidR="006B1AFC" w:rsidRPr="00A15444" w:rsidRDefault="006B1AFC" w:rsidP="003C4A79">
                  <w:pPr>
                    <w:spacing w:after="0" w:line="240" w:lineRule="auto"/>
                    <w:jc w:val="right"/>
                    <w:rPr>
                      <w:rFonts w:cs="Arial"/>
                      <w:color w:val="000000"/>
                      <w:sz w:val="16"/>
                      <w:szCs w:val="16"/>
                      <w:lang w:eastAsia="ko-KR"/>
                    </w:rPr>
                  </w:pPr>
                  <w:r w:rsidRPr="00A15444">
                    <w:rPr>
                      <w:rFonts w:cs="Arial"/>
                      <w:color w:val="000000"/>
                      <w:sz w:val="16"/>
                      <w:szCs w:val="16"/>
                      <w:lang w:eastAsia="ko-KR"/>
                    </w:rPr>
                    <w:t>+5,5</w:t>
                  </w:r>
                </w:p>
              </w:tc>
              <w:tc>
                <w:tcPr>
                  <w:tcW w:w="700" w:type="dxa"/>
                  <w:tcBorders>
                    <w:top w:val="nil"/>
                    <w:left w:val="nil"/>
                    <w:bottom w:val="nil"/>
                    <w:right w:val="nil"/>
                  </w:tcBorders>
                  <w:noWrap/>
                  <w:vAlign w:val="bottom"/>
                  <w:hideMark/>
                </w:tcPr>
                <w:p w14:paraId="6B0AC728" w14:textId="77777777" w:rsidR="006B1AFC" w:rsidRPr="00A15444" w:rsidRDefault="006B1AFC" w:rsidP="003C4A79">
                  <w:pPr>
                    <w:spacing w:after="0" w:line="240" w:lineRule="auto"/>
                    <w:jc w:val="right"/>
                    <w:rPr>
                      <w:rFonts w:cs="Arial"/>
                      <w:color w:val="000000"/>
                      <w:sz w:val="16"/>
                      <w:szCs w:val="16"/>
                      <w:lang w:eastAsia="ko-KR"/>
                    </w:rPr>
                  </w:pPr>
                  <w:r w:rsidRPr="00A15444">
                    <w:rPr>
                      <w:rFonts w:cs="Arial"/>
                      <w:color w:val="000000"/>
                      <w:sz w:val="16"/>
                      <w:szCs w:val="16"/>
                      <w:lang w:eastAsia="ko-KR"/>
                    </w:rPr>
                    <w:t>+18,5</w:t>
                  </w:r>
                </w:p>
              </w:tc>
            </w:tr>
            <w:tr w:rsidR="006B1AFC" w:rsidRPr="00A15444" w14:paraId="235669FC" w14:textId="77777777" w:rsidTr="003C4A79">
              <w:trPr>
                <w:trHeight w:val="252"/>
              </w:trPr>
              <w:tc>
                <w:tcPr>
                  <w:tcW w:w="3362" w:type="dxa"/>
                  <w:tcBorders>
                    <w:top w:val="nil"/>
                    <w:left w:val="nil"/>
                    <w:bottom w:val="nil"/>
                    <w:right w:val="nil"/>
                  </w:tcBorders>
                  <w:noWrap/>
                  <w:vAlign w:val="bottom"/>
                  <w:hideMark/>
                </w:tcPr>
                <w:p w14:paraId="3B586C27" w14:textId="77777777" w:rsidR="006B1AFC" w:rsidRPr="00A15444" w:rsidRDefault="006B1AFC" w:rsidP="003C4A79">
                  <w:pPr>
                    <w:spacing w:after="0" w:line="240" w:lineRule="auto"/>
                    <w:jc w:val="left"/>
                    <w:rPr>
                      <w:rFonts w:cs="Arial"/>
                      <w:color w:val="000000"/>
                      <w:sz w:val="16"/>
                      <w:szCs w:val="16"/>
                      <w:lang w:eastAsia="ko-KR"/>
                    </w:rPr>
                  </w:pPr>
                  <w:r w:rsidRPr="00A15444">
                    <w:rPr>
                      <w:rFonts w:cs="Arial"/>
                      <w:color w:val="000000"/>
                      <w:sz w:val="16"/>
                      <w:szCs w:val="16"/>
                      <w:lang w:eastAsia="ko-KR"/>
                    </w:rPr>
                    <w:t>Čína</w:t>
                  </w:r>
                </w:p>
              </w:tc>
              <w:tc>
                <w:tcPr>
                  <w:tcW w:w="700" w:type="dxa"/>
                  <w:tcBorders>
                    <w:top w:val="nil"/>
                    <w:left w:val="nil"/>
                    <w:bottom w:val="nil"/>
                    <w:right w:val="nil"/>
                  </w:tcBorders>
                  <w:noWrap/>
                  <w:vAlign w:val="bottom"/>
                  <w:hideMark/>
                </w:tcPr>
                <w:p w14:paraId="4A39DF3F" w14:textId="77777777" w:rsidR="006B1AFC" w:rsidRPr="00A15444" w:rsidRDefault="006B1AFC" w:rsidP="003C4A79">
                  <w:pPr>
                    <w:spacing w:after="0" w:line="240" w:lineRule="auto"/>
                    <w:jc w:val="right"/>
                    <w:rPr>
                      <w:rFonts w:cs="Arial"/>
                      <w:color w:val="000000"/>
                      <w:sz w:val="16"/>
                      <w:szCs w:val="16"/>
                      <w:lang w:eastAsia="ko-KR"/>
                    </w:rPr>
                  </w:pPr>
                  <w:r w:rsidRPr="00A15444">
                    <w:rPr>
                      <w:rFonts w:cs="Arial"/>
                      <w:color w:val="000000"/>
                      <w:sz w:val="16"/>
                      <w:szCs w:val="16"/>
                      <w:lang w:eastAsia="ko-KR"/>
                    </w:rPr>
                    <w:t>+4,3</w:t>
                  </w:r>
                </w:p>
              </w:tc>
              <w:tc>
                <w:tcPr>
                  <w:tcW w:w="700" w:type="dxa"/>
                  <w:tcBorders>
                    <w:top w:val="nil"/>
                    <w:left w:val="nil"/>
                    <w:bottom w:val="nil"/>
                    <w:right w:val="nil"/>
                  </w:tcBorders>
                  <w:noWrap/>
                  <w:vAlign w:val="bottom"/>
                  <w:hideMark/>
                </w:tcPr>
                <w:p w14:paraId="29364DE1" w14:textId="77777777" w:rsidR="006B1AFC" w:rsidRPr="00A15444" w:rsidRDefault="006B1AFC" w:rsidP="003C4A79">
                  <w:pPr>
                    <w:spacing w:after="0" w:line="240" w:lineRule="auto"/>
                    <w:jc w:val="right"/>
                    <w:rPr>
                      <w:rFonts w:cs="Arial"/>
                      <w:color w:val="000000"/>
                      <w:sz w:val="16"/>
                      <w:szCs w:val="16"/>
                      <w:lang w:eastAsia="ko-KR"/>
                    </w:rPr>
                  </w:pPr>
                  <w:r w:rsidRPr="00A15444">
                    <w:rPr>
                      <w:rFonts w:cs="Arial"/>
                      <w:color w:val="000000"/>
                      <w:sz w:val="16"/>
                      <w:szCs w:val="16"/>
                      <w:lang w:eastAsia="ko-KR"/>
                    </w:rPr>
                    <w:t>+3,2</w:t>
                  </w:r>
                </w:p>
              </w:tc>
            </w:tr>
            <w:tr w:rsidR="006B1AFC" w:rsidRPr="00A15444" w14:paraId="04EF0804" w14:textId="77777777" w:rsidTr="003C4A79">
              <w:trPr>
                <w:trHeight w:val="252"/>
              </w:trPr>
              <w:tc>
                <w:tcPr>
                  <w:tcW w:w="3362" w:type="dxa"/>
                  <w:tcBorders>
                    <w:top w:val="nil"/>
                    <w:left w:val="nil"/>
                    <w:bottom w:val="nil"/>
                    <w:right w:val="nil"/>
                  </w:tcBorders>
                  <w:noWrap/>
                  <w:vAlign w:val="bottom"/>
                  <w:hideMark/>
                </w:tcPr>
                <w:p w14:paraId="452CB9B2" w14:textId="77777777" w:rsidR="006B1AFC" w:rsidRPr="00A15444" w:rsidRDefault="006B1AFC" w:rsidP="003C4A79">
                  <w:pPr>
                    <w:spacing w:after="0" w:line="240" w:lineRule="auto"/>
                    <w:jc w:val="left"/>
                    <w:rPr>
                      <w:rFonts w:cs="Arial"/>
                      <w:color w:val="000000"/>
                      <w:sz w:val="16"/>
                      <w:szCs w:val="16"/>
                      <w:lang w:eastAsia="ko-KR"/>
                    </w:rPr>
                  </w:pPr>
                  <w:r w:rsidRPr="00A15444">
                    <w:rPr>
                      <w:rFonts w:cs="Arial"/>
                      <w:color w:val="000000"/>
                      <w:sz w:val="16"/>
                      <w:szCs w:val="16"/>
                      <w:lang w:eastAsia="ko-KR"/>
                    </w:rPr>
                    <w:t>Maďarsko</w:t>
                  </w:r>
                </w:p>
              </w:tc>
              <w:tc>
                <w:tcPr>
                  <w:tcW w:w="700" w:type="dxa"/>
                  <w:tcBorders>
                    <w:top w:val="nil"/>
                    <w:left w:val="nil"/>
                    <w:bottom w:val="nil"/>
                    <w:right w:val="nil"/>
                  </w:tcBorders>
                  <w:noWrap/>
                  <w:vAlign w:val="bottom"/>
                  <w:hideMark/>
                </w:tcPr>
                <w:p w14:paraId="5FDCB0A3" w14:textId="77777777" w:rsidR="006B1AFC" w:rsidRPr="00A15444" w:rsidRDefault="006B1AFC" w:rsidP="003C4A79">
                  <w:pPr>
                    <w:spacing w:after="0" w:line="240" w:lineRule="auto"/>
                    <w:jc w:val="right"/>
                    <w:rPr>
                      <w:rFonts w:cs="Arial"/>
                      <w:color w:val="000000"/>
                      <w:sz w:val="16"/>
                      <w:szCs w:val="16"/>
                      <w:lang w:eastAsia="ko-KR"/>
                    </w:rPr>
                  </w:pPr>
                  <w:r w:rsidRPr="00A15444">
                    <w:rPr>
                      <w:rFonts w:cs="Arial"/>
                      <w:color w:val="000000"/>
                      <w:sz w:val="16"/>
                      <w:szCs w:val="16"/>
                      <w:lang w:eastAsia="ko-KR"/>
                    </w:rPr>
                    <w:t>+4,2</w:t>
                  </w:r>
                </w:p>
              </w:tc>
              <w:tc>
                <w:tcPr>
                  <w:tcW w:w="700" w:type="dxa"/>
                  <w:tcBorders>
                    <w:top w:val="nil"/>
                    <w:left w:val="nil"/>
                    <w:bottom w:val="nil"/>
                    <w:right w:val="nil"/>
                  </w:tcBorders>
                  <w:noWrap/>
                  <w:vAlign w:val="bottom"/>
                  <w:hideMark/>
                </w:tcPr>
                <w:p w14:paraId="3071484A" w14:textId="77777777" w:rsidR="006B1AFC" w:rsidRPr="00A15444" w:rsidRDefault="006B1AFC" w:rsidP="003C4A79">
                  <w:pPr>
                    <w:spacing w:after="0" w:line="240" w:lineRule="auto"/>
                    <w:jc w:val="right"/>
                    <w:rPr>
                      <w:rFonts w:cs="Arial"/>
                      <w:color w:val="000000"/>
                      <w:sz w:val="16"/>
                      <w:szCs w:val="16"/>
                      <w:lang w:eastAsia="ko-KR"/>
                    </w:rPr>
                  </w:pPr>
                  <w:r w:rsidRPr="00A15444">
                    <w:rPr>
                      <w:rFonts w:cs="Arial"/>
                      <w:color w:val="000000"/>
                      <w:sz w:val="16"/>
                      <w:szCs w:val="16"/>
                      <w:lang w:eastAsia="ko-KR"/>
                    </w:rPr>
                    <w:t>+16,2</w:t>
                  </w:r>
                </w:p>
              </w:tc>
            </w:tr>
            <w:tr w:rsidR="006B1AFC" w:rsidRPr="00A15444" w14:paraId="5FFE5172" w14:textId="77777777" w:rsidTr="003C4A79">
              <w:trPr>
                <w:trHeight w:val="252"/>
              </w:trPr>
              <w:tc>
                <w:tcPr>
                  <w:tcW w:w="3362" w:type="dxa"/>
                  <w:tcBorders>
                    <w:top w:val="nil"/>
                    <w:left w:val="nil"/>
                    <w:bottom w:val="nil"/>
                    <w:right w:val="nil"/>
                  </w:tcBorders>
                  <w:noWrap/>
                  <w:vAlign w:val="bottom"/>
                  <w:hideMark/>
                </w:tcPr>
                <w:p w14:paraId="61133FB8" w14:textId="77777777" w:rsidR="006B1AFC" w:rsidRPr="00A15444" w:rsidRDefault="006B1AFC" w:rsidP="003C4A79">
                  <w:pPr>
                    <w:spacing w:after="0" w:line="240" w:lineRule="auto"/>
                    <w:jc w:val="left"/>
                    <w:rPr>
                      <w:rFonts w:cs="Arial"/>
                      <w:color w:val="000000"/>
                      <w:sz w:val="16"/>
                      <w:szCs w:val="16"/>
                      <w:lang w:eastAsia="ko-KR"/>
                    </w:rPr>
                  </w:pPr>
                  <w:r w:rsidRPr="00A15444">
                    <w:rPr>
                      <w:rFonts w:cs="Arial"/>
                      <w:color w:val="000000"/>
                      <w:sz w:val="16"/>
                      <w:szCs w:val="16"/>
                      <w:lang w:eastAsia="ko-KR"/>
                    </w:rPr>
                    <w:t>Rakousko</w:t>
                  </w:r>
                </w:p>
              </w:tc>
              <w:tc>
                <w:tcPr>
                  <w:tcW w:w="700" w:type="dxa"/>
                  <w:tcBorders>
                    <w:top w:val="nil"/>
                    <w:left w:val="nil"/>
                    <w:bottom w:val="nil"/>
                    <w:right w:val="nil"/>
                  </w:tcBorders>
                  <w:noWrap/>
                  <w:vAlign w:val="bottom"/>
                  <w:hideMark/>
                </w:tcPr>
                <w:p w14:paraId="3A804D83" w14:textId="77777777" w:rsidR="006B1AFC" w:rsidRPr="00A15444" w:rsidRDefault="006B1AFC" w:rsidP="003C4A79">
                  <w:pPr>
                    <w:spacing w:after="0" w:line="240" w:lineRule="auto"/>
                    <w:jc w:val="right"/>
                    <w:rPr>
                      <w:rFonts w:cs="Arial"/>
                      <w:color w:val="000000"/>
                      <w:sz w:val="16"/>
                      <w:szCs w:val="16"/>
                      <w:lang w:eastAsia="ko-KR"/>
                    </w:rPr>
                  </w:pPr>
                  <w:r w:rsidRPr="00A15444">
                    <w:rPr>
                      <w:rFonts w:cs="Arial"/>
                      <w:color w:val="000000"/>
                      <w:sz w:val="16"/>
                      <w:szCs w:val="16"/>
                      <w:lang w:eastAsia="ko-KR"/>
                    </w:rPr>
                    <w:t>+4,2</w:t>
                  </w:r>
                </w:p>
              </w:tc>
              <w:tc>
                <w:tcPr>
                  <w:tcW w:w="700" w:type="dxa"/>
                  <w:tcBorders>
                    <w:top w:val="nil"/>
                    <w:left w:val="nil"/>
                    <w:bottom w:val="nil"/>
                    <w:right w:val="nil"/>
                  </w:tcBorders>
                  <w:noWrap/>
                  <w:vAlign w:val="bottom"/>
                  <w:hideMark/>
                </w:tcPr>
                <w:p w14:paraId="672A61FF" w14:textId="77777777" w:rsidR="006B1AFC" w:rsidRPr="00A15444" w:rsidRDefault="006B1AFC" w:rsidP="003C4A79">
                  <w:pPr>
                    <w:spacing w:after="0" w:line="240" w:lineRule="auto"/>
                    <w:jc w:val="right"/>
                    <w:rPr>
                      <w:rFonts w:cs="Arial"/>
                      <w:color w:val="000000"/>
                      <w:sz w:val="16"/>
                      <w:szCs w:val="16"/>
                      <w:lang w:eastAsia="ko-KR"/>
                    </w:rPr>
                  </w:pPr>
                  <w:r w:rsidRPr="00A15444">
                    <w:rPr>
                      <w:rFonts w:cs="Arial"/>
                      <w:color w:val="000000"/>
                      <w:sz w:val="16"/>
                      <w:szCs w:val="16"/>
                      <w:lang w:eastAsia="ko-KR"/>
                    </w:rPr>
                    <w:t>+12,8</w:t>
                  </w:r>
                </w:p>
              </w:tc>
            </w:tr>
            <w:tr w:rsidR="006B1AFC" w:rsidRPr="00A15444" w14:paraId="0BAA3BEF" w14:textId="77777777" w:rsidTr="003C4A79">
              <w:trPr>
                <w:trHeight w:val="252"/>
              </w:trPr>
              <w:tc>
                <w:tcPr>
                  <w:tcW w:w="3362" w:type="dxa"/>
                  <w:tcBorders>
                    <w:top w:val="nil"/>
                    <w:left w:val="nil"/>
                    <w:bottom w:val="nil"/>
                    <w:right w:val="nil"/>
                  </w:tcBorders>
                  <w:noWrap/>
                  <w:vAlign w:val="bottom"/>
                  <w:hideMark/>
                </w:tcPr>
                <w:p w14:paraId="3A876C23" w14:textId="77777777" w:rsidR="006B1AFC" w:rsidRPr="00A15444" w:rsidRDefault="006B1AFC" w:rsidP="003C4A79">
                  <w:pPr>
                    <w:spacing w:after="0" w:line="240" w:lineRule="auto"/>
                    <w:jc w:val="left"/>
                    <w:rPr>
                      <w:rFonts w:cs="Arial"/>
                      <w:color w:val="000000"/>
                      <w:sz w:val="16"/>
                      <w:szCs w:val="16"/>
                      <w:lang w:eastAsia="ko-KR"/>
                    </w:rPr>
                  </w:pPr>
                  <w:r w:rsidRPr="00A15444">
                    <w:rPr>
                      <w:rFonts w:cs="Arial"/>
                      <w:color w:val="000000"/>
                      <w:sz w:val="16"/>
                      <w:szCs w:val="16"/>
                      <w:lang w:eastAsia="ko-KR"/>
                    </w:rPr>
                    <w:t>Itálie</w:t>
                  </w:r>
                </w:p>
              </w:tc>
              <w:tc>
                <w:tcPr>
                  <w:tcW w:w="700" w:type="dxa"/>
                  <w:tcBorders>
                    <w:top w:val="nil"/>
                    <w:left w:val="nil"/>
                    <w:bottom w:val="nil"/>
                    <w:right w:val="nil"/>
                  </w:tcBorders>
                  <w:noWrap/>
                  <w:vAlign w:val="bottom"/>
                  <w:hideMark/>
                </w:tcPr>
                <w:p w14:paraId="784C5FDD" w14:textId="77777777" w:rsidR="006B1AFC" w:rsidRPr="00A15444" w:rsidRDefault="006B1AFC" w:rsidP="003C4A79">
                  <w:pPr>
                    <w:spacing w:after="0" w:line="240" w:lineRule="auto"/>
                    <w:jc w:val="right"/>
                    <w:rPr>
                      <w:rFonts w:cs="Arial"/>
                      <w:color w:val="000000"/>
                      <w:sz w:val="16"/>
                      <w:szCs w:val="16"/>
                      <w:lang w:eastAsia="ko-KR"/>
                    </w:rPr>
                  </w:pPr>
                  <w:r w:rsidRPr="00A15444">
                    <w:rPr>
                      <w:rFonts w:cs="Arial"/>
                      <w:color w:val="000000"/>
                      <w:sz w:val="16"/>
                      <w:szCs w:val="16"/>
                      <w:lang w:eastAsia="ko-KR"/>
                    </w:rPr>
                    <w:t>+3,3</w:t>
                  </w:r>
                </w:p>
              </w:tc>
              <w:tc>
                <w:tcPr>
                  <w:tcW w:w="700" w:type="dxa"/>
                  <w:tcBorders>
                    <w:top w:val="nil"/>
                    <w:left w:val="nil"/>
                    <w:bottom w:val="nil"/>
                    <w:right w:val="nil"/>
                  </w:tcBorders>
                  <w:noWrap/>
                  <w:vAlign w:val="bottom"/>
                  <w:hideMark/>
                </w:tcPr>
                <w:p w14:paraId="2506A9BB" w14:textId="77777777" w:rsidR="006B1AFC" w:rsidRPr="00A15444" w:rsidRDefault="006B1AFC" w:rsidP="003C4A79">
                  <w:pPr>
                    <w:spacing w:after="0" w:line="240" w:lineRule="auto"/>
                    <w:jc w:val="right"/>
                    <w:rPr>
                      <w:rFonts w:cs="Arial"/>
                      <w:color w:val="000000"/>
                      <w:sz w:val="16"/>
                      <w:szCs w:val="16"/>
                      <w:lang w:eastAsia="ko-KR"/>
                    </w:rPr>
                  </w:pPr>
                  <w:r w:rsidRPr="00A15444">
                    <w:rPr>
                      <w:rFonts w:cs="Arial"/>
                      <w:color w:val="000000"/>
                      <w:sz w:val="16"/>
                      <w:szCs w:val="16"/>
                      <w:lang w:eastAsia="ko-KR"/>
                    </w:rPr>
                    <w:t>+6,5</w:t>
                  </w:r>
                </w:p>
              </w:tc>
            </w:tr>
            <w:tr w:rsidR="006B1AFC" w:rsidRPr="00A15444" w14:paraId="259ED8CF" w14:textId="77777777" w:rsidTr="003C4A79">
              <w:trPr>
                <w:trHeight w:val="252"/>
              </w:trPr>
              <w:tc>
                <w:tcPr>
                  <w:tcW w:w="3362" w:type="dxa"/>
                  <w:tcBorders>
                    <w:top w:val="nil"/>
                    <w:left w:val="nil"/>
                    <w:bottom w:val="nil"/>
                    <w:right w:val="nil"/>
                  </w:tcBorders>
                  <w:noWrap/>
                  <w:vAlign w:val="bottom"/>
                  <w:hideMark/>
                </w:tcPr>
                <w:p w14:paraId="1CCA00DD" w14:textId="77777777" w:rsidR="006B1AFC" w:rsidRPr="00A15444" w:rsidRDefault="006B1AFC" w:rsidP="003C4A79">
                  <w:pPr>
                    <w:spacing w:after="0" w:line="240" w:lineRule="auto"/>
                    <w:jc w:val="left"/>
                    <w:rPr>
                      <w:rFonts w:cs="Arial"/>
                      <w:color w:val="000000"/>
                      <w:sz w:val="16"/>
                      <w:szCs w:val="16"/>
                      <w:lang w:eastAsia="ko-KR"/>
                    </w:rPr>
                  </w:pPr>
                  <w:r w:rsidRPr="00A15444">
                    <w:rPr>
                      <w:rFonts w:cs="Arial"/>
                      <w:color w:val="000000"/>
                      <w:sz w:val="16"/>
                      <w:szCs w:val="16"/>
                      <w:lang w:eastAsia="ko-KR"/>
                    </w:rPr>
                    <w:t>Tchaj-wan</w:t>
                  </w:r>
                </w:p>
              </w:tc>
              <w:tc>
                <w:tcPr>
                  <w:tcW w:w="700" w:type="dxa"/>
                  <w:tcBorders>
                    <w:top w:val="nil"/>
                    <w:left w:val="nil"/>
                    <w:bottom w:val="nil"/>
                    <w:right w:val="nil"/>
                  </w:tcBorders>
                  <w:noWrap/>
                  <w:vAlign w:val="bottom"/>
                  <w:hideMark/>
                </w:tcPr>
                <w:p w14:paraId="0C8FEB3D" w14:textId="77777777" w:rsidR="006B1AFC" w:rsidRPr="00A15444" w:rsidRDefault="006B1AFC" w:rsidP="003C4A79">
                  <w:pPr>
                    <w:spacing w:after="0" w:line="240" w:lineRule="auto"/>
                    <w:jc w:val="right"/>
                    <w:rPr>
                      <w:rFonts w:cs="Arial"/>
                      <w:color w:val="000000"/>
                      <w:sz w:val="16"/>
                      <w:szCs w:val="16"/>
                      <w:lang w:eastAsia="ko-KR"/>
                    </w:rPr>
                  </w:pPr>
                  <w:r w:rsidRPr="00A15444">
                    <w:rPr>
                      <w:rFonts w:cs="Arial"/>
                      <w:color w:val="000000"/>
                      <w:sz w:val="16"/>
                      <w:szCs w:val="16"/>
                      <w:lang w:eastAsia="ko-KR"/>
                    </w:rPr>
                    <w:t>+3,1</w:t>
                  </w:r>
                </w:p>
              </w:tc>
              <w:tc>
                <w:tcPr>
                  <w:tcW w:w="700" w:type="dxa"/>
                  <w:tcBorders>
                    <w:top w:val="nil"/>
                    <w:left w:val="nil"/>
                    <w:bottom w:val="nil"/>
                    <w:right w:val="nil"/>
                  </w:tcBorders>
                  <w:noWrap/>
                  <w:vAlign w:val="bottom"/>
                  <w:hideMark/>
                </w:tcPr>
                <w:p w14:paraId="08404B8B" w14:textId="77777777" w:rsidR="006B1AFC" w:rsidRPr="00A15444" w:rsidRDefault="006B1AFC" w:rsidP="003C4A79">
                  <w:pPr>
                    <w:spacing w:after="0" w:line="240" w:lineRule="auto"/>
                    <w:jc w:val="right"/>
                    <w:rPr>
                      <w:rFonts w:cs="Arial"/>
                      <w:color w:val="000000"/>
                      <w:sz w:val="16"/>
                      <w:szCs w:val="16"/>
                      <w:lang w:eastAsia="ko-KR"/>
                    </w:rPr>
                  </w:pPr>
                  <w:r w:rsidRPr="00A15444">
                    <w:rPr>
                      <w:rFonts w:cs="Arial"/>
                      <w:color w:val="000000"/>
                      <w:sz w:val="16"/>
                      <w:szCs w:val="16"/>
                      <w:lang w:eastAsia="ko-KR"/>
                    </w:rPr>
                    <w:t>+32,3</w:t>
                  </w:r>
                </w:p>
              </w:tc>
            </w:tr>
            <w:tr w:rsidR="006B1AFC" w:rsidRPr="00A15444" w14:paraId="162B28F5" w14:textId="77777777" w:rsidTr="003C4A79">
              <w:trPr>
                <w:trHeight w:val="252"/>
              </w:trPr>
              <w:tc>
                <w:tcPr>
                  <w:tcW w:w="3362" w:type="dxa"/>
                  <w:tcBorders>
                    <w:top w:val="nil"/>
                    <w:left w:val="nil"/>
                    <w:bottom w:val="nil"/>
                    <w:right w:val="nil"/>
                  </w:tcBorders>
                  <w:noWrap/>
                  <w:vAlign w:val="bottom"/>
                  <w:hideMark/>
                </w:tcPr>
                <w:p w14:paraId="59F03159" w14:textId="77777777" w:rsidR="006B1AFC" w:rsidRPr="00A15444" w:rsidRDefault="006B1AFC" w:rsidP="003C4A79">
                  <w:pPr>
                    <w:spacing w:after="0" w:line="240" w:lineRule="auto"/>
                    <w:jc w:val="left"/>
                    <w:rPr>
                      <w:rFonts w:cs="Arial"/>
                      <w:color w:val="000000"/>
                      <w:sz w:val="16"/>
                      <w:szCs w:val="16"/>
                      <w:lang w:eastAsia="ko-KR"/>
                    </w:rPr>
                  </w:pPr>
                  <w:r w:rsidRPr="00A15444">
                    <w:rPr>
                      <w:rFonts w:cs="Arial"/>
                      <w:color w:val="000000"/>
                      <w:sz w:val="16"/>
                      <w:szCs w:val="16"/>
                      <w:lang w:eastAsia="ko-KR"/>
                    </w:rPr>
                    <w:t>Irsko</w:t>
                  </w:r>
                </w:p>
              </w:tc>
              <w:tc>
                <w:tcPr>
                  <w:tcW w:w="700" w:type="dxa"/>
                  <w:tcBorders>
                    <w:top w:val="nil"/>
                    <w:left w:val="nil"/>
                    <w:bottom w:val="nil"/>
                    <w:right w:val="nil"/>
                  </w:tcBorders>
                  <w:noWrap/>
                  <w:vAlign w:val="bottom"/>
                  <w:hideMark/>
                </w:tcPr>
                <w:p w14:paraId="6EA20D5A" w14:textId="77777777" w:rsidR="006B1AFC" w:rsidRPr="00A15444" w:rsidRDefault="006B1AFC" w:rsidP="003C4A79">
                  <w:pPr>
                    <w:spacing w:after="0" w:line="240" w:lineRule="auto"/>
                    <w:jc w:val="right"/>
                    <w:rPr>
                      <w:rFonts w:cs="Arial"/>
                      <w:color w:val="000000"/>
                      <w:sz w:val="16"/>
                      <w:szCs w:val="16"/>
                      <w:lang w:eastAsia="ko-KR"/>
                    </w:rPr>
                  </w:pPr>
                  <w:r w:rsidRPr="00A15444">
                    <w:rPr>
                      <w:rFonts w:cs="Arial"/>
                      <w:color w:val="000000"/>
                      <w:sz w:val="16"/>
                      <w:szCs w:val="16"/>
                      <w:lang w:eastAsia="ko-KR"/>
                    </w:rPr>
                    <w:t>+2,2</w:t>
                  </w:r>
                </w:p>
              </w:tc>
              <w:tc>
                <w:tcPr>
                  <w:tcW w:w="700" w:type="dxa"/>
                  <w:tcBorders>
                    <w:top w:val="nil"/>
                    <w:left w:val="nil"/>
                    <w:bottom w:val="nil"/>
                    <w:right w:val="nil"/>
                  </w:tcBorders>
                  <w:noWrap/>
                  <w:vAlign w:val="bottom"/>
                  <w:hideMark/>
                </w:tcPr>
                <w:p w14:paraId="59E736B8" w14:textId="77777777" w:rsidR="006B1AFC" w:rsidRPr="00A15444" w:rsidRDefault="006B1AFC" w:rsidP="003C4A79">
                  <w:pPr>
                    <w:spacing w:after="0" w:line="240" w:lineRule="auto"/>
                    <w:jc w:val="right"/>
                    <w:rPr>
                      <w:rFonts w:cs="Arial"/>
                      <w:color w:val="000000"/>
                      <w:sz w:val="16"/>
                      <w:szCs w:val="16"/>
                      <w:lang w:eastAsia="ko-KR"/>
                    </w:rPr>
                  </w:pPr>
                  <w:r w:rsidRPr="00A15444">
                    <w:rPr>
                      <w:rFonts w:cs="Arial"/>
                      <w:color w:val="000000"/>
                      <w:sz w:val="16"/>
                      <w:szCs w:val="16"/>
                      <w:lang w:eastAsia="ko-KR"/>
                    </w:rPr>
                    <w:t>+37,5</w:t>
                  </w:r>
                </w:p>
              </w:tc>
            </w:tr>
            <w:tr w:rsidR="006B1AFC" w:rsidRPr="00A15444" w14:paraId="15F851A5" w14:textId="77777777" w:rsidTr="003C4A79">
              <w:trPr>
                <w:trHeight w:val="252"/>
              </w:trPr>
              <w:tc>
                <w:tcPr>
                  <w:tcW w:w="3362" w:type="dxa"/>
                  <w:tcBorders>
                    <w:top w:val="nil"/>
                    <w:left w:val="nil"/>
                    <w:bottom w:val="nil"/>
                    <w:right w:val="nil"/>
                  </w:tcBorders>
                  <w:noWrap/>
                  <w:vAlign w:val="bottom"/>
                  <w:hideMark/>
                </w:tcPr>
                <w:p w14:paraId="10CEF900" w14:textId="77777777" w:rsidR="006B1AFC" w:rsidRPr="00A15444" w:rsidRDefault="006B1AFC" w:rsidP="003C4A79">
                  <w:pPr>
                    <w:spacing w:after="0" w:line="240" w:lineRule="auto"/>
                    <w:jc w:val="left"/>
                    <w:rPr>
                      <w:rFonts w:cs="Arial"/>
                      <w:color w:val="000000"/>
                      <w:sz w:val="16"/>
                      <w:szCs w:val="16"/>
                      <w:lang w:eastAsia="ko-KR"/>
                    </w:rPr>
                  </w:pPr>
                  <w:r w:rsidRPr="00A15444">
                    <w:rPr>
                      <w:rFonts w:cs="Arial"/>
                      <w:color w:val="000000"/>
                      <w:sz w:val="16"/>
                      <w:szCs w:val="16"/>
                      <w:lang w:eastAsia="ko-KR"/>
                    </w:rPr>
                    <w:t>Malajsie</w:t>
                  </w:r>
                </w:p>
              </w:tc>
              <w:tc>
                <w:tcPr>
                  <w:tcW w:w="700" w:type="dxa"/>
                  <w:tcBorders>
                    <w:top w:val="nil"/>
                    <w:left w:val="nil"/>
                    <w:bottom w:val="nil"/>
                    <w:right w:val="nil"/>
                  </w:tcBorders>
                  <w:noWrap/>
                  <w:vAlign w:val="bottom"/>
                  <w:hideMark/>
                </w:tcPr>
                <w:p w14:paraId="6F333F1A" w14:textId="77777777" w:rsidR="006B1AFC" w:rsidRPr="00A15444" w:rsidRDefault="006B1AFC" w:rsidP="003C4A79">
                  <w:pPr>
                    <w:spacing w:after="0" w:line="240" w:lineRule="auto"/>
                    <w:jc w:val="right"/>
                    <w:rPr>
                      <w:rFonts w:cs="Arial"/>
                      <w:color w:val="000000"/>
                      <w:sz w:val="16"/>
                      <w:szCs w:val="16"/>
                      <w:lang w:eastAsia="ko-KR"/>
                    </w:rPr>
                  </w:pPr>
                  <w:r w:rsidRPr="00A15444">
                    <w:rPr>
                      <w:rFonts w:cs="Arial"/>
                      <w:color w:val="000000"/>
                      <w:sz w:val="16"/>
                      <w:szCs w:val="16"/>
                      <w:lang w:eastAsia="ko-KR"/>
                    </w:rPr>
                    <w:t>+2,1</w:t>
                  </w:r>
                </w:p>
              </w:tc>
              <w:tc>
                <w:tcPr>
                  <w:tcW w:w="700" w:type="dxa"/>
                  <w:tcBorders>
                    <w:top w:val="nil"/>
                    <w:left w:val="nil"/>
                    <w:bottom w:val="nil"/>
                    <w:right w:val="nil"/>
                  </w:tcBorders>
                  <w:noWrap/>
                  <w:vAlign w:val="bottom"/>
                  <w:hideMark/>
                </w:tcPr>
                <w:p w14:paraId="1C08BAF0" w14:textId="77777777" w:rsidR="006B1AFC" w:rsidRPr="00A15444" w:rsidRDefault="006B1AFC" w:rsidP="003C4A79">
                  <w:pPr>
                    <w:spacing w:after="0" w:line="240" w:lineRule="auto"/>
                    <w:jc w:val="right"/>
                    <w:rPr>
                      <w:rFonts w:cs="Arial"/>
                      <w:color w:val="000000"/>
                      <w:sz w:val="16"/>
                      <w:szCs w:val="16"/>
                      <w:lang w:eastAsia="ko-KR"/>
                    </w:rPr>
                  </w:pPr>
                  <w:r w:rsidRPr="00A15444">
                    <w:rPr>
                      <w:rFonts w:cs="Arial"/>
                      <w:color w:val="000000"/>
                      <w:sz w:val="16"/>
                      <w:szCs w:val="16"/>
                      <w:lang w:eastAsia="ko-KR"/>
                    </w:rPr>
                    <w:t>+28,4</w:t>
                  </w:r>
                </w:p>
              </w:tc>
            </w:tr>
            <w:tr w:rsidR="006B1AFC" w:rsidRPr="00A15444" w14:paraId="0A94AAAE" w14:textId="77777777" w:rsidTr="003C4A79">
              <w:trPr>
                <w:trHeight w:val="252"/>
              </w:trPr>
              <w:tc>
                <w:tcPr>
                  <w:tcW w:w="3362" w:type="dxa"/>
                  <w:tcBorders>
                    <w:top w:val="nil"/>
                    <w:left w:val="nil"/>
                    <w:bottom w:val="nil"/>
                    <w:right w:val="nil"/>
                  </w:tcBorders>
                  <w:noWrap/>
                  <w:vAlign w:val="bottom"/>
                  <w:hideMark/>
                </w:tcPr>
                <w:p w14:paraId="7260F337" w14:textId="77777777" w:rsidR="006B1AFC" w:rsidRPr="00A15444" w:rsidRDefault="006B1AFC" w:rsidP="003C4A79">
                  <w:pPr>
                    <w:spacing w:after="0" w:line="240" w:lineRule="auto"/>
                    <w:jc w:val="left"/>
                    <w:rPr>
                      <w:rFonts w:cs="Arial"/>
                      <w:color w:val="000000"/>
                      <w:sz w:val="16"/>
                      <w:szCs w:val="16"/>
                      <w:lang w:eastAsia="ko-KR"/>
                    </w:rPr>
                  </w:pPr>
                  <w:r w:rsidRPr="00A15444">
                    <w:rPr>
                      <w:rFonts w:cs="Arial"/>
                      <w:color w:val="000000"/>
                      <w:sz w:val="16"/>
                      <w:szCs w:val="16"/>
                      <w:lang w:eastAsia="ko-KR"/>
                    </w:rPr>
                    <w:t>Španělsko</w:t>
                  </w:r>
                </w:p>
              </w:tc>
              <w:tc>
                <w:tcPr>
                  <w:tcW w:w="700" w:type="dxa"/>
                  <w:tcBorders>
                    <w:top w:val="nil"/>
                    <w:left w:val="nil"/>
                    <w:bottom w:val="nil"/>
                    <w:right w:val="nil"/>
                  </w:tcBorders>
                  <w:noWrap/>
                  <w:vAlign w:val="bottom"/>
                  <w:hideMark/>
                </w:tcPr>
                <w:p w14:paraId="0C5F81BD" w14:textId="77777777" w:rsidR="006B1AFC" w:rsidRPr="00A15444" w:rsidRDefault="006B1AFC" w:rsidP="003C4A79">
                  <w:pPr>
                    <w:spacing w:after="0" w:line="240" w:lineRule="auto"/>
                    <w:jc w:val="right"/>
                    <w:rPr>
                      <w:rFonts w:cs="Arial"/>
                      <w:color w:val="000000"/>
                      <w:sz w:val="16"/>
                      <w:szCs w:val="16"/>
                      <w:lang w:eastAsia="ko-KR"/>
                    </w:rPr>
                  </w:pPr>
                  <w:r w:rsidRPr="00A15444">
                    <w:rPr>
                      <w:rFonts w:cs="Arial"/>
                      <w:color w:val="000000"/>
                      <w:sz w:val="16"/>
                      <w:szCs w:val="16"/>
                      <w:lang w:eastAsia="ko-KR"/>
                    </w:rPr>
                    <w:t>+1,9</w:t>
                  </w:r>
                </w:p>
              </w:tc>
              <w:tc>
                <w:tcPr>
                  <w:tcW w:w="700" w:type="dxa"/>
                  <w:tcBorders>
                    <w:top w:val="nil"/>
                    <w:left w:val="nil"/>
                    <w:bottom w:val="nil"/>
                    <w:right w:val="nil"/>
                  </w:tcBorders>
                  <w:noWrap/>
                  <w:vAlign w:val="bottom"/>
                  <w:hideMark/>
                </w:tcPr>
                <w:p w14:paraId="4700F3C5" w14:textId="77777777" w:rsidR="006B1AFC" w:rsidRPr="00A15444" w:rsidRDefault="006B1AFC" w:rsidP="003C4A79">
                  <w:pPr>
                    <w:spacing w:after="0" w:line="240" w:lineRule="auto"/>
                    <w:jc w:val="right"/>
                    <w:rPr>
                      <w:rFonts w:cs="Arial"/>
                      <w:color w:val="000000"/>
                      <w:sz w:val="16"/>
                      <w:szCs w:val="16"/>
                      <w:lang w:eastAsia="ko-KR"/>
                    </w:rPr>
                  </w:pPr>
                  <w:r w:rsidRPr="00A15444">
                    <w:rPr>
                      <w:rFonts w:cs="Arial"/>
                      <w:color w:val="000000"/>
                      <w:sz w:val="16"/>
                      <w:szCs w:val="16"/>
                      <w:lang w:eastAsia="ko-KR"/>
                    </w:rPr>
                    <w:t>+7,4</w:t>
                  </w:r>
                </w:p>
              </w:tc>
            </w:tr>
            <w:tr w:rsidR="006B1AFC" w:rsidRPr="00A15444" w14:paraId="4D73F5A3" w14:textId="77777777" w:rsidTr="003C4A79">
              <w:trPr>
                <w:trHeight w:val="252"/>
              </w:trPr>
              <w:tc>
                <w:tcPr>
                  <w:tcW w:w="3362" w:type="dxa"/>
                  <w:tcBorders>
                    <w:top w:val="nil"/>
                    <w:left w:val="nil"/>
                    <w:bottom w:val="nil"/>
                    <w:right w:val="nil"/>
                  </w:tcBorders>
                  <w:noWrap/>
                  <w:vAlign w:val="bottom"/>
                  <w:hideMark/>
                </w:tcPr>
                <w:p w14:paraId="04648E16" w14:textId="77777777" w:rsidR="006B1AFC" w:rsidRPr="00A15444" w:rsidRDefault="006B1AFC" w:rsidP="003C4A79">
                  <w:pPr>
                    <w:spacing w:after="0" w:line="240" w:lineRule="auto"/>
                    <w:jc w:val="left"/>
                    <w:rPr>
                      <w:rFonts w:cs="Arial"/>
                      <w:color w:val="000000"/>
                      <w:sz w:val="16"/>
                      <w:szCs w:val="16"/>
                      <w:lang w:eastAsia="ko-KR"/>
                    </w:rPr>
                  </w:pPr>
                  <w:r w:rsidRPr="00A15444">
                    <w:rPr>
                      <w:rFonts w:cs="Arial"/>
                      <w:color w:val="000000"/>
                      <w:sz w:val="16"/>
                      <w:szCs w:val="16"/>
                      <w:lang w:eastAsia="ko-KR"/>
                    </w:rPr>
                    <w:t>Bulharsko</w:t>
                  </w:r>
                </w:p>
              </w:tc>
              <w:tc>
                <w:tcPr>
                  <w:tcW w:w="700" w:type="dxa"/>
                  <w:tcBorders>
                    <w:top w:val="nil"/>
                    <w:left w:val="nil"/>
                    <w:bottom w:val="nil"/>
                    <w:right w:val="nil"/>
                  </w:tcBorders>
                  <w:noWrap/>
                  <w:vAlign w:val="bottom"/>
                  <w:hideMark/>
                </w:tcPr>
                <w:p w14:paraId="20AB904D" w14:textId="77777777" w:rsidR="006B1AFC" w:rsidRPr="00A15444"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A15444">
                    <w:rPr>
                      <w:rFonts w:cs="Arial"/>
                      <w:color w:val="000000"/>
                      <w:sz w:val="16"/>
                      <w:szCs w:val="16"/>
                      <w:lang w:eastAsia="ko-KR"/>
                    </w:rPr>
                    <w:t>1,9</w:t>
                  </w:r>
                </w:p>
              </w:tc>
              <w:tc>
                <w:tcPr>
                  <w:tcW w:w="700" w:type="dxa"/>
                  <w:tcBorders>
                    <w:top w:val="nil"/>
                    <w:left w:val="nil"/>
                    <w:bottom w:val="nil"/>
                    <w:right w:val="nil"/>
                  </w:tcBorders>
                  <w:noWrap/>
                  <w:vAlign w:val="bottom"/>
                  <w:hideMark/>
                </w:tcPr>
                <w:p w14:paraId="70CB9730" w14:textId="77777777" w:rsidR="006B1AFC" w:rsidRPr="00A15444"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A15444">
                    <w:rPr>
                      <w:rFonts w:cs="Arial"/>
                      <w:color w:val="000000"/>
                      <w:sz w:val="16"/>
                      <w:szCs w:val="16"/>
                      <w:lang w:eastAsia="ko-KR"/>
                    </w:rPr>
                    <w:t>26,6</w:t>
                  </w:r>
                </w:p>
              </w:tc>
            </w:tr>
            <w:tr w:rsidR="006B1AFC" w:rsidRPr="00A15444" w14:paraId="60CC160C" w14:textId="77777777" w:rsidTr="003C4A79">
              <w:trPr>
                <w:trHeight w:val="252"/>
              </w:trPr>
              <w:tc>
                <w:tcPr>
                  <w:tcW w:w="3362" w:type="dxa"/>
                  <w:tcBorders>
                    <w:top w:val="nil"/>
                    <w:left w:val="nil"/>
                    <w:bottom w:val="nil"/>
                    <w:right w:val="nil"/>
                  </w:tcBorders>
                  <w:noWrap/>
                  <w:vAlign w:val="bottom"/>
                  <w:hideMark/>
                </w:tcPr>
                <w:p w14:paraId="74A348F3" w14:textId="77777777" w:rsidR="006B1AFC" w:rsidRPr="00A15444" w:rsidRDefault="006B1AFC" w:rsidP="003C4A79">
                  <w:pPr>
                    <w:spacing w:after="0" w:line="240" w:lineRule="auto"/>
                    <w:jc w:val="left"/>
                    <w:rPr>
                      <w:rFonts w:cs="Arial"/>
                      <w:color w:val="000000"/>
                      <w:sz w:val="16"/>
                      <w:szCs w:val="16"/>
                      <w:lang w:eastAsia="ko-KR"/>
                    </w:rPr>
                  </w:pPr>
                  <w:r w:rsidRPr="00A15444">
                    <w:rPr>
                      <w:rFonts w:cs="Arial"/>
                      <w:color w:val="000000"/>
                      <w:sz w:val="16"/>
                      <w:szCs w:val="16"/>
                      <w:lang w:eastAsia="ko-KR"/>
                    </w:rPr>
                    <w:t>Singapur</w:t>
                  </w:r>
                </w:p>
              </w:tc>
              <w:tc>
                <w:tcPr>
                  <w:tcW w:w="700" w:type="dxa"/>
                  <w:tcBorders>
                    <w:top w:val="nil"/>
                    <w:left w:val="nil"/>
                    <w:bottom w:val="nil"/>
                    <w:right w:val="nil"/>
                  </w:tcBorders>
                  <w:noWrap/>
                  <w:vAlign w:val="bottom"/>
                  <w:hideMark/>
                </w:tcPr>
                <w:p w14:paraId="37329135" w14:textId="77777777" w:rsidR="006B1AFC" w:rsidRPr="00A15444"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A15444">
                    <w:rPr>
                      <w:rFonts w:cs="Arial"/>
                      <w:color w:val="000000"/>
                      <w:sz w:val="16"/>
                      <w:szCs w:val="16"/>
                      <w:lang w:eastAsia="ko-KR"/>
                    </w:rPr>
                    <w:t>2,2</w:t>
                  </w:r>
                </w:p>
              </w:tc>
              <w:tc>
                <w:tcPr>
                  <w:tcW w:w="700" w:type="dxa"/>
                  <w:tcBorders>
                    <w:top w:val="nil"/>
                    <w:left w:val="nil"/>
                    <w:bottom w:val="nil"/>
                    <w:right w:val="nil"/>
                  </w:tcBorders>
                  <w:noWrap/>
                  <w:vAlign w:val="bottom"/>
                  <w:hideMark/>
                </w:tcPr>
                <w:p w14:paraId="29F96CB5" w14:textId="77777777" w:rsidR="006B1AFC" w:rsidRPr="00A15444"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A15444">
                    <w:rPr>
                      <w:rFonts w:cs="Arial"/>
                      <w:color w:val="000000"/>
                      <w:sz w:val="16"/>
                      <w:szCs w:val="16"/>
                      <w:lang w:eastAsia="ko-KR"/>
                    </w:rPr>
                    <w:t>53,3</w:t>
                  </w:r>
                </w:p>
              </w:tc>
            </w:tr>
            <w:tr w:rsidR="006B1AFC" w:rsidRPr="00A15444" w14:paraId="291A0972" w14:textId="77777777" w:rsidTr="003C4A79">
              <w:trPr>
                <w:trHeight w:val="252"/>
              </w:trPr>
              <w:tc>
                <w:tcPr>
                  <w:tcW w:w="3362" w:type="dxa"/>
                  <w:tcBorders>
                    <w:top w:val="nil"/>
                    <w:left w:val="nil"/>
                    <w:bottom w:val="nil"/>
                    <w:right w:val="nil"/>
                  </w:tcBorders>
                  <w:noWrap/>
                  <w:vAlign w:val="bottom"/>
                  <w:hideMark/>
                </w:tcPr>
                <w:p w14:paraId="1076B057" w14:textId="77777777" w:rsidR="006B1AFC" w:rsidRPr="00A15444" w:rsidRDefault="006B1AFC" w:rsidP="003C4A79">
                  <w:pPr>
                    <w:spacing w:after="0" w:line="240" w:lineRule="auto"/>
                    <w:jc w:val="left"/>
                    <w:rPr>
                      <w:rFonts w:cs="Arial"/>
                      <w:color w:val="000000"/>
                      <w:sz w:val="16"/>
                      <w:szCs w:val="16"/>
                      <w:lang w:eastAsia="ko-KR"/>
                    </w:rPr>
                  </w:pPr>
                  <w:r w:rsidRPr="00A15444">
                    <w:rPr>
                      <w:rFonts w:cs="Arial"/>
                      <w:color w:val="000000"/>
                      <w:sz w:val="16"/>
                      <w:szCs w:val="16"/>
                      <w:lang w:eastAsia="ko-KR"/>
                    </w:rPr>
                    <w:t>Norsko</w:t>
                  </w:r>
                </w:p>
              </w:tc>
              <w:tc>
                <w:tcPr>
                  <w:tcW w:w="700" w:type="dxa"/>
                  <w:tcBorders>
                    <w:top w:val="nil"/>
                    <w:left w:val="nil"/>
                    <w:bottom w:val="nil"/>
                    <w:right w:val="nil"/>
                  </w:tcBorders>
                  <w:noWrap/>
                  <w:vAlign w:val="bottom"/>
                  <w:hideMark/>
                </w:tcPr>
                <w:p w14:paraId="3457B540" w14:textId="77777777" w:rsidR="006B1AFC" w:rsidRPr="00A15444"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A15444">
                    <w:rPr>
                      <w:rFonts w:cs="Arial"/>
                      <w:color w:val="000000"/>
                      <w:sz w:val="16"/>
                      <w:szCs w:val="16"/>
                      <w:lang w:eastAsia="ko-KR"/>
                    </w:rPr>
                    <w:t>4,5</w:t>
                  </w:r>
                </w:p>
              </w:tc>
              <w:tc>
                <w:tcPr>
                  <w:tcW w:w="700" w:type="dxa"/>
                  <w:tcBorders>
                    <w:top w:val="nil"/>
                    <w:left w:val="nil"/>
                    <w:bottom w:val="nil"/>
                    <w:right w:val="nil"/>
                  </w:tcBorders>
                  <w:noWrap/>
                  <w:vAlign w:val="bottom"/>
                  <w:hideMark/>
                </w:tcPr>
                <w:p w14:paraId="23D12235" w14:textId="77777777" w:rsidR="006B1AFC" w:rsidRPr="00A15444"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A15444">
                    <w:rPr>
                      <w:rFonts w:cs="Arial"/>
                      <w:color w:val="000000"/>
                      <w:sz w:val="16"/>
                      <w:szCs w:val="16"/>
                      <w:lang w:eastAsia="ko-KR"/>
                    </w:rPr>
                    <w:t>18,2</w:t>
                  </w:r>
                </w:p>
              </w:tc>
            </w:tr>
          </w:tbl>
          <w:p w14:paraId="66E92B1C" w14:textId="77777777" w:rsidR="006B1AFC" w:rsidRPr="005A40B7" w:rsidRDefault="006B1AFC" w:rsidP="003C4A79">
            <w:pPr>
              <w:spacing w:after="0"/>
              <w:rPr>
                <w:spacing w:val="-4"/>
                <w:sz w:val="16"/>
                <w:szCs w:val="16"/>
                <w:lang w:eastAsia="en-US"/>
              </w:rPr>
            </w:pPr>
          </w:p>
        </w:tc>
      </w:tr>
      <w:tr w:rsidR="006B1AFC" w14:paraId="6A134598" w14:textId="77777777" w:rsidTr="003C4A79">
        <w:trPr>
          <w:trHeight w:val="170"/>
        </w:trPr>
        <w:tc>
          <w:tcPr>
            <w:tcW w:w="4811" w:type="dxa"/>
            <w:gridSpan w:val="3"/>
            <w:hideMark/>
          </w:tcPr>
          <w:p w14:paraId="02731A41" w14:textId="77777777" w:rsidR="006B1AFC" w:rsidRDefault="006B1AFC" w:rsidP="003C4A79">
            <w:pPr>
              <w:jc w:val="left"/>
              <w:rPr>
                <w:spacing w:val="-4"/>
                <w:sz w:val="16"/>
                <w:szCs w:val="16"/>
                <w:lang w:eastAsia="en-US"/>
              </w:rPr>
            </w:pPr>
            <w:r>
              <w:rPr>
                <w:spacing w:val="-4"/>
                <w:sz w:val="16"/>
                <w:szCs w:val="16"/>
                <w:lang w:eastAsia="en-US"/>
              </w:rPr>
              <w:t>Zdroj: ČSÚ</w:t>
            </w:r>
          </w:p>
        </w:tc>
        <w:tc>
          <w:tcPr>
            <w:tcW w:w="57" w:type="dxa"/>
          </w:tcPr>
          <w:p w14:paraId="14C2D023" w14:textId="77777777" w:rsidR="006B1AFC" w:rsidRDefault="006B1AFC" w:rsidP="003C4A79">
            <w:pPr>
              <w:spacing w:after="0"/>
              <w:rPr>
                <w:spacing w:val="-4"/>
                <w:lang w:eastAsia="en-US"/>
              </w:rPr>
            </w:pPr>
          </w:p>
        </w:tc>
        <w:tc>
          <w:tcPr>
            <w:tcW w:w="4809" w:type="dxa"/>
            <w:hideMark/>
          </w:tcPr>
          <w:p w14:paraId="10B77BC1" w14:textId="77777777" w:rsidR="006B1AFC" w:rsidRDefault="006B1AFC" w:rsidP="003C4A79">
            <w:pPr>
              <w:spacing w:after="0"/>
              <w:ind w:right="21"/>
              <w:jc w:val="left"/>
              <w:rPr>
                <w:spacing w:val="-4"/>
                <w:lang w:eastAsia="en-US"/>
              </w:rPr>
            </w:pPr>
            <w:r>
              <w:rPr>
                <w:spacing w:val="-4"/>
                <w:sz w:val="16"/>
                <w:szCs w:val="16"/>
                <w:lang w:eastAsia="en-US"/>
              </w:rPr>
              <w:t>Zdroj: ČSÚ</w:t>
            </w:r>
          </w:p>
        </w:tc>
      </w:tr>
      <w:tr w:rsidR="006B1AFC" w14:paraId="29B15315" w14:textId="77777777" w:rsidTr="003C4A79">
        <w:trPr>
          <w:trHeight w:val="145"/>
        </w:trPr>
        <w:tc>
          <w:tcPr>
            <w:tcW w:w="1716" w:type="dxa"/>
            <w:hideMark/>
          </w:tcPr>
          <w:p w14:paraId="0061D80D" w14:textId="77777777" w:rsidR="006B1AFC" w:rsidRDefault="006B1AFC" w:rsidP="003C4A79">
            <w:pPr>
              <w:pStyle w:val="Marginlie"/>
              <w:rPr>
                <w:lang w:eastAsia="en-US"/>
              </w:rPr>
            </w:pPr>
            <w:r>
              <w:rPr>
                <w:lang w:eastAsia="en-US"/>
              </w:rPr>
              <w:t>Přebytek bilance zahraničního obchodu se meziročně snižoval.</w:t>
            </w:r>
          </w:p>
        </w:tc>
        <w:tc>
          <w:tcPr>
            <w:tcW w:w="284" w:type="dxa"/>
          </w:tcPr>
          <w:p w14:paraId="44AA198E" w14:textId="77777777" w:rsidR="006B1AFC" w:rsidRDefault="006B1AFC" w:rsidP="003C4A79">
            <w:pPr>
              <w:pStyle w:val="Textpoznpodarou"/>
              <w:jc w:val="both"/>
              <w:rPr>
                <w:spacing w:val="-4"/>
                <w:lang w:eastAsia="en-US"/>
              </w:rPr>
            </w:pPr>
          </w:p>
        </w:tc>
        <w:tc>
          <w:tcPr>
            <w:tcW w:w="7677" w:type="dxa"/>
            <w:gridSpan w:val="3"/>
            <w:hideMark/>
          </w:tcPr>
          <w:p w14:paraId="4CA32438" w14:textId="77777777" w:rsidR="006B1AFC" w:rsidRPr="002971BF" w:rsidRDefault="006B1AFC" w:rsidP="003C4A79">
            <w:pPr>
              <w:spacing w:after="180"/>
              <w:rPr>
                <w:spacing w:val="-4"/>
                <w:szCs w:val="20"/>
                <w:lang w:eastAsia="en-US"/>
              </w:rPr>
            </w:pPr>
            <w:r>
              <w:rPr>
                <w:spacing w:val="-4"/>
                <w:szCs w:val="20"/>
                <w:lang w:eastAsia="en-US"/>
              </w:rPr>
              <w:t xml:space="preserve">Dynamika exportu v posledních několika kvartálech zaostávala za dovozem, což opakovaně vedlo ke zhoršování bilance zahraničního obchodu se zbožím. Za celé 1. pololetí přebytek bilance dosáhl 102,5 mld. korun a meziročně byl nižší o 27,3 mld. Na tomto poklesu mělo většinový podíl samotné 2. čtvrtletí, kdy bilance dosáhla přebytku 32,3 mld. korun, což byl meziročně o 22,4 mld. horší výsledek. Podle sezónně očištěných údajů se bilance mezičtvrtletně podruhé v řadě výrazně zhoršila. V 1. pololetí se meziročně zhoršovala bilance zahraničního obchodu se zeměmi mimo EU (−34,1 mld. korun), zatímco přebytek obchodu s EU mírně vzrostl o 8,6 mld. Největší zhoršení bilance bylo v 1. pololetí zaznamenáno u obchodu s Německem (−30,1 mld. korun), Velkou Británií (−8,7 mld.) a Spojenými státy americkými (−8,1 mld.). Naopak výrazně lepší byla bilance obchodu </w:t>
            </w:r>
            <w:r>
              <w:rPr>
                <w:spacing w:val="-4"/>
                <w:szCs w:val="20"/>
                <w:lang w:eastAsia="en-US"/>
              </w:rPr>
              <w:br/>
            </w:r>
            <w:r>
              <w:rPr>
                <w:spacing w:val="-4"/>
                <w:szCs w:val="20"/>
                <w:lang w:eastAsia="en-US"/>
              </w:rPr>
              <w:lastRenderedPageBreak/>
              <w:t>s Rakouskem (+16,1 mld. korun) a Francií (+12,4 mld.). V samotném 2. čtvrtletí se bilance se zeměmi mimo EU meziročně zhoršila o 22,8 mld. korun, zatímco přebytek obchodu s EU se zvýšil o 2,2 mld. Ve směru zhoršení bilance nejvíce působil obchod s Německem (viz Tabulka č. 8) a dále se Spojenými státy americkými a Čínou. S odstupem následovalo Slovensko, Kazachstán nebo Velká Británie. Naopak výrazně ve směru zlepšení bilance zahraničního obchodu působil ve 2. kvartálu obchod s Francií, Rakouskem nebo Nizozemskem.</w:t>
            </w:r>
          </w:p>
        </w:tc>
      </w:tr>
      <w:tr w:rsidR="006B1AFC" w14:paraId="5E9CB164" w14:textId="77777777" w:rsidTr="003C4A79">
        <w:trPr>
          <w:trHeight w:val="170"/>
        </w:trPr>
        <w:tc>
          <w:tcPr>
            <w:tcW w:w="4811" w:type="dxa"/>
            <w:gridSpan w:val="3"/>
            <w:hideMark/>
          </w:tcPr>
          <w:p w14:paraId="12CD2532" w14:textId="77777777" w:rsidR="006B1AFC" w:rsidRDefault="006B1AFC" w:rsidP="003C4A79">
            <w:pPr>
              <w:spacing w:after="0"/>
              <w:rPr>
                <w:rFonts w:cs="Arial"/>
                <w:b/>
                <w:bCs/>
                <w:color w:val="000000"/>
                <w:sz w:val="18"/>
                <w:szCs w:val="18"/>
                <w:lang w:eastAsia="en-US"/>
              </w:rPr>
            </w:pPr>
            <w:r>
              <w:rPr>
                <w:rFonts w:cs="Arial"/>
                <w:b/>
                <w:bCs/>
                <w:color w:val="000000"/>
                <w:sz w:val="18"/>
                <w:szCs w:val="18"/>
                <w:lang w:eastAsia="en-US"/>
              </w:rPr>
              <w:lastRenderedPageBreak/>
              <w:t xml:space="preserve">Tabulka č. 7 Oddíly klasifikace CPA s největším </w:t>
            </w:r>
          </w:p>
          <w:p w14:paraId="6318BD76" w14:textId="77777777" w:rsidR="006B1AFC" w:rsidRDefault="006B1AFC" w:rsidP="003C4A79">
            <w:pPr>
              <w:spacing w:after="0"/>
              <w:jc w:val="left"/>
              <w:rPr>
                <w:rFonts w:cs="Arial"/>
                <w:b/>
                <w:bCs/>
                <w:color w:val="000000"/>
                <w:sz w:val="18"/>
                <w:szCs w:val="18"/>
                <w:lang w:eastAsia="en-US"/>
              </w:rPr>
            </w:pPr>
            <w:r>
              <w:rPr>
                <w:rFonts w:cs="Arial"/>
                <w:b/>
                <w:bCs/>
                <w:color w:val="000000"/>
                <w:sz w:val="18"/>
                <w:szCs w:val="18"/>
                <w:lang w:eastAsia="en-US"/>
              </w:rPr>
              <w:t xml:space="preserve">vlivem na vývoj bilance zahraničního obchodu se zbožím ve 2. čtvrtletí 2026 </w:t>
            </w:r>
            <w:r>
              <w:rPr>
                <w:rFonts w:cs="Arial"/>
                <w:bCs/>
                <w:color w:val="000000"/>
                <w:sz w:val="18"/>
                <w:szCs w:val="18"/>
                <w:lang w:eastAsia="en-US"/>
              </w:rPr>
              <w:t>(meziročně)</w:t>
            </w:r>
          </w:p>
        </w:tc>
        <w:tc>
          <w:tcPr>
            <w:tcW w:w="57" w:type="dxa"/>
          </w:tcPr>
          <w:p w14:paraId="472950F4" w14:textId="77777777" w:rsidR="006B1AFC" w:rsidRDefault="006B1AFC" w:rsidP="003C4A79">
            <w:pPr>
              <w:spacing w:after="0"/>
              <w:rPr>
                <w:spacing w:val="-4"/>
                <w:lang w:eastAsia="en-US"/>
              </w:rPr>
            </w:pPr>
          </w:p>
        </w:tc>
        <w:tc>
          <w:tcPr>
            <w:tcW w:w="4809" w:type="dxa"/>
            <w:hideMark/>
          </w:tcPr>
          <w:p w14:paraId="17136880" w14:textId="77777777" w:rsidR="006B1AFC" w:rsidRDefault="006B1AFC" w:rsidP="003C4A79">
            <w:pPr>
              <w:spacing w:after="0"/>
              <w:jc w:val="left"/>
              <w:rPr>
                <w:spacing w:val="-4"/>
                <w:sz w:val="18"/>
                <w:szCs w:val="18"/>
                <w:lang w:eastAsia="en-US"/>
              </w:rPr>
            </w:pPr>
            <w:r>
              <w:rPr>
                <w:rFonts w:cs="Arial"/>
                <w:b/>
                <w:bCs/>
                <w:color w:val="000000"/>
                <w:sz w:val="18"/>
                <w:szCs w:val="18"/>
                <w:lang w:eastAsia="en-US"/>
              </w:rPr>
              <w:t xml:space="preserve">Tabulka č. 8 Země s největším vlivem na vývoj bilance zahraničního obchodu se zbožím ve 2. čtvrtletí 2026 </w:t>
            </w:r>
            <w:r>
              <w:rPr>
                <w:rFonts w:cs="Arial"/>
                <w:bCs/>
                <w:color w:val="000000"/>
                <w:sz w:val="18"/>
                <w:szCs w:val="18"/>
                <w:lang w:eastAsia="en-US"/>
              </w:rPr>
              <w:t>(meziročně)</w:t>
            </w:r>
          </w:p>
        </w:tc>
      </w:tr>
      <w:tr w:rsidR="006B1AFC" w14:paraId="134283C1" w14:textId="77777777" w:rsidTr="003C4A79">
        <w:trPr>
          <w:trHeight w:val="170"/>
        </w:trPr>
        <w:tc>
          <w:tcPr>
            <w:tcW w:w="4811" w:type="dxa"/>
            <w:gridSpan w:val="3"/>
            <w:hideMark/>
          </w:tcPr>
          <w:tbl>
            <w:tblPr>
              <w:tblW w:w="4826" w:type="dxa"/>
              <w:tblLayout w:type="fixed"/>
              <w:tblCellMar>
                <w:left w:w="70" w:type="dxa"/>
                <w:right w:w="70" w:type="dxa"/>
              </w:tblCellMar>
              <w:tblLook w:val="04A0" w:firstRow="1" w:lastRow="0" w:firstColumn="1" w:lastColumn="0" w:noHBand="0" w:noVBand="1"/>
            </w:tblPr>
            <w:tblGrid>
              <w:gridCol w:w="4126"/>
              <w:gridCol w:w="700"/>
            </w:tblGrid>
            <w:tr w:rsidR="006B1AFC" w:rsidRPr="00180CEB" w14:paraId="2B98E18F" w14:textId="77777777" w:rsidTr="003C4A79">
              <w:trPr>
                <w:trHeight w:val="255"/>
              </w:trPr>
              <w:tc>
                <w:tcPr>
                  <w:tcW w:w="4126" w:type="dxa"/>
                  <w:tcBorders>
                    <w:top w:val="nil"/>
                    <w:left w:val="nil"/>
                    <w:bottom w:val="single" w:sz="4" w:space="0" w:color="auto"/>
                    <w:right w:val="nil"/>
                  </w:tcBorders>
                  <w:noWrap/>
                  <w:vAlign w:val="bottom"/>
                  <w:hideMark/>
                </w:tcPr>
                <w:p w14:paraId="3C4E40B0" w14:textId="77777777" w:rsidR="006B1AFC" w:rsidRPr="00180CEB" w:rsidRDefault="006B1AFC" w:rsidP="003C4A79">
                  <w:pPr>
                    <w:spacing w:after="0" w:line="240" w:lineRule="auto"/>
                    <w:jc w:val="left"/>
                    <w:rPr>
                      <w:rFonts w:cs="Arial"/>
                      <w:color w:val="000000"/>
                      <w:sz w:val="16"/>
                      <w:szCs w:val="16"/>
                      <w:lang w:eastAsia="ko-KR"/>
                    </w:rPr>
                  </w:pPr>
                  <w:r w:rsidRPr="00180CEB">
                    <w:rPr>
                      <w:rFonts w:cs="Arial"/>
                      <w:color w:val="000000"/>
                      <w:sz w:val="16"/>
                      <w:szCs w:val="16"/>
                      <w:lang w:eastAsia="ko-KR"/>
                    </w:rPr>
                    <w:t> </w:t>
                  </w:r>
                </w:p>
              </w:tc>
              <w:tc>
                <w:tcPr>
                  <w:tcW w:w="700" w:type="dxa"/>
                  <w:tcBorders>
                    <w:top w:val="nil"/>
                    <w:left w:val="nil"/>
                    <w:bottom w:val="single" w:sz="4" w:space="0" w:color="auto"/>
                    <w:right w:val="nil"/>
                  </w:tcBorders>
                  <w:noWrap/>
                  <w:vAlign w:val="bottom"/>
                  <w:hideMark/>
                </w:tcPr>
                <w:p w14:paraId="21148757" w14:textId="77777777" w:rsidR="006B1AFC" w:rsidRPr="00180CEB" w:rsidRDefault="006B1AFC" w:rsidP="003C4A79">
                  <w:pPr>
                    <w:spacing w:after="0" w:line="240" w:lineRule="auto"/>
                    <w:jc w:val="right"/>
                    <w:rPr>
                      <w:rFonts w:cs="Arial"/>
                      <w:color w:val="000000"/>
                      <w:sz w:val="16"/>
                      <w:szCs w:val="16"/>
                      <w:lang w:eastAsia="ko-KR"/>
                    </w:rPr>
                  </w:pPr>
                  <w:r w:rsidRPr="00180CEB">
                    <w:rPr>
                      <w:rFonts w:cs="Arial"/>
                      <w:color w:val="000000"/>
                      <w:sz w:val="16"/>
                      <w:szCs w:val="16"/>
                      <w:lang w:eastAsia="ko-KR"/>
                    </w:rPr>
                    <w:t>mld. Kč</w:t>
                  </w:r>
                </w:p>
              </w:tc>
            </w:tr>
            <w:tr w:rsidR="006B1AFC" w:rsidRPr="00180CEB" w14:paraId="532310F3" w14:textId="77777777" w:rsidTr="003C4A79">
              <w:trPr>
                <w:trHeight w:val="255"/>
              </w:trPr>
              <w:tc>
                <w:tcPr>
                  <w:tcW w:w="4126" w:type="dxa"/>
                  <w:tcBorders>
                    <w:top w:val="nil"/>
                    <w:left w:val="nil"/>
                    <w:bottom w:val="nil"/>
                    <w:right w:val="nil"/>
                  </w:tcBorders>
                  <w:noWrap/>
                  <w:vAlign w:val="bottom"/>
                  <w:hideMark/>
                </w:tcPr>
                <w:p w14:paraId="2311F355" w14:textId="77777777" w:rsidR="006B1AFC" w:rsidRPr="00180CEB" w:rsidRDefault="006B1AFC" w:rsidP="003C4A79">
                  <w:pPr>
                    <w:spacing w:after="0" w:line="240" w:lineRule="auto"/>
                    <w:jc w:val="left"/>
                    <w:rPr>
                      <w:rFonts w:cs="Arial"/>
                      <w:color w:val="000000"/>
                      <w:sz w:val="16"/>
                      <w:szCs w:val="16"/>
                      <w:lang w:eastAsia="ko-KR"/>
                    </w:rPr>
                  </w:pPr>
                  <w:r w:rsidRPr="00180CEB">
                    <w:rPr>
                      <w:rFonts w:cs="Arial"/>
                      <w:color w:val="000000"/>
                      <w:sz w:val="16"/>
                      <w:szCs w:val="16"/>
                      <w:lang w:eastAsia="ko-KR"/>
                    </w:rPr>
                    <w:t>Motorová vozidla (kromě motocyklů) a díly</w:t>
                  </w:r>
                </w:p>
              </w:tc>
              <w:tc>
                <w:tcPr>
                  <w:tcW w:w="700" w:type="dxa"/>
                  <w:tcBorders>
                    <w:top w:val="nil"/>
                    <w:left w:val="nil"/>
                    <w:bottom w:val="nil"/>
                    <w:right w:val="nil"/>
                  </w:tcBorders>
                  <w:noWrap/>
                  <w:vAlign w:val="bottom"/>
                  <w:hideMark/>
                </w:tcPr>
                <w:p w14:paraId="02B0C931" w14:textId="77777777" w:rsidR="006B1AFC" w:rsidRPr="00180CEB" w:rsidRDefault="006B1AFC" w:rsidP="003C4A79">
                  <w:pPr>
                    <w:spacing w:after="0" w:line="240" w:lineRule="auto"/>
                    <w:jc w:val="right"/>
                    <w:rPr>
                      <w:rFonts w:cs="Arial"/>
                      <w:color w:val="000000"/>
                      <w:sz w:val="16"/>
                      <w:szCs w:val="16"/>
                      <w:lang w:eastAsia="ko-KR"/>
                    </w:rPr>
                  </w:pPr>
                  <w:r w:rsidRPr="00180CEB">
                    <w:rPr>
                      <w:rFonts w:cs="Arial"/>
                      <w:color w:val="000000"/>
                      <w:sz w:val="16"/>
                      <w:szCs w:val="16"/>
                      <w:lang w:eastAsia="ko-KR"/>
                    </w:rPr>
                    <w:t>+6,4</w:t>
                  </w:r>
                </w:p>
              </w:tc>
            </w:tr>
            <w:tr w:rsidR="006B1AFC" w:rsidRPr="00180CEB" w14:paraId="3A3A4F1D" w14:textId="77777777" w:rsidTr="003C4A79">
              <w:trPr>
                <w:trHeight w:val="255"/>
              </w:trPr>
              <w:tc>
                <w:tcPr>
                  <w:tcW w:w="4126" w:type="dxa"/>
                  <w:tcBorders>
                    <w:top w:val="nil"/>
                    <w:left w:val="nil"/>
                    <w:bottom w:val="nil"/>
                    <w:right w:val="nil"/>
                  </w:tcBorders>
                  <w:noWrap/>
                  <w:vAlign w:val="bottom"/>
                  <w:hideMark/>
                </w:tcPr>
                <w:p w14:paraId="034E244F" w14:textId="77777777" w:rsidR="006B1AFC" w:rsidRPr="00180CEB" w:rsidRDefault="006B1AFC" w:rsidP="003C4A79">
                  <w:pPr>
                    <w:spacing w:after="0" w:line="240" w:lineRule="auto"/>
                    <w:jc w:val="left"/>
                    <w:rPr>
                      <w:rFonts w:cs="Arial"/>
                      <w:color w:val="000000"/>
                      <w:sz w:val="16"/>
                      <w:szCs w:val="16"/>
                      <w:lang w:eastAsia="ko-KR"/>
                    </w:rPr>
                  </w:pPr>
                  <w:r w:rsidRPr="00180CEB">
                    <w:rPr>
                      <w:rFonts w:cs="Arial"/>
                      <w:color w:val="000000"/>
                      <w:sz w:val="16"/>
                      <w:szCs w:val="16"/>
                      <w:lang w:eastAsia="ko-KR"/>
                    </w:rPr>
                    <w:t>Počítače, elektron. a opt. přístroje a zařízení</w:t>
                  </w:r>
                </w:p>
              </w:tc>
              <w:tc>
                <w:tcPr>
                  <w:tcW w:w="700" w:type="dxa"/>
                  <w:tcBorders>
                    <w:top w:val="nil"/>
                    <w:left w:val="nil"/>
                    <w:bottom w:val="nil"/>
                    <w:right w:val="nil"/>
                  </w:tcBorders>
                  <w:noWrap/>
                  <w:vAlign w:val="bottom"/>
                  <w:hideMark/>
                </w:tcPr>
                <w:p w14:paraId="67D38FA3" w14:textId="77777777" w:rsidR="006B1AFC" w:rsidRPr="00180CEB" w:rsidRDefault="006B1AFC" w:rsidP="003C4A79">
                  <w:pPr>
                    <w:spacing w:after="0" w:line="240" w:lineRule="auto"/>
                    <w:jc w:val="right"/>
                    <w:rPr>
                      <w:rFonts w:cs="Arial"/>
                      <w:color w:val="000000"/>
                      <w:sz w:val="16"/>
                      <w:szCs w:val="16"/>
                      <w:lang w:eastAsia="ko-KR"/>
                    </w:rPr>
                  </w:pPr>
                  <w:r w:rsidRPr="00180CEB">
                    <w:rPr>
                      <w:rFonts w:cs="Arial"/>
                      <w:color w:val="000000"/>
                      <w:sz w:val="16"/>
                      <w:szCs w:val="16"/>
                      <w:lang w:eastAsia="ko-KR"/>
                    </w:rPr>
                    <w:t>+4,5</w:t>
                  </w:r>
                </w:p>
              </w:tc>
            </w:tr>
            <w:tr w:rsidR="006B1AFC" w:rsidRPr="00180CEB" w14:paraId="556A5349" w14:textId="77777777" w:rsidTr="003C4A79">
              <w:trPr>
                <w:trHeight w:val="255"/>
              </w:trPr>
              <w:tc>
                <w:tcPr>
                  <w:tcW w:w="4126" w:type="dxa"/>
                  <w:tcBorders>
                    <w:top w:val="nil"/>
                    <w:left w:val="nil"/>
                    <w:bottom w:val="nil"/>
                    <w:right w:val="nil"/>
                  </w:tcBorders>
                  <w:noWrap/>
                  <w:vAlign w:val="bottom"/>
                  <w:hideMark/>
                </w:tcPr>
                <w:p w14:paraId="69F9CF6B" w14:textId="77777777" w:rsidR="006B1AFC" w:rsidRPr="00180CEB" w:rsidRDefault="006B1AFC" w:rsidP="003C4A79">
                  <w:pPr>
                    <w:spacing w:after="0" w:line="240" w:lineRule="auto"/>
                    <w:jc w:val="left"/>
                    <w:rPr>
                      <w:rFonts w:cs="Arial"/>
                      <w:color w:val="000000"/>
                      <w:sz w:val="16"/>
                      <w:szCs w:val="16"/>
                      <w:lang w:eastAsia="ko-KR"/>
                    </w:rPr>
                  </w:pPr>
                  <w:r w:rsidRPr="00180CEB">
                    <w:rPr>
                      <w:rFonts w:cs="Arial"/>
                      <w:color w:val="000000"/>
                      <w:sz w:val="16"/>
                      <w:szCs w:val="16"/>
                      <w:lang w:eastAsia="ko-KR"/>
                    </w:rPr>
                    <w:t>Elektřina, plyn, pára a klimatizovaný vzduch</w:t>
                  </w:r>
                </w:p>
              </w:tc>
              <w:tc>
                <w:tcPr>
                  <w:tcW w:w="700" w:type="dxa"/>
                  <w:tcBorders>
                    <w:top w:val="nil"/>
                    <w:left w:val="nil"/>
                    <w:bottom w:val="nil"/>
                    <w:right w:val="nil"/>
                  </w:tcBorders>
                  <w:noWrap/>
                  <w:vAlign w:val="bottom"/>
                  <w:hideMark/>
                </w:tcPr>
                <w:p w14:paraId="2F972B71" w14:textId="77777777" w:rsidR="006B1AFC" w:rsidRPr="00180CEB" w:rsidRDefault="006B1AFC" w:rsidP="003C4A79">
                  <w:pPr>
                    <w:spacing w:after="0" w:line="240" w:lineRule="auto"/>
                    <w:jc w:val="right"/>
                    <w:rPr>
                      <w:rFonts w:cs="Arial"/>
                      <w:color w:val="000000"/>
                      <w:sz w:val="16"/>
                      <w:szCs w:val="16"/>
                      <w:lang w:eastAsia="ko-KR"/>
                    </w:rPr>
                  </w:pPr>
                  <w:r w:rsidRPr="00180CEB">
                    <w:rPr>
                      <w:rFonts w:cs="Arial"/>
                      <w:color w:val="000000"/>
                      <w:sz w:val="16"/>
                      <w:szCs w:val="16"/>
                      <w:lang w:eastAsia="ko-KR"/>
                    </w:rPr>
                    <w:t>+3,6</w:t>
                  </w:r>
                </w:p>
              </w:tc>
            </w:tr>
            <w:tr w:rsidR="006B1AFC" w:rsidRPr="00180CEB" w14:paraId="685D3B71" w14:textId="77777777" w:rsidTr="003C4A79">
              <w:trPr>
                <w:trHeight w:val="255"/>
              </w:trPr>
              <w:tc>
                <w:tcPr>
                  <w:tcW w:w="4126" w:type="dxa"/>
                  <w:tcBorders>
                    <w:top w:val="nil"/>
                    <w:left w:val="nil"/>
                    <w:bottom w:val="nil"/>
                    <w:right w:val="nil"/>
                  </w:tcBorders>
                  <w:noWrap/>
                  <w:vAlign w:val="bottom"/>
                  <w:hideMark/>
                </w:tcPr>
                <w:p w14:paraId="6B09EB10" w14:textId="77777777" w:rsidR="006B1AFC" w:rsidRPr="00180CEB" w:rsidRDefault="006B1AFC" w:rsidP="003C4A79">
                  <w:pPr>
                    <w:spacing w:after="0" w:line="240" w:lineRule="auto"/>
                    <w:jc w:val="left"/>
                    <w:rPr>
                      <w:rFonts w:cs="Arial"/>
                      <w:color w:val="000000"/>
                      <w:sz w:val="16"/>
                      <w:szCs w:val="16"/>
                      <w:lang w:eastAsia="ko-KR"/>
                    </w:rPr>
                  </w:pPr>
                  <w:r w:rsidRPr="00180CEB">
                    <w:rPr>
                      <w:rFonts w:cs="Arial"/>
                      <w:color w:val="000000"/>
                      <w:sz w:val="16"/>
                      <w:szCs w:val="16"/>
                      <w:lang w:eastAsia="ko-KR"/>
                    </w:rPr>
                    <w:t>Sběr, likvidace a zpracování odpadu</w:t>
                  </w:r>
                </w:p>
              </w:tc>
              <w:tc>
                <w:tcPr>
                  <w:tcW w:w="700" w:type="dxa"/>
                  <w:tcBorders>
                    <w:top w:val="nil"/>
                    <w:left w:val="nil"/>
                    <w:bottom w:val="nil"/>
                    <w:right w:val="nil"/>
                  </w:tcBorders>
                  <w:noWrap/>
                  <w:vAlign w:val="bottom"/>
                  <w:hideMark/>
                </w:tcPr>
                <w:p w14:paraId="768BB2F4" w14:textId="77777777" w:rsidR="006B1AFC" w:rsidRPr="00180CEB" w:rsidRDefault="006B1AFC" w:rsidP="003C4A79">
                  <w:pPr>
                    <w:spacing w:after="0" w:line="240" w:lineRule="auto"/>
                    <w:jc w:val="right"/>
                    <w:rPr>
                      <w:rFonts w:cs="Arial"/>
                      <w:color w:val="000000"/>
                      <w:sz w:val="16"/>
                      <w:szCs w:val="16"/>
                      <w:lang w:eastAsia="ko-KR"/>
                    </w:rPr>
                  </w:pPr>
                  <w:r w:rsidRPr="00180CEB">
                    <w:rPr>
                      <w:rFonts w:cs="Arial"/>
                      <w:color w:val="000000"/>
                      <w:sz w:val="16"/>
                      <w:szCs w:val="16"/>
                      <w:lang w:eastAsia="ko-KR"/>
                    </w:rPr>
                    <w:t>+3,0</w:t>
                  </w:r>
                </w:p>
              </w:tc>
            </w:tr>
            <w:tr w:rsidR="006B1AFC" w:rsidRPr="00180CEB" w14:paraId="5EA90D55" w14:textId="77777777" w:rsidTr="003C4A79">
              <w:trPr>
                <w:trHeight w:val="255"/>
              </w:trPr>
              <w:tc>
                <w:tcPr>
                  <w:tcW w:w="4126" w:type="dxa"/>
                  <w:tcBorders>
                    <w:top w:val="nil"/>
                    <w:left w:val="nil"/>
                    <w:bottom w:val="nil"/>
                    <w:right w:val="nil"/>
                  </w:tcBorders>
                  <w:noWrap/>
                  <w:vAlign w:val="bottom"/>
                  <w:hideMark/>
                </w:tcPr>
                <w:p w14:paraId="5BBE412E" w14:textId="77777777" w:rsidR="006B1AFC" w:rsidRPr="00180CEB" w:rsidRDefault="006B1AFC" w:rsidP="003C4A79">
                  <w:pPr>
                    <w:spacing w:after="0" w:line="240" w:lineRule="auto"/>
                    <w:jc w:val="left"/>
                    <w:rPr>
                      <w:rFonts w:cs="Arial"/>
                      <w:color w:val="000000"/>
                      <w:sz w:val="16"/>
                      <w:szCs w:val="16"/>
                      <w:lang w:eastAsia="ko-KR"/>
                    </w:rPr>
                  </w:pPr>
                  <w:r w:rsidRPr="00180CEB">
                    <w:rPr>
                      <w:rFonts w:cs="Arial"/>
                      <w:color w:val="000000"/>
                      <w:sz w:val="16"/>
                      <w:szCs w:val="16"/>
                      <w:lang w:eastAsia="ko-KR"/>
                    </w:rPr>
                    <w:t>Produkty zemědělství a myslivosti</w:t>
                  </w:r>
                </w:p>
              </w:tc>
              <w:tc>
                <w:tcPr>
                  <w:tcW w:w="700" w:type="dxa"/>
                  <w:tcBorders>
                    <w:top w:val="nil"/>
                    <w:left w:val="nil"/>
                    <w:bottom w:val="nil"/>
                    <w:right w:val="nil"/>
                  </w:tcBorders>
                  <w:noWrap/>
                  <w:vAlign w:val="bottom"/>
                  <w:hideMark/>
                </w:tcPr>
                <w:p w14:paraId="2CD76777" w14:textId="77777777" w:rsidR="006B1AFC" w:rsidRPr="00180CEB" w:rsidRDefault="006B1AFC" w:rsidP="003C4A79">
                  <w:pPr>
                    <w:spacing w:after="0" w:line="240" w:lineRule="auto"/>
                    <w:jc w:val="right"/>
                    <w:rPr>
                      <w:rFonts w:cs="Arial"/>
                      <w:color w:val="000000"/>
                      <w:sz w:val="16"/>
                      <w:szCs w:val="16"/>
                      <w:lang w:eastAsia="ko-KR"/>
                    </w:rPr>
                  </w:pPr>
                  <w:r w:rsidRPr="00180CEB">
                    <w:rPr>
                      <w:rFonts w:cs="Arial"/>
                      <w:color w:val="000000"/>
                      <w:sz w:val="16"/>
                      <w:szCs w:val="16"/>
                      <w:lang w:eastAsia="ko-KR"/>
                    </w:rPr>
                    <w:t>+2,5</w:t>
                  </w:r>
                </w:p>
              </w:tc>
            </w:tr>
            <w:tr w:rsidR="006B1AFC" w:rsidRPr="00180CEB" w14:paraId="70018B7B" w14:textId="77777777" w:rsidTr="003C4A79">
              <w:trPr>
                <w:trHeight w:val="255"/>
              </w:trPr>
              <w:tc>
                <w:tcPr>
                  <w:tcW w:w="4126" w:type="dxa"/>
                  <w:tcBorders>
                    <w:top w:val="nil"/>
                    <w:left w:val="nil"/>
                    <w:bottom w:val="nil"/>
                    <w:right w:val="nil"/>
                  </w:tcBorders>
                  <w:noWrap/>
                  <w:vAlign w:val="bottom"/>
                  <w:hideMark/>
                </w:tcPr>
                <w:p w14:paraId="16714C33" w14:textId="77777777" w:rsidR="006B1AFC" w:rsidRPr="00180CEB" w:rsidRDefault="006B1AFC" w:rsidP="003C4A79">
                  <w:pPr>
                    <w:spacing w:after="0" w:line="240" w:lineRule="auto"/>
                    <w:jc w:val="left"/>
                    <w:rPr>
                      <w:rFonts w:cs="Arial"/>
                      <w:color w:val="000000"/>
                      <w:sz w:val="16"/>
                      <w:szCs w:val="16"/>
                      <w:lang w:eastAsia="ko-KR"/>
                    </w:rPr>
                  </w:pPr>
                  <w:r w:rsidRPr="00180CEB">
                    <w:rPr>
                      <w:rFonts w:cs="Arial"/>
                      <w:color w:val="000000"/>
                      <w:sz w:val="16"/>
                      <w:szCs w:val="16"/>
                      <w:lang w:eastAsia="ko-KR"/>
                    </w:rPr>
                    <w:t>Potravinářské výrobky</w:t>
                  </w:r>
                </w:p>
              </w:tc>
              <w:tc>
                <w:tcPr>
                  <w:tcW w:w="700" w:type="dxa"/>
                  <w:tcBorders>
                    <w:top w:val="nil"/>
                    <w:left w:val="nil"/>
                    <w:bottom w:val="nil"/>
                    <w:right w:val="nil"/>
                  </w:tcBorders>
                  <w:noWrap/>
                  <w:vAlign w:val="bottom"/>
                  <w:hideMark/>
                </w:tcPr>
                <w:p w14:paraId="1384FD99" w14:textId="77777777" w:rsidR="006B1AFC" w:rsidRPr="00180CEB" w:rsidRDefault="006B1AFC" w:rsidP="003C4A79">
                  <w:pPr>
                    <w:spacing w:after="0" w:line="240" w:lineRule="auto"/>
                    <w:jc w:val="right"/>
                    <w:rPr>
                      <w:rFonts w:cs="Arial"/>
                      <w:color w:val="000000"/>
                      <w:sz w:val="16"/>
                      <w:szCs w:val="16"/>
                      <w:lang w:eastAsia="ko-KR"/>
                    </w:rPr>
                  </w:pPr>
                  <w:r w:rsidRPr="00180CEB">
                    <w:rPr>
                      <w:rFonts w:cs="Arial"/>
                      <w:color w:val="000000"/>
                      <w:sz w:val="16"/>
                      <w:szCs w:val="16"/>
                      <w:lang w:eastAsia="ko-KR"/>
                    </w:rPr>
                    <w:t>+1,7</w:t>
                  </w:r>
                </w:p>
              </w:tc>
            </w:tr>
            <w:tr w:rsidR="006B1AFC" w:rsidRPr="00180CEB" w14:paraId="771A799D" w14:textId="77777777" w:rsidTr="003C4A79">
              <w:trPr>
                <w:trHeight w:val="255"/>
              </w:trPr>
              <w:tc>
                <w:tcPr>
                  <w:tcW w:w="4126" w:type="dxa"/>
                  <w:tcBorders>
                    <w:top w:val="nil"/>
                    <w:left w:val="nil"/>
                    <w:bottom w:val="nil"/>
                    <w:right w:val="nil"/>
                  </w:tcBorders>
                  <w:noWrap/>
                  <w:vAlign w:val="bottom"/>
                  <w:hideMark/>
                </w:tcPr>
                <w:p w14:paraId="0650D0AB" w14:textId="77777777" w:rsidR="006B1AFC" w:rsidRPr="00180CEB" w:rsidRDefault="006B1AFC" w:rsidP="003C4A79">
                  <w:pPr>
                    <w:spacing w:after="0" w:line="240" w:lineRule="auto"/>
                    <w:jc w:val="left"/>
                    <w:rPr>
                      <w:rFonts w:cs="Arial"/>
                      <w:color w:val="000000"/>
                      <w:sz w:val="16"/>
                      <w:szCs w:val="16"/>
                      <w:lang w:eastAsia="ko-KR"/>
                    </w:rPr>
                  </w:pPr>
                  <w:r w:rsidRPr="00180CEB">
                    <w:rPr>
                      <w:rFonts w:cs="Arial"/>
                      <w:color w:val="000000"/>
                      <w:sz w:val="16"/>
                      <w:szCs w:val="16"/>
                      <w:lang w:eastAsia="ko-KR"/>
                    </w:rPr>
                    <w:t>Ostatní nekovové minerální výrobky</w:t>
                  </w:r>
                </w:p>
              </w:tc>
              <w:tc>
                <w:tcPr>
                  <w:tcW w:w="700" w:type="dxa"/>
                  <w:tcBorders>
                    <w:top w:val="nil"/>
                    <w:left w:val="nil"/>
                    <w:bottom w:val="nil"/>
                    <w:right w:val="nil"/>
                  </w:tcBorders>
                  <w:noWrap/>
                  <w:vAlign w:val="bottom"/>
                  <w:hideMark/>
                </w:tcPr>
                <w:p w14:paraId="6561E1A6" w14:textId="77777777" w:rsidR="006B1AFC" w:rsidRPr="00180CEB"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180CEB">
                    <w:rPr>
                      <w:rFonts w:cs="Arial"/>
                      <w:color w:val="000000"/>
                      <w:sz w:val="16"/>
                      <w:szCs w:val="16"/>
                      <w:lang w:eastAsia="ko-KR"/>
                    </w:rPr>
                    <w:t>1,1</w:t>
                  </w:r>
                </w:p>
              </w:tc>
            </w:tr>
            <w:tr w:rsidR="006B1AFC" w:rsidRPr="00180CEB" w14:paraId="331EADE3" w14:textId="77777777" w:rsidTr="003C4A79">
              <w:trPr>
                <w:trHeight w:val="255"/>
              </w:trPr>
              <w:tc>
                <w:tcPr>
                  <w:tcW w:w="4126" w:type="dxa"/>
                  <w:tcBorders>
                    <w:top w:val="nil"/>
                    <w:left w:val="nil"/>
                    <w:bottom w:val="nil"/>
                    <w:right w:val="nil"/>
                  </w:tcBorders>
                  <w:noWrap/>
                  <w:vAlign w:val="bottom"/>
                  <w:hideMark/>
                </w:tcPr>
                <w:p w14:paraId="4DB873D8" w14:textId="77777777" w:rsidR="006B1AFC" w:rsidRPr="00180CEB" w:rsidRDefault="006B1AFC" w:rsidP="003C4A79">
                  <w:pPr>
                    <w:spacing w:after="0" w:line="240" w:lineRule="auto"/>
                    <w:jc w:val="left"/>
                    <w:rPr>
                      <w:rFonts w:cs="Arial"/>
                      <w:color w:val="000000"/>
                      <w:sz w:val="16"/>
                      <w:szCs w:val="16"/>
                      <w:lang w:eastAsia="ko-KR"/>
                    </w:rPr>
                  </w:pPr>
                  <w:r w:rsidRPr="00180CEB">
                    <w:rPr>
                      <w:rFonts w:cs="Arial"/>
                      <w:color w:val="000000"/>
                      <w:sz w:val="16"/>
                      <w:szCs w:val="16"/>
                      <w:lang w:eastAsia="ko-KR"/>
                    </w:rPr>
                    <w:t>Papír a výrobky z papíru</w:t>
                  </w:r>
                </w:p>
              </w:tc>
              <w:tc>
                <w:tcPr>
                  <w:tcW w:w="700" w:type="dxa"/>
                  <w:tcBorders>
                    <w:top w:val="nil"/>
                    <w:left w:val="nil"/>
                    <w:bottom w:val="nil"/>
                    <w:right w:val="nil"/>
                  </w:tcBorders>
                  <w:noWrap/>
                  <w:vAlign w:val="bottom"/>
                  <w:hideMark/>
                </w:tcPr>
                <w:p w14:paraId="38411064" w14:textId="77777777" w:rsidR="006B1AFC" w:rsidRPr="00180CEB"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180CEB">
                    <w:rPr>
                      <w:rFonts w:cs="Arial"/>
                      <w:color w:val="000000"/>
                      <w:sz w:val="16"/>
                      <w:szCs w:val="16"/>
                      <w:lang w:eastAsia="ko-KR"/>
                    </w:rPr>
                    <w:t>1,4</w:t>
                  </w:r>
                </w:p>
              </w:tc>
            </w:tr>
            <w:tr w:rsidR="006B1AFC" w:rsidRPr="00180CEB" w14:paraId="14BD5754" w14:textId="77777777" w:rsidTr="003C4A79">
              <w:trPr>
                <w:trHeight w:val="255"/>
              </w:trPr>
              <w:tc>
                <w:tcPr>
                  <w:tcW w:w="4126" w:type="dxa"/>
                  <w:tcBorders>
                    <w:top w:val="nil"/>
                    <w:left w:val="nil"/>
                    <w:bottom w:val="nil"/>
                    <w:right w:val="nil"/>
                  </w:tcBorders>
                  <w:noWrap/>
                  <w:vAlign w:val="bottom"/>
                  <w:hideMark/>
                </w:tcPr>
                <w:p w14:paraId="3B01A3F9" w14:textId="77777777" w:rsidR="006B1AFC" w:rsidRPr="00180CEB" w:rsidRDefault="006B1AFC" w:rsidP="003C4A79">
                  <w:pPr>
                    <w:spacing w:after="0" w:line="240" w:lineRule="auto"/>
                    <w:jc w:val="left"/>
                    <w:rPr>
                      <w:rFonts w:cs="Arial"/>
                      <w:color w:val="000000"/>
                      <w:sz w:val="16"/>
                      <w:szCs w:val="16"/>
                      <w:lang w:eastAsia="ko-KR"/>
                    </w:rPr>
                  </w:pPr>
                  <w:r w:rsidRPr="00180CEB">
                    <w:rPr>
                      <w:rFonts w:cs="Arial"/>
                      <w:color w:val="000000"/>
                      <w:sz w:val="16"/>
                      <w:szCs w:val="16"/>
                      <w:lang w:eastAsia="ko-KR"/>
                    </w:rPr>
                    <w:t>Základní farmaceutické výrobky a přípravky</w:t>
                  </w:r>
                </w:p>
              </w:tc>
              <w:tc>
                <w:tcPr>
                  <w:tcW w:w="700" w:type="dxa"/>
                  <w:tcBorders>
                    <w:top w:val="nil"/>
                    <w:left w:val="nil"/>
                    <w:bottom w:val="nil"/>
                    <w:right w:val="nil"/>
                  </w:tcBorders>
                  <w:noWrap/>
                  <w:vAlign w:val="bottom"/>
                  <w:hideMark/>
                </w:tcPr>
                <w:p w14:paraId="48FC5E60" w14:textId="77777777" w:rsidR="006B1AFC" w:rsidRPr="00180CEB"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180CEB">
                    <w:rPr>
                      <w:rFonts w:cs="Arial"/>
                      <w:color w:val="000000"/>
                      <w:sz w:val="16"/>
                      <w:szCs w:val="16"/>
                      <w:lang w:eastAsia="ko-KR"/>
                    </w:rPr>
                    <w:t>2,6</w:t>
                  </w:r>
                </w:p>
              </w:tc>
            </w:tr>
            <w:tr w:rsidR="006B1AFC" w:rsidRPr="00180CEB" w14:paraId="2E84825B" w14:textId="77777777" w:rsidTr="003C4A79">
              <w:trPr>
                <w:trHeight w:val="255"/>
              </w:trPr>
              <w:tc>
                <w:tcPr>
                  <w:tcW w:w="4126" w:type="dxa"/>
                  <w:tcBorders>
                    <w:top w:val="nil"/>
                    <w:left w:val="nil"/>
                    <w:bottom w:val="nil"/>
                    <w:right w:val="nil"/>
                  </w:tcBorders>
                  <w:noWrap/>
                  <w:vAlign w:val="bottom"/>
                  <w:hideMark/>
                </w:tcPr>
                <w:p w14:paraId="3ECBEBCF" w14:textId="77777777" w:rsidR="006B1AFC" w:rsidRPr="00180CEB" w:rsidRDefault="006B1AFC" w:rsidP="003C4A79">
                  <w:pPr>
                    <w:spacing w:after="0" w:line="240" w:lineRule="auto"/>
                    <w:jc w:val="left"/>
                    <w:rPr>
                      <w:rFonts w:cs="Arial"/>
                      <w:color w:val="000000"/>
                      <w:sz w:val="16"/>
                      <w:szCs w:val="16"/>
                      <w:lang w:eastAsia="ko-KR"/>
                    </w:rPr>
                  </w:pPr>
                  <w:r w:rsidRPr="00180CEB">
                    <w:rPr>
                      <w:rFonts w:cs="Arial"/>
                      <w:color w:val="000000"/>
                      <w:sz w:val="16"/>
                      <w:szCs w:val="16"/>
                      <w:lang w:eastAsia="ko-KR"/>
                    </w:rPr>
                    <w:t>Ostatní dopravní prostředky a zařízení</w:t>
                  </w:r>
                </w:p>
              </w:tc>
              <w:tc>
                <w:tcPr>
                  <w:tcW w:w="700" w:type="dxa"/>
                  <w:tcBorders>
                    <w:top w:val="nil"/>
                    <w:left w:val="nil"/>
                    <w:bottom w:val="nil"/>
                    <w:right w:val="nil"/>
                  </w:tcBorders>
                  <w:noWrap/>
                  <w:vAlign w:val="bottom"/>
                  <w:hideMark/>
                </w:tcPr>
                <w:p w14:paraId="30224A2E" w14:textId="77777777" w:rsidR="006B1AFC" w:rsidRPr="00180CEB"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180CEB">
                    <w:rPr>
                      <w:rFonts w:cs="Arial"/>
                      <w:color w:val="000000"/>
                      <w:sz w:val="16"/>
                      <w:szCs w:val="16"/>
                      <w:lang w:eastAsia="ko-KR"/>
                    </w:rPr>
                    <w:t>2,6</w:t>
                  </w:r>
                </w:p>
              </w:tc>
            </w:tr>
            <w:tr w:rsidR="006B1AFC" w:rsidRPr="00180CEB" w14:paraId="1B4744A4" w14:textId="77777777" w:rsidTr="003C4A79">
              <w:trPr>
                <w:trHeight w:val="255"/>
              </w:trPr>
              <w:tc>
                <w:tcPr>
                  <w:tcW w:w="4126" w:type="dxa"/>
                  <w:tcBorders>
                    <w:top w:val="nil"/>
                    <w:left w:val="nil"/>
                    <w:bottom w:val="nil"/>
                    <w:right w:val="nil"/>
                  </w:tcBorders>
                  <w:noWrap/>
                  <w:vAlign w:val="bottom"/>
                  <w:hideMark/>
                </w:tcPr>
                <w:p w14:paraId="2C89A704" w14:textId="77777777" w:rsidR="006B1AFC" w:rsidRPr="00180CEB" w:rsidRDefault="006B1AFC" w:rsidP="003C4A79">
                  <w:pPr>
                    <w:spacing w:after="0" w:line="240" w:lineRule="auto"/>
                    <w:jc w:val="left"/>
                    <w:rPr>
                      <w:rFonts w:cs="Arial"/>
                      <w:color w:val="000000"/>
                      <w:sz w:val="16"/>
                      <w:szCs w:val="16"/>
                      <w:lang w:eastAsia="ko-KR"/>
                    </w:rPr>
                  </w:pPr>
                  <w:r w:rsidRPr="00180CEB">
                    <w:rPr>
                      <w:rFonts w:cs="Arial"/>
                      <w:color w:val="000000"/>
                      <w:sz w:val="16"/>
                      <w:szCs w:val="16"/>
                      <w:lang w:eastAsia="ko-KR"/>
                    </w:rPr>
                    <w:t>Základní kovy</w:t>
                  </w:r>
                </w:p>
              </w:tc>
              <w:tc>
                <w:tcPr>
                  <w:tcW w:w="700" w:type="dxa"/>
                  <w:tcBorders>
                    <w:top w:val="nil"/>
                    <w:left w:val="nil"/>
                    <w:bottom w:val="nil"/>
                    <w:right w:val="nil"/>
                  </w:tcBorders>
                  <w:noWrap/>
                  <w:vAlign w:val="bottom"/>
                  <w:hideMark/>
                </w:tcPr>
                <w:p w14:paraId="37D902A5" w14:textId="77777777" w:rsidR="006B1AFC" w:rsidRPr="00180CEB"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180CEB">
                    <w:rPr>
                      <w:rFonts w:cs="Arial"/>
                      <w:color w:val="000000"/>
                      <w:sz w:val="16"/>
                      <w:szCs w:val="16"/>
                      <w:lang w:eastAsia="ko-KR"/>
                    </w:rPr>
                    <w:t>3,0</w:t>
                  </w:r>
                </w:p>
              </w:tc>
            </w:tr>
            <w:tr w:rsidR="006B1AFC" w:rsidRPr="00180CEB" w14:paraId="7CCFC7C4" w14:textId="77777777" w:rsidTr="003C4A79">
              <w:trPr>
                <w:trHeight w:val="255"/>
              </w:trPr>
              <w:tc>
                <w:tcPr>
                  <w:tcW w:w="4126" w:type="dxa"/>
                  <w:tcBorders>
                    <w:top w:val="nil"/>
                    <w:left w:val="nil"/>
                    <w:bottom w:val="nil"/>
                    <w:right w:val="nil"/>
                  </w:tcBorders>
                  <w:noWrap/>
                  <w:vAlign w:val="bottom"/>
                  <w:hideMark/>
                </w:tcPr>
                <w:p w14:paraId="1821131C" w14:textId="77777777" w:rsidR="006B1AFC" w:rsidRPr="00180CEB" w:rsidRDefault="006B1AFC" w:rsidP="003C4A79">
                  <w:pPr>
                    <w:spacing w:after="0" w:line="240" w:lineRule="auto"/>
                    <w:jc w:val="left"/>
                    <w:rPr>
                      <w:rFonts w:cs="Arial"/>
                      <w:color w:val="000000"/>
                      <w:sz w:val="16"/>
                      <w:szCs w:val="16"/>
                      <w:lang w:eastAsia="ko-KR"/>
                    </w:rPr>
                  </w:pPr>
                  <w:r w:rsidRPr="00180CEB">
                    <w:rPr>
                      <w:rFonts w:cs="Arial"/>
                      <w:color w:val="000000"/>
                      <w:sz w:val="16"/>
                      <w:szCs w:val="16"/>
                      <w:lang w:eastAsia="ko-KR"/>
                    </w:rPr>
                    <w:t>Ropa a zemní plyn</w:t>
                  </w:r>
                </w:p>
              </w:tc>
              <w:tc>
                <w:tcPr>
                  <w:tcW w:w="700" w:type="dxa"/>
                  <w:tcBorders>
                    <w:top w:val="nil"/>
                    <w:left w:val="nil"/>
                    <w:bottom w:val="nil"/>
                    <w:right w:val="nil"/>
                  </w:tcBorders>
                  <w:noWrap/>
                  <w:vAlign w:val="bottom"/>
                  <w:hideMark/>
                </w:tcPr>
                <w:p w14:paraId="47E6D03E" w14:textId="77777777" w:rsidR="006B1AFC" w:rsidRPr="00180CEB"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180CEB">
                    <w:rPr>
                      <w:rFonts w:cs="Arial"/>
                      <w:color w:val="000000"/>
                      <w:sz w:val="16"/>
                      <w:szCs w:val="16"/>
                      <w:lang w:eastAsia="ko-KR"/>
                    </w:rPr>
                    <w:t>6,5</w:t>
                  </w:r>
                </w:p>
              </w:tc>
            </w:tr>
            <w:tr w:rsidR="006B1AFC" w:rsidRPr="00180CEB" w14:paraId="66036DCD" w14:textId="77777777" w:rsidTr="003C4A79">
              <w:trPr>
                <w:trHeight w:val="255"/>
              </w:trPr>
              <w:tc>
                <w:tcPr>
                  <w:tcW w:w="4126" w:type="dxa"/>
                  <w:tcBorders>
                    <w:top w:val="nil"/>
                    <w:left w:val="nil"/>
                    <w:bottom w:val="nil"/>
                    <w:right w:val="nil"/>
                  </w:tcBorders>
                  <w:noWrap/>
                  <w:vAlign w:val="bottom"/>
                  <w:hideMark/>
                </w:tcPr>
                <w:p w14:paraId="4A2FA3F6" w14:textId="77777777" w:rsidR="006B1AFC" w:rsidRPr="00180CEB" w:rsidRDefault="006B1AFC" w:rsidP="003C4A79">
                  <w:pPr>
                    <w:spacing w:after="0" w:line="240" w:lineRule="auto"/>
                    <w:jc w:val="left"/>
                    <w:rPr>
                      <w:rFonts w:cs="Arial"/>
                      <w:color w:val="000000"/>
                      <w:sz w:val="16"/>
                      <w:szCs w:val="16"/>
                      <w:lang w:eastAsia="ko-KR"/>
                    </w:rPr>
                  </w:pPr>
                  <w:r w:rsidRPr="00180CEB">
                    <w:rPr>
                      <w:rFonts w:cs="Arial"/>
                      <w:color w:val="000000"/>
                      <w:sz w:val="16"/>
                      <w:szCs w:val="16"/>
                      <w:lang w:eastAsia="ko-KR"/>
                    </w:rPr>
                    <w:t>Kovodělné výrobky kromě strojů a zařízení</w:t>
                  </w:r>
                </w:p>
              </w:tc>
              <w:tc>
                <w:tcPr>
                  <w:tcW w:w="700" w:type="dxa"/>
                  <w:tcBorders>
                    <w:top w:val="nil"/>
                    <w:left w:val="nil"/>
                    <w:bottom w:val="nil"/>
                    <w:right w:val="nil"/>
                  </w:tcBorders>
                  <w:noWrap/>
                  <w:vAlign w:val="bottom"/>
                  <w:hideMark/>
                </w:tcPr>
                <w:p w14:paraId="20B1F4A7" w14:textId="77777777" w:rsidR="006B1AFC" w:rsidRPr="00180CEB"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180CEB">
                    <w:rPr>
                      <w:rFonts w:cs="Arial"/>
                      <w:color w:val="000000"/>
                      <w:sz w:val="16"/>
                      <w:szCs w:val="16"/>
                      <w:lang w:eastAsia="ko-KR"/>
                    </w:rPr>
                    <w:t>6,6</w:t>
                  </w:r>
                </w:p>
              </w:tc>
            </w:tr>
            <w:tr w:rsidR="006B1AFC" w:rsidRPr="00180CEB" w14:paraId="7B9774B3" w14:textId="77777777" w:rsidTr="003C4A79">
              <w:trPr>
                <w:trHeight w:val="255"/>
              </w:trPr>
              <w:tc>
                <w:tcPr>
                  <w:tcW w:w="4126" w:type="dxa"/>
                  <w:tcBorders>
                    <w:top w:val="nil"/>
                    <w:left w:val="nil"/>
                    <w:bottom w:val="nil"/>
                    <w:right w:val="nil"/>
                  </w:tcBorders>
                  <w:noWrap/>
                  <w:vAlign w:val="bottom"/>
                  <w:hideMark/>
                </w:tcPr>
                <w:p w14:paraId="2C984816" w14:textId="77777777" w:rsidR="006B1AFC" w:rsidRPr="00180CEB" w:rsidRDefault="006B1AFC" w:rsidP="003C4A79">
                  <w:pPr>
                    <w:spacing w:after="0" w:line="240" w:lineRule="auto"/>
                    <w:jc w:val="left"/>
                    <w:rPr>
                      <w:rFonts w:cs="Arial"/>
                      <w:color w:val="000000"/>
                      <w:sz w:val="16"/>
                      <w:szCs w:val="16"/>
                      <w:lang w:eastAsia="ko-KR"/>
                    </w:rPr>
                  </w:pPr>
                  <w:r w:rsidRPr="00180CEB">
                    <w:rPr>
                      <w:rFonts w:cs="Arial"/>
                      <w:color w:val="000000"/>
                      <w:sz w:val="16"/>
                      <w:szCs w:val="16"/>
                      <w:lang w:eastAsia="ko-KR"/>
                    </w:rPr>
                    <w:t>Elektrická zařízení</w:t>
                  </w:r>
                </w:p>
              </w:tc>
              <w:tc>
                <w:tcPr>
                  <w:tcW w:w="700" w:type="dxa"/>
                  <w:tcBorders>
                    <w:top w:val="nil"/>
                    <w:left w:val="nil"/>
                    <w:bottom w:val="nil"/>
                    <w:right w:val="nil"/>
                  </w:tcBorders>
                  <w:noWrap/>
                  <w:vAlign w:val="bottom"/>
                  <w:hideMark/>
                </w:tcPr>
                <w:p w14:paraId="69123C12" w14:textId="77777777" w:rsidR="006B1AFC" w:rsidRPr="00180CEB"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180CEB">
                    <w:rPr>
                      <w:rFonts w:cs="Arial"/>
                      <w:color w:val="000000"/>
                      <w:sz w:val="16"/>
                      <w:szCs w:val="16"/>
                      <w:lang w:eastAsia="ko-KR"/>
                    </w:rPr>
                    <w:t>9,0</w:t>
                  </w:r>
                </w:p>
              </w:tc>
            </w:tr>
            <w:tr w:rsidR="006B1AFC" w:rsidRPr="00180CEB" w14:paraId="3FCF2A37" w14:textId="77777777" w:rsidTr="003C4A79">
              <w:trPr>
                <w:trHeight w:val="255"/>
              </w:trPr>
              <w:tc>
                <w:tcPr>
                  <w:tcW w:w="4126" w:type="dxa"/>
                  <w:tcBorders>
                    <w:top w:val="nil"/>
                    <w:left w:val="nil"/>
                    <w:bottom w:val="nil"/>
                    <w:right w:val="nil"/>
                  </w:tcBorders>
                  <w:noWrap/>
                  <w:vAlign w:val="bottom"/>
                  <w:hideMark/>
                </w:tcPr>
                <w:p w14:paraId="7C64E206" w14:textId="77777777" w:rsidR="006B1AFC" w:rsidRPr="00180CEB" w:rsidRDefault="006B1AFC" w:rsidP="003C4A79">
                  <w:pPr>
                    <w:spacing w:after="0" w:line="240" w:lineRule="auto"/>
                    <w:jc w:val="left"/>
                    <w:rPr>
                      <w:rFonts w:cs="Arial"/>
                      <w:color w:val="000000"/>
                      <w:sz w:val="16"/>
                      <w:szCs w:val="16"/>
                      <w:lang w:eastAsia="ko-KR"/>
                    </w:rPr>
                  </w:pPr>
                  <w:r w:rsidRPr="00180CEB">
                    <w:rPr>
                      <w:rFonts w:cs="Arial"/>
                      <w:color w:val="000000"/>
                      <w:sz w:val="16"/>
                      <w:szCs w:val="16"/>
                      <w:lang w:eastAsia="ko-KR"/>
                    </w:rPr>
                    <w:t>Koks a rafinované ropné produkty</w:t>
                  </w:r>
                </w:p>
              </w:tc>
              <w:tc>
                <w:tcPr>
                  <w:tcW w:w="700" w:type="dxa"/>
                  <w:tcBorders>
                    <w:top w:val="nil"/>
                    <w:left w:val="nil"/>
                    <w:bottom w:val="nil"/>
                    <w:right w:val="nil"/>
                  </w:tcBorders>
                  <w:noWrap/>
                  <w:vAlign w:val="bottom"/>
                  <w:hideMark/>
                </w:tcPr>
                <w:p w14:paraId="453FE8B4" w14:textId="77777777" w:rsidR="006B1AFC" w:rsidRPr="00180CEB"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180CEB">
                    <w:rPr>
                      <w:rFonts w:cs="Arial"/>
                      <w:color w:val="000000"/>
                      <w:sz w:val="16"/>
                      <w:szCs w:val="16"/>
                      <w:lang w:eastAsia="ko-KR"/>
                    </w:rPr>
                    <w:t>12,9</w:t>
                  </w:r>
                </w:p>
              </w:tc>
            </w:tr>
          </w:tbl>
          <w:p w14:paraId="09935E3E" w14:textId="77777777" w:rsidR="006B1AFC" w:rsidRPr="0010385A" w:rsidRDefault="006B1AFC" w:rsidP="003C4A79">
            <w:pPr>
              <w:spacing w:after="0"/>
              <w:rPr>
                <w:rFonts w:cs="Arial"/>
                <w:spacing w:val="-4"/>
                <w:sz w:val="16"/>
                <w:szCs w:val="16"/>
                <w:lang w:eastAsia="en-US"/>
              </w:rPr>
            </w:pPr>
          </w:p>
        </w:tc>
        <w:tc>
          <w:tcPr>
            <w:tcW w:w="57" w:type="dxa"/>
          </w:tcPr>
          <w:p w14:paraId="75933754" w14:textId="77777777" w:rsidR="006B1AFC" w:rsidRPr="0010385A" w:rsidRDefault="006B1AFC" w:rsidP="003C4A79">
            <w:pPr>
              <w:spacing w:after="0"/>
              <w:rPr>
                <w:rFonts w:cs="Arial"/>
                <w:spacing w:val="-4"/>
                <w:sz w:val="16"/>
                <w:szCs w:val="16"/>
                <w:lang w:eastAsia="en-US"/>
              </w:rPr>
            </w:pPr>
          </w:p>
        </w:tc>
        <w:tc>
          <w:tcPr>
            <w:tcW w:w="4809" w:type="dxa"/>
            <w:hideMark/>
          </w:tcPr>
          <w:tbl>
            <w:tblPr>
              <w:tblW w:w="4771" w:type="dxa"/>
              <w:tblLayout w:type="fixed"/>
              <w:tblCellMar>
                <w:left w:w="70" w:type="dxa"/>
                <w:right w:w="70" w:type="dxa"/>
              </w:tblCellMar>
              <w:tblLook w:val="04A0" w:firstRow="1" w:lastRow="0" w:firstColumn="1" w:lastColumn="0" w:noHBand="0" w:noVBand="1"/>
            </w:tblPr>
            <w:tblGrid>
              <w:gridCol w:w="4071"/>
              <w:gridCol w:w="700"/>
            </w:tblGrid>
            <w:tr w:rsidR="006B1AFC" w:rsidRPr="00180CEB" w14:paraId="1515C3EB" w14:textId="77777777" w:rsidTr="003C4A79">
              <w:trPr>
                <w:trHeight w:val="255"/>
              </w:trPr>
              <w:tc>
                <w:tcPr>
                  <w:tcW w:w="4071" w:type="dxa"/>
                  <w:tcBorders>
                    <w:top w:val="nil"/>
                    <w:left w:val="nil"/>
                    <w:bottom w:val="single" w:sz="4" w:space="0" w:color="auto"/>
                    <w:right w:val="nil"/>
                  </w:tcBorders>
                  <w:noWrap/>
                  <w:vAlign w:val="bottom"/>
                  <w:hideMark/>
                </w:tcPr>
                <w:p w14:paraId="2BBE844F" w14:textId="77777777" w:rsidR="006B1AFC" w:rsidRPr="00180CEB" w:rsidRDefault="006B1AFC" w:rsidP="003C4A79">
                  <w:pPr>
                    <w:spacing w:after="0" w:line="240" w:lineRule="auto"/>
                    <w:jc w:val="left"/>
                    <w:rPr>
                      <w:rFonts w:cs="Arial"/>
                      <w:color w:val="000000"/>
                      <w:sz w:val="22"/>
                      <w:szCs w:val="22"/>
                      <w:lang w:eastAsia="ko-KR"/>
                    </w:rPr>
                  </w:pPr>
                  <w:r w:rsidRPr="00180CEB">
                    <w:rPr>
                      <w:rFonts w:cs="Arial"/>
                      <w:color w:val="000000"/>
                      <w:sz w:val="22"/>
                      <w:szCs w:val="22"/>
                      <w:lang w:eastAsia="ko-KR"/>
                    </w:rPr>
                    <w:t> </w:t>
                  </w:r>
                </w:p>
              </w:tc>
              <w:tc>
                <w:tcPr>
                  <w:tcW w:w="700" w:type="dxa"/>
                  <w:tcBorders>
                    <w:top w:val="nil"/>
                    <w:left w:val="nil"/>
                    <w:bottom w:val="single" w:sz="4" w:space="0" w:color="auto"/>
                    <w:right w:val="nil"/>
                  </w:tcBorders>
                  <w:noWrap/>
                  <w:vAlign w:val="bottom"/>
                  <w:hideMark/>
                </w:tcPr>
                <w:p w14:paraId="46E688AA" w14:textId="77777777" w:rsidR="006B1AFC" w:rsidRPr="00180CEB" w:rsidRDefault="006B1AFC" w:rsidP="003C4A79">
                  <w:pPr>
                    <w:spacing w:after="0" w:line="240" w:lineRule="auto"/>
                    <w:jc w:val="right"/>
                    <w:rPr>
                      <w:rFonts w:cs="Arial"/>
                      <w:color w:val="000000"/>
                      <w:sz w:val="16"/>
                      <w:szCs w:val="16"/>
                      <w:lang w:eastAsia="ko-KR"/>
                    </w:rPr>
                  </w:pPr>
                  <w:r w:rsidRPr="00180CEB">
                    <w:rPr>
                      <w:rFonts w:cs="Arial"/>
                      <w:color w:val="000000"/>
                      <w:sz w:val="16"/>
                      <w:szCs w:val="16"/>
                      <w:lang w:eastAsia="ko-KR"/>
                    </w:rPr>
                    <w:t>mld. Kč</w:t>
                  </w:r>
                </w:p>
              </w:tc>
            </w:tr>
            <w:tr w:rsidR="006B1AFC" w:rsidRPr="00180CEB" w14:paraId="735B3418" w14:textId="77777777" w:rsidTr="003C4A79">
              <w:trPr>
                <w:trHeight w:val="255"/>
              </w:trPr>
              <w:tc>
                <w:tcPr>
                  <w:tcW w:w="4071" w:type="dxa"/>
                  <w:tcBorders>
                    <w:top w:val="nil"/>
                    <w:left w:val="nil"/>
                    <w:bottom w:val="nil"/>
                    <w:right w:val="nil"/>
                  </w:tcBorders>
                  <w:noWrap/>
                  <w:vAlign w:val="bottom"/>
                  <w:hideMark/>
                </w:tcPr>
                <w:p w14:paraId="7F09BFE5" w14:textId="77777777" w:rsidR="006B1AFC" w:rsidRPr="00180CEB" w:rsidRDefault="006B1AFC" w:rsidP="003C4A79">
                  <w:pPr>
                    <w:spacing w:after="0" w:line="240" w:lineRule="auto"/>
                    <w:jc w:val="left"/>
                    <w:rPr>
                      <w:rFonts w:cs="Arial"/>
                      <w:color w:val="000000"/>
                      <w:sz w:val="16"/>
                      <w:szCs w:val="16"/>
                      <w:lang w:eastAsia="ko-KR"/>
                    </w:rPr>
                  </w:pPr>
                  <w:r w:rsidRPr="00180CEB">
                    <w:rPr>
                      <w:rFonts w:cs="Arial"/>
                      <w:color w:val="000000"/>
                      <w:sz w:val="16"/>
                      <w:szCs w:val="16"/>
                      <w:lang w:eastAsia="ko-KR"/>
                    </w:rPr>
                    <w:t>Francie</w:t>
                  </w:r>
                </w:p>
              </w:tc>
              <w:tc>
                <w:tcPr>
                  <w:tcW w:w="700" w:type="dxa"/>
                  <w:tcBorders>
                    <w:top w:val="nil"/>
                    <w:left w:val="nil"/>
                    <w:bottom w:val="nil"/>
                    <w:right w:val="nil"/>
                  </w:tcBorders>
                  <w:noWrap/>
                  <w:vAlign w:val="bottom"/>
                  <w:hideMark/>
                </w:tcPr>
                <w:p w14:paraId="3413B6DE" w14:textId="77777777" w:rsidR="006B1AFC" w:rsidRPr="00180CEB" w:rsidRDefault="006B1AFC" w:rsidP="003C4A79">
                  <w:pPr>
                    <w:spacing w:after="0" w:line="240" w:lineRule="auto"/>
                    <w:jc w:val="right"/>
                    <w:rPr>
                      <w:rFonts w:cs="Arial"/>
                      <w:color w:val="000000"/>
                      <w:sz w:val="16"/>
                      <w:szCs w:val="16"/>
                      <w:lang w:eastAsia="ko-KR"/>
                    </w:rPr>
                  </w:pPr>
                  <w:r w:rsidRPr="00180CEB">
                    <w:rPr>
                      <w:rFonts w:cs="Arial"/>
                      <w:color w:val="000000"/>
                      <w:sz w:val="16"/>
                      <w:szCs w:val="16"/>
                      <w:lang w:eastAsia="ko-KR"/>
                    </w:rPr>
                    <w:t>+9,6</w:t>
                  </w:r>
                </w:p>
              </w:tc>
            </w:tr>
            <w:tr w:rsidR="006B1AFC" w:rsidRPr="00180CEB" w14:paraId="23E0BB13" w14:textId="77777777" w:rsidTr="003C4A79">
              <w:trPr>
                <w:trHeight w:val="255"/>
              </w:trPr>
              <w:tc>
                <w:tcPr>
                  <w:tcW w:w="4071" w:type="dxa"/>
                  <w:tcBorders>
                    <w:top w:val="nil"/>
                    <w:left w:val="nil"/>
                    <w:bottom w:val="nil"/>
                    <w:right w:val="nil"/>
                  </w:tcBorders>
                  <w:noWrap/>
                  <w:vAlign w:val="bottom"/>
                  <w:hideMark/>
                </w:tcPr>
                <w:p w14:paraId="0CEA6792" w14:textId="77777777" w:rsidR="006B1AFC" w:rsidRPr="00180CEB" w:rsidRDefault="006B1AFC" w:rsidP="003C4A79">
                  <w:pPr>
                    <w:spacing w:after="0" w:line="240" w:lineRule="auto"/>
                    <w:jc w:val="left"/>
                    <w:rPr>
                      <w:rFonts w:cs="Arial"/>
                      <w:color w:val="000000"/>
                      <w:sz w:val="16"/>
                      <w:szCs w:val="16"/>
                      <w:lang w:eastAsia="ko-KR"/>
                    </w:rPr>
                  </w:pPr>
                  <w:r w:rsidRPr="00180CEB">
                    <w:rPr>
                      <w:rFonts w:cs="Arial"/>
                      <w:color w:val="000000"/>
                      <w:sz w:val="16"/>
                      <w:szCs w:val="16"/>
                      <w:lang w:eastAsia="ko-KR"/>
                    </w:rPr>
                    <w:t>Rakousko</w:t>
                  </w:r>
                </w:p>
              </w:tc>
              <w:tc>
                <w:tcPr>
                  <w:tcW w:w="700" w:type="dxa"/>
                  <w:tcBorders>
                    <w:top w:val="nil"/>
                    <w:left w:val="nil"/>
                    <w:bottom w:val="nil"/>
                    <w:right w:val="nil"/>
                  </w:tcBorders>
                  <w:noWrap/>
                  <w:vAlign w:val="bottom"/>
                  <w:hideMark/>
                </w:tcPr>
                <w:p w14:paraId="1794006B" w14:textId="77777777" w:rsidR="006B1AFC" w:rsidRPr="00180CEB" w:rsidRDefault="006B1AFC" w:rsidP="003C4A79">
                  <w:pPr>
                    <w:spacing w:after="0" w:line="240" w:lineRule="auto"/>
                    <w:jc w:val="right"/>
                    <w:rPr>
                      <w:rFonts w:cs="Arial"/>
                      <w:color w:val="000000"/>
                      <w:sz w:val="16"/>
                      <w:szCs w:val="16"/>
                      <w:lang w:eastAsia="ko-KR"/>
                    </w:rPr>
                  </w:pPr>
                  <w:r w:rsidRPr="00180CEB">
                    <w:rPr>
                      <w:rFonts w:cs="Arial"/>
                      <w:color w:val="000000"/>
                      <w:sz w:val="16"/>
                      <w:szCs w:val="16"/>
                      <w:lang w:eastAsia="ko-KR"/>
                    </w:rPr>
                    <w:t>+6,0</w:t>
                  </w:r>
                </w:p>
              </w:tc>
            </w:tr>
            <w:tr w:rsidR="006B1AFC" w:rsidRPr="00180CEB" w14:paraId="4E001DE4" w14:textId="77777777" w:rsidTr="003C4A79">
              <w:trPr>
                <w:trHeight w:val="255"/>
              </w:trPr>
              <w:tc>
                <w:tcPr>
                  <w:tcW w:w="4071" w:type="dxa"/>
                  <w:tcBorders>
                    <w:top w:val="nil"/>
                    <w:left w:val="nil"/>
                    <w:bottom w:val="nil"/>
                    <w:right w:val="nil"/>
                  </w:tcBorders>
                  <w:noWrap/>
                  <w:vAlign w:val="bottom"/>
                  <w:hideMark/>
                </w:tcPr>
                <w:p w14:paraId="7F759633" w14:textId="77777777" w:rsidR="006B1AFC" w:rsidRPr="00180CEB" w:rsidRDefault="006B1AFC" w:rsidP="003C4A79">
                  <w:pPr>
                    <w:spacing w:after="0" w:line="240" w:lineRule="auto"/>
                    <w:jc w:val="left"/>
                    <w:rPr>
                      <w:rFonts w:cs="Arial"/>
                      <w:color w:val="000000"/>
                      <w:sz w:val="16"/>
                      <w:szCs w:val="16"/>
                      <w:lang w:eastAsia="ko-KR"/>
                    </w:rPr>
                  </w:pPr>
                  <w:r w:rsidRPr="00180CEB">
                    <w:rPr>
                      <w:rFonts w:cs="Arial"/>
                      <w:color w:val="000000"/>
                      <w:sz w:val="16"/>
                      <w:szCs w:val="16"/>
                      <w:lang w:eastAsia="ko-KR"/>
                    </w:rPr>
                    <w:t>Nizozemsko</w:t>
                  </w:r>
                </w:p>
              </w:tc>
              <w:tc>
                <w:tcPr>
                  <w:tcW w:w="700" w:type="dxa"/>
                  <w:tcBorders>
                    <w:top w:val="nil"/>
                    <w:left w:val="nil"/>
                    <w:bottom w:val="nil"/>
                    <w:right w:val="nil"/>
                  </w:tcBorders>
                  <w:noWrap/>
                  <w:vAlign w:val="bottom"/>
                  <w:hideMark/>
                </w:tcPr>
                <w:p w14:paraId="5D101B9C" w14:textId="77777777" w:rsidR="006B1AFC" w:rsidRPr="00180CEB" w:rsidRDefault="006B1AFC" w:rsidP="003C4A79">
                  <w:pPr>
                    <w:spacing w:after="0" w:line="240" w:lineRule="auto"/>
                    <w:jc w:val="right"/>
                    <w:rPr>
                      <w:rFonts w:cs="Arial"/>
                      <w:color w:val="000000"/>
                      <w:sz w:val="16"/>
                      <w:szCs w:val="16"/>
                      <w:lang w:eastAsia="ko-KR"/>
                    </w:rPr>
                  </w:pPr>
                  <w:r w:rsidRPr="00180CEB">
                    <w:rPr>
                      <w:rFonts w:cs="Arial"/>
                      <w:color w:val="000000"/>
                      <w:sz w:val="16"/>
                      <w:szCs w:val="16"/>
                      <w:lang w:eastAsia="ko-KR"/>
                    </w:rPr>
                    <w:t>+5,2</w:t>
                  </w:r>
                </w:p>
              </w:tc>
            </w:tr>
            <w:tr w:rsidR="006B1AFC" w:rsidRPr="00180CEB" w14:paraId="5FA9FA62" w14:textId="77777777" w:rsidTr="003C4A79">
              <w:trPr>
                <w:trHeight w:val="255"/>
              </w:trPr>
              <w:tc>
                <w:tcPr>
                  <w:tcW w:w="4071" w:type="dxa"/>
                  <w:tcBorders>
                    <w:top w:val="nil"/>
                    <w:left w:val="nil"/>
                    <w:bottom w:val="nil"/>
                    <w:right w:val="nil"/>
                  </w:tcBorders>
                  <w:noWrap/>
                  <w:vAlign w:val="bottom"/>
                  <w:hideMark/>
                </w:tcPr>
                <w:p w14:paraId="75879515" w14:textId="77777777" w:rsidR="006B1AFC" w:rsidRPr="00180CEB" w:rsidRDefault="006B1AFC" w:rsidP="003C4A79">
                  <w:pPr>
                    <w:spacing w:after="0" w:line="240" w:lineRule="auto"/>
                    <w:jc w:val="left"/>
                    <w:rPr>
                      <w:rFonts w:cs="Arial"/>
                      <w:color w:val="000000"/>
                      <w:sz w:val="16"/>
                      <w:szCs w:val="16"/>
                      <w:lang w:eastAsia="ko-KR"/>
                    </w:rPr>
                  </w:pPr>
                  <w:r w:rsidRPr="00180CEB">
                    <w:rPr>
                      <w:rFonts w:cs="Arial"/>
                      <w:color w:val="000000"/>
                      <w:sz w:val="16"/>
                      <w:szCs w:val="16"/>
                      <w:lang w:eastAsia="ko-KR"/>
                    </w:rPr>
                    <w:t>Norsko</w:t>
                  </w:r>
                </w:p>
              </w:tc>
              <w:tc>
                <w:tcPr>
                  <w:tcW w:w="700" w:type="dxa"/>
                  <w:tcBorders>
                    <w:top w:val="nil"/>
                    <w:left w:val="nil"/>
                    <w:bottom w:val="nil"/>
                    <w:right w:val="nil"/>
                  </w:tcBorders>
                  <w:noWrap/>
                  <w:vAlign w:val="bottom"/>
                  <w:hideMark/>
                </w:tcPr>
                <w:p w14:paraId="6D6F3DFD" w14:textId="77777777" w:rsidR="006B1AFC" w:rsidRPr="00180CEB" w:rsidRDefault="006B1AFC" w:rsidP="003C4A79">
                  <w:pPr>
                    <w:spacing w:after="0" w:line="240" w:lineRule="auto"/>
                    <w:jc w:val="right"/>
                    <w:rPr>
                      <w:rFonts w:cs="Arial"/>
                      <w:color w:val="000000"/>
                      <w:sz w:val="16"/>
                      <w:szCs w:val="16"/>
                      <w:lang w:eastAsia="ko-KR"/>
                    </w:rPr>
                  </w:pPr>
                  <w:r w:rsidRPr="00180CEB">
                    <w:rPr>
                      <w:rFonts w:cs="Arial"/>
                      <w:color w:val="000000"/>
                      <w:sz w:val="16"/>
                      <w:szCs w:val="16"/>
                      <w:lang w:eastAsia="ko-KR"/>
                    </w:rPr>
                    <w:t>+4,2</w:t>
                  </w:r>
                </w:p>
              </w:tc>
            </w:tr>
            <w:tr w:rsidR="006B1AFC" w:rsidRPr="00180CEB" w14:paraId="5E3C4A25" w14:textId="77777777" w:rsidTr="003C4A79">
              <w:trPr>
                <w:trHeight w:val="255"/>
              </w:trPr>
              <w:tc>
                <w:tcPr>
                  <w:tcW w:w="4071" w:type="dxa"/>
                  <w:tcBorders>
                    <w:top w:val="nil"/>
                    <w:left w:val="nil"/>
                    <w:bottom w:val="nil"/>
                    <w:right w:val="nil"/>
                  </w:tcBorders>
                  <w:noWrap/>
                  <w:vAlign w:val="bottom"/>
                  <w:hideMark/>
                </w:tcPr>
                <w:p w14:paraId="16F77BF6" w14:textId="77777777" w:rsidR="006B1AFC" w:rsidRPr="00180CEB" w:rsidRDefault="006B1AFC" w:rsidP="003C4A79">
                  <w:pPr>
                    <w:spacing w:after="0" w:line="240" w:lineRule="auto"/>
                    <w:jc w:val="left"/>
                    <w:rPr>
                      <w:rFonts w:cs="Arial"/>
                      <w:color w:val="000000"/>
                      <w:sz w:val="16"/>
                      <w:szCs w:val="16"/>
                      <w:lang w:eastAsia="ko-KR"/>
                    </w:rPr>
                  </w:pPr>
                  <w:r w:rsidRPr="00180CEB">
                    <w:rPr>
                      <w:rFonts w:cs="Arial"/>
                      <w:color w:val="000000"/>
                      <w:sz w:val="16"/>
                      <w:szCs w:val="16"/>
                      <w:lang w:eastAsia="ko-KR"/>
                    </w:rPr>
                    <w:t>Bulharsko</w:t>
                  </w:r>
                </w:p>
              </w:tc>
              <w:tc>
                <w:tcPr>
                  <w:tcW w:w="700" w:type="dxa"/>
                  <w:tcBorders>
                    <w:top w:val="nil"/>
                    <w:left w:val="nil"/>
                    <w:bottom w:val="nil"/>
                    <w:right w:val="nil"/>
                  </w:tcBorders>
                  <w:noWrap/>
                  <w:vAlign w:val="bottom"/>
                  <w:hideMark/>
                </w:tcPr>
                <w:p w14:paraId="2F5B5799" w14:textId="77777777" w:rsidR="006B1AFC" w:rsidRPr="00180CEB" w:rsidRDefault="006B1AFC" w:rsidP="003C4A79">
                  <w:pPr>
                    <w:spacing w:after="0" w:line="240" w:lineRule="auto"/>
                    <w:jc w:val="right"/>
                    <w:rPr>
                      <w:rFonts w:cs="Arial"/>
                      <w:color w:val="000000"/>
                      <w:sz w:val="16"/>
                      <w:szCs w:val="16"/>
                      <w:lang w:eastAsia="ko-KR"/>
                    </w:rPr>
                  </w:pPr>
                  <w:r w:rsidRPr="00180CEB">
                    <w:rPr>
                      <w:rFonts w:cs="Arial"/>
                      <w:color w:val="000000"/>
                      <w:sz w:val="16"/>
                      <w:szCs w:val="16"/>
                      <w:lang w:eastAsia="ko-KR"/>
                    </w:rPr>
                    <w:t>+3,4</w:t>
                  </w:r>
                </w:p>
              </w:tc>
            </w:tr>
            <w:tr w:rsidR="006B1AFC" w:rsidRPr="00180CEB" w14:paraId="5CAE0603" w14:textId="77777777" w:rsidTr="003C4A79">
              <w:trPr>
                <w:trHeight w:val="255"/>
              </w:trPr>
              <w:tc>
                <w:tcPr>
                  <w:tcW w:w="4071" w:type="dxa"/>
                  <w:tcBorders>
                    <w:top w:val="nil"/>
                    <w:left w:val="nil"/>
                    <w:bottom w:val="nil"/>
                    <w:right w:val="nil"/>
                  </w:tcBorders>
                  <w:noWrap/>
                  <w:vAlign w:val="bottom"/>
                  <w:hideMark/>
                </w:tcPr>
                <w:p w14:paraId="49F544CF" w14:textId="77777777" w:rsidR="006B1AFC" w:rsidRPr="00180CEB" w:rsidRDefault="006B1AFC" w:rsidP="003C4A79">
                  <w:pPr>
                    <w:spacing w:after="0" w:line="240" w:lineRule="auto"/>
                    <w:jc w:val="left"/>
                    <w:rPr>
                      <w:rFonts w:cs="Arial"/>
                      <w:color w:val="000000"/>
                      <w:sz w:val="16"/>
                      <w:szCs w:val="16"/>
                      <w:lang w:eastAsia="ko-KR"/>
                    </w:rPr>
                  </w:pPr>
                  <w:r w:rsidRPr="00180CEB">
                    <w:rPr>
                      <w:rFonts w:cs="Arial"/>
                      <w:color w:val="000000"/>
                      <w:sz w:val="16"/>
                      <w:szCs w:val="16"/>
                      <w:lang w:eastAsia="ko-KR"/>
                    </w:rPr>
                    <w:t>Belgie</w:t>
                  </w:r>
                </w:p>
              </w:tc>
              <w:tc>
                <w:tcPr>
                  <w:tcW w:w="700" w:type="dxa"/>
                  <w:tcBorders>
                    <w:top w:val="nil"/>
                    <w:left w:val="nil"/>
                    <w:bottom w:val="nil"/>
                    <w:right w:val="nil"/>
                  </w:tcBorders>
                  <w:noWrap/>
                  <w:vAlign w:val="bottom"/>
                  <w:hideMark/>
                </w:tcPr>
                <w:p w14:paraId="615D8B18" w14:textId="77777777" w:rsidR="006B1AFC" w:rsidRPr="00180CEB" w:rsidRDefault="006B1AFC" w:rsidP="003C4A79">
                  <w:pPr>
                    <w:spacing w:after="0" w:line="240" w:lineRule="auto"/>
                    <w:jc w:val="right"/>
                    <w:rPr>
                      <w:rFonts w:cs="Arial"/>
                      <w:color w:val="000000"/>
                      <w:sz w:val="16"/>
                      <w:szCs w:val="16"/>
                      <w:lang w:eastAsia="ko-KR"/>
                    </w:rPr>
                  </w:pPr>
                  <w:r w:rsidRPr="00180CEB">
                    <w:rPr>
                      <w:rFonts w:cs="Arial"/>
                      <w:color w:val="000000"/>
                      <w:sz w:val="16"/>
                      <w:szCs w:val="16"/>
                      <w:lang w:eastAsia="ko-KR"/>
                    </w:rPr>
                    <w:t>+2,9</w:t>
                  </w:r>
                </w:p>
              </w:tc>
            </w:tr>
            <w:tr w:rsidR="006B1AFC" w:rsidRPr="00180CEB" w14:paraId="5B8932BF" w14:textId="77777777" w:rsidTr="003C4A79">
              <w:trPr>
                <w:trHeight w:val="255"/>
              </w:trPr>
              <w:tc>
                <w:tcPr>
                  <w:tcW w:w="4071" w:type="dxa"/>
                  <w:tcBorders>
                    <w:top w:val="nil"/>
                    <w:left w:val="nil"/>
                    <w:bottom w:val="nil"/>
                    <w:right w:val="nil"/>
                  </w:tcBorders>
                  <w:noWrap/>
                  <w:vAlign w:val="bottom"/>
                  <w:hideMark/>
                </w:tcPr>
                <w:p w14:paraId="1B298951" w14:textId="77777777" w:rsidR="006B1AFC" w:rsidRPr="00180CEB" w:rsidRDefault="006B1AFC" w:rsidP="003C4A79">
                  <w:pPr>
                    <w:spacing w:after="0" w:line="240" w:lineRule="auto"/>
                    <w:jc w:val="left"/>
                    <w:rPr>
                      <w:rFonts w:cs="Arial"/>
                      <w:color w:val="000000"/>
                      <w:sz w:val="16"/>
                      <w:szCs w:val="16"/>
                      <w:lang w:eastAsia="ko-KR"/>
                    </w:rPr>
                  </w:pPr>
                  <w:r w:rsidRPr="00180CEB">
                    <w:rPr>
                      <w:rFonts w:cs="Arial"/>
                      <w:color w:val="000000"/>
                      <w:sz w:val="16"/>
                      <w:szCs w:val="16"/>
                      <w:lang w:eastAsia="ko-KR"/>
                    </w:rPr>
                    <w:t>Singapur</w:t>
                  </w:r>
                </w:p>
              </w:tc>
              <w:tc>
                <w:tcPr>
                  <w:tcW w:w="700" w:type="dxa"/>
                  <w:tcBorders>
                    <w:top w:val="nil"/>
                    <w:left w:val="nil"/>
                    <w:bottom w:val="nil"/>
                    <w:right w:val="nil"/>
                  </w:tcBorders>
                  <w:noWrap/>
                  <w:vAlign w:val="bottom"/>
                  <w:hideMark/>
                </w:tcPr>
                <w:p w14:paraId="2385B54E" w14:textId="77777777" w:rsidR="006B1AFC" w:rsidRPr="00180CEB" w:rsidRDefault="006B1AFC" w:rsidP="003C4A79">
                  <w:pPr>
                    <w:spacing w:after="0" w:line="240" w:lineRule="auto"/>
                    <w:jc w:val="right"/>
                    <w:rPr>
                      <w:rFonts w:cs="Arial"/>
                      <w:color w:val="000000"/>
                      <w:sz w:val="16"/>
                      <w:szCs w:val="16"/>
                      <w:lang w:eastAsia="ko-KR"/>
                    </w:rPr>
                  </w:pPr>
                  <w:r w:rsidRPr="00180CEB">
                    <w:rPr>
                      <w:rFonts w:cs="Arial"/>
                      <w:color w:val="000000"/>
                      <w:sz w:val="16"/>
                      <w:szCs w:val="16"/>
                      <w:lang w:eastAsia="ko-KR"/>
                    </w:rPr>
                    <w:t>+2,5</w:t>
                  </w:r>
                </w:p>
              </w:tc>
            </w:tr>
            <w:tr w:rsidR="006B1AFC" w:rsidRPr="00180CEB" w14:paraId="417FB961" w14:textId="77777777" w:rsidTr="003C4A79">
              <w:trPr>
                <w:trHeight w:val="255"/>
              </w:trPr>
              <w:tc>
                <w:tcPr>
                  <w:tcW w:w="4071" w:type="dxa"/>
                  <w:tcBorders>
                    <w:top w:val="nil"/>
                    <w:left w:val="nil"/>
                    <w:bottom w:val="nil"/>
                    <w:right w:val="nil"/>
                  </w:tcBorders>
                  <w:noWrap/>
                  <w:vAlign w:val="bottom"/>
                  <w:hideMark/>
                </w:tcPr>
                <w:p w14:paraId="396CB92E" w14:textId="77777777" w:rsidR="006B1AFC" w:rsidRPr="00180CEB" w:rsidRDefault="006B1AFC" w:rsidP="003C4A79">
                  <w:pPr>
                    <w:spacing w:after="0" w:line="240" w:lineRule="auto"/>
                    <w:jc w:val="left"/>
                    <w:rPr>
                      <w:rFonts w:cs="Arial"/>
                      <w:color w:val="000000"/>
                      <w:sz w:val="16"/>
                      <w:szCs w:val="16"/>
                      <w:lang w:eastAsia="ko-KR"/>
                    </w:rPr>
                  </w:pPr>
                  <w:r w:rsidRPr="00180CEB">
                    <w:rPr>
                      <w:rFonts w:cs="Arial"/>
                      <w:color w:val="000000"/>
                      <w:sz w:val="16"/>
                      <w:szCs w:val="16"/>
                      <w:lang w:eastAsia="ko-KR"/>
                    </w:rPr>
                    <w:t>Irsko</w:t>
                  </w:r>
                </w:p>
              </w:tc>
              <w:tc>
                <w:tcPr>
                  <w:tcW w:w="700" w:type="dxa"/>
                  <w:tcBorders>
                    <w:top w:val="nil"/>
                    <w:left w:val="nil"/>
                    <w:bottom w:val="nil"/>
                    <w:right w:val="nil"/>
                  </w:tcBorders>
                  <w:noWrap/>
                  <w:vAlign w:val="bottom"/>
                  <w:hideMark/>
                </w:tcPr>
                <w:p w14:paraId="1B08F3DA" w14:textId="77777777" w:rsidR="006B1AFC" w:rsidRPr="00180CEB"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180CEB">
                    <w:rPr>
                      <w:rFonts w:cs="Arial"/>
                      <w:color w:val="000000"/>
                      <w:sz w:val="16"/>
                      <w:szCs w:val="16"/>
                      <w:lang w:eastAsia="ko-KR"/>
                    </w:rPr>
                    <w:t>2,6</w:t>
                  </w:r>
                </w:p>
              </w:tc>
            </w:tr>
            <w:tr w:rsidR="006B1AFC" w:rsidRPr="00180CEB" w14:paraId="57443D49" w14:textId="77777777" w:rsidTr="003C4A79">
              <w:trPr>
                <w:trHeight w:val="255"/>
              </w:trPr>
              <w:tc>
                <w:tcPr>
                  <w:tcW w:w="4071" w:type="dxa"/>
                  <w:tcBorders>
                    <w:top w:val="nil"/>
                    <w:left w:val="nil"/>
                    <w:bottom w:val="nil"/>
                    <w:right w:val="nil"/>
                  </w:tcBorders>
                  <w:noWrap/>
                  <w:vAlign w:val="bottom"/>
                  <w:hideMark/>
                </w:tcPr>
                <w:p w14:paraId="5BF78724" w14:textId="77777777" w:rsidR="006B1AFC" w:rsidRPr="00180CEB" w:rsidRDefault="006B1AFC" w:rsidP="003C4A79">
                  <w:pPr>
                    <w:spacing w:after="0" w:line="240" w:lineRule="auto"/>
                    <w:jc w:val="left"/>
                    <w:rPr>
                      <w:rFonts w:cs="Arial"/>
                      <w:color w:val="000000"/>
                      <w:sz w:val="16"/>
                      <w:szCs w:val="16"/>
                      <w:lang w:eastAsia="ko-KR"/>
                    </w:rPr>
                  </w:pPr>
                  <w:r w:rsidRPr="00180CEB">
                    <w:rPr>
                      <w:rFonts w:cs="Arial"/>
                      <w:color w:val="000000"/>
                      <w:sz w:val="16"/>
                      <w:szCs w:val="16"/>
                      <w:lang w:eastAsia="ko-KR"/>
                    </w:rPr>
                    <w:t>Polsko</w:t>
                  </w:r>
                </w:p>
              </w:tc>
              <w:tc>
                <w:tcPr>
                  <w:tcW w:w="700" w:type="dxa"/>
                  <w:tcBorders>
                    <w:top w:val="nil"/>
                    <w:left w:val="nil"/>
                    <w:bottom w:val="nil"/>
                    <w:right w:val="nil"/>
                  </w:tcBorders>
                  <w:noWrap/>
                  <w:vAlign w:val="bottom"/>
                  <w:hideMark/>
                </w:tcPr>
                <w:p w14:paraId="4208662A" w14:textId="77777777" w:rsidR="006B1AFC" w:rsidRPr="00180CEB"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180CEB">
                    <w:rPr>
                      <w:rFonts w:cs="Arial"/>
                      <w:color w:val="000000"/>
                      <w:sz w:val="16"/>
                      <w:szCs w:val="16"/>
                      <w:lang w:eastAsia="ko-KR"/>
                    </w:rPr>
                    <w:t>2,8</w:t>
                  </w:r>
                </w:p>
              </w:tc>
            </w:tr>
            <w:tr w:rsidR="006B1AFC" w:rsidRPr="00180CEB" w14:paraId="5C935EBD" w14:textId="77777777" w:rsidTr="003C4A79">
              <w:trPr>
                <w:trHeight w:val="255"/>
              </w:trPr>
              <w:tc>
                <w:tcPr>
                  <w:tcW w:w="4071" w:type="dxa"/>
                  <w:tcBorders>
                    <w:top w:val="nil"/>
                    <w:left w:val="nil"/>
                    <w:bottom w:val="nil"/>
                    <w:right w:val="nil"/>
                  </w:tcBorders>
                  <w:noWrap/>
                  <w:vAlign w:val="bottom"/>
                  <w:hideMark/>
                </w:tcPr>
                <w:p w14:paraId="6FF0062A" w14:textId="77777777" w:rsidR="006B1AFC" w:rsidRPr="00180CEB" w:rsidRDefault="006B1AFC" w:rsidP="003C4A79">
                  <w:pPr>
                    <w:spacing w:after="0" w:line="240" w:lineRule="auto"/>
                    <w:jc w:val="left"/>
                    <w:rPr>
                      <w:rFonts w:cs="Arial"/>
                      <w:color w:val="000000"/>
                      <w:sz w:val="16"/>
                      <w:szCs w:val="16"/>
                      <w:lang w:eastAsia="ko-KR"/>
                    </w:rPr>
                  </w:pPr>
                  <w:r>
                    <w:rPr>
                      <w:rFonts w:cs="Arial"/>
                      <w:color w:val="000000"/>
                      <w:sz w:val="16"/>
                      <w:szCs w:val="16"/>
                      <w:lang w:eastAsia="ko-KR"/>
                    </w:rPr>
                    <w:t>Velká Británie</w:t>
                  </w:r>
                </w:p>
              </w:tc>
              <w:tc>
                <w:tcPr>
                  <w:tcW w:w="700" w:type="dxa"/>
                  <w:tcBorders>
                    <w:top w:val="nil"/>
                    <w:left w:val="nil"/>
                    <w:bottom w:val="nil"/>
                    <w:right w:val="nil"/>
                  </w:tcBorders>
                  <w:noWrap/>
                  <w:vAlign w:val="bottom"/>
                  <w:hideMark/>
                </w:tcPr>
                <w:p w14:paraId="662961A2" w14:textId="77777777" w:rsidR="006B1AFC" w:rsidRPr="00180CEB"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180CEB">
                    <w:rPr>
                      <w:rFonts w:cs="Arial"/>
                      <w:color w:val="000000"/>
                      <w:sz w:val="16"/>
                      <w:szCs w:val="16"/>
                      <w:lang w:eastAsia="ko-KR"/>
                    </w:rPr>
                    <w:t>3,0</w:t>
                  </w:r>
                </w:p>
              </w:tc>
            </w:tr>
            <w:tr w:rsidR="006B1AFC" w:rsidRPr="00180CEB" w14:paraId="794FBAE5" w14:textId="77777777" w:rsidTr="003C4A79">
              <w:trPr>
                <w:trHeight w:val="255"/>
              </w:trPr>
              <w:tc>
                <w:tcPr>
                  <w:tcW w:w="4071" w:type="dxa"/>
                  <w:tcBorders>
                    <w:top w:val="nil"/>
                    <w:left w:val="nil"/>
                    <w:bottom w:val="nil"/>
                    <w:right w:val="nil"/>
                  </w:tcBorders>
                  <w:noWrap/>
                  <w:vAlign w:val="bottom"/>
                  <w:hideMark/>
                </w:tcPr>
                <w:p w14:paraId="1CA65F2A" w14:textId="77777777" w:rsidR="006B1AFC" w:rsidRPr="00180CEB" w:rsidRDefault="006B1AFC" w:rsidP="003C4A79">
                  <w:pPr>
                    <w:spacing w:after="0" w:line="240" w:lineRule="auto"/>
                    <w:jc w:val="left"/>
                    <w:rPr>
                      <w:rFonts w:cs="Arial"/>
                      <w:color w:val="000000"/>
                      <w:sz w:val="16"/>
                      <w:szCs w:val="16"/>
                      <w:lang w:eastAsia="ko-KR"/>
                    </w:rPr>
                  </w:pPr>
                  <w:r w:rsidRPr="00180CEB">
                    <w:rPr>
                      <w:rFonts w:cs="Arial"/>
                      <w:color w:val="000000"/>
                      <w:sz w:val="16"/>
                      <w:szCs w:val="16"/>
                      <w:lang w:eastAsia="ko-KR"/>
                    </w:rPr>
                    <w:t>Kazachstán</w:t>
                  </w:r>
                </w:p>
              </w:tc>
              <w:tc>
                <w:tcPr>
                  <w:tcW w:w="700" w:type="dxa"/>
                  <w:tcBorders>
                    <w:top w:val="nil"/>
                    <w:left w:val="nil"/>
                    <w:bottom w:val="nil"/>
                    <w:right w:val="nil"/>
                  </w:tcBorders>
                  <w:noWrap/>
                  <w:vAlign w:val="bottom"/>
                  <w:hideMark/>
                </w:tcPr>
                <w:p w14:paraId="359D9451" w14:textId="77777777" w:rsidR="006B1AFC" w:rsidRPr="00180CEB"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180CEB">
                    <w:rPr>
                      <w:rFonts w:cs="Arial"/>
                      <w:color w:val="000000"/>
                      <w:sz w:val="16"/>
                      <w:szCs w:val="16"/>
                      <w:lang w:eastAsia="ko-KR"/>
                    </w:rPr>
                    <w:t>3,5</w:t>
                  </w:r>
                </w:p>
              </w:tc>
            </w:tr>
            <w:tr w:rsidR="006B1AFC" w:rsidRPr="00180CEB" w14:paraId="66716090" w14:textId="77777777" w:rsidTr="003C4A79">
              <w:trPr>
                <w:trHeight w:val="255"/>
              </w:trPr>
              <w:tc>
                <w:tcPr>
                  <w:tcW w:w="4071" w:type="dxa"/>
                  <w:tcBorders>
                    <w:top w:val="nil"/>
                    <w:left w:val="nil"/>
                    <w:bottom w:val="nil"/>
                    <w:right w:val="nil"/>
                  </w:tcBorders>
                  <w:noWrap/>
                  <w:vAlign w:val="bottom"/>
                  <w:hideMark/>
                </w:tcPr>
                <w:p w14:paraId="02C1CA5F" w14:textId="77777777" w:rsidR="006B1AFC" w:rsidRPr="00180CEB" w:rsidRDefault="006B1AFC" w:rsidP="003C4A79">
                  <w:pPr>
                    <w:spacing w:after="0" w:line="240" w:lineRule="auto"/>
                    <w:jc w:val="left"/>
                    <w:rPr>
                      <w:rFonts w:cs="Arial"/>
                      <w:color w:val="000000"/>
                      <w:sz w:val="16"/>
                      <w:szCs w:val="16"/>
                      <w:lang w:eastAsia="ko-KR"/>
                    </w:rPr>
                  </w:pPr>
                  <w:r w:rsidRPr="00180CEB">
                    <w:rPr>
                      <w:rFonts w:cs="Arial"/>
                      <w:color w:val="000000"/>
                      <w:sz w:val="16"/>
                      <w:szCs w:val="16"/>
                      <w:lang w:eastAsia="ko-KR"/>
                    </w:rPr>
                    <w:t>Slovensko</w:t>
                  </w:r>
                </w:p>
              </w:tc>
              <w:tc>
                <w:tcPr>
                  <w:tcW w:w="700" w:type="dxa"/>
                  <w:tcBorders>
                    <w:top w:val="nil"/>
                    <w:left w:val="nil"/>
                    <w:bottom w:val="nil"/>
                    <w:right w:val="nil"/>
                  </w:tcBorders>
                  <w:noWrap/>
                  <w:vAlign w:val="bottom"/>
                  <w:hideMark/>
                </w:tcPr>
                <w:p w14:paraId="5F7D56A2" w14:textId="77777777" w:rsidR="006B1AFC" w:rsidRPr="00180CEB"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180CEB">
                    <w:rPr>
                      <w:rFonts w:cs="Arial"/>
                      <w:color w:val="000000"/>
                      <w:sz w:val="16"/>
                      <w:szCs w:val="16"/>
                      <w:lang w:eastAsia="ko-KR"/>
                    </w:rPr>
                    <w:t>3,6</w:t>
                  </w:r>
                </w:p>
              </w:tc>
            </w:tr>
            <w:tr w:rsidR="006B1AFC" w:rsidRPr="00180CEB" w14:paraId="51262E8F" w14:textId="77777777" w:rsidTr="003C4A79">
              <w:trPr>
                <w:trHeight w:val="255"/>
              </w:trPr>
              <w:tc>
                <w:tcPr>
                  <w:tcW w:w="4071" w:type="dxa"/>
                  <w:tcBorders>
                    <w:top w:val="nil"/>
                    <w:left w:val="nil"/>
                    <w:bottom w:val="nil"/>
                    <w:right w:val="nil"/>
                  </w:tcBorders>
                  <w:noWrap/>
                  <w:vAlign w:val="bottom"/>
                  <w:hideMark/>
                </w:tcPr>
                <w:p w14:paraId="269271BF" w14:textId="77777777" w:rsidR="006B1AFC" w:rsidRPr="00180CEB" w:rsidRDefault="006B1AFC" w:rsidP="003C4A79">
                  <w:pPr>
                    <w:spacing w:after="0" w:line="240" w:lineRule="auto"/>
                    <w:jc w:val="left"/>
                    <w:rPr>
                      <w:rFonts w:cs="Arial"/>
                      <w:color w:val="000000"/>
                      <w:sz w:val="16"/>
                      <w:szCs w:val="16"/>
                      <w:lang w:eastAsia="ko-KR"/>
                    </w:rPr>
                  </w:pPr>
                  <w:r w:rsidRPr="00180CEB">
                    <w:rPr>
                      <w:rFonts w:cs="Arial"/>
                      <w:color w:val="000000"/>
                      <w:sz w:val="16"/>
                      <w:szCs w:val="16"/>
                      <w:lang w:eastAsia="ko-KR"/>
                    </w:rPr>
                    <w:t>Čína</w:t>
                  </w:r>
                </w:p>
              </w:tc>
              <w:tc>
                <w:tcPr>
                  <w:tcW w:w="700" w:type="dxa"/>
                  <w:tcBorders>
                    <w:top w:val="nil"/>
                    <w:left w:val="nil"/>
                    <w:bottom w:val="nil"/>
                    <w:right w:val="nil"/>
                  </w:tcBorders>
                  <w:noWrap/>
                  <w:vAlign w:val="bottom"/>
                  <w:hideMark/>
                </w:tcPr>
                <w:p w14:paraId="5B226269" w14:textId="77777777" w:rsidR="006B1AFC" w:rsidRPr="00180CEB"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180CEB">
                    <w:rPr>
                      <w:rFonts w:cs="Arial"/>
                      <w:color w:val="000000"/>
                      <w:sz w:val="16"/>
                      <w:szCs w:val="16"/>
                      <w:lang w:eastAsia="ko-KR"/>
                    </w:rPr>
                    <w:t>4,8</w:t>
                  </w:r>
                </w:p>
              </w:tc>
            </w:tr>
            <w:tr w:rsidR="006B1AFC" w:rsidRPr="00180CEB" w14:paraId="5F7317AB" w14:textId="77777777" w:rsidTr="003C4A79">
              <w:trPr>
                <w:trHeight w:val="255"/>
              </w:trPr>
              <w:tc>
                <w:tcPr>
                  <w:tcW w:w="4071" w:type="dxa"/>
                  <w:tcBorders>
                    <w:top w:val="nil"/>
                    <w:left w:val="nil"/>
                    <w:bottom w:val="nil"/>
                    <w:right w:val="nil"/>
                  </w:tcBorders>
                  <w:noWrap/>
                  <w:vAlign w:val="bottom"/>
                  <w:hideMark/>
                </w:tcPr>
                <w:p w14:paraId="40D50AAD" w14:textId="77777777" w:rsidR="006B1AFC" w:rsidRPr="00180CEB" w:rsidRDefault="006B1AFC" w:rsidP="003C4A79">
                  <w:pPr>
                    <w:spacing w:after="0" w:line="240" w:lineRule="auto"/>
                    <w:jc w:val="left"/>
                    <w:rPr>
                      <w:rFonts w:cs="Arial"/>
                      <w:color w:val="000000"/>
                      <w:sz w:val="16"/>
                      <w:szCs w:val="16"/>
                      <w:lang w:eastAsia="ko-KR"/>
                    </w:rPr>
                  </w:pPr>
                  <w:r w:rsidRPr="00180CEB">
                    <w:rPr>
                      <w:rFonts w:cs="Arial"/>
                      <w:color w:val="000000"/>
                      <w:sz w:val="16"/>
                      <w:szCs w:val="16"/>
                      <w:lang w:eastAsia="ko-KR"/>
                    </w:rPr>
                    <w:t>Spojené státy</w:t>
                  </w:r>
                  <w:r>
                    <w:rPr>
                      <w:rFonts w:cs="Arial"/>
                      <w:color w:val="000000"/>
                      <w:sz w:val="16"/>
                      <w:szCs w:val="16"/>
                      <w:lang w:eastAsia="ko-KR"/>
                    </w:rPr>
                    <w:t xml:space="preserve"> americké</w:t>
                  </w:r>
                </w:p>
              </w:tc>
              <w:tc>
                <w:tcPr>
                  <w:tcW w:w="700" w:type="dxa"/>
                  <w:tcBorders>
                    <w:top w:val="nil"/>
                    <w:left w:val="nil"/>
                    <w:bottom w:val="nil"/>
                    <w:right w:val="nil"/>
                  </w:tcBorders>
                  <w:noWrap/>
                  <w:vAlign w:val="bottom"/>
                  <w:hideMark/>
                </w:tcPr>
                <w:p w14:paraId="480769CF" w14:textId="77777777" w:rsidR="006B1AFC" w:rsidRPr="00180CEB"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180CEB">
                    <w:rPr>
                      <w:rFonts w:cs="Arial"/>
                      <w:color w:val="000000"/>
                      <w:sz w:val="16"/>
                      <w:szCs w:val="16"/>
                      <w:lang w:eastAsia="ko-KR"/>
                    </w:rPr>
                    <w:t>8,8</w:t>
                  </w:r>
                </w:p>
              </w:tc>
            </w:tr>
            <w:tr w:rsidR="006B1AFC" w:rsidRPr="00180CEB" w14:paraId="3AEC34EC" w14:textId="77777777" w:rsidTr="003C4A79">
              <w:trPr>
                <w:trHeight w:val="255"/>
              </w:trPr>
              <w:tc>
                <w:tcPr>
                  <w:tcW w:w="4071" w:type="dxa"/>
                  <w:tcBorders>
                    <w:top w:val="nil"/>
                    <w:left w:val="nil"/>
                    <w:bottom w:val="nil"/>
                    <w:right w:val="nil"/>
                  </w:tcBorders>
                  <w:noWrap/>
                  <w:vAlign w:val="bottom"/>
                  <w:hideMark/>
                </w:tcPr>
                <w:p w14:paraId="5D5FE36B" w14:textId="77777777" w:rsidR="006B1AFC" w:rsidRPr="00180CEB" w:rsidRDefault="006B1AFC" w:rsidP="003C4A79">
                  <w:pPr>
                    <w:spacing w:after="0" w:line="240" w:lineRule="auto"/>
                    <w:jc w:val="left"/>
                    <w:rPr>
                      <w:rFonts w:cs="Arial"/>
                      <w:color w:val="000000"/>
                      <w:sz w:val="16"/>
                      <w:szCs w:val="16"/>
                      <w:lang w:eastAsia="ko-KR"/>
                    </w:rPr>
                  </w:pPr>
                  <w:r w:rsidRPr="00180CEB">
                    <w:rPr>
                      <w:rFonts w:cs="Arial"/>
                      <w:color w:val="000000"/>
                      <w:sz w:val="16"/>
                      <w:szCs w:val="16"/>
                      <w:lang w:eastAsia="ko-KR"/>
                    </w:rPr>
                    <w:t>Německo</w:t>
                  </w:r>
                </w:p>
              </w:tc>
              <w:tc>
                <w:tcPr>
                  <w:tcW w:w="700" w:type="dxa"/>
                  <w:tcBorders>
                    <w:top w:val="nil"/>
                    <w:left w:val="nil"/>
                    <w:bottom w:val="nil"/>
                    <w:right w:val="nil"/>
                  </w:tcBorders>
                  <w:noWrap/>
                  <w:vAlign w:val="bottom"/>
                  <w:hideMark/>
                </w:tcPr>
                <w:p w14:paraId="42A47A14" w14:textId="77777777" w:rsidR="006B1AFC" w:rsidRPr="00180CEB"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180CEB">
                    <w:rPr>
                      <w:rFonts w:cs="Arial"/>
                      <w:color w:val="000000"/>
                      <w:sz w:val="16"/>
                      <w:szCs w:val="16"/>
                      <w:lang w:eastAsia="ko-KR"/>
                    </w:rPr>
                    <w:t>13,5</w:t>
                  </w:r>
                </w:p>
              </w:tc>
            </w:tr>
          </w:tbl>
          <w:p w14:paraId="12B70B8B" w14:textId="77777777" w:rsidR="006B1AFC" w:rsidRPr="0010385A" w:rsidRDefault="006B1AFC" w:rsidP="003C4A79">
            <w:pPr>
              <w:spacing w:after="0"/>
              <w:rPr>
                <w:rFonts w:cs="Arial"/>
                <w:spacing w:val="-4"/>
                <w:sz w:val="16"/>
                <w:szCs w:val="16"/>
                <w:lang w:eastAsia="en-US"/>
              </w:rPr>
            </w:pPr>
          </w:p>
        </w:tc>
      </w:tr>
      <w:tr w:rsidR="006B1AFC" w14:paraId="349441DC" w14:textId="77777777" w:rsidTr="003C4A79">
        <w:trPr>
          <w:trHeight w:val="170"/>
        </w:trPr>
        <w:tc>
          <w:tcPr>
            <w:tcW w:w="4811" w:type="dxa"/>
            <w:gridSpan w:val="3"/>
            <w:hideMark/>
          </w:tcPr>
          <w:p w14:paraId="79C535B0" w14:textId="77777777" w:rsidR="006B1AFC" w:rsidRDefault="006B1AFC" w:rsidP="003C4A79">
            <w:pPr>
              <w:jc w:val="left"/>
              <w:rPr>
                <w:spacing w:val="-4"/>
                <w:sz w:val="16"/>
                <w:szCs w:val="16"/>
                <w:lang w:eastAsia="en-US"/>
              </w:rPr>
            </w:pPr>
            <w:r>
              <w:rPr>
                <w:spacing w:val="-4"/>
                <w:sz w:val="16"/>
                <w:szCs w:val="16"/>
                <w:lang w:eastAsia="en-US"/>
              </w:rPr>
              <w:t>Zdroj: ČSÚ</w:t>
            </w:r>
          </w:p>
        </w:tc>
        <w:tc>
          <w:tcPr>
            <w:tcW w:w="57" w:type="dxa"/>
          </w:tcPr>
          <w:p w14:paraId="1DA99215" w14:textId="77777777" w:rsidR="006B1AFC" w:rsidRDefault="006B1AFC" w:rsidP="003C4A79">
            <w:pPr>
              <w:spacing w:after="0"/>
              <w:rPr>
                <w:spacing w:val="-4"/>
                <w:lang w:eastAsia="en-US"/>
              </w:rPr>
            </w:pPr>
          </w:p>
        </w:tc>
        <w:tc>
          <w:tcPr>
            <w:tcW w:w="4809" w:type="dxa"/>
            <w:hideMark/>
          </w:tcPr>
          <w:p w14:paraId="0D55EDE6" w14:textId="77777777" w:rsidR="006B1AFC" w:rsidRDefault="006B1AFC" w:rsidP="003C4A79">
            <w:pPr>
              <w:spacing w:after="0"/>
              <w:ind w:right="21"/>
              <w:jc w:val="left"/>
              <w:rPr>
                <w:spacing w:val="-4"/>
                <w:lang w:eastAsia="en-US"/>
              </w:rPr>
            </w:pPr>
            <w:r>
              <w:rPr>
                <w:spacing w:val="-4"/>
                <w:sz w:val="16"/>
                <w:szCs w:val="16"/>
                <w:lang w:eastAsia="en-US"/>
              </w:rPr>
              <w:t>Zdroj: ČSÚ</w:t>
            </w:r>
          </w:p>
        </w:tc>
      </w:tr>
      <w:tr w:rsidR="006B1AFC" w14:paraId="3986AB88" w14:textId="77777777" w:rsidTr="003C4A79">
        <w:trPr>
          <w:trHeight w:val="170"/>
        </w:trPr>
        <w:tc>
          <w:tcPr>
            <w:tcW w:w="1716" w:type="dxa"/>
          </w:tcPr>
          <w:p w14:paraId="36AF5C54" w14:textId="77777777" w:rsidR="006B1AFC" w:rsidRDefault="006B1AFC" w:rsidP="003C4A79">
            <w:pPr>
              <w:pStyle w:val="Marginlie"/>
              <w:rPr>
                <w:lang w:eastAsia="en-US"/>
              </w:rPr>
            </w:pPr>
            <w:r>
              <w:rPr>
                <w:lang w:eastAsia="en-US"/>
              </w:rPr>
              <w:t>Zhoršení bilance výrazně ovlivňovala dražší ropa.</w:t>
            </w:r>
          </w:p>
        </w:tc>
        <w:tc>
          <w:tcPr>
            <w:tcW w:w="284" w:type="dxa"/>
          </w:tcPr>
          <w:p w14:paraId="0075E054" w14:textId="77777777" w:rsidR="006B1AFC" w:rsidRDefault="006B1AFC" w:rsidP="003C4A79">
            <w:pPr>
              <w:pStyle w:val="Textpoznpodarou"/>
              <w:jc w:val="both"/>
              <w:rPr>
                <w:spacing w:val="-4"/>
                <w:lang w:eastAsia="en-US"/>
              </w:rPr>
            </w:pPr>
          </w:p>
        </w:tc>
        <w:tc>
          <w:tcPr>
            <w:tcW w:w="7677" w:type="dxa"/>
            <w:gridSpan w:val="3"/>
          </w:tcPr>
          <w:p w14:paraId="452BB9E0" w14:textId="77777777" w:rsidR="006B1AFC" w:rsidRPr="009A2AD3" w:rsidRDefault="006B1AFC" w:rsidP="003C4A79">
            <w:pPr>
              <w:rPr>
                <w:rFonts w:cs="Arial"/>
                <w:color w:val="000000"/>
                <w:szCs w:val="20"/>
                <w:lang w:eastAsia="en-US"/>
              </w:rPr>
            </w:pPr>
            <w:r>
              <w:rPr>
                <w:rFonts w:cs="Arial"/>
                <w:color w:val="000000"/>
                <w:szCs w:val="20"/>
                <w:lang w:eastAsia="en-US"/>
              </w:rPr>
              <w:t xml:space="preserve">Na meziročním zhoršení bilance zahraničního obchodu se zbožím mělo v 1. pololetí největší podíl zhoršení výsledku obchodu s elektrickými zařízeními o 16,4 mld. korun a s koksem a rafinovanými ropnými produkty o 15,4 mld. Naproti tomu došlo ke zvýšení přebytku obchodu s motorovými vozidly o 6,9 mld. korun. Na meziročním zhoršení bilance v samotném 2. čtvrtletí se výrazně promítlo zvýšení cen ropy a souvisejících výrobků. To byl případ obchodu s koksem a rafinovanými ropnými produkty (viz Tabulka č. 7), ropou a zemním plynem nebo základními kovy. Stejně jako v 1. kvartálu ve směru zhoršení bilance výrazně působil obchod s elektrickými zařízeními a základními farmaceutickými výrobky a přípravky, u kterých se projevilo zvýšení dovozu. Ve směru meziročního zlepšení bilance působil ve 2. čtvrtletí hlavně obchod s motorovými vozidly, počítači, elektronickými a optickými přístroji a zařízeními, elektřinou, plynem, párou a klimatizovaným vzduchem nebo v oblasti sběru, likvidace a zpracování odpadu. </w:t>
            </w:r>
          </w:p>
        </w:tc>
      </w:tr>
      <w:bookmarkEnd w:id="31"/>
      <w:bookmarkEnd w:id="32"/>
      <w:bookmarkEnd w:id="33"/>
    </w:tbl>
    <w:p w14:paraId="7E6F4796" w14:textId="77777777" w:rsidR="006B1AFC" w:rsidRDefault="006B1AFC" w:rsidP="009324EF">
      <w:pPr>
        <w:spacing w:after="0" w:line="240" w:lineRule="auto"/>
        <w:jc w:val="left"/>
        <w:rPr>
          <w:rFonts w:eastAsia="MS Gothic"/>
          <w:bCs/>
          <w:color w:val="71818C"/>
          <w:sz w:val="2"/>
          <w:szCs w:val="2"/>
        </w:rPr>
      </w:pPr>
    </w:p>
    <w:p w14:paraId="0E1A34C4" w14:textId="77777777" w:rsidR="006B1AFC" w:rsidRPr="00C5418A" w:rsidRDefault="006B1AFC" w:rsidP="009324EF">
      <w:pPr>
        <w:spacing w:after="0" w:line="240" w:lineRule="auto"/>
        <w:jc w:val="left"/>
        <w:rPr>
          <w:rFonts w:eastAsia="MS Gothic"/>
          <w:b/>
          <w:bCs/>
          <w:color w:val="86BF5E"/>
          <w:sz w:val="32"/>
          <w:szCs w:val="28"/>
          <w:highlight w:val="yellow"/>
        </w:rPr>
      </w:pPr>
    </w:p>
    <w:p w14:paraId="1E66ECA4" w14:textId="77777777" w:rsidR="006B1AFC" w:rsidRDefault="006B1AFC" w:rsidP="009324EF">
      <w:pPr>
        <w:spacing w:after="0" w:line="240" w:lineRule="auto"/>
        <w:jc w:val="left"/>
        <w:rPr>
          <w:rFonts w:eastAsia="MS Gothic"/>
          <w:b/>
          <w:bCs/>
          <w:color w:val="86BF5E"/>
          <w:sz w:val="32"/>
          <w:szCs w:val="28"/>
        </w:rPr>
      </w:pPr>
      <w:r>
        <w:br w:type="page"/>
      </w:r>
    </w:p>
    <w:p w14:paraId="6D911436" w14:textId="77777777" w:rsidR="006B1AFC" w:rsidRDefault="006B1AFC" w:rsidP="009324EF">
      <w:pPr>
        <w:pStyle w:val="Nadpis1"/>
      </w:pPr>
      <w:bookmarkStart w:id="34" w:name="_Toc239947447"/>
      <w:bookmarkStart w:id="35" w:name="_Toc240366899"/>
      <w:r>
        <w:lastRenderedPageBreak/>
        <w:t>5. Ceny</w:t>
      </w:r>
      <w:bookmarkEnd w:id="34"/>
      <w:bookmarkEnd w:id="35"/>
      <w:r>
        <w:t xml:space="preserve"> </w:t>
      </w:r>
    </w:p>
    <w:tbl>
      <w:tblPr>
        <w:tblW w:w="9654" w:type="dxa"/>
        <w:tblInd w:w="-15" w:type="dxa"/>
        <w:tblLayout w:type="fixed"/>
        <w:tblCellMar>
          <w:left w:w="0" w:type="dxa"/>
          <w:right w:w="0" w:type="dxa"/>
        </w:tblCellMar>
        <w:tblLook w:val="00A0" w:firstRow="1" w:lastRow="0" w:firstColumn="1" w:lastColumn="0" w:noHBand="0" w:noVBand="0"/>
      </w:tblPr>
      <w:tblGrid>
        <w:gridCol w:w="1812"/>
        <w:gridCol w:w="213"/>
        <w:gridCol w:w="7629"/>
      </w:tblGrid>
      <w:tr w:rsidR="006B1AFC" w14:paraId="1E6001E8" w14:textId="77777777" w:rsidTr="003C4A79">
        <w:trPr>
          <w:trHeight w:val="145"/>
        </w:trPr>
        <w:tc>
          <w:tcPr>
            <w:tcW w:w="9654" w:type="dxa"/>
            <w:gridSpan w:val="3"/>
          </w:tcPr>
          <w:p w14:paraId="71C14424" w14:textId="77777777" w:rsidR="006B1AFC" w:rsidRPr="00F879AD" w:rsidRDefault="006B1AFC" w:rsidP="003C4A79">
            <w:pPr>
              <w:pStyle w:val="Nadpis3"/>
              <w:spacing w:after="120"/>
              <w:rPr>
                <w:lang w:eastAsia="en-US"/>
              </w:rPr>
            </w:pPr>
            <w:bookmarkStart w:id="36" w:name="_Toc239947448"/>
            <w:bookmarkStart w:id="37" w:name="_Toc240366900"/>
            <w:r>
              <w:rPr>
                <w:lang w:eastAsia="en-US"/>
              </w:rPr>
              <w:t xml:space="preserve">5.1 </w:t>
            </w:r>
            <w:r w:rsidRPr="00F879AD">
              <w:rPr>
                <w:lang w:eastAsia="en-US"/>
              </w:rPr>
              <w:t>Spotřebitelské ceny</w:t>
            </w:r>
            <w:bookmarkEnd w:id="36"/>
            <w:bookmarkEnd w:id="37"/>
          </w:p>
        </w:tc>
      </w:tr>
      <w:tr w:rsidR="006B1AFC" w14:paraId="133ABF8F" w14:textId="77777777" w:rsidTr="003C4A79">
        <w:trPr>
          <w:trHeight w:val="145"/>
        </w:trPr>
        <w:tc>
          <w:tcPr>
            <w:tcW w:w="1812" w:type="dxa"/>
          </w:tcPr>
          <w:p w14:paraId="6435D940" w14:textId="77777777" w:rsidR="006B1AFC" w:rsidRDefault="006B1AFC" w:rsidP="003C4A79">
            <w:pPr>
              <w:pStyle w:val="Marginlie"/>
              <w:rPr>
                <w:spacing w:val="0"/>
                <w:lang w:eastAsia="en-US"/>
              </w:rPr>
            </w:pPr>
            <w:r>
              <w:rPr>
                <w:spacing w:val="0"/>
                <w:lang w:eastAsia="en-US"/>
              </w:rPr>
              <w:t>Růst spotřebitelských cen ve 2. čtvrtletí posílil.</w:t>
            </w:r>
          </w:p>
        </w:tc>
        <w:tc>
          <w:tcPr>
            <w:tcW w:w="213" w:type="dxa"/>
          </w:tcPr>
          <w:p w14:paraId="00DC6065" w14:textId="77777777" w:rsidR="006B1AFC" w:rsidRDefault="006B1AFC" w:rsidP="003C4A79">
            <w:pPr>
              <w:pStyle w:val="Textpoznpodarou1"/>
              <w:jc w:val="both"/>
              <w:rPr>
                <w:lang w:eastAsia="en-US"/>
              </w:rPr>
            </w:pPr>
          </w:p>
        </w:tc>
        <w:tc>
          <w:tcPr>
            <w:tcW w:w="7629" w:type="dxa"/>
          </w:tcPr>
          <w:p w14:paraId="216AA4A3" w14:textId="77777777" w:rsidR="006B1AFC" w:rsidRDefault="006B1AFC" w:rsidP="003C4A79">
            <w:pPr>
              <w:rPr>
                <w:lang w:eastAsia="en-US"/>
              </w:rPr>
            </w:pPr>
            <w:r>
              <w:rPr>
                <w:lang w:eastAsia="en-US"/>
              </w:rPr>
              <w:t>Meziroční přírůstek indexu spotřebitelských cen</w:t>
            </w:r>
            <w:r>
              <w:rPr>
                <w:rStyle w:val="Znakapoznpodarou"/>
                <w:lang w:eastAsia="en-US"/>
              </w:rPr>
              <w:footnoteReference w:id="68"/>
            </w:r>
            <w:r>
              <w:rPr>
                <w:lang w:eastAsia="en-US"/>
              </w:rPr>
              <w:t xml:space="preserve"> ve 2. čtvrtletí 2026 zrychlil na 2,0 %. Posílení celkové dynamiky cen bylo z výrazné většiny ovlivněno vývojem v oddíle doprava, konkrétně prudkým růstem cen pohonných hmot. V menší míře ve směru zrychlení cenového růstu působily ceny bydlení a energií a rekreací, sportu a kultury. Výše popsané tlaky tlumil především meziroční vývoj cen potravin, které poprvé od 2. čtvrtletí 2021 klesly. Celkově k meziročnímu růstu cen nejvíce přispívaly ceny dopravy, bydlení a energií a alkoholických nápojů a tabáku. Mezičtvrtletně se spotřebitelské ceny ve 2. kvartálu zvýšily o 0,9 % a přírůstek tak mírně posílil ve srovnání s 1. čtvrtletím. Takový vývoj je poněkud netypický a šlo o výsledek prudkého navýšení cen dopravy. Z mírného mezičtvrtletního poklesu do růstu se dostaly také ceny bydlení a energií. U většiny oddílů se mezičtvrtletní dynamika cen po obvyklém novoročním nárůstu zmírňovala. Klesly pouze ceny potravin a nealkoholických nápojů. </w:t>
            </w:r>
          </w:p>
        </w:tc>
      </w:tr>
      <w:tr w:rsidR="006B1AFC" w14:paraId="02FD4F25" w14:textId="77777777" w:rsidTr="003C4A79">
        <w:trPr>
          <w:trHeight w:val="145"/>
        </w:trPr>
        <w:tc>
          <w:tcPr>
            <w:tcW w:w="9654" w:type="dxa"/>
            <w:gridSpan w:val="3"/>
          </w:tcPr>
          <w:p w14:paraId="4FD394B9" w14:textId="77777777" w:rsidR="006B1AFC" w:rsidRPr="00296317" w:rsidRDefault="006B1AFC" w:rsidP="003C4A79">
            <w:pPr>
              <w:spacing w:after="0"/>
              <w:rPr>
                <w:rFonts w:cs="Arial"/>
                <w:b/>
                <w:bCs/>
                <w:sz w:val="18"/>
                <w:szCs w:val="18"/>
                <w:lang w:eastAsia="en-US"/>
              </w:rPr>
            </w:pPr>
            <w:r w:rsidRPr="00296317">
              <w:rPr>
                <w:rFonts w:cs="Arial"/>
                <w:b/>
                <w:bCs/>
                <w:sz w:val="18"/>
                <w:szCs w:val="18"/>
                <w:lang w:eastAsia="en-US"/>
              </w:rPr>
              <w:t xml:space="preserve">Tabulka </w:t>
            </w:r>
            <w:r>
              <w:rPr>
                <w:rFonts w:cs="Arial"/>
                <w:b/>
                <w:bCs/>
                <w:sz w:val="18"/>
                <w:szCs w:val="18"/>
                <w:lang w:eastAsia="en-US"/>
              </w:rPr>
              <w:t>č. 9</w:t>
            </w:r>
            <w:r w:rsidRPr="00296317">
              <w:rPr>
                <w:rFonts w:cs="Arial"/>
                <w:b/>
                <w:bCs/>
                <w:sz w:val="18"/>
                <w:szCs w:val="18"/>
                <w:lang w:eastAsia="en-US"/>
              </w:rPr>
              <w:t xml:space="preserve"> </w:t>
            </w:r>
            <w:r>
              <w:rPr>
                <w:rFonts w:cs="Arial"/>
                <w:b/>
                <w:bCs/>
                <w:sz w:val="18"/>
                <w:szCs w:val="18"/>
                <w:lang w:eastAsia="en-US"/>
              </w:rPr>
              <w:t>Vývoj i</w:t>
            </w:r>
            <w:r w:rsidRPr="00296317">
              <w:rPr>
                <w:rFonts w:cs="Arial"/>
                <w:b/>
                <w:bCs/>
                <w:sz w:val="18"/>
                <w:szCs w:val="18"/>
                <w:lang w:eastAsia="en-US"/>
              </w:rPr>
              <w:t xml:space="preserve">ndexu spotřebitelských cen </w:t>
            </w:r>
            <w:r>
              <w:rPr>
                <w:rFonts w:cs="Arial"/>
                <w:b/>
                <w:bCs/>
                <w:sz w:val="18"/>
                <w:szCs w:val="18"/>
                <w:lang w:eastAsia="en-US"/>
              </w:rPr>
              <w:t xml:space="preserve">a jeho oddílů </w:t>
            </w:r>
            <w:r w:rsidRPr="00296317">
              <w:rPr>
                <w:rFonts w:cs="Arial"/>
                <w:b/>
                <w:bCs/>
                <w:sz w:val="18"/>
                <w:szCs w:val="18"/>
                <w:lang w:eastAsia="en-US"/>
              </w:rPr>
              <w:t>(v</w:t>
            </w:r>
            <w:r>
              <w:rPr>
                <w:rFonts w:cs="Arial"/>
                <w:b/>
                <w:bCs/>
                <w:sz w:val="18"/>
                <w:szCs w:val="18"/>
                <w:lang w:eastAsia="en-US"/>
              </w:rPr>
              <w:t xml:space="preserve"> %</w:t>
            </w:r>
            <w:r w:rsidRPr="00296317">
              <w:rPr>
                <w:rFonts w:cs="Arial"/>
                <w:b/>
                <w:bCs/>
                <w:sz w:val="18"/>
                <w:szCs w:val="18"/>
                <w:lang w:eastAsia="en-US"/>
              </w:rPr>
              <w:t>)</w:t>
            </w:r>
          </w:p>
        </w:tc>
      </w:tr>
      <w:tr w:rsidR="006B1AFC" w14:paraId="6297CB29" w14:textId="77777777" w:rsidTr="003C4A79">
        <w:trPr>
          <w:trHeight w:val="4231"/>
        </w:trPr>
        <w:tc>
          <w:tcPr>
            <w:tcW w:w="9654" w:type="dxa"/>
            <w:gridSpan w:val="3"/>
          </w:tcPr>
          <w:tbl>
            <w:tblPr>
              <w:tblW w:w="9615" w:type="dxa"/>
              <w:tblLayout w:type="fixed"/>
              <w:tblCellMar>
                <w:left w:w="70" w:type="dxa"/>
                <w:right w:w="70" w:type="dxa"/>
              </w:tblCellMar>
              <w:tblLook w:val="04A0" w:firstRow="1" w:lastRow="0" w:firstColumn="1" w:lastColumn="0" w:noHBand="0" w:noVBand="1"/>
            </w:tblPr>
            <w:tblGrid>
              <w:gridCol w:w="3559"/>
              <w:gridCol w:w="699"/>
              <w:gridCol w:w="699"/>
              <w:gridCol w:w="699"/>
              <w:gridCol w:w="699"/>
              <w:gridCol w:w="464"/>
              <w:gridCol w:w="699"/>
              <w:gridCol w:w="699"/>
              <w:gridCol w:w="699"/>
              <w:gridCol w:w="699"/>
            </w:tblGrid>
            <w:tr w:rsidR="006B1AFC" w:rsidRPr="00240315" w14:paraId="48F9391B" w14:textId="77777777" w:rsidTr="003C4A79">
              <w:trPr>
                <w:trHeight w:val="255"/>
              </w:trPr>
              <w:tc>
                <w:tcPr>
                  <w:tcW w:w="3559" w:type="dxa"/>
                  <w:tcBorders>
                    <w:top w:val="nil"/>
                    <w:left w:val="nil"/>
                    <w:bottom w:val="nil"/>
                    <w:right w:val="nil"/>
                  </w:tcBorders>
                  <w:noWrap/>
                  <w:vAlign w:val="bottom"/>
                  <w:hideMark/>
                </w:tcPr>
                <w:p w14:paraId="4AD1F6A3" w14:textId="77777777" w:rsidR="006B1AFC" w:rsidRPr="00240315" w:rsidRDefault="006B1AFC" w:rsidP="003C4A79">
                  <w:pPr>
                    <w:spacing w:after="0" w:line="240" w:lineRule="auto"/>
                    <w:jc w:val="left"/>
                    <w:rPr>
                      <w:rFonts w:ascii="Times New Roman" w:hAnsi="Times New Roman"/>
                      <w:sz w:val="24"/>
                      <w:szCs w:val="20"/>
                      <w:lang w:eastAsia="ko-KR"/>
                    </w:rPr>
                  </w:pPr>
                </w:p>
              </w:tc>
              <w:tc>
                <w:tcPr>
                  <w:tcW w:w="2796" w:type="dxa"/>
                  <w:gridSpan w:val="4"/>
                  <w:tcBorders>
                    <w:top w:val="nil"/>
                    <w:left w:val="nil"/>
                    <w:bottom w:val="nil"/>
                    <w:right w:val="nil"/>
                  </w:tcBorders>
                  <w:noWrap/>
                  <w:vAlign w:val="bottom"/>
                  <w:hideMark/>
                </w:tcPr>
                <w:p w14:paraId="73EFADE5" w14:textId="77777777" w:rsidR="006B1AFC" w:rsidRPr="00240315" w:rsidRDefault="006B1AFC" w:rsidP="003C4A79">
                  <w:pPr>
                    <w:spacing w:after="0" w:line="240" w:lineRule="auto"/>
                    <w:jc w:val="center"/>
                    <w:rPr>
                      <w:rFonts w:cs="Arial"/>
                      <w:color w:val="000000"/>
                      <w:sz w:val="16"/>
                      <w:szCs w:val="16"/>
                      <w:lang w:eastAsia="ko-KR"/>
                    </w:rPr>
                  </w:pPr>
                  <w:r w:rsidRPr="00240315">
                    <w:rPr>
                      <w:rFonts w:cs="Arial"/>
                      <w:color w:val="000000"/>
                      <w:sz w:val="16"/>
                      <w:szCs w:val="16"/>
                      <w:lang w:eastAsia="ko-KR"/>
                    </w:rPr>
                    <w:t>meziročně</w:t>
                  </w:r>
                </w:p>
              </w:tc>
              <w:tc>
                <w:tcPr>
                  <w:tcW w:w="464" w:type="dxa"/>
                  <w:tcBorders>
                    <w:top w:val="nil"/>
                    <w:left w:val="nil"/>
                    <w:bottom w:val="nil"/>
                    <w:right w:val="nil"/>
                  </w:tcBorders>
                  <w:noWrap/>
                  <w:vAlign w:val="bottom"/>
                  <w:hideMark/>
                </w:tcPr>
                <w:p w14:paraId="4CEF2380" w14:textId="77777777" w:rsidR="006B1AFC" w:rsidRPr="00240315" w:rsidRDefault="006B1AFC" w:rsidP="003C4A79">
                  <w:pPr>
                    <w:spacing w:after="0" w:line="240" w:lineRule="auto"/>
                    <w:jc w:val="center"/>
                    <w:rPr>
                      <w:rFonts w:cs="Arial"/>
                      <w:color w:val="000000"/>
                      <w:sz w:val="16"/>
                      <w:szCs w:val="16"/>
                      <w:lang w:eastAsia="ko-KR"/>
                    </w:rPr>
                  </w:pPr>
                </w:p>
              </w:tc>
              <w:tc>
                <w:tcPr>
                  <w:tcW w:w="2796" w:type="dxa"/>
                  <w:gridSpan w:val="4"/>
                  <w:tcBorders>
                    <w:top w:val="nil"/>
                    <w:left w:val="nil"/>
                    <w:bottom w:val="nil"/>
                    <w:right w:val="nil"/>
                  </w:tcBorders>
                  <w:noWrap/>
                  <w:vAlign w:val="bottom"/>
                  <w:hideMark/>
                </w:tcPr>
                <w:p w14:paraId="0D31C257" w14:textId="77777777" w:rsidR="006B1AFC" w:rsidRPr="00240315" w:rsidRDefault="006B1AFC" w:rsidP="003C4A79">
                  <w:pPr>
                    <w:spacing w:after="0" w:line="240" w:lineRule="auto"/>
                    <w:jc w:val="center"/>
                    <w:rPr>
                      <w:rFonts w:cs="Arial"/>
                      <w:color w:val="000000"/>
                      <w:sz w:val="16"/>
                      <w:szCs w:val="16"/>
                      <w:lang w:eastAsia="ko-KR"/>
                    </w:rPr>
                  </w:pPr>
                  <w:r w:rsidRPr="00240315">
                    <w:rPr>
                      <w:rFonts w:cs="Arial"/>
                      <w:color w:val="000000"/>
                      <w:sz w:val="16"/>
                      <w:szCs w:val="16"/>
                      <w:lang w:eastAsia="ko-KR"/>
                    </w:rPr>
                    <w:t>mezičtvrtletně</w:t>
                  </w:r>
                </w:p>
              </w:tc>
            </w:tr>
            <w:tr w:rsidR="006B1AFC" w:rsidRPr="00240315" w14:paraId="6D1D5BF3" w14:textId="77777777" w:rsidTr="003C4A79">
              <w:trPr>
                <w:trHeight w:val="255"/>
              </w:trPr>
              <w:tc>
                <w:tcPr>
                  <w:tcW w:w="3559" w:type="dxa"/>
                  <w:tcBorders>
                    <w:top w:val="nil"/>
                    <w:left w:val="nil"/>
                    <w:bottom w:val="nil"/>
                    <w:right w:val="nil"/>
                  </w:tcBorders>
                  <w:noWrap/>
                  <w:vAlign w:val="bottom"/>
                  <w:hideMark/>
                </w:tcPr>
                <w:p w14:paraId="1C108ED0" w14:textId="77777777" w:rsidR="006B1AFC" w:rsidRPr="00240315" w:rsidRDefault="006B1AFC" w:rsidP="003C4A79">
                  <w:pPr>
                    <w:spacing w:after="0" w:line="240" w:lineRule="auto"/>
                    <w:jc w:val="center"/>
                    <w:rPr>
                      <w:rFonts w:cs="Arial"/>
                      <w:color w:val="000000"/>
                      <w:sz w:val="16"/>
                      <w:szCs w:val="16"/>
                      <w:lang w:eastAsia="ko-KR"/>
                    </w:rPr>
                  </w:pPr>
                </w:p>
              </w:tc>
              <w:tc>
                <w:tcPr>
                  <w:tcW w:w="699" w:type="dxa"/>
                  <w:tcBorders>
                    <w:top w:val="nil"/>
                    <w:left w:val="nil"/>
                    <w:bottom w:val="nil"/>
                    <w:right w:val="nil"/>
                  </w:tcBorders>
                  <w:noWrap/>
                  <w:vAlign w:val="bottom"/>
                  <w:hideMark/>
                </w:tcPr>
                <w:p w14:paraId="42437869" w14:textId="77777777" w:rsidR="006B1AFC" w:rsidRPr="00240315"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Q3</w:t>
                  </w:r>
                  <w:r>
                    <w:rPr>
                      <w:rFonts w:cs="Arial"/>
                      <w:color w:val="000000"/>
                      <w:sz w:val="16"/>
                      <w:szCs w:val="16"/>
                      <w:lang w:eastAsia="ko-KR"/>
                    </w:rPr>
                    <w:t xml:space="preserve"> 25</w:t>
                  </w:r>
                </w:p>
              </w:tc>
              <w:tc>
                <w:tcPr>
                  <w:tcW w:w="699" w:type="dxa"/>
                  <w:tcBorders>
                    <w:top w:val="nil"/>
                    <w:left w:val="nil"/>
                    <w:bottom w:val="nil"/>
                    <w:right w:val="nil"/>
                  </w:tcBorders>
                  <w:noWrap/>
                  <w:vAlign w:val="bottom"/>
                  <w:hideMark/>
                </w:tcPr>
                <w:p w14:paraId="316F2C7C" w14:textId="77777777" w:rsidR="006B1AFC" w:rsidRPr="00240315"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Q4</w:t>
                  </w:r>
                  <w:r>
                    <w:rPr>
                      <w:rFonts w:cs="Arial"/>
                      <w:color w:val="000000"/>
                      <w:sz w:val="16"/>
                      <w:szCs w:val="16"/>
                      <w:lang w:eastAsia="ko-KR"/>
                    </w:rPr>
                    <w:t xml:space="preserve"> 25</w:t>
                  </w:r>
                </w:p>
              </w:tc>
              <w:tc>
                <w:tcPr>
                  <w:tcW w:w="699" w:type="dxa"/>
                  <w:tcBorders>
                    <w:top w:val="nil"/>
                    <w:left w:val="nil"/>
                    <w:bottom w:val="nil"/>
                    <w:right w:val="nil"/>
                  </w:tcBorders>
                  <w:noWrap/>
                  <w:vAlign w:val="bottom"/>
                  <w:hideMark/>
                </w:tcPr>
                <w:p w14:paraId="110A70CF" w14:textId="77777777" w:rsidR="006B1AFC" w:rsidRPr="00240315"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Q1</w:t>
                  </w:r>
                  <w:r>
                    <w:rPr>
                      <w:rFonts w:cs="Arial"/>
                      <w:color w:val="000000"/>
                      <w:sz w:val="16"/>
                      <w:szCs w:val="16"/>
                      <w:lang w:eastAsia="ko-KR"/>
                    </w:rPr>
                    <w:t xml:space="preserve"> 26</w:t>
                  </w:r>
                </w:p>
              </w:tc>
              <w:tc>
                <w:tcPr>
                  <w:tcW w:w="699" w:type="dxa"/>
                  <w:tcBorders>
                    <w:top w:val="nil"/>
                    <w:left w:val="nil"/>
                    <w:bottom w:val="nil"/>
                    <w:right w:val="nil"/>
                  </w:tcBorders>
                  <w:noWrap/>
                  <w:vAlign w:val="bottom"/>
                  <w:hideMark/>
                </w:tcPr>
                <w:p w14:paraId="58966DEB" w14:textId="77777777" w:rsidR="006B1AFC" w:rsidRPr="00240315"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Q2</w:t>
                  </w:r>
                  <w:r>
                    <w:rPr>
                      <w:rFonts w:cs="Arial"/>
                      <w:color w:val="000000"/>
                      <w:sz w:val="16"/>
                      <w:szCs w:val="16"/>
                      <w:lang w:eastAsia="ko-KR"/>
                    </w:rPr>
                    <w:t xml:space="preserve"> 26</w:t>
                  </w:r>
                </w:p>
              </w:tc>
              <w:tc>
                <w:tcPr>
                  <w:tcW w:w="464" w:type="dxa"/>
                  <w:tcBorders>
                    <w:top w:val="nil"/>
                    <w:left w:val="nil"/>
                    <w:bottom w:val="nil"/>
                    <w:right w:val="nil"/>
                  </w:tcBorders>
                  <w:noWrap/>
                  <w:vAlign w:val="bottom"/>
                  <w:hideMark/>
                </w:tcPr>
                <w:p w14:paraId="1E03BD78" w14:textId="77777777" w:rsidR="006B1AFC" w:rsidRPr="00240315" w:rsidRDefault="006B1AFC" w:rsidP="003C4A79">
                  <w:pPr>
                    <w:spacing w:after="0" w:line="240" w:lineRule="auto"/>
                    <w:jc w:val="right"/>
                    <w:rPr>
                      <w:rFonts w:cs="Arial"/>
                      <w:color w:val="000000"/>
                      <w:sz w:val="16"/>
                      <w:szCs w:val="16"/>
                      <w:lang w:eastAsia="ko-KR"/>
                    </w:rPr>
                  </w:pPr>
                </w:p>
              </w:tc>
              <w:tc>
                <w:tcPr>
                  <w:tcW w:w="699" w:type="dxa"/>
                  <w:tcBorders>
                    <w:top w:val="nil"/>
                    <w:left w:val="nil"/>
                    <w:bottom w:val="nil"/>
                    <w:right w:val="nil"/>
                  </w:tcBorders>
                  <w:noWrap/>
                  <w:vAlign w:val="bottom"/>
                  <w:hideMark/>
                </w:tcPr>
                <w:p w14:paraId="10886A0E" w14:textId="77777777" w:rsidR="006B1AFC" w:rsidRPr="00240315"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Q3</w:t>
                  </w:r>
                  <w:r>
                    <w:rPr>
                      <w:rFonts w:cs="Arial"/>
                      <w:color w:val="000000"/>
                      <w:sz w:val="16"/>
                      <w:szCs w:val="16"/>
                      <w:lang w:eastAsia="ko-KR"/>
                    </w:rPr>
                    <w:t xml:space="preserve"> 25</w:t>
                  </w:r>
                </w:p>
              </w:tc>
              <w:tc>
                <w:tcPr>
                  <w:tcW w:w="699" w:type="dxa"/>
                  <w:tcBorders>
                    <w:top w:val="nil"/>
                    <w:left w:val="nil"/>
                    <w:bottom w:val="nil"/>
                    <w:right w:val="nil"/>
                  </w:tcBorders>
                  <w:noWrap/>
                  <w:vAlign w:val="bottom"/>
                  <w:hideMark/>
                </w:tcPr>
                <w:p w14:paraId="5C595D2C" w14:textId="77777777" w:rsidR="006B1AFC" w:rsidRPr="00240315"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Q4</w:t>
                  </w:r>
                  <w:r>
                    <w:rPr>
                      <w:rFonts w:cs="Arial"/>
                      <w:color w:val="000000"/>
                      <w:sz w:val="16"/>
                      <w:szCs w:val="16"/>
                      <w:lang w:eastAsia="ko-KR"/>
                    </w:rPr>
                    <w:t xml:space="preserve"> 25</w:t>
                  </w:r>
                </w:p>
              </w:tc>
              <w:tc>
                <w:tcPr>
                  <w:tcW w:w="699" w:type="dxa"/>
                  <w:tcBorders>
                    <w:top w:val="nil"/>
                    <w:left w:val="nil"/>
                    <w:bottom w:val="nil"/>
                    <w:right w:val="nil"/>
                  </w:tcBorders>
                  <w:noWrap/>
                  <w:vAlign w:val="bottom"/>
                  <w:hideMark/>
                </w:tcPr>
                <w:p w14:paraId="6B5842C3" w14:textId="77777777" w:rsidR="006B1AFC" w:rsidRPr="00240315"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Q1</w:t>
                  </w:r>
                  <w:r>
                    <w:rPr>
                      <w:rFonts w:cs="Arial"/>
                      <w:color w:val="000000"/>
                      <w:sz w:val="16"/>
                      <w:szCs w:val="16"/>
                      <w:lang w:eastAsia="ko-KR"/>
                    </w:rPr>
                    <w:t xml:space="preserve"> 26</w:t>
                  </w:r>
                </w:p>
              </w:tc>
              <w:tc>
                <w:tcPr>
                  <w:tcW w:w="699" w:type="dxa"/>
                  <w:tcBorders>
                    <w:top w:val="nil"/>
                    <w:left w:val="nil"/>
                    <w:bottom w:val="nil"/>
                    <w:right w:val="nil"/>
                  </w:tcBorders>
                  <w:noWrap/>
                  <w:vAlign w:val="bottom"/>
                  <w:hideMark/>
                </w:tcPr>
                <w:p w14:paraId="3406349E" w14:textId="77777777" w:rsidR="006B1AFC" w:rsidRPr="00240315"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Q2</w:t>
                  </w:r>
                  <w:r>
                    <w:rPr>
                      <w:rFonts w:cs="Arial"/>
                      <w:color w:val="000000"/>
                      <w:sz w:val="16"/>
                      <w:szCs w:val="16"/>
                      <w:lang w:eastAsia="ko-KR"/>
                    </w:rPr>
                    <w:t xml:space="preserve"> 26</w:t>
                  </w:r>
                </w:p>
              </w:tc>
            </w:tr>
            <w:tr w:rsidR="006B1AFC" w:rsidRPr="00240315" w14:paraId="428ED665" w14:textId="77777777" w:rsidTr="003C4A79">
              <w:trPr>
                <w:trHeight w:val="255"/>
              </w:trPr>
              <w:tc>
                <w:tcPr>
                  <w:tcW w:w="3559" w:type="dxa"/>
                  <w:tcBorders>
                    <w:top w:val="single" w:sz="4" w:space="0" w:color="auto"/>
                    <w:left w:val="nil"/>
                    <w:bottom w:val="nil"/>
                    <w:right w:val="nil"/>
                  </w:tcBorders>
                  <w:vAlign w:val="bottom"/>
                  <w:hideMark/>
                </w:tcPr>
                <w:p w14:paraId="1A5D6F38" w14:textId="77777777" w:rsidR="006B1AFC" w:rsidRPr="00240315" w:rsidRDefault="006B1AFC" w:rsidP="003C4A79">
                  <w:pPr>
                    <w:spacing w:after="0" w:line="240" w:lineRule="auto"/>
                    <w:jc w:val="left"/>
                    <w:rPr>
                      <w:rFonts w:cs="Arial"/>
                      <w:color w:val="000000"/>
                      <w:sz w:val="16"/>
                      <w:szCs w:val="16"/>
                      <w:lang w:eastAsia="ko-KR"/>
                    </w:rPr>
                  </w:pPr>
                  <w:r>
                    <w:rPr>
                      <w:rFonts w:cs="Arial"/>
                      <w:color w:val="000000"/>
                      <w:sz w:val="16"/>
                      <w:szCs w:val="16"/>
                      <w:lang w:eastAsia="ko-KR"/>
                    </w:rPr>
                    <w:t>CELKEM</w:t>
                  </w:r>
                </w:p>
              </w:tc>
              <w:tc>
                <w:tcPr>
                  <w:tcW w:w="699" w:type="dxa"/>
                  <w:tcBorders>
                    <w:top w:val="single" w:sz="4" w:space="0" w:color="auto"/>
                    <w:left w:val="nil"/>
                    <w:bottom w:val="nil"/>
                    <w:right w:val="nil"/>
                  </w:tcBorders>
                  <w:noWrap/>
                  <w:vAlign w:val="bottom"/>
                  <w:hideMark/>
                </w:tcPr>
                <w:p w14:paraId="0D80673A"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2,5</w:t>
                  </w:r>
                </w:p>
              </w:tc>
              <w:tc>
                <w:tcPr>
                  <w:tcW w:w="699" w:type="dxa"/>
                  <w:tcBorders>
                    <w:top w:val="single" w:sz="4" w:space="0" w:color="auto"/>
                    <w:left w:val="nil"/>
                    <w:bottom w:val="nil"/>
                    <w:right w:val="nil"/>
                  </w:tcBorders>
                  <w:noWrap/>
                  <w:vAlign w:val="bottom"/>
                  <w:hideMark/>
                </w:tcPr>
                <w:p w14:paraId="1204D22C"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2,2</w:t>
                  </w:r>
                </w:p>
              </w:tc>
              <w:tc>
                <w:tcPr>
                  <w:tcW w:w="699" w:type="dxa"/>
                  <w:tcBorders>
                    <w:top w:val="single" w:sz="4" w:space="0" w:color="auto"/>
                    <w:left w:val="nil"/>
                    <w:bottom w:val="nil"/>
                    <w:right w:val="nil"/>
                  </w:tcBorders>
                  <w:noWrap/>
                  <w:vAlign w:val="bottom"/>
                  <w:hideMark/>
                </w:tcPr>
                <w:p w14:paraId="5DFF9B01"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1,6</w:t>
                  </w:r>
                </w:p>
              </w:tc>
              <w:tc>
                <w:tcPr>
                  <w:tcW w:w="699" w:type="dxa"/>
                  <w:tcBorders>
                    <w:top w:val="single" w:sz="4" w:space="0" w:color="auto"/>
                    <w:left w:val="nil"/>
                    <w:bottom w:val="nil"/>
                    <w:right w:val="nil"/>
                  </w:tcBorders>
                  <w:noWrap/>
                  <w:vAlign w:val="bottom"/>
                  <w:hideMark/>
                </w:tcPr>
                <w:p w14:paraId="31EA57F8"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2,0</w:t>
                  </w:r>
                </w:p>
              </w:tc>
              <w:tc>
                <w:tcPr>
                  <w:tcW w:w="464" w:type="dxa"/>
                  <w:tcBorders>
                    <w:top w:val="single" w:sz="4" w:space="0" w:color="auto"/>
                    <w:left w:val="nil"/>
                    <w:bottom w:val="nil"/>
                    <w:right w:val="nil"/>
                  </w:tcBorders>
                  <w:noWrap/>
                  <w:vAlign w:val="bottom"/>
                  <w:hideMark/>
                </w:tcPr>
                <w:p w14:paraId="063DA06F" w14:textId="77777777" w:rsidR="006B1AFC" w:rsidRPr="00240315" w:rsidRDefault="006B1AFC" w:rsidP="003C4A79">
                  <w:pPr>
                    <w:spacing w:after="0" w:line="240" w:lineRule="auto"/>
                    <w:jc w:val="left"/>
                    <w:rPr>
                      <w:rFonts w:cs="Arial"/>
                      <w:color w:val="000000"/>
                      <w:sz w:val="16"/>
                      <w:szCs w:val="16"/>
                      <w:lang w:eastAsia="ko-KR"/>
                    </w:rPr>
                  </w:pPr>
                  <w:r w:rsidRPr="00240315">
                    <w:rPr>
                      <w:rFonts w:cs="Arial"/>
                      <w:color w:val="000000"/>
                      <w:sz w:val="16"/>
                      <w:szCs w:val="16"/>
                      <w:lang w:eastAsia="ko-KR"/>
                    </w:rPr>
                    <w:t> </w:t>
                  </w:r>
                </w:p>
              </w:tc>
              <w:tc>
                <w:tcPr>
                  <w:tcW w:w="699" w:type="dxa"/>
                  <w:tcBorders>
                    <w:top w:val="single" w:sz="4" w:space="0" w:color="auto"/>
                    <w:left w:val="nil"/>
                    <w:bottom w:val="nil"/>
                    <w:right w:val="nil"/>
                  </w:tcBorders>
                  <w:noWrap/>
                  <w:vAlign w:val="bottom"/>
                  <w:hideMark/>
                </w:tcPr>
                <w:p w14:paraId="054085EA"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0,7</w:t>
                  </w:r>
                </w:p>
              </w:tc>
              <w:tc>
                <w:tcPr>
                  <w:tcW w:w="699" w:type="dxa"/>
                  <w:tcBorders>
                    <w:top w:val="single" w:sz="4" w:space="0" w:color="auto"/>
                    <w:left w:val="nil"/>
                    <w:bottom w:val="nil"/>
                    <w:right w:val="nil"/>
                  </w:tcBorders>
                  <w:noWrap/>
                  <w:vAlign w:val="bottom"/>
                  <w:hideMark/>
                </w:tcPr>
                <w:p w14:paraId="175E0F58"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240315">
                    <w:rPr>
                      <w:rFonts w:cs="Arial"/>
                      <w:color w:val="000000"/>
                      <w:sz w:val="16"/>
                      <w:szCs w:val="16"/>
                      <w:lang w:eastAsia="ko-KR"/>
                    </w:rPr>
                    <w:t>0,2</w:t>
                  </w:r>
                </w:p>
              </w:tc>
              <w:tc>
                <w:tcPr>
                  <w:tcW w:w="699" w:type="dxa"/>
                  <w:tcBorders>
                    <w:top w:val="single" w:sz="4" w:space="0" w:color="auto"/>
                    <w:left w:val="nil"/>
                    <w:bottom w:val="nil"/>
                    <w:right w:val="nil"/>
                  </w:tcBorders>
                  <w:noWrap/>
                  <w:vAlign w:val="bottom"/>
                  <w:hideMark/>
                </w:tcPr>
                <w:p w14:paraId="0E7F5254"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0,7</w:t>
                  </w:r>
                </w:p>
              </w:tc>
              <w:tc>
                <w:tcPr>
                  <w:tcW w:w="699" w:type="dxa"/>
                  <w:tcBorders>
                    <w:top w:val="single" w:sz="4" w:space="0" w:color="auto"/>
                    <w:left w:val="nil"/>
                    <w:bottom w:val="nil"/>
                    <w:right w:val="nil"/>
                  </w:tcBorders>
                  <w:noWrap/>
                  <w:vAlign w:val="bottom"/>
                  <w:hideMark/>
                </w:tcPr>
                <w:p w14:paraId="45860C33"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0,9</w:t>
                  </w:r>
                </w:p>
              </w:tc>
            </w:tr>
            <w:tr w:rsidR="006B1AFC" w:rsidRPr="00240315" w14:paraId="2050D45A" w14:textId="77777777" w:rsidTr="003C4A79">
              <w:trPr>
                <w:trHeight w:val="255"/>
              </w:trPr>
              <w:tc>
                <w:tcPr>
                  <w:tcW w:w="3559" w:type="dxa"/>
                  <w:tcBorders>
                    <w:top w:val="nil"/>
                    <w:left w:val="nil"/>
                    <w:bottom w:val="nil"/>
                    <w:right w:val="nil"/>
                  </w:tcBorders>
                  <w:vAlign w:val="bottom"/>
                  <w:hideMark/>
                </w:tcPr>
                <w:p w14:paraId="7CC3C0AC" w14:textId="77777777" w:rsidR="006B1AFC" w:rsidRPr="00240315" w:rsidRDefault="006B1AFC" w:rsidP="003C4A79">
                  <w:pPr>
                    <w:spacing w:after="0" w:line="240" w:lineRule="auto"/>
                    <w:ind w:firstLine="224"/>
                    <w:jc w:val="left"/>
                    <w:rPr>
                      <w:rFonts w:cs="Arial"/>
                      <w:color w:val="000000"/>
                      <w:sz w:val="16"/>
                      <w:szCs w:val="16"/>
                      <w:lang w:eastAsia="ko-KR"/>
                    </w:rPr>
                  </w:pPr>
                  <w:r w:rsidRPr="00240315">
                    <w:rPr>
                      <w:rFonts w:cs="Arial"/>
                      <w:color w:val="000000"/>
                      <w:sz w:val="16"/>
                      <w:szCs w:val="16"/>
                      <w:lang w:eastAsia="ko-KR"/>
                    </w:rPr>
                    <w:t>Potraviny a nealkoholické nápoje</w:t>
                  </w:r>
                </w:p>
              </w:tc>
              <w:tc>
                <w:tcPr>
                  <w:tcW w:w="699" w:type="dxa"/>
                  <w:tcBorders>
                    <w:top w:val="nil"/>
                    <w:left w:val="nil"/>
                    <w:bottom w:val="nil"/>
                    <w:right w:val="nil"/>
                  </w:tcBorders>
                  <w:noWrap/>
                  <w:vAlign w:val="bottom"/>
                  <w:hideMark/>
                </w:tcPr>
                <w:p w14:paraId="7CC37A78"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4,2</w:t>
                  </w:r>
                </w:p>
              </w:tc>
              <w:tc>
                <w:tcPr>
                  <w:tcW w:w="699" w:type="dxa"/>
                  <w:tcBorders>
                    <w:top w:val="nil"/>
                    <w:left w:val="nil"/>
                    <w:bottom w:val="nil"/>
                    <w:right w:val="nil"/>
                  </w:tcBorders>
                  <w:noWrap/>
                  <w:vAlign w:val="bottom"/>
                  <w:hideMark/>
                </w:tcPr>
                <w:p w14:paraId="723E54B0"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2,5</w:t>
                  </w:r>
                </w:p>
              </w:tc>
              <w:tc>
                <w:tcPr>
                  <w:tcW w:w="699" w:type="dxa"/>
                  <w:tcBorders>
                    <w:top w:val="nil"/>
                    <w:left w:val="nil"/>
                    <w:bottom w:val="nil"/>
                    <w:right w:val="nil"/>
                  </w:tcBorders>
                  <w:noWrap/>
                  <w:vAlign w:val="bottom"/>
                  <w:hideMark/>
                </w:tcPr>
                <w:p w14:paraId="5C43D0F5"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0,2</w:t>
                  </w:r>
                </w:p>
              </w:tc>
              <w:tc>
                <w:tcPr>
                  <w:tcW w:w="699" w:type="dxa"/>
                  <w:tcBorders>
                    <w:top w:val="nil"/>
                    <w:left w:val="nil"/>
                    <w:bottom w:val="nil"/>
                    <w:right w:val="nil"/>
                  </w:tcBorders>
                  <w:noWrap/>
                  <w:vAlign w:val="bottom"/>
                  <w:hideMark/>
                </w:tcPr>
                <w:p w14:paraId="30B42BEF"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−2,2</w:t>
                  </w:r>
                </w:p>
              </w:tc>
              <w:tc>
                <w:tcPr>
                  <w:tcW w:w="464" w:type="dxa"/>
                  <w:tcBorders>
                    <w:top w:val="nil"/>
                    <w:left w:val="nil"/>
                    <w:bottom w:val="nil"/>
                    <w:right w:val="nil"/>
                  </w:tcBorders>
                  <w:noWrap/>
                  <w:vAlign w:val="bottom"/>
                  <w:hideMark/>
                </w:tcPr>
                <w:p w14:paraId="0B063D01" w14:textId="77777777" w:rsidR="006B1AFC" w:rsidRPr="00240315" w:rsidRDefault="006B1AFC" w:rsidP="003C4A79">
                  <w:pPr>
                    <w:spacing w:after="0" w:line="240" w:lineRule="auto"/>
                    <w:jc w:val="right"/>
                    <w:rPr>
                      <w:rFonts w:cs="Arial"/>
                      <w:color w:val="000000"/>
                      <w:sz w:val="16"/>
                      <w:szCs w:val="16"/>
                      <w:lang w:eastAsia="ko-KR"/>
                    </w:rPr>
                  </w:pPr>
                </w:p>
              </w:tc>
              <w:tc>
                <w:tcPr>
                  <w:tcW w:w="699" w:type="dxa"/>
                  <w:tcBorders>
                    <w:top w:val="nil"/>
                    <w:left w:val="nil"/>
                    <w:bottom w:val="nil"/>
                    <w:right w:val="nil"/>
                  </w:tcBorders>
                  <w:noWrap/>
                  <w:vAlign w:val="bottom"/>
                  <w:hideMark/>
                </w:tcPr>
                <w:p w14:paraId="095F064A"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240315">
                    <w:rPr>
                      <w:rFonts w:cs="Arial"/>
                      <w:color w:val="000000"/>
                      <w:sz w:val="16"/>
                      <w:szCs w:val="16"/>
                      <w:lang w:eastAsia="ko-KR"/>
                    </w:rPr>
                    <w:t>0,5</w:t>
                  </w:r>
                </w:p>
              </w:tc>
              <w:tc>
                <w:tcPr>
                  <w:tcW w:w="699" w:type="dxa"/>
                  <w:tcBorders>
                    <w:top w:val="nil"/>
                    <w:left w:val="nil"/>
                    <w:bottom w:val="nil"/>
                    <w:right w:val="nil"/>
                  </w:tcBorders>
                  <w:noWrap/>
                  <w:vAlign w:val="bottom"/>
                  <w:hideMark/>
                </w:tcPr>
                <w:p w14:paraId="1D80FDD5"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240315">
                    <w:rPr>
                      <w:rFonts w:cs="Arial"/>
                      <w:color w:val="000000"/>
                      <w:sz w:val="16"/>
                      <w:szCs w:val="16"/>
                      <w:lang w:eastAsia="ko-KR"/>
                    </w:rPr>
                    <w:t>0,7</w:t>
                  </w:r>
                </w:p>
              </w:tc>
              <w:tc>
                <w:tcPr>
                  <w:tcW w:w="699" w:type="dxa"/>
                  <w:tcBorders>
                    <w:top w:val="nil"/>
                    <w:left w:val="nil"/>
                    <w:bottom w:val="nil"/>
                    <w:right w:val="nil"/>
                  </w:tcBorders>
                  <w:noWrap/>
                  <w:vAlign w:val="bottom"/>
                  <w:hideMark/>
                </w:tcPr>
                <w:p w14:paraId="789689A6"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0,4</w:t>
                  </w:r>
                </w:p>
              </w:tc>
              <w:tc>
                <w:tcPr>
                  <w:tcW w:w="699" w:type="dxa"/>
                  <w:tcBorders>
                    <w:top w:val="nil"/>
                    <w:left w:val="nil"/>
                    <w:bottom w:val="nil"/>
                    <w:right w:val="nil"/>
                  </w:tcBorders>
                  <w:noWrap/>
                  <w:vAlign w:val="bottom"/>
                  <w:hideMark/>
                </w:tcPr>
                <w:p w14:paraId="422BAB20"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240315">
                    <w:rPr>
                      <w:rFonts w:cs="Arial"/>
                      <w:color w:val="000000"/>
                      <w:sz w:val="16"/>
                      <w:szCs w:val="16"/>
                      <w:lang w:eastAsia="ko-KR"/>
                    </w:rPr>
                    <w:t>1,4</w:t>
                  </w:r>
                </w:p>
              </w:tc>
            </w:tr>
            <w:tr w:rsidR="006B1AFC" w:rsidRPr="00240315" w14:paraId="1A7B7AB4" w14:textId="77777777" w:rsidTr="003C4A79">
              <w:trPr>
                <w:trHeight w:val="255"/>
              </w:trPr>
              <w:tc>
                <w:tcPr>
                  <w:tcW w:w="3559" w:type="dxa"/>
                  <w:tcBorders>
                    <w:top w:val="nil"/>
                    <w:left w:val="nil"/>
                    <w:bottom w:val="nil"/>
                    <w:right w:val="nil"/>
                  </w:tcBorders>
                  <w:vAlign w:val="bottom"/>
                  <w:hideMark/>
                </w:tcPr>
                <w:p w14:paraId="57EF3F7C" w14:textId="77777777" w:rsidR="006B1AFC" w:rsidRPr="00240315" w:rsidRDefault="006B1AFC" w:rsidP="003C4A79">
                  <w:pPr>
                    <w:spacing w:after="0" w:line="240" w:lineRule="auto"/>
                    <w:ind w:firstLine="224"/>
                    <w:jc w:val="left"/>
                    <w:rPr>
                      <w:rFonts w:cs="Arial"/>
                      <w:color w:val="000000"/>
                      <w:sz w:val="16"/>
                      <w:szCs w:val="16"/>
                      <w:lang w:eastAsia="ko-KR"/>
                    </w:rPr>
                  </w:pPr>
                  <w:r w:rsidRPr="00240315">
                    <w:rPr>
                      <w:rFonts w:cs="Arial"/>
                      <w:color w:val="000000"/>
                      <w:sz w:val="16"/>
                      <w:szCs w:val="16"/>
                      <w:lang w:eastAsia="ko-KR"/>
                    </w:rPr>
                    <w:t>Alkoholické nápoje, tabák</w:t>
                  </w:r>
                </w:p>
              </w:tc>
              <w:tc>
                <w:tcPr>
                  <w:tcW w:w="699" w:type="dxa"/>
                  <w:tcBorders>
                    <w:top w:val="nil"/>
                    <w:left w:val="nil"/>
                    <w:bottom w:val="nil"/>
                    <w:right w:val="nil"/>
                  </w:tcBorders>
                  <w:noWrap/>
                  <w:vAlign w:val="bottom"/>
                  <w:hideMark/>
                </w:tcPr>
                <w:p w14:paraId="10635A22"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3,5</w:t>
                  </w:r>
                </w:p>
              </w:tc>
              <w:tc>
                <w:tcPr>
                  <w:tcW w:w="699" w:type="dxa"/>
                  <w:tcBorders>
                    <w:top w:val="nil"/>
                    <w:left w:val="nil"/>
                    <w:bottom w:val="nil"/>
                    <w:right w:val="nil"/>
                  </w:tcBorders>
                  <w:noWrap/>
                  <w:vAlign w:val="bottom"/>
                  <w:hideMark/>
                </w:tcPr>
                <w:p w14:paraId="4E8574E9"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4,1</w:t>
                  </w:r>
                </w:p>
              </w:tc>
              <w:tc>
                <w:tcPr>
                  <w:tcW w:w="699" w:type="dxa"/>
                  <w:tcBorders>
                    <w:top w:val="nil"/>
                    <w:left w:val="nil"/>
                    <w:bottom w:val="nil"/>
                    <w:right w:val="nil"/>
                  </w:tcBorders>
                  <w:noWrap/>
                  <w:vAlign w:val="bottom"/>
                  <w:hideMark/>
                </w:tcPr>
                <w:p w14:paraId="70E2EF13"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4,0</w:t>
                  </w:r>
                </w:p>
              </w:tc>
              <w:tc>
                <w:tcPr>
                  <w:tcW w:w="699" w:type="dxa"/>
                  <w:tcBorders>
                    <w:top w:val="nil"/>
                    <w:left w:val="nil"/>
                    <w:bottom w:val="nil"/>
                    <w:right w:val="nil"/>
                  </w:tcBorders>
                  <w:noWrap/>
                  <w:vAlign w:val="bottom"/>
                  <w:hideMark/>
                </w:tcPr>
                <w:p w14:paraId="4CFAA356"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4,4</w:t>
                  </w:r>
                </w:p>
              </w:tc>
              <w:tc>
                <w:tcPr>
                  <w:tcW w:w="464" w:type="dxa"/>
                  <w:tcBorders>
                    <w:top w:val="nil"/>
                    <w:left w:val="nil"/>
                    <w:bottom w:val="nil"/>
                    <w:right w:val="nil"/>
                  </w:tcBorders>
                  <w:noWrap/>
                  <w:vAlign w:val="bottom"/>
                  <w:hideMark/>
                </w:tcPr>
                <w:p w14:paraId="465908C3" w14:textId="77777777" w:rsidR="006B1AFC" w:rsidRPr="00240315" w:rsidRDefault="006B1AFC" w:rsidP="003C4A79">
                  <w:pPr>
                    <w:spacing w:after="0" w:line="240" w:lineRule="auto"/>
                    <w:jc w:val="right"/>
                    <w:rPr>
                      <w:rFonts w:cs="Arial"/>
                      <w:color w:val="000000"/>
                      <w:sz w:val="16"/>
                      <w:szCs w:val="16"/>
                      <w:lang w:eastAsia="ko-KR"/>
                    </w:rPr>
                  </w:pPr>
                </w:p>
              </w:tc>
              <w:tc>
                <w:tcPr>
                  <w:tcW w:w="699" w:type="dxa"/>
                  <w:tcBorders>
                    <w:top w:val="nil"/>
                    <w:left w:val="nil"/>
                    <w:bottom w:val="nil"/>
                    <w:right w:val="nil"/>
                  </w:tcBorders>
                  <w:noWrap/>
                  <w:vAlign w:val="bottom"/>
                  <w:hideMark/>
                </w:tcPr>
                <w:p w14:paraId="60B1F79B"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0,5</w:t>
                  </w:r>
                </w:p>
              </w:tc>
              <w:tc>
                <w:tcPr>
                  <w:tcW w:w="699" w:type="dxa"/>
                  <w:tcBorders>
                    <w:top w:val="nil"/>
                    <w:left w:val="nil"/>
                    <w:bottom w:val="nil"/>
                    <w:right w:val="nil"/>
                  </w:tcBorders>
                  <w:noWrap/>
                  <w:vAlign w:val="bottom"/>
                  <w:hideMark/>
                </w:tcPr>
                <w:p w14:paraId="2674DC30"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0,6</w:t>
                  </w:r>
                </w:p>
              </w:tc>
              <w:tc>
                <w:tcPr>
                  <w:tcW w:w="699" w:type="dxa"/>
                  <w:tcBorders>
                    <w:top w:val="nil"/>
                    <w:left w:val="nil"/>
                    <w:bottom w:val="nil"/>
                    <w:right w:val="nil"/>
                  </w:tcBorders>
                  <w:noWrap/>
                  <w:vAlign w:val="bottom"/>
                  <w:hideMark/>
                </w:tcPr>
                <w:p w14:paraId="6C2FDFF9"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2,8</w:t>
                  </w:r>
                </w:p>
              </w:tc>
              <w:tc>
                <w:tcPr>
                  <w:tcW w:w="699" w:type="dxa"/>
                  <w:tcBorders>
                    <w:top w:val="nil"/>
                    <w:left w:val="nil"/>
                    <w:bottom w:val="nil"/>
                    <w:right w:val="nil"/>
                  </w:tcBorders>
                  <w:noWrap/>
                  <w:vAlign w:val="bottom"/>
                  <w:hideMark/>
                </w:tcPr>
                <w:p w14:paraId="03B038B0"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0,5</w:t>
                  </w:r>
                </w:p>
              </w:tc>
            </w:tr>
            <w:tr w:rsidR="006B1AFC" w:rsidRPr="00240315" w14:paraId="31D76465" w14:textId="77777777" w:rsidTr="003C4A79">
              <w:trPr>
                <w:trHeight w:val="255"/>
              </w:trPr>
              <w:tc>
                <w:tcPr>
                  <w:tcW w:w="3559" w:type="dxa"/>
                  <w:tcBorders>
                    <w:top w:val="nil"/>
                    <w:left w:val="nil"/>
                    <w:bottom w:val="nil"/>
                    <w:right w:val="nil"/>
                  </w:tcBorders>
                  <w:vAlign w:val="bottom"/>
                  <w:hideMark/>
                </w:tcPr>
                <w:p w14:paraId="0E1EF8CD" w14:textId="77777777" w:rsidR="006B1AFC" w:rsidRPr="00240315" w:rsidRDefault="006B1AFC" w:rsidP="003C4A79">
                  <w:pPr>
                    <w:spacing w:after="0" w:line="240" w:lineRule="auto"/>
                    <w:ind w:firstLine="224"/>
                    <w:jc w:val="left"/>
                    <w:rPr>
                      <w:rFonts w:cs="Arial"/>
                      <w:color w:val="000000"/>
                      <w:sz w:val="16"/>
                      <w:szCs w:val="16"/>
                      <w:lang w:eastAsia="ko-KR"/>
                    </w:rPr>
                  </w:pPr>
                  <w:r w:rsidRPr="00240315">
                    <w:rPr>
                      <w:rFonts w:cs="Arial"/>
                      <w:color w:val="000000"/>
                      <w:sz w:val="16"/>
                      <w:szCs w:val="16"/>
                      <w:lang w:eastAsia="ko-KR"/>
                    </w:rPr>
                    <w:t>Odívání a obuv</w:t>
                  </w:r>
                </w:p>
              </w:tc>
              <w:tc>
                <w:tcPr>
                  <w:tcW w:w="699" w:type="dxa"/>
                  <w:tcBorders>
                    <w:top w:val="nil"/>
                    <w:left w:val="nil"/>
                    <w:bottom w:val="nil"/>
                    <w:right w:val="nil"/>
                  </w:tcBorders>
                  <w:noWrap/>
                  <w:vAlign w:val="bottom"/>
                  <w:hideMark/>
                </w:tcPr>
                <w:p w14:paraId="553B86CB"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−1,8</w:t>
                  </w:r>
                </w:p>
              </w:tc>
              <w:tc>
                <w:tcPr>
                  <w:tcW w:w="699" w:type="dxa"/>
                  <w:tcBorders>
                    <w:top w:val="nil"/>
                    <w:left w:val="nil"/>
                    <w:bottom w:val="nil"/>
                    <w:right w:val="nil"/>
                  </w:tcBorders>
                  <w:noWrap/>
                  <w:vAlign w:val="bottom"/>
                  <w:hideMark/>
                </w:tcPr>
                <w:p w14:paraId="67AF0E08"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−2,0</w:t>
                  </w:r>
                </w:p>
              </w:tc>
              <w:tc>
                <w:tcPr>
                  <w:tcW w:w="699" w:type="dxa"/>
                  <w:tcBorders>
                    <w:top w:val="nil"/>
                    <w:left w:val="nil"/>
                    <w:bottom w:val="nil"/>
                    <w:right w:val="nil"/>
                  </w:tcBorders>
                  <w:noWrap/>
                  <w:vAlign w:val="bottom"/>
                  <w:hideMark/>
                </w:tcPr>
                <w:p w14:paraId="41BA4583"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−2,5</w:t>
                  </w:r>
                </w:p>
              </w:tc>
              <w:tc>
                <w:tcPr>
                  <w:tcW w:w="699" w:type="dxa"/>
                  <w:tcBorders>
                    <w:top w:val="nil"/>
                    <w:left w:val="nil"/>
                    <w:bottom w:val="nil"/>
                    <w:right w:val="nil"/>
                  </w:tcBorders>
                  <w:noWrap/>
                  <w:vAlign w:val="bottom"/>
                  <w:hideMark/>
                </w:tcPr>
                <w:p w14:paraId="22098F0E"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−2,5</w:t>
                  </w:r>
                </w:p>
              </w:tc>
              <w:tc>
                <w:tcPr>
                  <w:tcW w:w="464" w:type="dxa"/>
                  <w:tcBorders>
                    <w:top w:val="nil"/>
                    <w:left w:val="nil"/>
                    <w:bottom w:val="nil"/>
                    <w:right w:val="nil"/>
                  </w:tcBorders>
                  <w:noWrap/>
                  <w:vAlign w:val="bottom"/>
                  <w:hideMark/>
                </w:tcPr>
                <w:p w14:paraId="63C1C51B" w14:textId="77777777" w:rsidR="006B1AFC" w:rsidRPr="00240315" w:rsidRDefault="006B1AFC" w:rsidP="003C4A79">
                  <w:pPr>
                    <w:spacing w:after="0" w:line="240" w:lineRule="auto"/>
                    <w:jc w:val="right"/>
                    <w:rPr>
                      <w:rFonts w:cs="Arial"/>
                      <w:color w:val="000000"/>
                      <w:sz w:val="16"/>
                      <w:szCs w:val="16"/>
                      <w:lang w:eastAsia="ko-KR"/>
                    </w:rPr>
                  </w:pPr>
                </w:p>
              </w:tc>
              <w:tc>
                <w:tcPr>
                  <w:tcW w:w="699" w:type="dxa"/>
                  <w:tcBorders>
                    <w:top w:val="nil"/>
                    <w:left w:val="nil"/>
                    <w:bottom w:val="nil"/>
                    <w:right w:val="nil"/>
                  </w:tcBorders>
                  <w:noWrap/>
                  <w:vAlign w:val="bottom"/>
                  <w:hideMark/>
                </w:tcPr>
                <w:p w14:paraId="1BB37F6B"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240315">
                    <w:rPr>
                      <w:rFonts w:cs="Arial"/>
                      <w:color w:val="000000"/>
                      <w:sz w:val="16"/>
                      <w:szCs w:val="16"/>
                      <w:lang w:eastAsia="ko-KR"/>
                    </w:rPr>
                    <w:t>1,2</w:t>
                  </w:r>
                </w:p>
              </w:tc>
              <w:tc>
                <w:tcPr>
                  <w:tcW w:w="699" w:type="dxa"/>
                  <w:tcBorders>
                    <w:top w:val="nil"/>
                    <w:left w:val="nil"/>
                    <w:bottom w:val="nil"/>
                    <w:right w:val="nil"/>
                  </w:tcBorders>
                  <w:noWrap/>
                  <w:vAlign w:val="bottom"/>
                  <w:hideMark/>
                </w:tcPr>
                <w:p w14:paraId="502BE0D8"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1,3</w:t>
                  </w:r>
                </w:p>
              </w:tc>
              <w:tc>
                <w:tcPr>
                  <w:tcW w:w="699" w:type="dxa"/>
                  <w:tcBorders>
                    <w:top w:val="nil"/>
                    <w:left w:val="nil"/>
                    <w:bottom w:val="nil"/>
                    <w:right w:val="nil"/>
                  </w:tcBorders>
                  <w:noWrap/>
                  <w:vAlign w:val="bottom"/>
                  <w:hideMark/>
                </w:tcPr>
                <w:p w14:paraId="3E5DA86B"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240315">
                    <w:rPr>
                      <w:rFonts w:cs="Arial"/>
                      <w:color w:val="000000"/>
                      <w:sz w:val="16"/>
                      <w:szCs w:val="16"/>
                      <w:lang w:eastAsia="ko-KR"/>
                    </w:rPr>
                    <w:t>2,7</w:t>
                  </w:r>
                </w:p>
              </w:tc>
              <w:tc>
                <w:tcPr>
                  <w:tcW w:w="699" w:type="dxa"/>
                  <w:tcBorders>
                    <w:top w:val="nil"/>
                    <w:left w:val="nil"/>
                    <w:bottom w:val="nil"/>
                    <w:right w:val="nil"/>
                  </w:tcBorders>
                  <w:noWrap/>
                  <w:vAlign w:val="bottom"/>
                  <w:hideMark/>
                </w:tcPr>
                <w:p w14:paraId="2A12E491"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0,1</w:t>
                  </w:r>
                </w:p>
              </w:tc>
            </w:tr>
            <w:tr w:rsidR="006B1AFC" w:rsidRPr="00240315" w14:paraId="0A044222" w14:textId="77777777" w:rsidTr="003C4A79">
              <w:trPr>
                <w:trHeight w:val="255"/>
              </w:trPr>
              <w:tc>
                <w:tcPr>
                  <w:tcW w:w="3559" w:type="dxa"/>
                  <w:tcBorders>
                    <w:top w:val="nil"/>
                    <w:left w:val="nil"/>
                    <w:bottom w:val="nil"/>
                    <w:right w:val="nil"/>
                  </w:tcBorders>
                  <w:vAlign w:val="bottom"/>
                  <w:hideMark/>
                </w:tcPr>
                <w:p w14:paraId="2F3348BD" w14:textId="77777777" w:rsidR="006B1AFC" w:rsidRPr="00240315" w:rsidRDefault="006B1AFC" w:rsidP="003C4A79">
                  <w:pPr>
                    <w:spacing w:after="0" w:line="240" w:lineRule="auto"/>
                    <w:ind w:firstLine="224"/>
                    <w:jc w:val="left"/>
                    <w:rPr>
                      <w:rFonts w:cs="Arial"/>
                      <w:color w:val="000000"/>
                      <w:sz w:val="16"/>
                      <w:szCs w:val="16"/>
                      <w:lang w:eastAsia="ko-KR"/>
                    </w:rPr>
                  </w:pPr>
                  <w:r w:rsidRPr="00240315">
                    <w:rPr>
                      <w:rFonts w:cs="Arial"/>
                      <w:color w:val="000000"/>
                      <w:sz w:val="16"/>
                      <w:szCs w:val="16"/>
                      <w:lang w:eastAsia="ko-KR"/>
                    </w:rPr>
                    <w:t>Bydlení, voda, energie, paliva</w:t>
                  </w:r>
                </w:p>
              </w:tc>
              <w:tc>
                <w:tcPr>
                  <w:tcW w:w="699" w:type="dxa"/>
                  <w:tcBorders>
                    <w:top w:val="nil"/>
                    <w:left w:val="nil"/>
                    <w:bottom w:val="nil"/>
                    <w:right w:val="nil"/>
                  </w:tcBorders>
                  <w:noWrap/>
                  <w:vAlign w:val="bottom"/>
                  <w:hideMark/>
                </w:tcPr>
                <w:p w14:paraId="5D7A5087"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2,1</w:t>
                  </w:r>
                </w:p>
              </w:tc>
              <w:tc>
                <w:tcPr>
                  <w:tcW w:w="699" w:type="dxa"/>
                  <w:tcBorders>
                    <w:top w:val="nil"/>
                    <w:left w:val="nil"/>
                    <w:bottom w:val="nil"/>
                    <w:right w:val="nil"/>
                  </w:tcBorders>
                  <w:noWrap/>
                  <w:vAlign w:val="bottom"/>
                  <w:hideMark/>
                </w:tcPr>
                <w:p w14:paraId="38702B07"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1,8</w:t>
                  </w:r>
                </w:p>
              </w:tc>
              <w:tc>
                <w:tcPr>
                  <w:tcW w:w="699" w:type="dxa"/>
                  <w:tcBorders>
                    <w:top w:val="nil"/>
                    <w:left w:val="nil"/>
                    <w:bottom w:val="nil"/>
                    <w:right w:val="nil"/>
                  </w:tcBorders>
                  <w:noWrap/>
                  <w:vAlign w:val="bottom"/>
                  <w:hideMark/>
                </w:tcPr>
                <w:p w14:paraId="422F792B"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0,9</w:t>
                  </w:r>
                </w:p>
              </w:tc>
              <w:tc>
                <w:tcPr>
                  <w:tcW w:w="699" w:type="dxa"/>
                  <w:tcBorders>
                    <w:top w:val="nil"/>
                    <w:left w:val="nil"/>
                    <w:bottom w:val="nil"/>
                    <w:right w:val="nil"/>
                  </w:tcBorders>
                  <w:noWrap/>
                  <w:vAlign w:val="bottom"/>
                  <w:hideMark/>
                </w:tcPr>
                <w:p w14:paraId="3248475B"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1,3</w:t>
                  </w:r>
                </w:p>
              </w:tc>
              <w:tc>
                <w:tcPr>
                  <w:tcW w:w="464" w:type="dxa"/>
                  <w:tcBorders>
                    <w:top w:val="nil"/>
                    <w:left w:val="nil"/>
                    <w:bottom w:val="nil"/>
                    <w:right w:val="nil"/>
                  </w:tcBorders>
                  <w:noWrap/>
                  <w:vAlign w:val="bottom"/>
                  <w:hideMark/>
                </w:tcPr>
                <w:p w14:paraId="19E634A5" w14:textId="77777777" w:rsidR="006B1AFC" w:rsidRPr="00240315" w:rsidRDefault="006B1AFC" w:rsidP="003C4A79">
                  <w:pPr>
                    <w:spacing w:after="0" w:line="240" w:lineRule="auto"/>
                    <w:jc w:val="right"/>
                    <w:rPr>
                      <w:rFonts w:cs="Arial"/>
                      <w:color w:val="000000"/>
                      <w:sz w:val="16"/>
                      <w:szCs w:val="16"/>
                      <w:lang w:eastAsia="ko-KR"/>
                    </w:rPr>
                  </w:pPr>
                </w:p>
              </w:tc>
              <w:tc>
                <w:tcPr>
                  <w:tcW w:w="699" w:type="dxa"/>
                  <w:tcBorders>
                    <w:top w:val="nil"/>
                    <w:left w:val="nil"/>
                    <w:bottom w:val="nil"/>
                    <w:right w:val="nil"/>
                  </w:tcBorders>
                  <w:noWrap/>
                  <w:vAlign w:val="bottom"/>
                  <w:hideMark/>
                </w:tcPr>
                <w:p w14:paraId="2F7E5577"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0,6</w:t>
                  </w:r>
                </w:p>
              </w:tc>
              <w:tc>
                <w:tcPr>
                  <w:tcW w:w="699" w:type="dxa"/>
                  <w:tcBorders>
                    <w:top w:val="nil"/>
                    <w:left w:val="nil"/>
                    <w:bottom w:val="nil"/>
                    <w:right w:val="nil"/>
                  </w:tcBorders>
                  <w:noWrap/>
                  <w:vAlign w:val="bottom"/>
                  <w:hideMark/>
                </w:tcPr>
                <w:p w14:paraId="1CA18090"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0,4</w:t>
                  </w:r>
                </w:p>
              </w:tc>
              <w:tc>
                <w:tcPr>
                  <w:tcW w:w="699" w:type="dxa"/>
                  <w:tcBorders>
                    <w:top w:val="nil"/>
                    <w:left w:val="nil"/>
                    <w:bottom w:val="nil"/>
                    <w:right w:val="nil"/>
                  </w:tcBorders>
                  <w:noWrap/>
                  <w:vAlign w:val="bottom"/>
                  <w:hideMark/>
                </w:tcPr>
                <w:p w14:paraId="7ACDCEFA"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240315">
                    <w:rPr>
                      <w:rFonts w:cs="Arial"/>
                      <w:color w:val="000000"/>
                      <w:sz w:val="16"/>
                      <w:szCs w:val="16"/>
                      <w:lang w:eastAsia="ko-KR"/>
                    </w:rPr>
                    <w:t>0,5</w:t>
                  </w:r>
                </w:p>
              </w:tc>
              <w:tc>
                <w:tcPr>
                  <w:tcW w:w="699" w:type="dxa"/>
                  <w:tcBorders>
                    <w:top w:val="nil"/>
                    <w:left w:val="nil"/>
                    <w:bottom w:val="nil"/>
                    <w:right w:val="nil"/>
                  </w:tcBorders>
                  <w:noWrap/>
                  <w:vAlign w:val="bottom"/>
                  <w:hideMark/>
                </w:tcPr>
                <w:p w14:paraId="448A55A4"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0,7</w:t>
                  </w:r>
                </w:p>
              </w:tc>
            </w:tr>
            <w:tr w:rsidR="006B1AFC" w:rsidRPr="00240315" w14:paraId="2491F1D0" w14:textId="77777777" w:rsidTr="003C4A79">
              <w:trPr>
                <w:trHeight w:val="255"/>
              </w:trPr>
              <w:tc>
                <w:tcPr>
                  <w:tcW w:w="3559" w:type="dxa"/>
                  <w:tcBorders>
                    <w:top w:val="nil"/>
                    <w:left w:val="nil"/>
                    <w:bottom w:val="nil"/>
                    <w:right w:val="nil"/>
                  </w:tcBorders>
                  <w:vAlign w:val="bottom"/>
                  <w:hideMark/>
                </w:tcPr>
                <w:p w14:paraId="6069C5C0" w14:textId="77777777" w:rsidR="006B1AFC" w:rsidRPr="00240315" w:rsidRDefault="006B1AFC" w:rsidP="003C4A79">
                  <w:pPr>
                    <w:spacing w:after="0" w:line="240" w:lineRule="auto"/>
                    <w:ind w:firstLine="224"/>
                    <w:jc w:val="left"/>
                    <w:rPr>
                      <w:rFonts w:cs="Arial"/>
                      <w:color w:val="000000"/>
                      <w:sz w:val="16"/>
                      <w:szCs w:val="16"/>
                      <w:lang w:eastAsia="ko-KR"/>
                    </w:rPr>
                  </w:pPr>
                  <w:r w:rsidRPr="00240315">
                    <w:rPr>
                      <w:rFonts w:cs="Arial"/>
                      <w:color w:val="000000"/>
                      <w:sz w:val="16"/>
                      <w:szCs w:val="16"/>
                      <w:lang w:eastAsia="ko-KR"/>
                    </w:rPr>
                    <w:t>Vybavení, zařízení a služby pro domácnost</w:t>
                  </w:r>
                </w:p>
              </w:tc>
              <w:tc>
                <w:tcPr>
                  <w:tcW w:w="699" w:type="dxa"/>
                  <w:tcBorders>
                    <w:top w:val="nil"/>
                    <w:left w:val="nil"/>
                    <w:bottom w:val="nil"/>
                    <w:right w:val="nil"/>
                  </w:tcBorders>
                  <w:noWrap/>
                  <w:vAlign w:val="bottom"/>
                  <w:hideMark/>
                </w:tcPr>
                <w:p w14:paraId="54D447D1"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1,6</w:t>
                  </w:r>
                </w:p>
              </w:tc>
              <w:tc>
                <w:tcPr>
                  <w:tcW w:w="699" w:type="dxa"/>
                  <w:tcBorders>
                    <w:top w:val="nil"/>
                    <w:left w:val="nil"/>
                    <w:bottom w:val="nil"/>
                    <w:right w:val="nil"/>
                  </w:tcBorders>
                  <w:noWrap/>
                  <w:vAlign w:val="bottom"/>
                  <w:hideMark/>
                </w:tcPr>
                <w:p w14:paraId="6ED3FA6F"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1,2</w:t>
                  </w:r>
                </w:p>
              </w:tc>
              <w:tc>
                <w:tcPr>
                  <w:tcW w:w="699" w:type="dxa"/>
                  <w:tcBorders>
                    <w:top w:val="nil"/>
                    <w:left w:val="nil"/>
                    <w:bottom w:val="nil"/>
                    <w:right w:val="nil"/>
                  </w:tcBorders>
                  <w:noWrap/>
                  <w:vAlign w:val="bottom"/>
                  <w:hideMark/>
                </w:tcPr>
                <w:p w14:paraId="553B6889"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1,4</w:t>
                  </w:r>
                </w:p>
              </w:tc>
              <w:tc>
                <w:tcPr>
                  <w:tcW w:w="699" w:type="dxa"/>
                  <w:tcBorders>
                    <w:top w:val="nil"/>
                    <w:left w:val="nil"/>
                    <w:bottom w:val="nil"/>
                    <w:right w:val="nil"/>
                  </w:tcBorders>
                  <w:noWrap/>
                  <w:vAlign w:val="bottom"/>
                  <w:hideMark/>
                </w:tcPr>
                <w:p w14:paraId="6326457B"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1,3</w:t>
                  </w:r>
                </w:p>
              </w:tc>
              <w:tc>
                <w:tcPr>
                  <w:tcW w:w="464" w:type="dxa"/>
                  <w:tcBorders>
                    <w:top w:val="nil"/>
                    <w:left w:val="nil"/>
                    <w:bottom w:val="nil"/>
                    <w:right w:val="nil"/>
                  </w:tcBorders>
                  <w:noWrap/>
                  <w:vAlign w:val="bottom"/>
                  <w:hideMark/>
                </w:tcPr>
                <w:p w14:paraId="4E44673C" w14:textId="77777777" w:rsidR="006B1AFC" w:rsidRPr="00240315" w:rsidRDefault="006B1AFC" w:rsidP="003C4A79">
                  <w:pPr>
                    <w:spacing w:after="0" w:line="240" w:lineRule="auto"/>
                    <w:jc w:val="right"/>
                    <w:rPr>
                      <w:rFonts w:cs="Arial"/>
                      <w:color w:val="000000"/>
                      <w:sz w:val="16"/>
                      <w:szCs w:val="16"/>
                      <w:lang w:eastAsia="ko-KR"/>
                    </w:rPr>
                  </w:pPr>
                </w:p>
              </w:tc>
              <w:tc>
                <w:tcPr>
                  <w:tcW w:w="699" w:type="dxa"/>
                  <w:tcBorders>
                    <w:top w:val="nil"/>
                    <w:left w:val="nil"/>
                    <w:bottom w:val="nil"/>
                    <w:right w:val="nil"/>
                  </w:tcBorders>
                  <w:noWrap/>
                  <w:vAlign w:val="bottom"/>
                  <w:hideMark/>
                </w:tcPr>
                <w:p w14:paraId="313943B0"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0,0</w:t>
                  </w:r>
                </w:p>
              </w:tc>
              <w:tc>
                <w:tcPr>
                  <w:tcW w:w="699" w:type="dxa"/>
                  <w:tcBorders>
                    <w:top w:val="nil"/>
                    <w:left w:val="nil"/>
                    <w:bottom w:val="nil"/>
                    <w:right w:val="nil"/>
                  </w:tcBorders>
                  <w:noWrap/>
                  <w:vAlign w:val="bottom"/>
                  <w:hideMark/>
                </w:tcPr>
                <w:p w14:paraId="7CE67713"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0,0</w:t>
                  </w:r>
                </w:p>
              </w:tc>
              <w:tc>
                <w:tcPr>
                  <w:tcW w:w="699" w:type="dxa"/>
                  <w:tcBorders>
                    <w:top w:val="nil"/>
                    <w:left w:val="nil"/>
                    <w:bottom w:val="nil"/>
                    <w:right w:val="nil"/>
                  </w:tcBorders>
                  <w:noWrap/>
                  <w:vAlign w:val="bottom"/>
                  <w:hideMark/>
                </w:tcPr>
                <w:p w14:paraId="30730053"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0,6</w:t>
                  </w:r>
                </w:p>
              </w:tc>
              <w:tc>
                <w:tcPr>
                  <w:tcW w:w="699" w:type="dxa"/>
                  <w:tcBorders>
                    <w:top w:val="nil"/>
                    <w:left w:val="nil"/>
                    <w:bottom w:val="nil"/>
                    <w:right w:val="nil"/>
                  </w:tcBorders>
                  <w:noWrap/>
                  <w:vAlign w:val="bottom"/>
                  <w:hideMark/>
                </w:tcPr>
                <w:p w14:paraId="46E043B3"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0,6</w:t>
                  </w:r>
                </w:p>
              </w:tc>
            </w:tr>
            <w:tr w:rsidR="006B1AFC" w:rsidRPr="00240315" w14:paraId="39B93EFF" w14:textId="77777777" w:rsidTr="003C4A79">
              <w:trPr>
                <w:trHeight w:val="255"/>
              </w:trPr>
              <w:tc>
                <w:tcPr>
                  <w:tcW w:w="3559" w:type="dxa"/>
                  <w:tcBorders>
                    <w:top w:val="nil"/>
                    <w:left w:val="nil"/>
                    <w:bottom w:val="nil"/>
                    <w:right w:val="nil"/>
                  </w:tcBorders>
                  <w:vAlign w:val="bottom"/>
                  <w:hideMark/>
                </w:tcPr>
                <w:p w14:paraId="0DF66C7E" w14:textId="77777777" w:rsidR="006B1AFC" w:rsidRPr="00240315" w:rsidRDefault="006B1AFC" w:rsidP="003C4A79">
                  <w:pPr>
                    <w:spacing w:after="0" w:line="240" w:lineRule="auto"/>
                    <w:ind w:firstLine="224"/>
                    <w:jc w:val="left"/>
                    <w:rPr>
                      <w:rFonts w:cs="Arial"/>
                      <w:color w:val="000000"/>
                      <w:sz w:val="16"/>
                      <w:szCs w:val="16"/>
                      <w:lang w:eastAsia="ko-KR"/>
                    </w:rPr>
                  </w:pPr>
                  <w:r w:rsidRPr="00240315">
                    <w:rPr>
                      <w:rFonts w:cs="Arial"/>
                      <w:color w:val="000000"/>
                      <w:sz w:val="16"/>
                      <w:szCs w:val="16"/>
                      <w:lang w:eastAsia="ko-KR"/>
                    </w:rPr>
                    <w:t>Zdraví</w:t>
                  </w:r>
                </w:p>
              </w:tc>
              <w:tc>
                <w:tcPr>
                  <w:tcW w:w="699" w:type="dxa"/>
                  <w:tcBorders>
                    <w:top w:val="nil"/>
                    <w:left w:val="nil"/>
                    <w:bottom w:val="nil"/>
                    <w:right w:val="nil"/>
                  </w:tcBorders>
                  <w:noWrap/>
                  <w:vAlign w:val="bottom"/>
                  <w:hideMark/>
                </w:tcPr>
                <w:p w14:paraId="41ACCC87"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3,0</w:t>
                  </w:r>
                </w:p>
              </w:tc>
              <w:tc>
                <w:tcPr>
                  <w:tcW w:w="699" w:type="dxa"/>
                  <w:tcBorders>
                    <w:top w:val="nil"/>
                    <w:left w:val="nil"/>
                    <w:bottom w:val="nil"/>
                    <w:right w:val="nil"/>
                  </w:tcBorders>
                  <w:noWrap/>
                  <w:vAlign w:val="bottom"/>
                  <w:hideMark/>
                </w:tcPr>
                <w:p w14:paraId="1D2F3E12"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3,1</w:t>
                  </w:r>
                </w:p>
              </w:tc>
              <w:tc>
                <w:tcPr>
                  <w:tcW w:w="699" w:type="dxa"/>
                  <w:tcBorders>
                    <w:top w:val="nil"/>
                    <w:left w:val="nil"/>
                    <w:bottom w:val="nil"/>
                    <w:right w:val="nil"/>
                  </w:tcBorders>
                  <w:noWrap/>
                  <w:vAlign w:val="bottom"/>
                  <w:hideMark/>
                </w:tcPr>
                <w:p w14:paraId="386D0903"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4,1</w:t>
                  </w:r>
                </w:p>
              </w:tc>
              <w:tc>
                <w:tcPr>
                  <w:tcW w:w="699" w:type="dxa"/>
                  <w:tcBorders>
                    <w:top w:val="nil"/>
                    <w:left w:val="nil"/>
                    <w:bottom w:val="nil"/>
                    <w:right w:val="nil"/>
                  </w:tcBorders>
                  <w:noWrap/>
                  <w:vAlign w:val="bottom"/>
                  <w:hideMark/>
                </w:tcPr>
                <w:p w14:paraId="49FF9513"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3,4</w:t>
                  </w:r>
                </w:p>
              </w:tc>
              <w:tc>
                <w:tcPr>
                  <w:tcW w:w="464" w:type="dxa"/>
                  <w:tcBorders>
                    <w:top w:val="nil"/>
                    <w:left w:val="nil"/>
                    <w:bottom w:val="nil"/>
                    <w:right w:val="nil"/>
                  </w:tcBorders>
                  <w:noWrap/>
                  <w:vAlign w:val="bottom"/>
                  <w:hideMark/>
                </w:tcPr>
                <w:p w14:paraId="6D06E3B3" w14:textId="77777777" w:rsidR="006B1AFC" w:rsidRPr="00240315" w:rsidRDefault="006B1AFC" w:rsidP="003C4A79">
                  <w:pPr>
                    <w:spacing w:after="0" w:line="240" w:lineRule="auto"/>
                    <w:jc w:val="right"/>
                    <w:rPr>
                      <w:rFonts w:cs="Arial"/>
                      <w:color w:val="000000"/>
                      <w:sz w:val="16"/>
                      <w:szCs w:val="16"/>
                      <w:lang w:eastAsia="ko-KR"/>
                    </w:rPr>
                  </w:pPr>
                </w:p>
              </w:tc>
              <w:tc>
                <w:tcPr>
                  <w:tcW w:w="699" w:type="dxa"/>
                  <w:tcBorders>
                    <w:top w:val="nil"/>
                    <w:left w:val="nil"/>
                    <w:bottom w:val="nil"/>
                    <w:right w:val="nil"/>
                  </w:tcBorders>
                  <w:noWrap/>
                  <w:vAlign w:val="bottom"/>
                  <w:hideMark/>
                </w:tcPr>
                <w:p w14:paraId="3C5A3626"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0,5</w:t>
                  </w:r>
                </w:p>
              </w:tc>
              <w:tc>
                <w:tcPr>
                  <w:tcW w:w="699" w:type="dxa"/>
                  <w:tcBorders>
                    <w:top w:val="nil"/>
                    <w:left w:val="nil"/>
                    <w:bottom w:val="nil"/>
                    <w:right w:val="nil"/>
                  </w:tcBorders>
                  <w:noWrap/>
                  <w:vAlign w:val="bottom"/>
                  <w:hideMark/>
                </w:tcPr>
                <w:p w14:paraId="6BDC2DD6"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240315">
                    <w:rPr>
                      <w:rFonts w:cs="Arial"/>
                      <w:color w:val="000000"/>
                      <w:sz w:val="16"/>
                      <w:szCs w:val="16"/>
                      <w:lang w:eastAsia="ko-KR"/>
                    </w:rPr>
                    <w:t>0,6</w:t>
                  </w:r>
                </w:p>
              </w:tc>
              <w:tc>
                <w:tcPr>
                  <w:tcW w:w="699" w:type="dxa"/>
                  <w:tcBorders>
                    <w:top w:val="nil"/>
                    <w:left w:val="nil"/>
                    <w:bottom w:val="nil"/>
                    <w:right w:val="nil"/>
                  </w:tcBorders>
                  <w:noWrap/>
                  <w:vAlign w:val="bottom"/>
                  <w:hideMark/>
                </w:tcPr>
                <w:p w14:paraId="78D7695E"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2,5</w:t>
                  </w:r>
                </w:p>
              </w:tc>
              <w:tc>
                <w:tcPr>
                  <w:tcW w:w="699" w:type="dxa"/>
                  <w:tcBorders>
                    <w:top w:val="nil"/>
                    <w:left w:val="nil"/>
                    <w:bottom w:val="nil"/>
                    <w:right w:val="nil"/>
                  </w:tcBorders>
                  <w:noWrap/>
                  <w:vAlign w:val="bottom"/>
                  <w:hideMark/>
                </w:tcPr>
                <w:p w14:paraId="7AF23A73"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1,0</w:t>
                  </w:r>
                </w:p>
              </w:tc>
            </w:tr>
            <w:tr w:rsidR="006B1AFC" w:rsidRPr="00240315" w14:paraId="57CCDB2E" w14:textId="77777777" w:rsidTr="003C4A79">
              <w:trPr>
                <w:trHeight w:val="255"/>
              </w:trPr>
              <w:tc>
                <w:tcPr>
                  <w:tcW w:w="3559" w:type="dxa"/>
                  <w:tcBorders>
                    <w:top w:val="nil"/>
                    <w:left w:val="nil"/>
                    <w:bottom w:val="nil"/>
                    <w:right w:val="nil"/>
                  </w:tcBorders>
                  <w:vAlign w:val="bottom"/>
                  <w:hideMark/>
                </w:tcPr>
                <w:p w14:paraId="12B281CC" w14:textId="77777777" w:rsidR="006B1AFC" w:rsidRPr="00240315" w:rsidRDefault="006B1AFC" w:rsidP="003C4A79">
                  <w:pPr>
                    <w:spacing w:after="0" w:line="240" w:lineRule="auto"/>
                    <w:ind w:firstLine="224"/>
                    <w:jc w:val="left"/>
                    <w:rPr>
                      <w:rFonts w:cs="Arial"/>
                      <w:color w:val="000000"/>
                      <w:sz w:val="16"/>
                      <w:szCs w:val="16"/>
                      <w:lang w:eastAsia="ko-KR"/>
                    </w:rPr>
                  </w:pPr>
                  <w:r w:rsidRPr="00240315">
                    <w:rPr>
                      <w:rFonts w:cs="Arial"/>
                      <w:color w:val="000000"/>
                      <w:sz w:val="16"/>
                      <w:szCs w:val="16"/>
                      <w:lang w:eastAsia="ko-KR"/>
                    </w:rPr>
                    <w:t>Doprava</w:t>
                  </w:r>
                </w:p>
              </w:tc>
              <w:tc>
                <w:tcPr>
                  <w:tcW w:w="699" w:type="dxa"/>
                  <w:tcBorders>
                    <w:top w:val="nil"/>
                    <w:left w:val="nil"/>
                    <w:bottom w:val="nil"/>
                    <w:right w:val="nil"/>
                  </w:tcBorders>
                  <w:noWrap/>
                  <w:vAlign w:val="bottom"/>
                  <w:hideMark/>
                </w:tcPr>
                <w:p w14:paraId="652A3BAF"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−0,8</w:t>
                  </w:r>
                </w:p>
              </w:tc>
              <w:tc>
                <w:tcPr>
                  <w:tcW w:w="699" w:type="dxa"/>
                  <w:tcBorders>
                    <w:top w:val="nil"/>
                    <w:left w:val="nil"/>
                    <w:bottom w:val="nil"/>
                    <w:right w:val="nil"/>
                  </w:tcBorders>
                  <w:noWrap/>
                  <w:vAlign w:val="bottom"/>
                  <w:hideMark/>
                </w:tcPr>
                <w:p w14:paraId="20409AD8"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0,2</w:t>
                  </w:r>
                </w:p>
              </w:tc>
              <w:tc>
                <w:tcPr>
                  <w:tcW w:w="699" w:type="dxa"/>
                  <w:tcBorders>
                    <w:top w:val="nil"/>
                    <w:left w:val="nil"/>
                    <w:bottom w:val="nil"/>
                    <w:right w:val="nil"/>
                  </w:tcBorders>
                  <w:noWrap/>
                  <w:vAlign w:val="bottom"/>
                  <w:hideMark/>
                </w:tcPr>
                <w:p w14:paraId="69810404"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0,8</w:t>
                  </w:r>
                </w:p>
              </w:tc>
              <w:tc>
                <w:tcPr>
                  <w:tcW w:w="699" w:type="dxa"/>
                  <w:tcBorders>
                    <w:top w:val="nil"/>
                    <w:left w:val="nil"/>
                    <w:bottom w:val="nil"/>
                    <w:right w:val="nil"/>
                  </w:tcBorders>
                  <w:noWrap/>
                  <w:vAlign w:val="bottom"/>
                  <w:hideMark/>
                </w:tcPr>
                <w:p w14:paraId="15840C76"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7,9</w:t>
                  </w:r>
                </w:p>
              </w:tc>
              <w:tc>
                <w:tcPr>
                  <w:tcW w:w="464" w:type="dxa"/>
                  <w:tcBorders>
                    <w:top w:val="nil"/>
                    <w:left w:val="nil"/>
                    <w:bottom w:val="nil"/>
                    <w:right w:val="nil"/>
                  </w:tcBorders>
                  <w:noWrap/>
                  <w:vAlign w:val="bottom"/>
                  <w:hideMark/>
                </w:tcPr>
                <w:p w14:paraId="05DEB9C7" w14:textId="77777777" w:rsidR="006B1AFC" w:rsidRPr="00240315" w:rsidRDefault="006B1AFC" w:rsidP="003C4A79">
                  <w:pPr>
                    <w:spacing w:after="0" w:line="240" w:lineRule="auto"/>
                    <w:jc w:val="right"/>
                    <w:rPr>
                      <w:rFonts w:cs="Arial"/>
                      <w:color w:val="000000"/>
                      <w:sz w:val="16"/>
                      <w:szCs w:val="16"/>
                      <w:lang w:eastAsia="ko-KR"/>
                    </w:rPr>
                  </w:pPr>
                </w:p>
              </w:tc>
              <w:tc>
                <w:tcPr>
                  <w:tcW w:w="699" w:type="dxa"/>
                  <w:tcBorders>
                    <w:top w:val="nil"/>
                    <w:left w:val="nil"/>
                    <w:bottom w:val="nil"/>
                    <w:right w:val="nil"/>
                  </w:tcBorders>
                  <w:noWrap/>
                  <w:vAlign w:val="bottom"/>
                  <w:hideMark/>
                </w:tcPr>
                <w:p w14:paraId="4C89AF87"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0,2</w:t>
                  </w:r>
                </w:p>
              </w:tc>
              <w:tc>
                <w:tcPr>
                  <w:tcW w:w="699" w:type="dxa"/>
                  <w:tcBorders>
                    <w:top w:val="nil"/>
                    <w:left w:val="nil"/>
                    <w:bottom w:val="nil"/>
                    <w:right w:val="nil"/>
                  </w:tcBorders>
                  <w:noWrap/>
                  <w:vAlign w:val="bottom"/>
                  <w:hideMark/>
                </w:tcPr>
                <w:p w14:paraId="591FBCA3"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240315">
                    <w:rPr>
                      <w:rFonts w:cs="Arial"/>
                      <w:color w:val="000000"/>
                      <w:sz w:val="16"/>
                      <w:szCs w:val="16"/>
                      <w:lang w:eastAsia="ko-KR"/>
                    </w:rPr>
                    <w:t>0,1</w:t>
                  </w:r>
                </w:p>
              </w:tc>
              <w:tc>
                <w:tcPr>
                  <w:tcW w:w="699" w:type="dxa"/>
                  <w:tcBorders>
                    <w:top w:val="nil"/>
                    <w:left w:val="nil"/>
                    <w:bottom w:val="nil"/>
                    <w:right w:val="nil"/>
                  </w:tcBorders>
                  <w:noWrap/>
                  <w:vAlign w:val="bottom"/>
                  <w:hideMark/>
                </w:tcPr>
                <w:p w14:paraId="319496F4"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1,7</w:t>
                  </w:r>
                </w:p>
              </w:tc>
              <w:tc>
                <w:tcPr>
                  <w:tcW w:w="699" w:type="dxa"/>
                  <w:tcBorders>
                    <w:top w:val="nil"/>
                    <w:left w:val="nil"/>
                    <w:bottom w:val="nil"/>
                    <w:right w:val="nil"/>
                  </w:tcBorders>
                  <w:noWrap/>
                  <w:vAlign w:val="bottom"/>
                  <w:hideMark/>
                </w:tcPr>
                <w:p w14:paraId="2C6FCB09"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6,0</w:t>
                  </w:r>
                </w:p>
              </w:tc>
            </w:tr>
            <w:tr w:rsidR="006B1AFC" w:rsidRPr="00240315" w14:paraId="2BAFCC29" w14:textId="77777777" w:rsidTr="003C4A79">
              <w:trPr>
                <w:trHeight w:val="255"/>
              </w:trPr>
              <w:tc>
                <w:tcPr>
                  <w:tcW w:w="3559" w:type="dxa"/>
                  <w:tcBorders>
                    <w:top w:val="nil"/>
                    <w:left w:val="nil"/>
                    <w:bottom w:val="nil"/>
                    <w:right w:val="nil"/>
                  </w:tcBorders>
                  <w:vAlign w:val="bottom"/>
                  <w:hideMark/>
                </w:tcPr>
                <w:p w14:paraId="6901556A" w14:textId="77777777" w:rsidR="006B1AFC" w:rsidRPr="00240315" w:rsidRDefault="006B1AFC" w:rsidP="003C4A79">
                  <w:pPr>
                    <w:spacing w:after="0" w:line="240" w:lineRule="auto"/>
                    <w:ind w:firstLine="224"/>
                    <w:jc w:val="left"/>
                    <w:rPr>
                      <w:rFonts w:cs="Arial"/>
                      <w:color w:val="000000"/>
                      <w:sz w:val="16"/>
                      <w:szCs w:val="16"/>
                      <w:lang w:eastAsia="ko-KR"/>
                    </w:rPr>
                  </w:pPr>
                  <w:r w:rsidRPr="00240315">
                    <w:rPr>
                      <w:rFonts w:cs="Arial"/>
                      <w:color w:val="000000"/>
                      <w:sz w:val="16"/>
                      <w:szCs w:val="16"/>
                      <w:lang w:eastAsia="ko-KR"/>
                    </w:rPr>
                    <w:t>Informace a telekomunikace</w:t>
                  </w:r>
                </w:p>
              </w:tc>
              <w:tc>
                <w:tcPr>
                  <w:tcW w:w="699" w:type="dxa"/>
                  <w:tcBorders>
                    <w:top w:val="nil"/>
                    <w:left w:val="nil"/>
                    <w:bottom w:val="nil"/>
                    <w:right w:val="nil"/>
                  </w:tcBorders>
                  <w:noWrap/>
                  <w:vAlign w:val="bottom"/>
                  <w:hideMark/>
                </w:tcPr>
                <w:p w14:paraId="7336BE50"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2,2</w:t>
                  </w:r>
                </w:p>
              </w:tc>
              <w:tc>
                <w:tcPr>
                  <w:tcW w:w="699" w:type="dxa"/>
                  <w:tcBorders>
                    <w:top w:val="nil"/>
                    <w:left w:val="nil"/>
                    <w:bottom w:val="nil"/>
                    <w:right w:val="nil"/>
                  </w:tcBorders>
                  <w:noWrap/>
                  <w:vAlign w:val="bottom"/>
                  <w:hideMark/>
                </w:tcPr>
                <w:p w14:paraId="162FF81A"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2,1</w:t>
                  </w:r>
                </w:p>
              </w:tc>
              <w:tc>
                <w:tcPr>
                  <w:tcW w:w="699" w:type="dxa"/>
                  <w:tcBorders>
                    <w:top w:val="nil"/>
                    <w:left w:val="nil"/>
                    <w:bottom w:val="nil"/>
                    <w:right w:val="nil"/>
                  </w:tcBorders>
                  <w:noWrap/>
                  <w:vAlign w:val="bottom"/>
                  <w:hideMark/>
                </w:tcPr>
                <w:p w14:paraId="494DCCCB"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2,3</w:t>
                  </w:r>
                </w:p>
              </w:tc>
              <w:tc>
                <w:tcPr>
                  <w:tcW w:w="699" w:type="dxa"/>
                  <w:tcBorders>
                    <w:top w:val="nil"/>
                    <w:left w:val="nil"/>
                    <w:bottom w:val="nil"/>
                    <w:right w:val="nil"/>
                  </w:tcBorders>
                  <w:noWrap/>
                  <w:vAlign w:val="bottom"/>
                  <w:hideMark/>
                </w:tcPr>
                <w:p w14:paraId="48B66F4C"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2,6</w:t>
                  </w:r>
                </w:p>
              </w:tc>
              <w:tc>
                <w:tcPr>
                  <w:tcW w:w="464" w:type="dxa"/>
                  <w:tcBorders>
                    <w:top w:val="nil"/>
                    <w:left w:val="nil"/>
                    <w:bottom w:val="nil"/>
                    <w:right w:val="nil"/>
                  </w:tcBorders>
                  <w:noWrap/>
                  <w:vAlign w:val="bottom"/>
                  <w:hideMark/>
                </w:tcPr>
                <w:p w14:paraId="19D89180" w14:textId="77777777" w:rsidR="006B1AFC" w:rsidRPr="00240315" w:rsidRDefault="006B1AFC" w:rsidP="003C4A79">
                  <w:pPr>
                    <w:spacing w:after="0" w:line="240" w:lineRule="auto"/>
                    <w:jc w:val="right"/>
                    <w:rPr>
                      <w:rFonts w:cs="Arial"/>
                      <w:color w:val="000000"/>
                      <w:sz w:val="16"/>
                      <w:szCs w:val="16"/>
                      <w:lang w:eastAsia="ko-KR"/>
                    </w:rPr>
                  </w:pPr>
                </w:p>
              </w:tc>
              <w:tc>
                <w:tcPr>
                  <w:tcW w:w="699" w:type="dxa"/>
                  <w:tcBorders>
                    <w:top w:val="nil"/>
                    <w:left w:val="nil"/>
                    <w:bottom w:val="nil"/>
                    <w:right w:val="nil"/>
                  </w:tcBorders>
                  <w:noWrap/>
                  <w:vAlign w:val="bottom"/>
                  <w:hideMark/>
                </w:tcPr>
                <w:p w14:paraId="24529BA4"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0,8</w:t>
                  </w:r>
                </w:p>
              </w:tc>
              <w:tc>
                <w:tcPr>
                  <w:tcW w:w="699" w:type="dxa"/>
                  <w:tcBorders>
                    <w:top w:val="nil"/>
                    <w:left w:val="nil"/>
                    <w:bottom w:val="nil"/>
                    <w:right w:val="nil"/>
                  </w:tcBorders>
                  <w:noWrap/>
                  <w:vAlign w:val="bottom"/>
                  <w:hideMark/>
                </w:tcPr>
                <w:p w14:paraId="1029A8A4"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0,2</w:t>
                  </w:r>
                </w:p>
              </w:tc>
              <w:tc>
                <w:tcPr>
                  <w:tcW w:w="699" w:type="dxa"/>
                  <w:tcBorders>
                    <w:top w:val="nil"/>
                    <w:left w:val="nil"/>
                    <w:bottom w:val="nil"/>
                    <w:right w:val="nil"/>
                  </w:tcBorders>
                  <w:noWrap/>
                  <w:vAlign w:val="bottom"/>
                  <w:hideMark/>
                </w:tcPr>
                <w:p w14:paraId="293748B0"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0,6</w:t>
                  </w:r>
                </w:p>
              </w:tc>
              <w:tc>
                <w:tcPr>
                  <w:tcW w:w="699" w:type="dxa"/>
                  <w:tcBorders>
                    <w:top w:val="nil"/>
                    <w:left w:val="nil"/>
                    <w:bottom w:val="nil"/>
                    <w:right w:val="nil"/>
                  </w:tcBorders>
                  <w:noWrap/>
                  <w:vAlign w:val="bottom"/>
                  <w:hideMark/>
                </w:tcPr>
                <w:p w14:paraId="48EC48C0"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1,0</w:t>
                  </w:r>
                </w:p>
              </w:tc>
            </w:tr>
            <w:tr w:rsidR="006B1AFC" w:rsidRPr="00240315" w14:paraId="3969546F" w14:textId="77777777" w:rsidTr="003C4A79">
              <w:trPr>
                <w:trHeight w:val="255"/>
              </w:trPr>
              <w:tc>
                <w:tcPr>
                  <w:tcW w:w="3559" w:type="dxa"/>
                  <w:tcBorders>
                    <w:top w:val="nil"/>
                    <w:left w:val="nil"/>
                    <w:bottom w:val="nil"/>
                    <w:right w:val="nil"/>
                  </w:tcBorders>
                  <w:vAlign w:val="bottom"/>
                  <w:hideMark/>
                </w:tcPr>
                <w:p w14:paraId="123815A4" w14:textId="77777777" w:rsidR="006B1AFC" w:rsidRPr="00240315" w:rsidRDefault="006B1AFC" w:rsidP="003C4A79">
                  <w:pPr>
                    <w:spacing w:after="0" w:line="240" w:lineRule="auto"/>
                    <w:ind w:firstLine="224"/>
                    <w:jc w:val="left"/>
                    <w:rPr>
                      <w:rFonts w:cs="Arial"/>
                      <w:color w:val="000000"/>
                      <w:sz w:val="16"/>
                      <w:szCs w:val="16"/>
                      <w:lang w:eastAsia="ko-KR"/>
                    </w:rPr>
                  </w:pPr>
                  <w:r w:rsidRPr="00240315">
                    <w:rPr>
                      <w:rFonts w:cs="Arial"/>
                      <w:color w:val="000000"/>
                      <w:sz w:val="16"/>
                      <w:szCs w:val="16"/>
                      <w:lang w:eastAsia="ko-KR"/>
                    </w:rPr>
                    <w:t>Rekreace, sport a kultura</w:t>
                  </w:r>
                </w:p>
              </w:tc>
              <w:tc>
                <w:tcPr>
                  <w:tcW w:w="699" w:type="dxa"/>
                  <w:tcBorders>
                    <w:top w:val="nil"/>
                    <w:left w:val="nil"/>
                    <w:bottom w:val="nil"/>
                    <w:right w:val="nil"/>
                  </w:tcBorders>
                  <w:noWrap/>
                  <w:vAlign w:val="bottom"/>
                  <w:hideMark/>
                </w:tcPr>
                <w:p w14:paraId="0CA2F8C4"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3,8</w:t>
                  </w:r>
                </w:p>
              </w:tc>
              <w:tc>
                <w:tcPr>
                  <w:tcW w:w="699" w:type="dxa"/>
                  <w:tcBorders>
                    <w:top w:val="nil"/>
                    <w:left w:val="nil"/>
                    <w:bottom w:val="nil"/>
                    <w:right w:val="nil"/>
                  </w:tcBorders>
                  <w:noWrap/>
                  <w:vAlign w:val="bottom"/>
                  <w:hideMark/>
                </w:tcPr>
                <w:p w14:paraId="632E35EB"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3,5</w:t>
                  </w:r>
                </w:p>
              </w:tc>
              <w:tc>
                <w:tcPr>
                  <w:tcW w:w="699" w:type="dxa"/>
                  <w:tcBorders>
                    <w:top w:val="nil"/>
                    <w:left w:val="nil"/>
                    <w:bottom w:val="nil"/>
                    <w:right w:val="nil"/>
                  </w:tcBorders>
                  <w:noWrap/>
                  <w:vAlign w:val="bottom"/>
                  <w:hideMark/>
                </w:tcPr>
                <w:p w14:paraId="7ED7537B"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2,2</w:t>
                  </w:r>
                </w:p>
              </w:tc>
              <w:tc>
                <w:tcPr>
                  <w:tcW w:w="699" w:type="dxa"/>
                  <w:tcBorders>
                    <w:top w:val="nil"/>
                    <w:left w:val="nil"/>
                    <w:bottom w:val="nil"/>
                    <w:right w:val="nil"/>
                  </w:tcBorders>
                  <w:noWrap/>
                  <w:vAlign w:val="bottom"/>
                  <w:hideMark/>
                </w:tcPr>
                <w:p w14:paraId="25AA9118"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3,0</w:t>
                  </w:r>
                </w:p>
              </w:tc>
              <w:tc>
                <w:tcPr>
                  <w:tcW w:w="464" w:type="dxa"/>
                  <w:tcBorders>
                    <w:top w:val="nil"/>
                    <w:left w:val="nil"/>
                    <w:bottom w:val="nil"/>
                    <w:right w:val="nil"/>
                  </w:tcBorders>
                  <w:noWrap/>
                  <w:vAlign w:val="bottom"/>
                  <w:hideMark/>
                </w:tcPr>
                <w:p w14:paraId="1B8CFF7E" w14:textId="77777777" w:rsidR="006B1AFC" w:rsidRPr="00240315" w:rsidRDefault="006B1AFC" w:rsidP="003C4A79">
                  <w:pPr>
                    <w:spacing w:after="0" w:line="240" w:lineRule="auto"/>
                    <w:jc w:val="right"/>
                    <w:rPr>
                      <w:rFonts w:cs="Arial"/>
                      <w:color w:val="000000"/>
                      <w:sz w:val="16"/>
                      <w:szCs w:val="16"/>
                      <w:lang w:eastAsia="ko-KR"/>
                    </w:rPr>
                  </w:pPr>
                </w:p>
              </w:tc>
              <w:tc>
                <w:tcPr>
                  <w:tcW w:w="699" w:type="dxa"/>
                  <w:tcBorders>
                    <w:top w:val="nil"/>
                    <w:left w:val="nil"/>
                    <w:bottom w:val="nil"/>
                    <w:right w:val="nil"/>
                  </w:tcBorders>
                  <w:noWrap/>
                  <w:vAlign w:val="bottom"/>
                  <w:hideMark/>
                </w:tcPr>
                <w:p w14:paraId="0B3239FA"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6,2</w:t>
                  </w:r>
                </w:p>
              </w:tc>
              <w:tc>
                <w:tcPr>
                  <w:tcW w:w="699" w:type="dxa"/>
                  <w:tcBorders>
                    <w:top w:val="nil"/>
                    <w:left w:val="nil"/>
                    <w:bottom w:val="nil"/>
                    <w:right w:val="nil"/>
                  </w:tcBorders>
                  <w:noWrap/>
                  <w:vAlign w:val="bottom"/>
                  <w:hideMark/>
                </w:tcPr>
                <w:p w14:paraId="20E6DDF3"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240315">
                    <w:rPr>
                      <w:rFonts w:cs="Arial"/>
                      <w:color w:val="000000"/>
                      <w:sz w:val="16"/>
                      <w:szCs w:val="16"/>
                      <w:lang w:eastAsia="ko-KR"/>
                    </w:rPr>
                    <w:t>5,1</w:t>
                  </w:r>
                </w:p>
              </w:tc>
              <w:tc>
                <w:tcPr>
                  <w:tcW w:w="699" w:type="dxa"/>
                  <w:tcBorders>
                    <w:top w:val="nil"/>
                    <w:left w:val="nil"/>
                    <w:bottom w:val="nil"/>
                    <w:right w:val="nil"/>
                  </w:tcBorders>
                  <w:noWrap/>
                  <w:vAlign w:val="bottom"/>
                  <w:hideMark/>
                </w:tcPr>
                <w:p w14:paraId="53DD7A9C"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2,1</w:t>
                  </w:r>
                </w:p>
              </w:tc>
              <w:tc>
                <w:tcPr>
                  <w:tcW w:w="699" w:type="dxa"/>
                  <w:tcBorders>
                    <w:top w:val="nil"/>
                    <w:left w:val="nil"/>
                    <w:bottom w:val="nil"/>
                    <w:right w:val="nil"/>
                  </w:tcBorders>
                  <w:noWrap/>
                  <w:vAlign w:val="bottom"/>
                  <w:hideMark/>
                </w:tcPr>
                <w:p w14:paraId="72B58983"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0,1</w:t>
                  </w:r>
                </w:p>
              </w:tc>
            </w:tr>
            <w:tr w:rsidR="006B1AFC" w:rsidRPr="00240315" w14:paraId="516BAEF9" w14:textId="77777777" w:rsidTr="003C4A79">
              <w:trPr>
                <w:trHeight w:val="255"/>
              </w:trPr>
              <w:tc>
                <w:tcPr>
                  <w:tcW w:w="3559" w:type="dxa"/>
                  <w:tcBorders>
                    <w:top w:val="nil"/>
                    <w:left w:val="nil"/>
                    <w:bottom w:val="nil"/>
                    <w:right w:val="nil"/>
                  </w:tcBorders>
                  <w:vAlign w:val="bottom"/>
                  <w:hideMark/>
                </w:tcPr>
                <w:p w14:paraId="18D90B41" w14:textId="77777777" w:rsidR="006B1AFC" w:rsidRPr="00240315" w:rsidRDefault="006B1AFC" w:rsidP="003C4A79">
                  <w:pPr>
                    <w:spacing w:after="0" w:line="240" w:lineRule="auto"/>
                    <w:ind w:firstLine="224"/>
                    <w:jc w:val="left"/>
                    <w:rPr>
                      <w:rFonts w:cs="Arial"/>
                      <w:color w:val="000000"/>
                      <w:sz w:val="16"/>
                      <w:szCs w:val="16"/>
                      <w:lang w:eastAsia="ko-KR"/>
                    </w:rPr>
                  </w:pPr>
                  <w:r w:rsidRPr="00240315">
                    <w:rPr>
                      <w:rFonts w:cs="Arial"/>
                      <w:color w:val="000000"/>
                      <w:sz w:val="16"/>
                      <w:szCs w:val="16"/>
                      <w:lang w:eastAsia="ko-KR"/>
                    </w:rPr>
                    <w:t>Vzdělávání</w:t>
                  </w:r>
                </w:p>
              </w:tc>
              <w:tc>
                <w:tcPr>
                  <w:tcW w:w="699" w:type="dxa"/>
                  <w:tcBorders>
                    <w:top w:val="nil"/>
                    <w:left w:val="nil"/>
                    <w:bottom w:val="nil"/>
                    <w:right w:val="nil"/>
                  </w:tcBorders>
                  <w:noWrap/>
                  <w:vAlign w:val="bottom"/>
                  <w:hideMark/>
                </w:tcPr>
                <w:p w14:paraId="599189CA"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8,7</w:t>
                  </w:r>
                </w:p>
              </w:tc>
              <w:tc>
                <w:tcPr>
                  <w:tcW w:w="699" w:type="dxa"/>
                  <w:tcBorders>
                    <w:top w:val="nil"/>
                    <w:left w:val="nil"/>
                    <w:bottom w:val="nil"/>
                    <w:right w:val="nil"/>
                  </w:tcBorders>
                  <w:noWrap/>
                  <w:vAlign w:val="bottom"/>
                  <w:hideMark/>
                </w:tcPr>
                <w:p w14:paraId="3F5FE7AB"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4,1</w:t>
                  </w:r>
                </w:p>
              </w:tc>
              <w:tc>
                <w:tcPr>
                  <w:tcW w:w="699" w:type="dxa"/>
                  <w:tcBorders>
                    <w:top w:val="nil"/>
                    <w:left w:val="nil"/>
                    <w:bottom w:val="nil"/>
                    <w:right w:val="nil"/>
                  </w:tcBorders>
                  <w:noWrap/>
                  <w:vAlign w:val="bottom"/>
                  <w:hideMark/>
                </w:tcPr>
                <w:p w14:paraId="5D476A6E"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4,0</w:t>
                  </w:r>
                </w:p>
              </w:tc>
              <w:tc>
                <w:tcPr>
                  <w:tcW w:w="699" w:type="dxa"/>
                  <w:tcBorders>
                    <w:top w:val="nil"/>
                    <w:left w:val="nil"/>
                    <w:bottom w:val="nil"/>
                    <w:right w:val="nil"/>
                  </w:tcBorders>
                  <w:noWrap/>
                  <w:vAlign w:val="bottom"/>
                  <w:hideMark/>
                </w:tcPr>
                <w:p w14:paraId="17CAD99A"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4,0</w:t>
                  </w:r>
                </w:p>
              </w:tc>
              <w:tc>
                <w:tcPr>
                  <w:tcW w:w="464" w:type="dxa"/>
                  <w:tcBorders>
                    <w:top w:val="nil"/>
                    <w:left w:val="nil"/>
                    <w:bottom w:val="nil"/>
                    <w:right w:val="nil"/>
                  </w:tcBorders>
                  <w:noWrap/>
                  <w:vAlign w:val="bottom"/>
                  <w:hideMark/>
                </w:tcPr>
                <w:p w14:paraId="5C0AA20A" w14:textId="77777777" w:rsidR="006B1AFC" w:rsidRPr="00240315" w:rsidRDefault="006B1AFC" w:rsidP="003C4A79">
                  <w:pPr>
                    <w:spacing w:after="0" w:line="240" w:lineRule="auto"/>
                    <w:jc w:val="right"/>
                    <w:rPr>
                      <w:rFonts w:cs="Arial"/>
                      <w:color w:val="000000"/>
                      <w:sz w:val="16"/>
                      <w:szCs w:val="16"/>
                      <w:lang w:eastAsia="ko-KR"/>
                    </w:rPr>
                  </w:pPr>
                </w:p>
              </w:tc>
              <w:tc>
                <w:tcPr>
                  <w:tcW w:w="699" w:type="dxa"/>
                  <w:tcBorders>
                    <w:top w:val="nil"/>
                    <w:left w:val="nil"/>
                    <w:bottom w:val="nil"/>
                    <w:right w:val="nil"/>
                  </w:tcBorders>
                  <w:noWrap/>
                  <w:vAlign w:val="bottom"/>
                  <w:hideMark/>
                </w:tcPr>
                <w:p w14:paraId="1EF74336"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1,2</w:t>
                  </w:r>
                </w:p>
              </w:tc>
              <w:tc>
                <w:tcPr>
                  <w:tcW w:w="699" w:type="dxa"/>
                  <w:tcBorders>
                    <w:top w:val="nil"/>
                    <w:left w:val="nil"/>
                    <w:bottom w:val="nil"/>
                    <w:right w:val="nil"/>
                  </w:tcBorders>
                  <w:noWrap/>
                  <w:vAlign w:val="bottom"/>
                  <w:hideMark/>
                </w:tcPr>
                <w:p w14:paraId="0EDA1F79"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2,4</w:t>
                  </w:r>
                </w:p>
              </w:tc>
              <w:tc>
                <w:tcPr>
                  <w:tcW w:w="699" w:type="dxa"/>
                  <w:tcBorders>
                    <w:top w:val="nil"/>
                    <w:left w:val="nil"/>
                    <w:bottom w:val="nil"/>
                    <w:right w:val="nil"/>
                  </w:tcBorders>
                  <w:noWrap/>
                  <w:vAlign w:val="bottom"/>
                  <w:hideMark/>
                </w:tcPr>
                <w:p w14:paraId="60F628EA"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0,2</w:t>
                  </w:r>
                </w:p>
              </w:tc>
              <w:tc>
                <w:tcPr>
                  <w:tcW w:w="699" w:type="dxa"/>
                  <w:tcBorders>
                    <w:top w:val="nil"/>
                    <w:left w:val="nil"/>
                    <w:bottom w:val="nil"/>
                    <w:right w:val="nil"/>
                  </w:tcBorders>
                  <w:noWrap/>
                  <w:vAlign w:val="bottom"/>
                  <w:hideMark/>
                </w:tcPr>
                <w:p w14:paraId="5E8C8F8B"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0,2</w:t>
                  </w:r>
                </w:p>
              </w:tc>
            </w:tr>
            <w:tr w:rsidR="006B1AFC" w:rsidRPr="00240315" w14:paraId="746D0D01" w14:textId="77777777" w:rsidTr="003C4A79">
              <w:trPr>
                <w:trHeight w:val="255"/>
              </w:trPr>
              <w:tc>
                <w:tcPr>
                  <w:tcW w:w="3559" w:type="dxa"/>
                  <w:tcBorders>
                    <w:top w:val="nil"/>
                    <w:left w:val="nil"/>
                    <w:bottom w:val="nil"/>
                    <w:right w:val="nil"/>
                  </w:tcBorders>
                  <w:vAlign w:val="bottom"/>
                  <w:hideMark/>
                </w:tcPr>
                <w:p w14:paraId="2B245A61" w14:textId="77777777" w:rsidR="006B1AFC" w:rsidRPr="00240315" w:rsidRDefault="006B1AFC" w:rsidP="003C4A79">
                  <w:pPr>
                    <w:spacing w:after="0" w:line="240" w:lineRule="auto"/>
                    <w:ind w:firstLine="224"/>
                    <w:jc w:val="left"/>
                    <w:rPr>
                      <w:rFonts w:cs="Arial"/>
                      <w:color w:val="000000"/>
                      <w:sz w:val="16"/>
                      <w:szCs w:val="16"/>
                      <w:lang w:eastAsia="ko-KR"/>
                    </w:rPr>
                  </w:pPr>
                  <w:r w:rsidRPr="00240315">
                    <w:rPr>
                      <w:rFonts w:cs="Arial"/>
                      <w:color w:val="000000"/>
                      <w:sz w:val="16"/>
                      <w:szCs w:val="16"/>
                      <w:lang w:eastAsia="ko-KR"/>
                    </w:rPr>
                    <w:t>Stravovací a ubytovací služby</w:t>
                  </w:r>
                </w:p>
              </w:tc>
              <w:tc>
                <w:tcPr>
                  <w:tcW w:w="699" w:type="dxa"/>
                  <w:tcBorders>
                    <w:top w:val="nil"/>
                    <w:left w:val="nil"/>
                    <w:bottom w:val="nil"/>
                    <w:right w:val="nil"/>
                  </w:tcBorders>
                  <w:noWrap/>
                  <w:vAlign w:val="bottom"/>
                  <w:hideMark/>
                </w:tcPr>
                <w:p w14:paraId="2CABFF80"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4,8</w:t>
                  </w:r>
                </w:p>
              </w:tc>
              <w:tc>
                <w:tcPr>
                  <w:tcW w:w="699" w:type="dxa"/>
                  <w:tcBorders>
                    <w:top w:val="nil"/>
                    <w:left w:val="nil"/>
                    <w:bottom w:val="nil"/>
                    <w:right w:val="nil"/>
                  </w:tcBorders>
                  <w:noWrap/>
                  <w:vAlign w:val="bottom"/>
                  <w:hideMark/>
                </w:tcPr>
                <w:p w14:paraId="5D75972F"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4,7</w:t>
                  </w:r>
                </w:p>
              </w:tc>
              <w:tc>
                <w:tcPr>
                  <w:tcW w:w="699" w:type="dxa"/>
                  <w:tcBorders>
                    <w:top w:val="nil"/>
                    <w:left w:val="nil"/>
                    <w:bottom w:val="nil"/>
                    <w:right w:val="nil"/>
                  </w:tcBorders>
                  <w:noWrap/>
                  <w:vAlign w:val="bottom"/>
                  <w:hideMark/>
                </w:tcPr>
                <w:p w14:paraId="0335BD12"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4,6</w:t>
                  </w:r>
                </w:p>
              </w:tc>
              <w:tc>
                <w:tcPr>
                  <w:tcW w:w="699" w:type="dxa"/>
                  <w:tcBorders>
                    <w:top w:val="nil"/>
                    <w:left w:val="nil"/>
                    <w:bottom w:val="nil"/>
                    <w:right w:val="nil"/>
                  </w:tcBorders>
                  <w:noWrap/>
                  <w:vAlign w:val="bottom"/>
                  <w:hideMark/>
                </w:tcPr>
                <w:p w14:paraId="3FA30A98"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4,4</w:t>
                  </w:r>
                </w:p>
              </w:tc>
              <w:tc>
                <w:tcPr>
                  <w:tcW w:w="464" w:type="dxa"/>
                  <w:tcBorders>
                    <w:top w:val="nil"/>
                    <w:left w:val="nil"/>
                    <w:bottom w:val="nil"/>
                    <w:right w:val="nil"/>
                  </w:tcBorders>
                  <w:noWrap/>
                  <w:vAlign w:val="bottom"/>
                  <w:hideMark/>
                </w:tcPr>
                <w:p w14:paraId="6CDA45C1" w14:textId="77777777" w:rsidR="006B1AFC" w:rsidRPr="00240315" w:rsidRDefault="006B1AFC" w:rsidP="003C4A79">
                  <w:pPr>
                    <w:spacing w:after="0" w:line="240" w:lineRule="auto"/>
                    <w:jc w:val="right"/>
                    <w:rPr>
                      <w:rFonts w:cs="Arial"/>
                      <w:color w:val="000000"/>
                      <w:sz w:val="16"/>
                      <w:szCs w:val="16"/>
                      <w:lang w:eastAsia="ko-KR"/>
                    </w:rPr>
                  </w:pPr>
                </w:p>
              </w:tc>
              <w:tc>
                <w:tcPr>
                  <w:tcW w:w="699" w:type="dxa"/>
                  <w:tcBorders>
                    <w:top w:val="nil"/>
                    <w:left w:val="nil"/>
                    <w:bottom w:val="nil"/>
                    <w:right w:val="nil"/>
                  </w:tcBorders>
                  <w:noWrap/>
                  <w:vAlign w:val="bottom"/>
                  <w:hideMark/>
                </w:tcPr>
                <w:p w14:paraId="0CB2FA79"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1,1</w:t>
                  </w:r>
                </w:p>
              </w:tc>
              <w:tc>
                <w:tcPr>
                  <w:tcW w:w="699" w:type="dxa"/>
                  <w:tcBorders>
                    <w:top w:val="nil"/>
                    <w:left w:val="nil"/>
                    <w:bottom w:val="nil"/>
                    <w:right w:val="nil"/>
                  </w:tcBorders>
                  <w:noWrap/>
                  <w:vAlign w:val="bottom"/>
                  <w:hideMark/>
                </w:tcPr>
                <w:p w14:paraId="493FA316"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0,8</w:t>
                  </w:r>
                </w:p>
              </w:tc>
              <w:tc>
                <w:tcPr>
                  <w:tcW w:w="699" w:type="dxa"/>
                  <w:tcBorders>
                    <w:top w:val="nil"/>
                    <w:left w:val="nil"/>
                    <w:bottom w:val="nil"/>
                    <w:right w:val="nil"/>
                  </w:tcBorders>
                  <w:noWrap/>
                  <w:vAlign w:val="bottom"/>
                  <w:hideMark/>
                </w:tcPr>
                <w:p w14:paraId="29606680"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1,1</w:t>
                  </w:r>
                </w:p>
              </w:tc>
              <w:tc>
                <w:tcPr>
                  <w:tcW w:w="699" w:type="dxa"/>
                  <w:tcBorders>
                    <w:top w:val="nil"/>
                    <w:left w:val="nil"/>
                    <w:bottom w:val="nil"/>
                    <w:right w:val="nil"/>
                  </w:tcBorders>
                  <w:noWrap/>
                  <w:vAlign w:val="bottom"/>
                  <w:hideMark/>
                </w:tcPr>
                <w:p w14:paraId="7248F85D"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1,4</w:t>
                  </w:r>
                </w:p>
              </w:tc>
            </w:tr>
            <w:tr w:rsidR="006B1AFC" w:rsidRPr="00240315" w14:paraId="04751383" w14:textId="77777777" w:rsidTr="003C4A79">
              <w:trPr>
                <w:trHeight w:val="255"/>
              </w:trPr>
              <w:tc>
                <w:tcPr>
                  <w:tcW w:w="3559" w:type="dxa"/>
                  <w:tcBorders>
                    <w:top w:val="nil"/>
                    <w:left w:val="nil"/>
                    <w:bottom w:val="nil"/>
                    <w:right w:val="nil"/>
                  </w:tcBorders>
                  <w:vAlign w:val="bottom"/>
                  <w:hideMark/>
                </w:tcPr>
                <w:p w14:paraId="1698DE12" w14:textId="77777777" w:rsidR="006B1AFC" w:rsidRPr="00240315" w:rsidRDefault="006B1AFC" w:rsidP="003C4A79">
                  <w:pPr>
                    <w:spacing w:after="0" w:line="240" w:lineRule="auto"/>
                    <w:ind w:firstLine="224"/>
                    <w:jc w:val="left"/>
                    <w:rPr>
                      <w:rFonts w:cs="Arial"/>
                      <w:color w:val="000000"/>
                      <w:sz w:val="16"/>
                      <w:szCs w:val="16"/>
                      <w:lang w:eastAsia="ko-KR"/>
                    </w:rPr>
                  </w:pPr>
                  <w:r w:rsidRPr="00240315">
                    <w:rPr>
                      <w:rFonts w:cs="Arial"/>
                      <w:color w:val="000000"/>
                      <w:sz w:val="16"/>
                      <w:szCs w:val="16"/>
                      <w:lang w:eastAsia="ko-KR"/>
                    </w:rPr>
                    <w:t>Pojištění a finanční služby</w:t>
                  </w:r>
                </w:p>
              </w:tc>
              <w:tc>
                <w:tcPr>
                  <w:tcW w:w="699" w:type="dxa"/>
                  <w:tcBorders>
                    <w:top w:val="nil"/>
                    <w:left w:val="nil"/>
                    <w:bottom w:val="nil"/>
                    <w:right w:val="nil"/>
                  </w:tcBorders>
                  <w:noWrap/>
                  <w:vAlign w:val="bottom"/>
                  <w:hideMark/>
                </w:tcPr>
                <w:p w14:paraId="018C1203"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4,6</w:t>
                  </w:r>
                </w:p>
              </w:tc>
              <w:tc>
                <w:tcPr>
                  <w:tcW w:w="699" w:type="dxa"/>
                  <w:tcBorders>
                    <w:top w:val="nil"/>
                    <w:left w:val="nil"/>
                    <w:bottom w:val="nil"/>
                    <w:right w:val="nil"/>
                  </w:tcBorders>
                  <w:noWrap/>
                  <w:vAlign w:val="bottom"/>
                  <w:hideMark/>
                </w:tcPr>
                <w:p w14:paraId="759BBCC7"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5,2</w:t>
                  </w:r>
                </w:p>
              </w:tc>
              <w:tc>
                <w:tcPr>
                  <w:tcW w:w="699" w:type="dxa"/>
                  <w:tcBorders>
                    <w:top w:val="nil"/>
                    <w:left w:val="nil"/>
                    <w:bottom w:val="nil"/>
                    <w:right w:val="nil"/>
                  </w:tcBorders>
                  <w:noWrap/>
                  <w:vAlign w:val="bottom"/>
                  <w:hideMark/>
                </w:tcPr>
                <w:p w14:paraId="72A60744"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5,2</w:t>
                  </w:r>
                </w:p>
              </w:tc>
              <w:tc>
                <w:tcPr>
                  <w:tcW w:w="699" w:type="dxa"/>
                  <w:tcBorders>
                    <w:top w:val="nil"/>
                    <w:left w:val="nil"/>
                    <w:bottom w:val="nil"/>
                    <w:right w:val="nil"/>
                  </w:tcBorders>
                  <w:noWrap/>
                  <w:vAlign w:val="bottom"/>
                  <w:hideMark/>
                </w:tcPr>
                <w:p w14:paraId="6671B383"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4,1</w:t>
                  </w:r>
                </w:p>
              </w:tc>
              <w:tc>
                <w:tcPr>
                  <w:tcW w:w="464" w:type="dxa"/>
                  <w:tcBorders>
                    <w:top w:val="nil"/>
                    <w:left w:val="nil"/>
                    <w:bottom w:val="nil"/>
                    <w:right w:val="nil"/>
                  </w:tcBorders>
                  <w:noWrap/>
                  <w:vAlign w:val="bottom"/>
                  <w:hideMark/>
                </w:tcPr>
                <w:p w14:paraId="33009383" w14:textId="77777777" w:rsidR="006B1AFC" w:rsidRPr="00240315" w:rsidRDefault="006B1AFC" w:rsidP="003C4A79">
                  <w:pPr>
                    <w:spacing w:after="0" w:line="240" w:lineRule="auto"/>
                    <w:jc w:val="right"/>
                    <w:rPr>
                      <w:rFonts w:cs="Arial"/>
                      <w:color w:val="000000"/>
                      <w:sz w:val="16"/>
                      <w:szCs w:val="16"/>
                      <w:lang w:eastAsia="ko-KR"/>
                    </w:rPr>
                  </w:pPr>
                </w:p>
              </w:tc>
              <w:tc>
                <w:tcPr>
                  <w:tcW w:w="699" w:type="dxa"/>
                  <w:tcBorders>
                    <w:top w:val="nil"/>
                    <w:left w:val="nil"/>
                    <w:bottom w:val="nil"/>
                    <w:right w:val="nil"/>
                  </w:tcBorders>
                  <w:noWrap/>
                  <w:vAlign w:val="bottom"/>
                  <w:hideMark/>
                </w:tcPr>
                <w:p w14:paraId="3827EA26"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0,5</w:t>
                  </w:r>
                </w:p>
              </w:tc>
              <w:tc>
                <w:tcPr>
                  <w:tcW w:w="699" w:type="dxa"/>
                  <w:tcBorders>
                    <w:top w:val="nil"/>
                    <w:left w:val="nil"/>
                    <w:bottom w:val="nil"/>
                    <w:right w:val="nil"/>
                  </w:tcBorders>
                  <w:noWrap/>
                  <w:vAlign w:val="bottom"/>
                  <w:hideMark/>
                </w:tcPr>
                <w:p w14:paraId="6E4E7A4F"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1,0</w:t>
                  </w:r>
                </w:p>
              </w:tc>
              <w:tc>
                <w:tcPr>
                  <w:tcW w:w="699" w:type="dxa"/>
                  <w:tcBorders>
                    <w:top w:val="nil"/>
                    <w:left w:val="nil"/>
                    <w:bottom w:val="nil"/>
                    <w:right w:val="nil"/>
                  </w:tcBorders>
                  <w:noWrap/>
                  <w:vAlign w:val="bottom"/>
                  <w:hideMark/>
                </w:tcPr>
                <w:p w14:paraId="53B725FA"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2,0</w:t>
                  </w:r>
                </w:p>
              </w:tc>
              <w:tc>
                <w:tcPr>
                  <w:tcW w:w="699" w:type="dxa"/>
                  <w:tcBorders>
                    <w:top w:val="nil"/>
                    <w:left w:val="nil"/>
                    <w:bottom w:val="nil"/>
                    <w:right w:val="nil"/>
                  </w:tcBorders>
                  <w:noWrap/>
                  <w:vAlign w:val="bottom"/>
                  <w:hideMark/>
                </w:tcPr>
                <w:p w14:paraId="3438DCA2"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0,5</w:t>
                  </w:r>
                </w:p>
              </w:tc>
            </w:tr>
            <w:tr w:rsidR="006B1AFC" w:rsidRPr="00240315" w14:paraId="5F6343AC" w14:textId="77777777" w:rsidTr="003C4A79">
              <w:trPr>
                <w:trHeight w:val="255"/>
              </w:trPr>
              <w:tc>
                <w:tcPr>
                  <w:tcW w:w="3559" w:type="dxa"/>
                  <w:tcBorders>
                    <w:top w:val="nil"/>
                    <w:left w:val="nil"/>
                    <w:bottom w:val="nil"/>
                    <w:right w:val="nil"/>
                  </w:tcBorders>
                  <w:vAlign w:val="bottom"/>
                  <w:hideMark/>
                </w:tcPr>
                <w:p w14:paraId="1A7A4835" w14:textId="77777777" w:rsidR="006B1AFC" w:rsidRPr="00240315" w:rsidRDefault="006B1AFC" w:rsidP="003C4A79">
                  <w:pPr>
                    <w:spacing w:after="0" w:line="240" w:lineRule="auto"/>
                    <w:ind w:firstLine="224"/>
                    <w:jc w:val="left"/>
                    <w:rPr>
                      <w:rFonts w:cs="Arial"/>
                      <w:color w:val="000000"/>
                      <w:sz w:val="16"/>
                      <w:szCs w:val="16"/>
                      <w:lang w:eastAsia="ko-KR"/>
                    </w:rPr>
                  </w:pPr>
                  <w:r w:rsidRPr="00240315">
                    <w:rPr>
                      <w:rFonts w:cs="Arial"/>
                      <w:color w:val="000000"/>
                      <w:sz w:val="16"/>
                      <w:szCs w:val="16"/>
                      <w:lang w:eastAsia="ko-KR"/>
                    </w:rPr>
                    <w:t>Osobní a sociální péče, různé zboží a služby</w:t>
                  </w:r>
                </w:p>
              </w:tc>
              <w:tc>
                <w:tcPr>
                  <w:tcW w:w="699" w:type="dxa"/>
                  <w:tcBorders>
                    <w:top w:val="nil"/>
                    <w:left w:val="nil"/>
                    <w:bottom w:val="nil"/>
                    <w:right w:val="nil"/>
                  </w:tcBorders>
                  <w:noWrap/>
                  <w:vAlign w:val="bottom"/>
                  <w:hideMark/>
                </w:tcPr>
                <w:p w14:paraId="6030D4E5"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2,3</w:t>
                  </w:r>
                </w:p>
              </w:tc>
              <w:tc>
                <w:tcPr>
                  <w:tcW w:w="699" w:type="dxa"/>
                  <w:tcBorders>
                    <w:top w:val="nil"/>
                    <w:left w:val="nil"/>
                    <w:bottom w:val="nil"/>
                    <w:right w:val="nil"/>
                  </w:tcBorders>
                  <w:noWrap/>
                  <w:vAlign w:val="bottom"/>
                  <w:hideMark/>
                </w:tcPr>
                <w:p w14:paraId="4C644582"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2,6</w:t>
                  </w:r>
                </w:p>
              </w:tc>
              <w:tc>
                <w:tcPr>
                  <w:tcW w:w="699" w:type="dxa"/>
                  <w:tcBorders>
                    <w:top w:val="nil"/>
                    <w:left w:val="nil"/>
                    <w:bottom w:val="nil"/>
                    <w:right w:val="nil"/>
                  </w:tcBorders>
                  <w:noWrap/>
                  <w:vAlign w:val="bottom"/>
                  <w:hideMark/>
                </w:tcPr>
                <w:p w14:paraId="3DCB70C8"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3,6</w:t>
                  </w:r>
                </w:p>
              </w:tc>
              <w:tc>
                <w:tcPr>
                  <w:tcW w:w="699" w:type="dxa"/>
                  <w:tcBorders>
                    <w:top w:val="nil"/>
                    <w:left w:val="nil"/>
                    <w:bottom w:val="nil"/>
                    <w:right w:val="nil"/>
                  </w:tcBorders>
                  <w:noWrap/>
                  <w:vAlign w:val="bottom"/>
                  <w:hideMark/>
                </w:tcPr>
                <w:p w14:paraId="40B2795B" w14:textId="77777777" w:rsidR="006B1AFC" w:rsidRPr="00240315" w:rsidRDefault="006B1AFC" w:rsidP="003C4A79">
                  <w:pPr>
                    <w:spacing w:after="0" w:line="240" w:lineRule="auto"/>
                    <w:jc w:val="right"/>
                    <w:rPr>
                      <w:rFonts w:cs="Arial"/>
                      <w:color w:val="000000"/>
                      <w:sz w:val="16"/>
                      <w:szCs w:val="16"/>
                      <w:lang w:eastAsia="ko-KR"/>
                    </w:rPr>
                  </w:pPr>
                  <w:r>
                    <w:rPr>
                      <w:rFonts w:cs="Arial"/>
                      <w:color w:val="000000"/>
                      <w:sz w:val="16"/>
                      <w:szCs w:val="16"/>
                    </w:rPr>
                    <w:t>3,5</w:t>
                  </w:r>
                </w:p>
              </w:tc>
              <w:tc>
                <w:tcPr>
                  <w:tcW w:w="464" w:type="dxa"/>
                  <w:tcBorders>
                    <w:top w:val="nil"/>
                    <w:left w:val="nil"/>
                    <w:bottom w:val="nil"/>
                    <w:right w:val="nil"/>
                  </w:tcBorders>
                  <w:noWrap/>
                  <w:vAlign w:val="bottom"/>
                  <w:hideMark/>
                </w:tcPr>
                <w:p w14:paraId="19E66397" w14:textId="77777777" w:rsidR="006B1AFC" w:rsidRPr="00240315" w:rsidRDefault="006B1AFC" w:rsidP="003C4A79">
                  <w:pPr>
                    <w:spacing w:after="0" w:line="240" w:lineRule="auto"/>
                    <w:jc w:val="right"/>
                    <w:rPr>
                      <w:rFonts w:cs="Arial"/>
                      <w:color w:val="000000"/>
                      <w:sz w:val="16"/>
                      <w:szCs w:val="16"/>
                      <w:lang w:eastAsia="ko-KR"/>
                    </w:rPr>
                  </w:pPr>
                </w:p>
              </w:tc>
              <w:tc>
                <w:tcPr>
                  <w:tcW w:w="699" w:type="dxa"/>
                  <w:tcBorders>
                    <w:top w:val="nil"/>
                    <w:left w:val="nil"/>
                    <w:bottom w:val="nil"/>
                    <w:right w:val="nil"/>
                  </w:tcBorders>
                  <w:noWrap/>
                  <w:vAlign w:val="bottom"/>
                  <w:hideMark/>
                </w:tcPr>
                <w:p w14:paraId="36874EEE"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0,1</w:t>
                  </w:r>
                </w:p>
              </w:tc>
              <w:tc>
                <w:tcPr>
                  <w:tcW w:w="699" w:type="dxa"/>
                  <w:tcBorders>
                    <w:top w:val="nil"/>
                    <w:left w:val="nil"/>
                    <w:bottom w:val="nil"/>
                    <w:right w:val="nil"/>
                  </w:tcBorders>
                  <w:noWrap/>
                  <w:vAlign w:val="bottom"/>
                  <w:hideMark/>
                </w:tcPr>
                <w:p w14:paraId="7FEBC757"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0,3</w:t>
                  </w:r>
                </w:p>
              </w:tc>
              <w:tc>
                <w:tcPr>
                  <w:tcW w:w="699" w:type="dxa"/>
                  <w:tcBorders>
                    <w:top w:val="nil"/>
                    <w:left w:val="nil"/>
                    <w:bottom w:val="nil"/>
                    <w:right w:val="nil"/>
                  </w:tcBorders>
                  <w:noWrap/>
                  <w:vAlign w:val="bottom"/>
                  <w:hideMark/>
                </w:tcPr>
                <w:p w14:paraId="134B4E5E"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2,4</w:t>
                  </w:r>
                </w:p>
              </w:tc>
              <w:tc>
                <w:tcPr>
                  <w:tcW w:w="699" w:type="dxa"/>
                  <w:tcBorders>
                    <w:top w:val="nil"/>
                    <w:left w:val="nil"/>
                    <w:bottom w:val="nil"/>
                    <w:right w:val="nil"/>
                  </w:tcBorders>
                  <w:noWrap/>
                  <w:vAlign w:val="bottom"/>
                  <w:hideMark/>
                </w:tcPr>
                <w:p w14:paraId="4B0A2611" w14:textId="77777777" w:rsidR="006B1AFC" w:rsidRPr="00240315" w:rsidRDefault="006B1AFC" w:rsidP="003C4A79">
                  <w:pPr>
                    <w:spacing w:after="0" w:line="240" w:lineRule="auto"/>
                    <w:jc w:val="right"/>
                    <w:rPr>
                      <w:rFonts w:cs="Arial"/>
                      <w:color w:val="000000"/>
                      <w:sz w:val="16"/>
                      <w:szCs w:val="16"/>
                      <w:lang w:eastAsia="ko-KR"/>
                    </w:rPr>
                  </w:pPr>
                  <w:r w:rsidRPr="00240315">
                    <w:rPr>
                      <w:rFonts w:cs="Arial"/>
                      <w:color w:val="000000"/>
                      <w:sz w:val="16"/>
                      <w:szCs w:val="16"/>
                      <w:lang w:eastAsia="ko-KR"/>
                    </w:rPr>
                    <w:t>0,6</w:t>
                  </w:r>
                </w:p>
              </w:tc>
            </w:tr>
          </w:tbl>
          <w:p w14:paraId="7E281418" w14:textId="77777777" w:rsidR="006B1AFC" w:rsidRDefault="006B1AFC" w:rsidP="003C4A79">
            <w:pPr>
              <w:spacing w:after="120"/>
              <w:rPr>
                <w:lang w:eastAsia="en-US"/>
              </w:rPr>
            </w:pPr>
          </w:p>
        </w:tc>
      </w:tr>
      <w:tr w:rsidR="006B1AFC" w14:paraId="3614F5D3" w14:textId="77777777" w:rsidTr="003C4A79">
        <w:trPr>
          <w:trHeight w:val="145"/>
        </w:trPr>
        <w:tc>
          <w:tcPr>
            <w:tcW w:w="9654" w:type="dxa"/>
            <w:gridSpan w:val="3"/>
          </w:tcPr>
          <w:p w14:paraId="7459DA34" w14:textId="77777777" w:rsidR="006B1AFC" w:rsidRPr="00BB04F9" w:rsidRDefault="006B1AFC" w:rsidP="003C4A79">
            <w:pPr>
              <w:rPr>
                <w:sz w:val="16"/>
                <w:szCs w:val="16"/>
                <w:lang w:eastAsia="en-US"/>
              </w:rPr>
            </w:pPr>
            <w:r w:rsidRPr="00BB04F9">
              <w:rPr>
                <w:sz w:val="16"/>
                <w:szCs w:val="16"/>
                <w:lang w:eastAsia="en-US"/>
              </w:rPr>
              <w:t>Zdroj: ČSÚ</w:t>
            </w:r>
          </w:p>
        </w:tc>
      </w:tr>
      <w:tr w:rsidR="006B1AFC" w14:paraId="2BF29CE8" w14:textId="77777777" w:rsidTr="003C4A79">
        <w:trPr>
          <w:trHeight w:val="145"/>
        </w:trPr>
        <w:tc>
          <w:tcPr>
            <w:tcW w:w="1812" w:type="dxa"/>
          </w:tcPr>
          <w:p w14:paraId="5D278015" w14:textId="77777777" w:rsidR="006B1AFC" w:rsidRDefault="006B1AFC" w:rsidP="003C4A79">
            <w:pPr>
              <w:pStyle w:val="Marginlie"/>
              <w:rPr>
                <w:spacing w:val="0"/>
                <w:lang w:eastAsia="en-US"/>
              </w:rPr>
            </w:pPr>
            <w:r>
              <w:rPr>
                <w:spacing w:val="0"/>
                <w:lang w:eastAsia="en-US"/>
              </w:rPr>
              <w:t>Ceny dopravy táhly nahoru pohonné hmoty.</w:t>
            </w:r>
          </w:p>
        </w:tc>
        <w:tc>
          <w:tcPr>
            <w:tcW w:w="213" w:type="dxa"/>
          </w:tcPr>
          <w:p w14:paraId="4F699D10" w14:textId="77777777" w:rsidR="006B1AFC" w:rsidRDefault="006B1AFC" w:rsidP="003C4A79">
            <w:pPr>
              <w:pStyle w:val="Textpoznpodarou1"/>
              <w:jc w:val="both"/>
              <w:rPr>
                <w:lang w:eastAsia="en-US"/>
              </w:rPr>
            </w:pPr>
          </w:p>
        </w:tc>
        <w:tc>
          <w:tcPr>
            <w:tcW w:w="7629" w:type="dxa"/>
          </w:tcPr>
          <w:p w14:paraId="21BB5D2F" w14:textId="77777777" w:rsidR="006B1AFC" w:rsidRDefault="006B1AFC" w:rsidP="003C4A79">
            <w:pPr>
              <w:rPr>
                <w:lang w:eastAsia="en-US"/>
              </w:rPr>
            </w:pPr>
            <w:r>
              <w:rPr>
                <w:lang w:eastAsia="en-US"/>
              </w:rPr>
              <w:t>Klíčový vliv na růst cen v oddíle doprava (viz Tabulka č. 9) měly ceny pohonných hmot. Náklady na provoz osobních dopravních prostředků meziročně vzrostly o 15,3 % a z toho ceny pohonných hmot byly vyšší o 21,9 %. Vysoký meziroční přírůstek cen pohonných hmot byl výsledkem výrazného meziměsíčního nárůstu, ke kterému došlo v březnu (19,4 %) a dubnu (7,3 %). V dalších měsících pak ceny meziměsíčně klesaly. Výrazný meziroční přírůstek si držely ceny přepravních a poštovních služeb (7,8 %). Ve zbytku oddílu byl ale meziroční cenový růst velmi mírný a zpomaloval – u cen osobní dopravy na 1,6 % a v případě nákupu osobních dopravních prostředků na 0,1 %.</w:t>
            </w:r>
          </w:p>
        </w:tc>
      </w:tr>
      <w:tr w:rsidR="006B1AFC" w14:paraId="670E77F9" w14:textId="77777777" w:rsidTr="003C4A79">
        <w:trPr>
          <w:trHeight w:val="145"/>
        </w:trPr>
        <w:tc>
          <w:tcPr>
            <w:tcW w:w="1812" w:type="dxa"/>
          </w:tcPr>
          <w:p w14:paraId="157A390A" w14:textId="77777777" w:rsidR="006B1AFC" w:rsidRDefault="006B1AFC" w:rsidP="003C4A79">
            <w:pPr>
              <w:pStyle w:val="Marginlie"/>
              <w:rPr>
                <w:spacing w:val="0"/>
                <w:lang w:eastAsia="en-US"/>
              </w:rPr>
            </w:pPr>
            <w:r>
              <w:rPr>
                <w:spacing w:val="0"/>
                <w:lang w:eastAsia="en-US"/>
              </w:rPr>
              <w:t>Růst nákladů na bydlení ovlivňuje zejména imputované nájemné.</w:t>
            </w:r>
          </w:p>
        </w:tc>
        <w:tc>
          <w:tcPr>
            <w:tcW w:w="213" w:type="dxa"/>
          </w:tcPr>
          <w:p w14:paraId="0CEAF66C" w14:textId="77777777" w:rsidR="006B1AFC" w:rsidRDefault="006B1AFC" w:rsidP="003C4A79">
            <w:pPr>
              <w:pStyle w:val="Textpoznpodarou1"/>
              <w:jc w:val="both"/>
              <w:rPr>
                <w:lang w:eastAsia="en-US"/>
              </w:rPr>
            </w:pPr>
          </w:p>
        </w:tc>
        <w:tc>
          <w:tcPr>
            <w:tcW w:w="7629" w:type="dxa"/>
          </w:tcPr>
          <w:p w14:paraId="2CFC5325" w14:textId="77777777" w:rsidR="006B1AFC" w:rsidRDefault="006B1AFC" w:rsidP="003C4A79">
            <w:pPr>
              <w:rPr>
                <w:lang w:eastAsia="en-US"/>
              </w:rPr>
            </w:pPr>
            <w:r>
              <w:rPr>
                <w:lang w:eastAsia="en-US"/>
              </w:rPr>
              <w:t>Dopady krize na Blízkém východě se omezily na oblast dopravy a neprojevily se zatím v nákladech na bydlení. Cenový růst v tomto oddíle aktuálně ovlivňuje především imputované nájemné</w:t>
            </w:r>
            <w:r>
              <w:rPr>
                <w:rStyle w:val="Znakapoznpodarou"/>
                <w:lang w:eastAsia="en-US"/>
              </w:rPr>
              <w:footnoteReference w:id="69"/>
            </w:r>
            <w:r>
              <w:rPr>
                <w:lang w:eastAsia="en-US"/>
              </w:rPr>
              <w:t xml:space="preserve"> (5,3 %) a nájemné za bydlení (meziročně 6,2 %). </w:t>
            </w:r>
            <w:r w:rsidRPr="008D6326">
              <w:t>Imputované nájemné bylo skupinou s druhým největším vlivem na celkový růst spotřebitelských cen po nákladech na provoz dopravních prostředků.</w:t>
            </w:r>
            <w:r w:rsidRPr="008D6326">
              <w:rPr>
                <w:lang w:eastAsia="en-US"/>
              </w:rPr>
              <w:t xml:space="preserve"> Naopak ceny elektřiny, plynu </w:t>
            </w:r>
            <w:r w:rsidRPr="008D6326">
              <w:rPr>
                <w:lang w:eastAsia="en-US"/>
              </w:rPr>
              <w:lastRenderedPageBreak/>
              <w:t>a</w:t>
            </w:r>
            <w:r>
              <w:rPr>
                <w:lang w:eastAsia="en-US"/>
              </w:rPr>
              <w:t> </w:t>
            </w:r>
            <w:r w:rsidRPr="008D6326">
              <w:rPr>
                <w:lang w:eastAsia="en-US"/>
              </w:rPr>
              <w:t>ostatních paliv meziročně klesly</w:t>
            </w:r>
            <w:r>
              <w:rPr>
                <w:lang w:eastAsia="en-US"/>
              </w:rPr>
              <w:t xml:space="preserve"> o 7,0 %. Svižný růst si udržovaly drobnější položky</w:t>
            </w:r>
            <w:r>
              <w:t xml:space="preserve"> řadící se do oblasti služeb – </w:t>
            </w:r>
            <w:r>
              <w:rPr>
                <w:lang w:eastAsia="en-US"/>
              </w:rPr>
              <w:t>d</w:t>
            </w:r>
            <w:r w:rsidRPr="00003ECC">
              <w:rPr>
                <w:lang w:eastAsia="en-US"/>
              </w:rPr>
              <w:t>robné opravy, údržba a</w:t>
            </w:r>
            <w:r>
              <w:rPr>
                <w:lang w:eastAsia="en-US"/>
              </w:rPr>
              <w:t> </w:t>
            </w:r>
            <w:r w:rsidRPr="00003ECC">
              <w:rPr>
                <w:lang w:eastAsia="en-US"/>
              </w:rPr>
              <w:t>zabezpečení bydlení</w:t>
            </w:r>
            <w:r>
              <w:rPr>
                <w:lang w:eastAsia="en-US"/>
              </w:rPr>
              <w:t xml:space="preserve"> (4,5 %) a d</w:t>
            </w:r>
            <w:r w:rsidRPr="009835F8">
              <w:rPr>
                <w:lang w:eastAsia="en-US"/>
              </w:rPr>
              <w:t>odávka vody a ostatní služby související s</w:t>
            </w:r>
            <w:r>
              <w:rPr>
                <w:lang w:eastAsia="en-US"/>
              </w:rPr>
              <w:t> </w:t>
            </w:r>
            <w:r w:rsidRPr="009835F8">
              <w:rPr>
                <w:lang w:eastAsia="en-US"/>
              </w:rPr>
              <w:t>bydlením</w:t>
            </w:r>
            <w:r>
              <w:rPr>
                <w:lang w:eastAsia="en-US"/>
              </w:rPr>
              <w:t xml:space="preserve"> (3,5 %). V oddíle vybavení, zařízení a služby pro domácnost pokračoval mírný meziroční růst podpořený hlavně vývojem cen bytového textilu (3,4 %) a nábytku a zařízení domácnosti (1,7 %).</w:t>
            </w:r>
          </w:p>
        </w:tc>
      </w:tr>
      <w:tr w:rsidR="006B1AFC" w14:paraId="0661D07C" w14:textId="77777777" w:rsidTr="003C4A79">
        <w:trPr>
          <w:trHeight w:val="145"/>
        </w:trPr>
        <w:tc>
          <w:tcPr>
            <w:tcW w:w="1812" w:type="dxa"/>
          </w:tcPr>
          <w:p w14:paraId="311D7AE0" w14:textId="77777777" w:rsidR="006B1AFC" w:rsidRDefault="006B1AFC" w:rsidP="003C4A79">
            <w:pPr>
              <w:pStyle w:val="Marginlie"/>
              <w:rPr>
                <w:spacing w:val="0"/>
                <w:lang w:eastAsia="en-US"/>
              </w:rPr>
            </w:pPr>
            <w:r>
              <w:rPr>
                <w:spacing w:val="0"/>
                <w:lang w:eastAsia="en-US"/>
              </w:rPr>
              <w:lastRenderedPageBreak/>
              <w:t>Pokračoval nadprůměrný růst cen služeb.</w:t>
            </w:r>
          </w:p>
        </w:tc>
        <w:tc>
          <w:tcPr>
            <w:tcW w:w="213" w:type="dxa"/>
          </w:tcPr>
          <w:p w14:paraId="52FFC109" w14:textId="77777777" w:rsidR="006B1AFC" w:rsidRDefault="006B1AFC" w:rsidP="003C4A79">
            <w:pPr>
              <w:pStyle w:val="Textpoznpodarou1"/>
              <w:jc w:val="both"/>
              <w:rPr>
                <w:lang w:eastAsia="en-US"/>
              </w:rPr>
            </w:pPr>
          </w:p>
        </w:tc>
        <w:tc>
          <w:tcPr>
            <w:tcW w:w="7629" w:type="dxa"/>
          </w:tcPr>
          <w:p w14:paraId="389D520F" w14:textId="77777777" w:rsidR="006B1AFC" w:rsidRDefault="006B1AFC" w:rsidP="003C4A79">
            <w:pPr>
              <w:rPr>
                <w:lang w:eastAsia="en-US"/>
              </w:rPr>
            </w:pPr>
            <w:r>
              <w:rPr>
                <w:lang w:eastAsia="en-US"/>
              </w:rPr>
              <w:t>Významný vliv ve směru meziročního růstu spotřebitelských cen si nadále udržovaly oddíly alkoholické nápoje a tabák a stravovací a ubytovací služby. Nad celkovým průměrem se držela rovněž dynamika cen v dalších oddílech zahrnujících služby, jako je pojištění a finanční služby a osobní a sociální péče, různé zboží a služby. Posílení meziročního růstu cen rekreací, sportu a kultury ovlivnily zejména organizované dovolené a zájezdy (3,3 %) a výrobky pro zahradu, rostliny a domácí zvířata (z poklesu se ceny dostaly do růstu o 0,7 %). Kromě toho silně meziročně rostly ceny zboží dlouhodobé spotřeby pro rekreaci (10,1 %) a kulturních služeb (7,7 %).</w:t>
            </w:r>
          </w:p>
        </w:tc>
      </w:tr>
      <w:tr w:rsidR="006B1AFC" w14:paraId="37443A3C" w14:textId="77777777" w:rsidTr="003C4A79">
        <w:trPr>
          <w:trHeight w:val="145"/>
        </w:trPr>
        <w:tc>
          <w:tcPr>
            <w:tcW w:w="1812" w:type="dxa"/>
          </w:tcPr>
          <w:p w14:paraId="7187E003" w14:textId="77777777" w:rsidR="006B1AFC" w:rsidRDefault="006B1AFC" w:rsidP="003C4A79">
            <w:pPr>
              <w:pStyle w:val="Marginlie"/>
              <w:rPr>
                <w:spacing w:val="0"/>
                <w:lang w:eastAsia="en-US"/>
              </w:rPr>
            </w:pPr>
            <w:r>
              <w:rPr>
                <w:spacing w:val="0"/>
                <w:lang w:eastAsia="en-US"/>
              </w:rPr>
              <w:t>Do meziročního poklesu se dostaly ceny potravin.</w:t>
            </w:r>
          </w:p>
        </w:tc>
        <w:tc>
          <w:tcPr>
            <w:tcW w:w="213" w:type="dxa"/>
          </w:tcPr>
          <w:p w14:paraId="04A9D16C" w14:textId="77777777" w:rsidR="006B1AFC" w:rsidRDefault="006B1AFC" w:rsidP="003C4A79">
            <w:pPr>
              <w:pStyle w:val="Textpoznpodarou1"/>
              <w:jc w:val="both"/>
              <w:rPr>
                <w:lang w:eastAsia="en-US"/>
              </w:rPr>
            </w:pPr>
          </w:p>
        </w:tc>
        <w:tc>
          <w:tcPr>
            <w:tcW w:w="7629" w:type="dxa"/>
          </w:tcPr>
          <w:p w14:paraId="01D3D94E" w14:textId="77777777" w:rsidR="006B1AFC" w:rsidRDefault="006B1AFC" w:rsidP="003C4A79">
            <w:pPr>
              <w:rPr>
                <w:lang w:eastAsia="en-US"/>
              </w:rPr>
            </w:pPr>
            <w:r>
              <w:rPr>
                <w:lang w:eastAsia="en-US"/>
              </w:rPr>
              <w:t>Jedinými oddíly, kde ceny ve 2. čtvrtletí meziročně klesaly, byly potraviny a nealkoholické nápoje a odívání a obuv. U potravin a nealkoholických nápojů došlo k prvnímu meziročnímu poklesu po téměř pěti letech a do poklesu se dostala většina skupin z oddílu. Patrná byla souvislost s vývojem cen zemědělských výrobců. Největší propad si držely ceny olejů a tuků (−17,1 %) a prohloubil se pokles cen mléka, mléčných výrobků a vajec (−5,1 %). Celkový pokles cen potravin ovlivňovala také snížení cen u ovoce a ořechů (−4,3 %) a masa (−2,0 %). Rostly jen ceny cukru a cukrovinek (1,8 %) a dále ryb a mořských plodů (0,7 %).</w:t>
            </w:r>
          </w:p>
        </w:tc>
      </w:tr>
      <w:tr w:rsidR="006B1AFC" w14:paraId="704358F4" w14:textId="77777777" w:rsidTr="003C4A79">
        <w:trPr>
          <w:trHeight w:val="142"/>
        </w:trPr>
        <w:tc>
          <w:tcPr>
            <w:tcW w:w="1812" w:type="dxa"/>
            <w:vMerge w:val="restart"/>
          </w:tcPr>
          <w:p w14:paraId="4F7AF2C7" w14:textId="77777777" w:rsidR="006B1AFC" w:rsidRDefault="006B1AFC" w:rsidP="003C4A79">
            <w:pPr>
              <w:pStyle w:val="Marginlie"/>
              <w:rPr>
                <w:spacing w:val="0"/>
                <w:lang w:eastAsia="en-US"/>
              </w:rPr>
            </w:pPr>
          </w:p>
        </w:tc>
        <w:tc>
          <w:tcPr>
            <w:tcW w:w="213" w:type="dxa"/>
            <w:vMerge w:val="restart"/>
          </w:tcPr>
          <w:p w14:paraId="3AC0AB1D" w14:textId="77777777" w:rsidR="006B1AFC" w:rsidRDefault="006B1AFC" w:rsidP="003C4A79">
            <w:pPr>
              <w:pStyle w:val="Textpoznpodarou1"/>
              <w:jc w:val="both"/>
              <w:rPr>
                <w:lang w:eastAsia="en-US"/>
              </w:rPr>
            </w:pPr>
          </w:p>
        </w:tc>
        <w:tc>
          <w:tcPr>
            <w:tcW w:w="7629" w:type="dxa"/>
          </w:tcPr>
          <w:p w14:paraId="0C7143D1" w14:textId="77777777" w:rsidR="006B1AFC" w:rsidRDefault="006B1AFC" w:rsidP="003C4A79">
            <w:pPr>
              <w:spacing w:after="0"/>
              <w:rPr>
                <w:lang w:eastAsia="en-US"/>
              </w:rPr>
            </w:pPr>
            <w:r>
              <w:rPr>
                <w:b/>
                <w:bCs/>
                <w:lang w:eastAsia="en-US"/>
              </w:rPr>
              <w:t>Graf č. 11 H</w:t>
            </w:r>
            <w:r w:rsidRPr="00233122">
              <w:rPr>
                <w:b/>
                <w:bCs/>
                <w:lang w:eastAsia="en-US"/>
              </w:rPr>
              <w:t>armonizovan</w:t>
            </w:r>
            <w:r>
              <w:rPr>
                <w:b/>
                <w:bCs/>
                <w:lang w:eastAsia="en-US"/>
              </w:rPr>
              <w:t>ý</w:t>
            </w:r>
            <w:r w:rsidRPr="00233122">
              <w:rPr>
                <w:b/>
                <w:bCs/>
                <w:lang w:eastAsia="en-US"/>
              </w:rPr>
              <w:t xml:space="preserve"> index spotřebitelských cen v</w:t>
            </w:r>
            <w:r>
              <w:rPr>
                <w:b/>
                <w:bCs/>
                <w:lang w:eastAsia="en-US"/>
              </w:rPr>
              <w:t> </w:t>
            </w:r>
            <w:r w:rsidRPr="00233122">
              <w:rPr>
                <w:b/>
                <w:bCs/>
                <w:lang w:eastAsia="en-US"/>
              </w:rPr>
              <w:t>EU</w:t>
            </w:r>
            <w:r>
              <w:rPr>
                <w:b/>
                <w:bCs/>
                <w:lang w:eastAsia="en-US"/>
              </w:rPr>
              <w:t xml:space="preserve"> ve 2. čtvrtletí 2026</w:t>
            </w:r>
            <w:r w:rsidRPr="00233122">
              <w:rPr>
                <w:b/>
                <w:bCs/>
                <w:lang w:eastAsia="en-US"/>
              </w:rPr>
              <w:t xml:space="preserve"> </w:t>
            </w:r>
            <w:r w:rsidRPr="00233122">
              <w:rPr>
                <w:lang w:eastAsia="en-US"/>
              </w:rPr>
              <w:t>(v %)</w:t>
            </w:r>
          </w:p>
        </w:tc>
      </w:tr>
      <w:tr w:rsidR="006B1AFC" w14:paraId="18F97CD1" w14:textId="77777777" w:rsidTr="003C4A79">
        <w:tblPrEx>
          <w:tblCellMar>
            <w:left w:w="70" w:type="dxa"/>
            <w:right w:w="70" w:type="dxa"/>
          </w:tblCellMar>
        </w:tblPrEx>
        <w:trPr>
          <w:trHeight w:val="142"/>
        </w:trPr>
        <w:tc>
          <w:tcPr>
            <w:tcW w:w="1812" w:type="dxa"/>
            <w:vMerge/>
          </w:tcPr>
          <w:p w14:paraId="62B87309" w14:textId="77777777" w:rsidR="006B1AFC" w:rsidRDefault="006B1AFC" w:rsidP="003C4A79">
            <w:pPr>
              <w:pStyle w:val="Marginlie"/>
              <w:rPr>
                <w:spacing w:val="0"/>
                <w:lang w:eastAsia="en-US"/>
              </w:rPr>
            </w:pPr>
          </w:p>
        </w:tc>
        <w:tc>
          <w:tcPr>
            <w:tcW w:w="213" w:type="dxa"/>
            <w:vMerge/>
          </w:tcPr>
          <w:p w14:paraId="59221DC6" w14:textId="77777777" w:rsidR="006B1AFC" w:rsidRDefault="006B1AFC" w:rsidP="003C4A79">
            <w:pPr>
              <w:pStyle w:val="Textpoznpodarou1"/>
              <w:jc w:val="both"/>
              <w:rPr>
                <w:lang w:eastAsia="en-US"/>
              </w:rPr>
            </w:pPr>
          </w:p>
        </w:tc>
        <w:tc>
          <w:tcPr>
            <w:tcW w:w="7629" w:type="dxa"/>
          </w:tcPr>
          <w:p w14:paraId="0CDD184A" w14:textId="77777777" w:rsidR="006B1AFC" w:rsidRDefault="006B1AFC" w:rsidP="003C4A79">
            <w:pPr>
              <w:spacing w:after="0"/>
              <w:rPr>
                <w:lang w:eastAsia="en-US"/>
              </w:rPr>
            </w:pPr>
            <w:r>
              <w:rPr>
                <w:noProof/>
              </w:rPr>
              <w:drawing>
                <wp:inline distT="0" distB="0" distL="0" distR="0" wp14:anchorId="09B62AF0" wp14:editId="2C99E027">
                  <wp:extent cx="4737600" cy="2880000"/>
                  <wp:effectExtent l="0" t="0" r="6350" b="0"/>
                  <wp:docPr id="1633325724" name="Graf 1">
                    <a:extLst xmlns:a="http://schemas.openxmlformats.org/drawingml/2006/main">
                      <a:ext uri="{FF2B5EF4-FFF2-40B4-BE49-F238E27FC236}">
                        <a16:creationId xmlns:a16="http://schemas.microsoft.com/office/drawing/2014/main" id="{D6AA85DB-7C9C-8895-6A33-B0C36941F4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6B1AFC" w14:paraId="167C7E81" w14:textId="77777777" w:rsidTr="003C4A79">
        <w:trPr>
          <w:trHeight w:val="142"/>
        </w:trPr>
        <w:tc>
          <w:tcPr>
            <w:tcW w:w="1812" w:type="dxa"/>
            <w:vMerge/>
          </w:tcPr>
          <w:p w14:paraId="36361EAA" w14:textId="77777777" w:rsidR="006B1AFC" w:rsidRDefault="006B1AFC" w:rsidP="003C4A79">
            <w:pPr>
              <w:pStyle w:val="Marginlie"/>
              <w:rPr>
                <w:spacing w:val="0"/>
                <w:lang w:eastAsia="en-US"/>
              </w:rPr>
            </w:pPr>
          </w:p>
        </w:tc>
        <w:tc>
          <w:tcPr>
            <w:tcW w:w="213" w:type="dxa"/>
            <w:vMerge/>
          </w:tcPr>
          <w:p w14:paraId="55433733" w14:textId="77777777" w:rsidR="006B1AFC" w:rsidRDefault="006B1AFC" w:rsidP="003C4A79">
            <w:pPr>
              <w:pStyle w:val="Textpoznpodarou1"/>
              <w:jc w:val="both"/>
              <w:rPr>
                <w:lang w:eastAsia="en-US"/>
              </w:rPr>
            </w:pPr>
          </w:p>
        </w:tc>
        <w:tc>
          <w:tcPr>
            <w:tcW w:w="7629" w:type="dxa"/>
          </w:tcPr>
          <w:p w14:paraId="0EA97865" w14:textId="77777777" w:rsidR="006B1AFC" w:rsidRPr="00233122" w:rsidRDefault="006B1AFC" w:rsidP="003C4A79">
            <w:pPr>
              <w:rPr>
                <w:sz w:val="16"/>
                <w:szCs w:val="16"/>
                <w:lang w:eastAsia="en-US"/>
              </w:rPr>
            </w:pPr>
            <w:r w:rsidRPr="00233122">
              <w:rPr>
                <w:sz w:val="16"/>
                <w:szCs w:val="16"/>
                <w:lang w:eastAsia="en-US"/>
              </w:rPr>
              <w:t>Zdroj: Eurostat</w:t>
            </w:r>
          </w:p>
        </w:tc>
      </w:tr>
      <w:tr w:rsidR="006B1AFC" w14:paraId="1414F33F" w14:textId="77777777" w:rsidTr="003C4A79">
        <w:trPr>
          <w:trHeight w:val="145"/>
        </w:trPr>
        <w:tc>
          <w:tcPr>
            <w:tcW w:w="1812" w:type="dxa"/>
          </w:tcPr>
          <w:p w14:paraId="410DDD1A" w14:textId="77777777" w:rsidR="006B1AFC" w:rsidRDefault="006B1AFC" w:rsidP="003C4A79">
            <w:pPr>
              <w:pStyle w:val="Marginlie"/>
              <w:rPr>
                <w:spacing w:val="0"/>
                <w:lang w:eastAsia="en-US"/>
              </w:rPr>
            </w:pPr>
            <w:r>
              <w:rPr>
                <w:spacing w:val="0"/>
                <w:lang w:eastAsia="en-US"/>
              </w:rPr>
              <w:t>Růst spotřebitelských cen v EU pod vlivem cen dopravy zrychlil.</w:t>
            </w:r>
          </w:p>
        </w:tc>
        <w:tc>
          <w:tcPr>
            <w:tcW w:w="213" w:type="dxa"/>
          </w:tcPr>
          <w:p w14:paraId="4BE7F7CD" w14:textId="77777777" w:rsidR="006B1AFC" w:rsidRDefault="006B1AFC" w:rsidP="003C4A79">
            <w:pPr>
              <w:pStyle w:val="Textpoznpodarou1"/>
              <w:jc w:val="both"/>
              <w:rPr>
                <w:lang w:eastAsia="en-US"/>
              </w:rPr>
            </w:pPr>
          </w:p>
        </w:tc>
        <w:tc>
          <w:tcPr>
            <w:tcW w:w="7629" w:type="dxa"/>
          </w:tcPr>
          <w:p w14:paraId="1D1A46A5" w14:textId="3F310EA8" w:rsidR="006B1AFC" w:rsidRDefault="006B1AFC" w:rsidP="003C4A79">
            <w:pPr>
              <w:rPr>
                <w:lang w:eastAsia="en-US"/>
              </w:rPr>
            </w:pPr>
            <w:r>
              <w:rPr>
                <w:lang w:eastAsia="en-US"/>
              </w:rPr>
              <w:t>Mezičtvrtletní přírůstek harmonizovaného indexu spotřebitelských cen (HICP)</w:t>
            </w:r>
            <w:r>
              <w:rPr>
                <w:rStyle w:val="Znakapoznpodarou"/>
                <w:lang w:eastAsia="en-US"/>
              </w:rPr>
              <w:footnoteReference w:id="70"/>
            </w:r>
            <w:r>
              <w:rPr>
                <w:lang w:eastAsia="en-US"/>
              </w:rPr>
              <w:t xml:space="preserve"> v EU ve 2. čtvrtletí dosáhl 1,9 %. Mezičtvrtletně vyšší byly ve 2. čtvrtletí ceny ve všech oddílech klasifikace. Posílení dynamiky HICP souviselo především s prudkým nárůstem cen dopravy (4,4 %), výrazný byl ale rovněž přírůstek cen stravovacích a ubytovacích služeb (3,3 %) a oděvů a obuvi (7,9 %). O více než 1,0 % v EU mezičtvrtletně vzrostly také ceny rekreací, sportu a kultury (1,7 %), bydlení a energií, pojištění a finančních služeb a osobní a sociální péče, různého zboží a služeb (všechny </w:t>
            </w:r>
            <w:r>
              <w:rPr>
                <w:lang w:eastAsia="en-US"/>
              </w:rPr>
              <w:lastRenderedPageBreak/>
              <w:t xml:space="preserve">shodně o 1,1 %), což dokládá trvající inflační tlaky v oblasti služeb. S výjimkou Švédska (−0,2 %) mezičtvrtletně vzrostly spotřebitelské ceny v celé EU. Česko přitom dosáhlo druhého nejnižšího přírůstu cen v EU (0,8 %, rozdíl HICP oproti publikovanému indexu spotřebitelských cen vyplývá z absence nákladů vlastního bydlení v HICP). Meziroční nárůst spotřebitelských cen v EU posílil ve 2. čtvrtletí na 3,2 % (z 2,3 % v předchozím kvartálu). Nejvíce vzrostly ceny dopravy (6,4 %), vzdělání (4,7 %), alkoholických nápojů a tabáku a stravovacích a ubytovacích služeb (shodně o 4,0 %). Česko se z pohledu meziroční dynamiky HICP řadilo mezi země s nejnižším meziročním růstem (1,7 %, </w:t>
            </w:r>
            <w:r>
              <w:rPr>
                <w:lang w:eastAsia="en-US"/>
              </w:rPr>
              <w:br/>
              <w:t xml:space="preserve">3. nejnižší v EU). </w:t>
            </w:r>
          </w:p>
        </w:tc>
      </w:tr>
      <w:tr w:rsidR="006B1AFC" w14:paraId="504F1C65" w14:textId="77777777" w:rsidTr="003C4A79">
        <w:trPr>
          <w:trHeight w:val="145"/>
        </w:trPr>
        <w:tc>
          <w:tcPr>
            <w:tcW w:w="1812" w:type="dxa"/>
          </w:tcPr>
          <w:p w14:paraId="02C4806C" w14:textId="77777777" w:rsidR="006B1AFC" w:rsidRDefault="006B1AFC" w:rsidP="003C4A79">
            <w:pPr>
              <w:pStyle w:val="Marginlie"/>
              <w:rPr>
                <w:spacing w:val="0"/>
                <w:lang w:eastAsia="en-US"/>
              </w:rPr>
            </w:pPr>
            <w:r>
              <w:rPr>
                <w:spacing w:val="0"/>
                <w:lang w:eastAsia="en-US"/>
              </w:rPr>
              <w:lastRenderedPageBreak/>
              <w:t>Růst nabídkových cen bytů zpomalil.</w:t>
            </w:r>
          </w:p>
        </w:tc>
        <w:tc>
          <w:tcPr>
            <w:tcW w:w="213" w:type="dxa"/>
          </w:tcPr>
          <w:p w14:paraId="477F5C1E" w14:textId="77777777" w:rsidR="006B1AFC" w:rsidRDefault="006B1AFC" w:rsidP="003C4A79">
            <w:pPr>
              <w:pStyle w:val="Textpoznpodarou1"/>
              <w:jc w:val="both"/>
              <w:rPr>
                <w:lang w:eastAsia="en-US"/>
              </w:rPr>
            </w:pPr>
          </w:p>
        </w:tc>
        <w:tc>
          <w:tcPr>
            <w:tcW w:w="7629" w:type="dxa"/>
          </w:tcPr>
          <w:p w14:paraId="7BFDBD2B" w14:textId="77777777" w:rsidR="006B1AFC" w:rsidRDefault="006B1AFC" w:rsidP="003C4A79">
            <w:pPr>
              <w:rPr>
                <w:lang w:eastAsia="en-US"/>
              </w:rPr>
            </w:pPr>
            <w:r>
              <w:rPr>
                <w:lang w:eastAsia="en-US"/>
              </w:rPr>
              <w:t xml:space="preserve">Nabídkové ceny bytů v Česku ve 2. čtvrtletí vzrostly mezičtvrtletně o 1,4 % a meziročně o 10,7 %. Růst zpomalil ve srovnání s předchozím kvartálem (2,7 % mezičtvrtletně, 12,9 % meziročně), především u bytů mimo Prahu, kde se nabídkové ceny zvýšily mezičtvrtletně o 1,2 % a meziročně o 12,6 % (po 17,7 % z předchozího kvartálu). V Praze se nabídkové ceny bytů ve 2. čtvrtletí zvýšily o 1,6 % mezičtvrtletně a o 9,0 % meziročně. Mezičtvrtletní růst realizovaných cen starších bytů v Česku ve 2. čtvrtletí naopak posílil na 3,2 % (meziroční přírůstek oslabil na 14,0 %). Realizované ceny mimo Prahu pak byly mezičtvrtletně vyšší o 3,3 % (meziročně o 14,5 %) a v Praze růst posílil na 2,6 % mezičtvrtletně a 11,9 % meziročně. Realizované ceny nových bytů (pouze za Prahu) ve 2. čtvrtletí mezičtvrtletně klesly o 1,0 % a došlo rovněž k výraznému propadu meziročního nárůstu na 3,1 %.   </w:t>
            </w:r>
          </w:p>
        </w:tc>
      </w:tr>
      <w:tr w:rsidR="006B1AFC" w14:paraId="1BC5C4C9" w14:textId="77777777" w:rsidTr="003C4A79">
        <w:trPr>
          <w:trHeight w:val="145"/>
        </w:trPr>
        <w:tc>
          <w:tcPr>
            <w:tcW w:w="1812" w:type="dxa"/>
          </w:tcPr>
          <w:p w14:paraId="06013F9D" w14:textId="77777777" w:rsidR="006B1AFC" w:rsidRDefault="006B1AFC" w:rsidP="003C4A79">
            <w:pPr>
              <w:pStyle w:val="Marginlie"/>
              <w:rPr>
                <w:spacing w:val="0"/>
                <w:lang w:eastAsia="en-US"/>
              </w:rPr>
            </w:pPr>
          </w:p>
        </w:tc>
        <w:tc>
          <w:tcPr>
            <w:tcW w:w="213" w:type="dxa"/>
          </w:tcPr>
          <w:p w14:paraId="78F2133E" w14:textId="77777777" w:rsidR="006B1AFC" w:rsidRDefault="006B1AFC" w:rsidP="003C4A79">
            <w:pPr>
              <w:pStyle w:val="Textpoznpodarou1"/>
              <w:jc w:val="both"/>
              <w:rPr>
                <w:lang w:eastAsia="en-US"/>
              </w:rPr>
            </w:pPr>
          </w:p>
        </w:tc>
        <w:tc>
          <w:tcPr>
            <w:tcW w:w="7629" w:type="dxa"/>
            <w:hideMark/>
          </w:tcPr>
          <w:p w14:paraId="79D92DFA" w14:textId="77777777" w:rsidR="006B1AFC" w:rsidRDefault="006B1AFC" w:rsidP="003C4A79">
            <w:pPr>
              <w:spacing w:after="0"/>
              <w:rPr>
                <w:rStyle w:val="Znakapoznpodarou"/>
              </w:rPr>
            </w:pPr>
            <w:r>
              <w:rPr>
                <w:b/>
                <w:sz w:val="18"/>
                <w:szCs w:val="18"/>
                <w:lang w:eastAsia="en-US"/>
              </w:rPr>
              <w:t xml:space="preserve">Graf č. 12 Ceny nemovitostí </w:t>
            </w:r>
            <w:r>
              <w:rPr>
                <w:sz w:val="18"/>
                <w:szCs w:val="18"/>
                <w:lang w:eastAsia="en-US"/>
              </w:rPr>
              <w:t>(meziroční změna, v %)</w:t>
            </w:r>
          </w:p>
        </w:tc>
      </w:tr>
      <w:tr w:rsidR="006B1AFC" w14:paraId="1853AC74" w14:textId="77777777" w:rsidTr="003C4A79">
        <w:tblPrEx>
          <w:tblCellMar>
            <w:left w:w="70" w:type="dxa"/>
            <w:right w:w="70" w:type="dxa"/>
          </w:tblCellMar>
        </w:tblPrEx>
        <w:trPr>
          <w:trHeight w:val="145"/>
        </w:trPr>
        <w:tc>
          <w:tcPr>
            <w:tcW w:w="1812" w:type="dxa"/>
          </w:tcPr>
          <w:p w14:paraId="0D1B1B54" w14:textId="77777777" w:rsidR="006B1AFC" w:rsidRDefault="006B1AFC" w:rsidP="003C4A79">
            <w:pPr>
              <w:pStyle w:val="Marginlie"/>
              <w:rPr>
                <w:spacing w:val="0"/>
              </w:rPr>
            </w:pPr>
          </w:p>
        </w:tc>
        <w:tc>
          <w:tcPr>
            <w:tcW w:w="213" w:type="dxa"/>
          </w:tcPr>
          <w:p w14:paraId="63F423DB" w14:textId="77777777" w:rsidR="006B1AFC" w:rsidRDefault="006B1AFC" w:rsidP="003C4A79">
            <w:pPr>
              <w:pStyle w:val="Textpoznpodarou1"/>
              <w:jc w:val="both"/>
              <w:rPr>
                <w:lang w:eastAsia="en-US"/>
              </w:rPr>
            </w:pPr>
          </w:p>
        </w:tc>
        <w:tc>
          <w:tcPr>
            <w:tcW w:w="7629" w:type="dxa"/>
            <w:hideMark/>
          </w:tcPr>
          <w:p w14:paraId="28106732" w14:textId="77777777" w:rsidR="006B1AFC" w:rsidRDefault="006B1AFC" w:rsidP="003C4A79">
            <w:pPr>
              <w:spacing w:after="0"/>
              <w:rPr>
                <w:rStyle w:val="Znakapoznpodarou"/>
              </w:rPr>
            </w:pPr>
            <w:r>
              <w:rPr>
                <w:noProof/>
              </w:rPr>
              <w:drawing>
                <wp:inline distT="0" distB="0" distL="0" distR="0" wp14:anchorId="2638FD07" wp14:editId="734FCC9B">
                  <wp:extent cx="4737600" cy="2880000"/>
                  <wp:effectExtent l="0" t="0" r="6350" b="0"/>
                  <wp:docPr id="385917525" name="Graf 1">
                    <a:extLst xmlns:a="http://schemas.openxmlformats.org/drawingml/2006/main">
                      <a:ext uri="{FF2B5EF4-FFF2-40B4-BE49-F238E27FC236}">
                        <a16:creationId xmlns:a16="http://schemas.microsoft.com/office/drawing/2014/main"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6B1AFC" w14:paraId="5DAEAF72" w14:textId="77777777" w:rsidTr="003C4A79">
        <w:trPr>
          <w:trHeight w:val="145"/>
        </w:trPr>
        <w:tc>
          <w:tcPr>
            <w:tcW w:w="1812" w:type="dxa"/>
          </w:tcPr>
          <w:p w14:paraId="5D0B95F6" w14:textId="77777777" w:rsidR="006B1AFC" w:rsidRDefault="006B1AFC" w:rsidP="003C4A79">
            <w:pPr>
              <w:pStyle w:val="Marginlie"/>
              <w:rPr>
                <w:spacing w:val="0"/>
              </w:rPr>
            </w:pPr>
          </w:p>
        </w:tc>
        <w:tc>
          <w:tcPr>
            <w:tcW w:w="213" w:type="dxa"/>
          </w:tcPr>
          <w:p w14:paraId="2084E492" w14:textId="77777777" w:rsidR="006B1AFC" w:rsidRDefault="006B1AFC" w:rsidP="003C4A79">
            <w:pPr>
              <w:pStyle w:val="Textpoznpodarou1"/>
              <w:jc w:val="both"/>
              <w:rPr>
                <w:lang w:eastAsia="en-US"/>
              </w:rPr>
            </w:pPr>
          </w:p>
        </w:tc>
        <w:tc>
          <w:tcPr>
            <w:tcW w:w="7629" w:type="dxa"/>
            <w:hideMark/>
          </w:tcPr>
          <w:p w14:paraId="25418597" w14:textId="77777777" w:rsidR="006B1AFC" w:rsidRDefault="006B1AFC" w:rsidP="003C4A79">
            <w:pPr>
              <w:jc w:val="left"/>
              <w:rPr>
                <w:rStyle w:val="Znakapoznpodarou"/>
                <w:sz w:val="16"/>
                <w:szCs w:val="16"/>
              </w:rPr>
            </w:pPr>
            <w:r>
              <w:rPr>
                <w:sz w:val="16"/>
                <w:szCs w:val="16"/>
                <w:lang w:eastAsia="en-US"/>
              </w:rPr>
              <w:t>Zdroj: ČSÚ</w:t>
            </w:r>
          </w:p>
        </w:tc>
      </w:tr>
      <w:tr w:rsidR="006B1AFC" w14:paraId="7E90F4D9" w14:textId="77777777" w:rsidTr="003C4A79">
        <w:trPr>
          <w:trHeight w:val="145"/>
        </w:trPr>
        <w:tc>
          <w:tcPr>
            <w:tcW w:w="9654" w:type="dxa"/>
            <w:gridSpan w:val="3"/>
          </w:tcPr>
          <w:p w14:paraId="118D8E18" w14:textId="77777777" w:rsidR="006B1AFC" w:rsidRPr="00F879AD" w:rsidRDefault="006B1AFC" w:rsidP="003C4A79">
            <w:pPr>
              <w:pStyle w:val="Nadpis3"/>
              <w:spacing w:after="120"/>
              <w:rPr>
                <w:lang w:eastAsia="en-US"/>
              </w:rPr>
            </w:pPr>
            <w:bookmarkStart w:id="38" w:name="_Toc239947449"/>
            <w:bookmarkStart w:id="39" w:name="_Toc240366901"/>
            <w:r>
              <w:rPr>
                <w:lang w:eastAsia="en-US"/>
              </w:rPr>
              <w:t xml:space="preserve">5.2 </w:t>
            </w:r>
            <w:r w:rsidRPr="00F879AD">
              <w:rPr>
                <w:lang w:eastAsia="en-US"/>
              </w:rPr>
              <w:t>Ceny</w:t>
            </w:r>
            <w:r>
              <w:rPr>
                <w:lang w:eastAsia="en-US"/>
              </w:rPr>
              <w:t xml:space="preserve"> </w:t>
            </w:r>
            <w:r w:rsidRPr="00F879AD">
              <w:rPr>
                <w:lang w:eastAsia="en-US"/>
              </w:rPr>
              <w:t>výrobců</w:t>
            </w:r>
            <w:bookmarkEnd w:id="38"/>
            <w:bookmarkEnd w:id="39"/>
          </w:p>
        </w:tc>
      </w:tr>
      <w:tr w:rsidR="006B1AFC" w14:paraId="2F96FC4A" w14:textId="77777777" w:rsidTr="003C4A79">
        <w:trPr>
          <w:trHeight w:val="145"/>
        </w:trPr>
        <w:tc>
          <w:tcPr>
            <w:tcW w:w="1812" w:type="dxa"/>
          </w:tcPr>
          <w:p w14:paraId="1A0E29A3" w14:textId="77777777" w:rsidR="006B1AFC" w:rsidRDefault="006B1AFC" w:rsidP="003C4A79">
            <w:pPr>
              <w:pStyle w:val="Marginlie"/>
              <w:rPr>
                <w:spacing w:val="0"/>
                <w:lang w:eastAsia="en-US"/>
              </w:rPr>
            </w:pPr>
            <w:r>
              <w:rPr>
                <w:spacing w:val="0"/>
                <w:lang w:eastAsia="en-US"/>
              </w:rPr>
              <w:t>Ceny průmyslových výrobců opět začaly meziročně růst.</w:t>
            </w:r>
          </w:p>
        </w:tc>
        <w:tc>
          <w:tcPr>
            <w:tcW w:w="213" w:type="dxa"/>
          </w:tcPr>
          <w:p w14:paraId="2C600EFC" w14:textId="77777777" w:rsidR="006B1AFC" w:rsidRDefault="006B1AFC" w:rsidP="003C4A79">
            <w:pPr>
              <w:pStyle w:val="Textpoznpodarou1"/>
              <w:jc w:val="both"/>
              <w:rPr>
                <w:lang w:eastAsia="en-US"/>
              </w:rPr>
            </w:pPr>
          </w:p>
        </w:tc>
        <w:tc>
          <w:tcPr>
            <w:tcW w:w="7629" w:type="dxa"/>
          </w:tcPr>
          <w:p w14:paraId="7C2B98EF" w14:textId="77777777" w:rsidR="006B1AFC" w:rsidRDefault="006B1AFC" w:rsidP="003C4A79">
            <w:pPr>
              <w:rPr>
                <w:lang w:eastAsia="en-US"/>
              </w:rPr>
            </w:pPr>
            <w:r w:rsidRPr="00297F25">
              <w:rPr>
                <w:lang w:eastAsia="en-US"/>
              </w:rPr>
              <w:t>Prudké navýšení cen některých surovin ovlivňovalo už konec 1. kvartálu, ale plně se na vývoji cen průmyslových výrobců podepsalo až ve 2. čtvrtletí. Ceny průmyslových výrobců ve 2. kvartálu vzrostly mezičtvrtletně o 2,2</w:t>
            </w:r>
            <w:r>
              <w:rPr>
                <w:lang w:eastAsia="en-US"/>
              </w:rPr>
              <w:t> %</w:t>
            </w:r>
            <w:r w:rsidRPr="00297F25">
              <w:rPr>
                <w:lang w:eastAsia="en-US"/>
              </w:rPr>
              <w:t xml:space="preserve"> a meziročně o 1,3</w:t>
            </w:r>
            <w:r>
              <w:rPr>
                <w:lang w:eastAsia="en-US"/>
              </w:rPr>
              <w:t> %</w:t>
            </w:r>
            <w:r w:rsidRPr="00297F25">
              <w:rPr>
                <w:lang w:eastAsia="en-US"/>
              </w:rPr>
              <w:t>. Prudký nárůst cen ropy (mezičtvrtletně o 70,7</w:t>
            </w:r>
            <w:r>
              <w:rPr>
                <w:lang w:eastAsia="en-US"/>
              </w:rPr>
              <w:t> %</w:t>
            </w:r>
            <w:r w:rsidRPr="00297F25">
              <w:rPr>
                <w:lang w:eastAsia="en-US"/>
              </w:rPr>
              <w:t xml:space="preserve"> a meziročně o 50,2</w:t>
            </w:r>
            <w:r>
              <w:rPr>
                <w:lang w:eastAsia="en-US"/>
              </w:rPr>
              <w:t> %</w:t>
            </w:r>
            <w:r w:rsidRPr="00297F25">
              <w:rPr>
                <w:lang w:eastAsia="en-US"/>
              </w:rPr>
              <w:t>) klíčově ovlivnil posílení dynamiky cen těžby a dobývání (</w:t>
            </w:r>
            <w:r>
              <w:rPr>
                <w:lang w:eastAsia="en-US"/>
              </w:rPr>
              <w:t xml:space="preserve">viz Tabulka č. 10, </w:t>
            </w:r>
            <w:r w:rsidRPr="00297F25">
              <w:rPr>
                <w:lang w:eastAsia="en-US"/>
              </w:rPr>
              <w:t xml:space="preserve">meziročně </w:t>
            </w:r>
            <w:r>
              <w:rPr>
                <w:lang w:eastAsia="en-US"/>
              </w:rPr>
              <w:t xml:space="preserve">zde ceny </w:t>
            </w:r>
            <w:r w:rsidRPr="00297F25">
              <w:rPr>
                <w:lang w:eastAsia="en-US"/>
              </w:rPr>
              <w:t>vzrostly poprvé od konce roku 2023). Zrychlil také růst cen ostatní těžby, která zahrnuje především různé stavební materiály</w:t>
            </w:r>
            <w:r>
              <w:rPr>
                <w:lang w:eastAsia="en-US"/>
              </w:rPr>
              <w:t xml:space="preserve">. Výrazné zdražení se zatím omezilo jen na ropu, takže stabilní byla situace u zemního plynu (mezičtvrtletně ceny vzrostly o 1,0 %). Rovněž ceny </w:t>
            </w:r>
            <w:r>
              <w:rPr>
                <w:lang w:eastAsia="en-US"/>
              </w:rPr>
              <w:lastRenderedPageBreak/>
              <w:t>elektřiny, plynu, páry a klimatizovaného vzduchu si ve 2. čtvrtletí udržovaly meziroční propad a snižovaly se i mezičtvrtletně.</w:t>
            </w:r>
          </w:p>
        </w:tc>
      </w:tr>
      <w:tr w:rsidR="006B1AFC" w14:paraId="598E5CD4" w14:textId="77777777" w:rsidTr="003C4A79">
        <w:trPr>
          <w:trHeight w:val="145"/>
        </w:trPr>
        <w:tc>
          <w:tcPr>
            <w:tcW w:w="9654" w:type="dxa"/>
            <w:gridSpan w:val="3"/>
          </w:tcPr>
          <w:p w14:paraId="4E597946" w14:textId="77777777" w:rsidR="006B1AFC" w:rsidRPr="00127E1E" w:rsidRDefault="006B1AFC" w:rsidP="003C4A79">
            <w:pPr>
              <w:spacing w:after="0"/>
              <w:rPr>
                <w:rStyle w:val="Znakapoznpodarou"/>
                <w:b/>
                <w:bCs/>
                <w:lang w:eastAsia="en-US"/>
              </w:rPr>
            </w:pPr>
            <w:r w:rsidRPr="00127E1E">
              <w:rPr>
                <w:b/>
                <w:bCs/>
                <w:lang w:eastAsia="en-US"/>
              </w:rPr>
              <w:lastRenderedPageBreak/>
              <w:t xml:space="preserve">Tabulka </w:t>
            </w:r>
            <w:r>
              <w:rPr>
                <w:b/>
                <w:bCs/>
                <w:lang w:eastAsia="en-US"/>
              </w:rPr>
              <w:t>č. 10 Vývoj cen průmyslových výrobců (v %)</w:t>
            </w:r>
          </w:p>
        </w:tc>
      </w:tr>
      <w:tr w:rsidR="006B1AFC" w14:paraId="23013817" w14:textId="77777777" w:rsidTr="003C4A79">
        <w:trPr>
          <w:trHeight w:val="145"/>
        </w:trPr>
        <w:tc>
          <w:tcPr>
            <w:tcW w:w="9654" w:type="dxa"/>
            <w:gridSpan w:val="3"/>
          </w:tcPr>
          <w:tbl>
            <w:tblPr>
              <w:tblW w:w="9603" w:type="dxa"/>
              <w:tblLayout w:type="fixed"/>
              <w:tblCellMar>
                <w:left w:w="70" w:type="dxa"/>
                <w:right w:w="70" w:type="dxa"/>
              </w:tblCellMar>
              <w:tblLook w:val="04A0" w:firstRow="1" w:lastRow="0" w:firstColumn="1" w:lastColumn="0" w:noHBand="0" w:noVBand="1"/>
            </w:tblPr>
            <w:tblGrid>
              <w:gridCol w:w="3701"/>
              <w:gridCol w:w="696"/>
              <w:gridCol w:w="697"/>
              <w:gridCol w:w="696"/>
              <w:gridCol w:w="697"/>
              <w:gridCol w:w="332"/>
              <w:gridCol w:w="696"/>
              <w:gridCol w:w="696"/>
              <w:gridCol w:w="696"/>
              <w:gridCol w:w="696"/>
            </w:tblGrid>
            <w:tr w:rsidR="006B1AFC" w:rsidRPr="007D79D3" w14:paraId="2248FF36" w14:textId="77777777" w:rsidTr="003C4A79">
              <w:trPr>
                <w:trHeight w:val="255"/>
              </w:trPr>
              <w:tc>
                <w:tcPr>
                  <w:tcW w:w="3701" w:type="dxa"/>
                  <w:tcBorders>
                    <w:top w:val="nil"/>
                    <w:left w:val="nil"/>
                    <w:bottom w:val="nil"/>
                    <w:right w:val="nil"/>
                  </w:tcBorders>
                  <w:noWrap/>
                  <w:vAlign w:val="bottom"/>
                  <w:hideMark/>
                </w:tcPr>
                <w:p w14:paraId="458C0828" w14:textId="77777777" w:rsidR="006B1AFC" w:rsidRPr="007D79D3" w:rsidRDefault="006B1AFC" w:rsidP="003C4A79">
                  <w:pPr>
                    <w:spacing w:after="0" w:line="240" w:lineRule="auto"/>
                    <w:jc w:val="left"/>
                    <w:rPr>
                      <w:rFonts w:ascii="Times New Roman" w:hAnsi="Times New Roman"/>
                      <w:sz w:val="24"/>
                      <w:szCs w:val="20"/>
                      <w:lang w:eastAsia="ko-KR"/>
                    </w:rPr>
                  </w:pPr>
                </w:p>
              </w:tc>
              <w:tc>
                <w:tcPr>
                  <w:tcW w:w="2786" w:type="dxa"/>
                  <w:gridSpan w:val="4"/>
                  <w:tcBorders>
                    <w:top w:val="nil"/>
                    <w:left w:val="nil"/>
                    <w:bottom w:val="nil"/>
                    <w:right w:val="nil"/>
                  </w:tcBorders>
                  <w:noWrap/>
                  <w:vAlign w:val="bottom"/>
                  <w:hideMark/>
                </w:tcPr>
                <w:p w14:paraId="2821C9E3" w14:textId="77777777" w:rsidR="006B1AFC" w:rsidRPr="007D79D3" w:rsidRDefault="006B1AFC" w:rsidP="003C4A79">
                  <w:pPr>
                    <w:spacing w:after="0" w:line="240" w:lineRule="auto"/>
                    <w:jc w:val="center"/>
                    <w:rPr>
                      <w:rFonts w:cs="Arial"/>
                      <w:color w:val="000000"/>
                      <w:sz w:val="16"/>
                      <w:szCs w:val="16"/>
                      <w:lang w:eastAsia="ko-KR"/>
                    </w:rPr>
                  </w:pPr>
                  <w:r w:rsidRPr="007D79D3">
                    <w:rPr>
                      <w:rFonts w:cs="Arial"/>
                      <w:color w:val="000000"/>
                      <w:sz w:val="16"/>
                      <w:szCs w:val="16"/>
                      <w:lang w:eastAsia="ko-KR"/>
                    </w:rPr>
                    <w:t>meziročně</w:t>
                  </w:r>
                </w:p>
              </w:tc>
              <w:tc>
                <w:tcPr>
                  <w:tcW w:w="332" w:type="dxa"/>
                  <w:tcBorders>
                    <w:top w:val="nil"/>
                    <w:left w:val="nil"/>
                    <w:bottom w:val="nil"/>
                    <w:right w:val="nil"/>
                  </w:tcBorders>
                  <w:noWrap/>
                  <w:vAlign w:val="bottom"/>
                  <w:hideMark/>
                </w:tcPr>
                <w:p w14:paraId="334ADDC3" w14:textId="77777777" w:rsidR="006B1AFC" w:rsidRPr="007D79D3" w:rsidRDefault="006B1AFC" w:rsidP="003C4A79">
                  <w:pPr>
                    <w:spacing w:after="0" w:line="240" w:lineRule="auto"/>
                    <w:jc w:val="center"/>
                    <w:rPr>
                      <w:rFonts w:cs="Arial"/>
                      <w:color w:val="000000"/>
                      <w:sz w:val="16"/>
                      <w:szCs w:val="16"/>
                      <w:lang w:eastAsia="ko-KR"/>
                    </w:rPr>
                  </w:pPr>
                </w:p>
              </w:tc>
              <w:tc>
                <w:tcPr>
                  <w:tcW w:w="2784" w:type="dxa"/>
                  <w:gridSpan w:val="4"/>
                  <w:tcBorders>
                    <w:top w:val="nil"/>
                    <w:left w:val="nil"/>
                    <w:bottom w:val="nil"/>
                    <w:right w:val="nil"/>
                  </w:tcBorders>
                  <w:noWrap/>
                  <w:vAlign w:val="bottom"/>
                  <w:hideMark/>
                </w:tcPr>
                <w:p w14:paraId="5A2A4294" w14:textId="77777777" w:rsidR="006B1AFC" w:rsidRPr="007D79D3" w:rsidRDefault="006B1AFC" w:rsidP="003C4A79">
                  <w:pPr>
                    <w:spacing w:after="0" w:line="240" w:lineRule="auto"/>
                    <w:jc w:val="center"/>
                    <w:rPr>
                      <w:rFonts w:cs="Arial"/>
                      <w:color w:val="000000"/>
                      <w:sz w:val="16"/>
                      <w:szCs w:val="16"/>
                      <w:lang w:eastAsia="ko-KR"/>
                    </w:rPr>
                  </w:pPr>
                  <w:r w:rsidRPr="007D79D3">
                    <w:rPr>
                      <w:rFonts w:cs="Arial"/>
                      <w:color w:val="000000"/>
                      <w:sz w:val="16"/>
                      <w:szCs w:val="16"/>
                      <w:lang w:eastAsia="ko-KR"/>
                    </w:rPr>
                    <w:t>mezičtvrtletně</w:t>
                  </w:r>
                </w:p>
              </w:tc>
            </w:tr>
            <w:tr w:rsidR="006B1AFC" w:rsidRPr="007D79D3" w14:paraId="01671F7F" w14:textId="77777777" w:rsidTr="003C4A79">
              <w:trPr>
                <w:trHeight w:val="255"/>
              </w:trPr>
              <w:tc>
                <w:tcPr>
                  <w:tcW w:w="3701" w:type="dxa"/>
                  <w:tcBorders>
                    <w:top w:val="nil"/>
                    <w:left w:val="nil"/>
                    <w:bottom w:val="nil"/>
                    <w:right w:val="nil"/>
                  </w:tcBorders>
                  <w:noWrap/>
                  <w:vAlign w:val="bottom"/>
                  <w:hideMark/>
                </w:tcPr>
                <w:p w14:paraId="65736D1E" w14:textId="77777777" w:rsidR="006B1AFC" w:rsidRPr="007D79D3" w:rsidRDefault="006B1AFC" w:rsidP="003C4A79">
                  <w:pPr>
                    <w:spacing w:after="0" w:line="240" w:lineRule="auto"/>
                    <w:jc w:val="center"/>
                    <w:rPr>
                      <w:rFonts w:cs="Arial"/>
                      <w:color w:val="000000"/>
                      <w:sz w:val="16"/>
                      <w:szCs w:val="16"/>
                      <w:lang w:eastAsia="ko-KR"/>
                    </w:rPr>
                  </w:pPr>
                </w:p>
              </w:tc>
              <w:tc>
                <w:tcPr>
                  <w:tcW w:w="696" w:type="dxa"/>
                  <w:tcBorders>
                    <w:top w:val="nil"/>
                    <w:left w:val="nil"/>
                    <w:bottom w:val="nil"/>
                    <w:right w:val="nil"/>
                  </w:tcBorders>
                  <w:noWrap/>
                  <w:vAlign w:val="bottom"/>
                  <w:hideMark/>
                </w:tcPr>
                <w:p w14:paraId="182E0213"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Q3</w:t>
                  </w:r>
                  <w:r>
                    <w:rPr>
                      <w:rFonts w:cs="Arial"/>
                      <w:color w:val="000000"/>
                      <w:sz w:val="16"/>
                      <w:szCs w:val="16"/>
                      <w:lang w:eastAsia="ko-KR"/>
                    </w:rPr>
                    <w:t xml:space="preserve"> 25</w:t>
                  </w:r>
                </w:p>
              </w:tc>
              <w:tc>
                <w:tcPr>
                  <w:tcW w:w="697" w:type="dxa"/>
                  <w:tcBorders>
                    <w:top w:val="nil"/>
                    <w:left w:val="nil"/>
                    <w:bottom w:val="nil"/>
                    <w:right w:val="nil"/>
                  </w:tcBorders>
                  <w:noWrap/>
                  <w:vAlign w:val="bottom"/>
                  <w:hideMark/>
                </w:tcPr>
                <w:p w14:paraId="38125524"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Q4</w:t>
                  </w:r>
                  <w:r>
                    <w:rPr>
                      <w:rFonts w:cs="Arial"/>
                      <w:color w:val="000000"/>
                      <w:sz w:val="16"/>
                      <w:szCs w:val="16"/>
                      <w:lang w:eastAsia="ko-KR"/>
                    </w:rPr>
                    <w:t xml:space="preserve"> 25</w:t>
                  </w:r>
                </w:p>
              </w:tc>
              <w:tc>
                <w:tcPr>
                  <w:tcW w:w="696" w:type="dxa"/>
                  <w:tcBorders>
                    <w:top w:val="nil"/>
                    <w:left w:val="nil"/>
                    <w:bottom w:val="nil"/>
                    <w:right w:val="nil"/>
                  </w:tcBorders>
                  <w:noWrap/>
                  <w:vAlign w:val="bottom"/>
                  <w:hideMark/>
                </w:tcPr>
                <w:p w14:paraId="32590F6F"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Q1</w:t>
                  </w:r>
                  <w:r>
                    <w:rPr>
                      <w:rFonts w:cs="Arial"/>
                      <w:color w:val="000000"/>
                      <w:sz w:val="16"/>
                      <w:szCs w:val="16"/>
                      <w:lang w:eastAsia="ko-KR"/>
                    </w:rPr>
                    <w:t xml:space="preserve"> 26</w:t>
                  </w:r>
                </w:p>
              </w:tc>
              <w:tc>
                <w:tcPr>
                  <w:tcW w:w="697" w:type="dxa"/>
                  <w:tcBorders>
                    <w:top w:val="nil"/>
                    <w:left w:val="nil"/>
                    <w:bottom w:val="nil"/>
                    <w:right w:val="nil"/>
                  </w:tcBorders>
                  <w:noWrap/>
                  <w:vAlign w:val="bottom"/>
                  <w:hideMark/>
                </w:tcPr>
                <w:p w14:paraId="1DB1E87F"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Q2</w:t>
                  </w:r>
                  <w:r>
                    <w:rPr>
                      <w:rFonts w:cs="Arial"/>
                      <w:color w:val="000000"/>
                      <w:sz w:val="16"/>
                      <w:szCs w:val="16"/>
                      <w:lang w:eastAsia="ko-KR"/>
                    </w:rPr>
                    <w:t xml:space="preserve"> 26</w:t>
                  </w:r>
                </w:p>
              </w:tc>
              <w:tc>
                <w:tcPr>
                  <w:tcW w:w="332" w:type="dxa"/>
                  <w:tcBorders>
                    <w:top w:val="nil"/>
                    <w:left w:val="nil"/>
                    <w:bottom w:val="nil"/>
                    <w:right w:val="nil"/>
                  </w:tcBorders>
                  <w:noWrap/>
                  <w:vAlign w:val="bottom"/>
                  <w:hideMark/>
                </w:tcPr>
                <w:p w14:paraId="4D311B70"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bottom"/>
                  <w:hideMark/>
                </w:tcPr>
                <w:p w14:paraId="6FF68694"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Q3</w:t>
                  </w:r>
                  <w:r>
                    <w:rPr>
                      <w:rFonts w:cs="Arial"/>
                      <w:color w:val="000000"/>
                      <w:sz w:val="16"/>
                      <w:szCs w:val="16"/>
                      <w:lang w:eastAsia="ko-KR"/>
                    </w:rPr>
                    <w:t xml:space="preserve"> 25</w:t>
                  </w:r>
                </w:p>
              </w:tc>
              <w:tc>
                <w:tcPr>
                  <w:tcW w:w="696" w:type="dxa"/>
                  <w:tcBorders>
                    <w:top w:val="nil"/>
                    <w:left w:val="nil"/>
                    <w:bottom w:val="nil"/>
                    <w:right w:val="nil"/>
                  </w:tcBorders>
                  <w:noWrap/>
                  <w:vAlign w:val="bottom"/>
                  <w:hideMark/>
                </w:tcPr>
                <w:p w14:paraId="5F95D55F"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Q4</w:t>
                  </w:r>
                  <w:r>
                    <w:rPr>
                      <w:rFonts w:cs="Arial"/>
                      <w:color w:val="000000"/>
                      <w:sz w:val="16"/>
                      <w:szCs w:val="16"/>
                      <w:lang w:eastAsia="ko-KR"/>
                    </w:rPr>
                    <w:t xml:space="preserve"> 25</w:t>
                  </w:r>
                </w:p>
              </w:tc>
              <w:tc>
                <w:tcPr>
                  <w:tcW w:w="696" w:type="dxa"/>
                  <w:tcBorders>
                    <w:top w:val="nil"/>
                    <w:left w:val="nil"/>
                    <w:bottom w:val="nil"/>
                    <w:right w:val="nil"/>
                  </w:tcBorders>
                  <w:noWrap/>
                  <w:vAlign w:val="bottom"/>
                  <w:hideMark/>
                </w:tcPr>
                <w:p w14:paraId="12279639"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Q1</w:t>
                  </w:r>
                  <w:r>
                    <w:rPr>
                      <w:rFonts w:cs="Arial"/>
                      <w:color w:val="000000"/>
                      <w:sz w:val="16"/>
                      <w:szCs w:val="16"/>
                      <w:lang w:eastAsia="ko-KR"/>
                    </w:rPr>
                    <w:t xml:space="preserve"> 26</w:t>
                  </w:r>
                </w:p>
              </w:tc>
              <w:tc>
                <w:tcPr>
                  <w:tcW w:w="696" w:type="dxa"/>
                  <w:tcBorders>
                    <w:top w:val="nil"/>
                    <w:left w:val="nil"/>
                    <w:bottom w:val="nil"/>
                    <w:right w:val="nil"/>
                  </w:tcBorders>
                  <w:noWrap/>
                  <w:vAlign w:val="bottom"/>
                  <w:hideMark/>
                </w:tcPr>
                <w:p w14:paraId="13BAD417"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Q2</w:t>
                  </w:r>
                  <w:r>
                    <w:rPr>
                      <w:rFonts w:cs="Arial"/>
                      <w:color w:val="000000"/>
                      <w:sz w:val="16"/>
                      <w:szCs w:val="16"/>
                      <w:lang w:eastAsia="ko-KR"/>
                    </w:rPr>
                    <w:t xml:space="preserve"> 26</w:t>
                  </w:r>
                </w:p>
              </w:tc>
            </w:tr>
            <w:tr w:rsidR="006B1AFC" w:rsidRPr="007D79D3" w14:paraId="0DCA2B05" w14:textId="77777777" w:rsidTr="003C4A79">
              <w:trPr>
                <w:trHeight w:val="255"/>
              </w:trPr>
              <w:tc>
                <w:tcPr>
                  <w:tcW w:w="3701" w:type="dxa"/>
                  <w:tcBorders>
                    <w:top w:val="single" w:sz="4" w:space="0" w:color="auto"/>
                    <w:left w:val="nil"/>
                    <w:bottom w:val="nil"/>
                    <w:right w:val="nil"/>
                  </w:tcBorders>
                  <w:vAlign w:val="center"/>
                  <w:hideMark/>
                </w:tcPr>
                <w:p w14:paraId="6C2FF3E5" w14:textId="77777777" w:rsidR="006B1AFC" w:rsidRPr="007D79D3" w:rsidRDefault="006B1AFC" w:rsidP="003C4A79">
                  <w:pPr>
                    <w:spacing w:after="0" w:line="240" w:lineRule="auto"/>
                    <w:jc w:val="left"/>
                    <w:rPr>
                      <w:rFonts w:cs="Arial"/>
                      <w:color w:val="000000"/>
                      <w:sz w:val="16"/>
                      <w:szCs w:val="16"/>
                      <w:lang w:eastAsia="ko-KR"/>
                    </w:rPr>
                  </w:pPr>
                  <w:r w:rsidRPr="007D79D3">
                    <w:rPr>
                      <w:rFonts w:cs="Arial"/>
                      <w:color w:val="000000"/>
                      <w:sz w:val="16"/>
                      <w:szCs w:val="16"/>
                      <w:lang w:eastAsia="ko-KR"/>
                    </w:rPr>
                    <w:t>CELKEM</w:t>
                  </w:r>
                </w:p>
              </w:tc>
              <w:tc>
                <w:tcPr>
                  <w:tcW w:w="696" w:type="dxa"/>
                  <w:tcBorders>
                    <w:top w:val="single" w:sz="4" w:space="0" w:color="auto"/>
                    <w:left w:val="nil"/>
                    <w:bottom w:val="nil"/>
                    <w:right w:val="nil"/>
                  </w:tcBorders>
                  <w:noWrap/>
                  <w:vAlign w:val="bottom"/>
                  <w:hideMark/>
                </w:tcPr>
                <w:p w14:paraId="06AC9135"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1,0</w:t>
                  </w:r>
                </w:p>
              </w:tc>
              <w:tc>
                <w:tcPr>
                  <w:tcW w:w="697" w:type="dxa"/>
                  <w:tcBorders>
                    <w:top w:val="single" w:sz="4" w:space="0" w:color="auto"/>
                    <w:left w:val="nil"/>
                    <w:bottom w:val="nil"/>
                    <w:right w:val="nil"/>
                  </w:tcBorders>
                  <w:noWrap/>
                  <w:vAlign w:val="bottom"/>
                  <w:hideMark/>
                </w:tcPr>
                <w:p w14:paraId="254B4465"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1,5</w:t>
                  </w:r>
                </w:p>
              </w:tc>
              <w:tc>
                <w:tcPr>
                  <w:tcW w:w="696" w:type="dxa"/>
                  <w:tcBorders>
                    <w:top w:val="single" w:sz="4" w:space="0" w:color="auto"/>
                    <w:left w:val="nil"/>
                    <w:bottom w:val="nil"/>
                    <w:right w:val="nil"/>
                  </w:tcBorders>
                  <w:noWrap/>
                  <w:vAlign w:val="bottom"/>
                  <w:hideMark/>
                </w:tcPr>
                <w:p w14:paraId="538B9BA0"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2,3</w:t>
                  </w:r>
                </w:p>
              </w:tc>
              <w:tc>
                <w:tcPr>
                  <w:tcW w:w="697" w:type="dxa"/>
                  <w:tcBorders>
                    <w:top w:val="single" w:sz="4" w:space="0" w:color="auto"/>
                    <w:left w:val="nil"/>
                    <w:bottom w:val="nil"/>
                    <w:right w:val="nil"/>
                  </w:tcBorders>
                  <w:noWrap/>
                  <w:vAlign w:val="bottom"/>
                  <w:hideMark/>
                </w:tcPr>
                <w:p w14:paraId="2DDE2729"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1,3</w:t>
                  </w:r>
                </w:p>
              </w:tc>
              <w:tc>
                <w:tcPr>
                  <w:tcW w:w="332" w:type="dxa"/>
                  <w:tcBorders>
                    <w:top w:val="single" w:sz="4" w:space="0" w:color="auto"/>
                    <w:left w:val="nil"/>
                    <w:bottom w:val="nil"/>
                    <w:right w:val="nil"/>
                  </w:tcBorders>
                  <w:noWrap/>
                  <w:vAlign w:val="bottom"/>
                  <w:hideMark/>
                </w:tcPr>
                <w:p w14:paraId="3E912829" w14:textId="77777777" w:rsidR="006B1AFC" w:rsidRPr="007D79D3" w:rsidRDefault="006B1AFC" w:rsidP="003C4A79">
                  <w:pPr>
                    <w:spacing w:after="0" w:line="240" w:lineRule="auto"/>
                    <w:jc w:val="left"/>
                    <w:rPr>
                      <w:rFonts w:cs="Arial"/>
                      <w:color w:val="000000"/>
                      <w:sz w:val="16"/>
                      <w:szCs w:val="16"/>
                      <w:lang w:eastAsia="ko-KR"/>
                    </w:rPr>
                  </w:pPr>
                  <w:r w:rsidRPr="007D79D3">
                    <w:rPr>
                      <w:rFonts w:cs="Arial"/>
                      <w:color w:val="000000"/>
                      <w:sz w:val="16"/>
                      <w:szCs w:val="16"/>
                      <w:lang w:eastAsia="ko-KR"/>
                    </w:rPr>
                    <w:t> </w:t>
                  </w:r>
                </w:p>
              </w:tc>
              <w:tc>
                <w:tcPr>
                  <w:tcW w:w="696" w:type="dxa"/>
                  <w:tcBorders>
                    <w:top w:val="single" w:sz="4" w:space="0" w:color="auto"/>
                    <w:left w:val="nil"/>
                    <w:bottom w:val="nil"/>
                    <w:right w:val="nil"/>
                  </w:tcBorders>
                  <w:noWrap/>
                  <w:vAlign w:val="bottom"/>
                  <w:hideMark/>
                </w:tcPr>
                <w:p w14:paraId="61BE85AF"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0,4</w:t>
                  </w:r>
                </w:p>
              </w:tc>
              <w:tc>
                <w:tcPr>
                  <w:tcW w:w="696" w:type="dxa"/>
                  <w:tcBorders>
                    <w:top w:val="single" w:sz="4" w:space="0" w:color="auto"/>
                    <w:left w:val="nil"/>
                    <w:bottom w:val="nil"/>
                    <w:right w:val="nil"/>
                  </w:tcBorders>
                  <w:noWrap/>
                  <w:vAlign w:val="bottom"/>
                  <w:hideMark/>
                </w:tcPr>
                <w:p w14:paraId="651B6DC7"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0,2</w:t>
                  </w:r>
                </w:p>
              </w:tc>
              <w:tc>
                <w:tcPr>
                  <w:tcW w:w="696" w:type="dxa"/>
                  <w:tcBorders>
                    <w:top w:val="single" w:sz="4" w:space="0" w:color="auto"/>
                    <w:left w:val="nil"/>
                    <w:bottom w:val="nil"/>
                    <w:right w:val="nil"/>
                  </w:tcBorders>
                  <w:noWrap/>
                  <w:vAlign w:val="bottom"/>
                  <w:hideMark/>
                </w:tcPr>
                <w:p w14:paraId="684F5803"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0,2</w:t>
                  </w:r>
                </w:p>
              </w:tc>
              <w:tc>
                <w:tcPr>
                  <w:tcW w:w="696" w:type="dxa"/>
                  <w:tcBorders>
                    <w:top w:val="single" w:sz="4" w:space="0" w:color="auto"/>
                    <w:left w:val="nil"/>
                    <w:bottom w:val="nil"/>
                    <w:right w:val="nil"/>
                  </w:tcBorders>
                  <w:noWrap/>
                  <w:vAlign w:val="bottom"/>
                  <w:hideMark/>
                </w:tcPr>
                <w:p w14:paraId="46F05A6F"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2,2</w:t>
                  </w:r>
                </w:p>
              </w:tc>
            </w:tr>
            <w:tr w:rsidR="006B1AFC" w:rsidRPr="007D79D3" w14:paraId="75182618" w14:textId="77777777" w:rsidTr="003C4A79">
              <w:trPr>
                <w:trHeight w:val="255"/>
              </w:trPr>
              <w:tc>
                <w:tcPr>
                  <w:tcW w:w="3701" w:type="dxa"/>
                  <w:tcBorders>
                    <w:top w:val="nil"/>
                    <w:left w:val="nil"/>
                    <w:bottom w:val="nil"/>
                    <w:right w:val="nil"/>
                  </w:tcBorders>
                  <w:vAlign w:val="center"/>
                  <w:hideMark/>
                </w:tcPr>
                <w:p w14:paraId="1FE1185D" w14:textId="77777777" w:rsidR="006B1AFC" w:rsidRPr="007D79D3" w:rsidRDefault="006B1AFC" w:rsidP="003C4A79">
                  <w:pPr>
                    <w:spacing w:after="0" w:line="240" w:lineRule="auto"/>
                    <w:jc w:val="left"/>
                    <w:rPr>
                      <w:rFonts w:cs="Arial"/>
                      <w:color w:val="000000"/>
                      <w:sz w:val="16"/>
                      <w:szCs w:val="16"/>
                      <w:lang w:eastAsia="ko-KR"/>
                    </w:rPr>
                  </w:pPr>
                  <w:r w:rsidRPr="007D79D3">
                    <w:rPr>
                      <w:rFonts w:cs="Arial"/>
                      <w:color w:val="000000"/>
                      <w:sz w:val="16"/>
                      <w:szCs w:val="16"/>
                      <w:lang w:eastAsia="ko-KR"/>
                    </w:rPr>
                    <w:t>TĚŽBA A DOBÝVÁNÍ</w:t>
                  </w:r>
                </w:p>
              </w:tc>
              <w:tc>
                <w:tcPr>
                  <w:tcW w:w="696" w:type="dxa"/>
                  <w:tcBorders>
                    <w:top w:val="nil"/>
                    <w:left w:val="nil"/>
                    <w:bottom w:val="nil"/>
                    <w:right w:val="nil"/>
                  </w:tcBorders>
                  <w:noWrap/>
                  <w:vAlign w:val="bottom"/>
                  <w:hideMark/>
                </w:tcPr>
                <w:p w14:paraId="19706E72"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4,3</w:t>
                  </w:r>
                </w:p>
              </w:tc>
              <w:tc>
                <w:tcPr>
                  <w:tcW w:w="697" w:type="dxa"/>
                  <w:tcBorders>
                    <w:top w:val="nil"/>
                    <w:left w:val="nil"/>
                    <w:bottom w:val="nil"/>
                    <w:right w:val="nil"/>
                  </w:tcBorders>
                  <w:noWrap/>
                  <w:vAlign w:val="bottom"/>
                  <w:hideMark/>
                </w:tcPr>
                <w:p w14:paraId="0949C9E8"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4,2</w:t>
                  </w:r>
                </w:p>
              </w:tc>
              <w:tc>
                <w:tcPr>
                  <w:tcW w:w="696" w:type="dxa"/>
                  <w:tcBorders>
                    <w:top w:val="nil"/>
                    <w:left w:val="nil"/>
                    <w:bottom w:val="nil"/>
                    <w:right w:val="nil"/>
                  </w:tcBorders>
                  <w:noWrap/>
                  <w:vAlign w:val="bottom"/>
                  <w:hideMark/>
                </w:tcPr>
                <w:p w14:paraId="6ED38F7D"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1,0</w:t>
                  </w:r>
                </w:p>
              </w:tc>
              <w:tc>
                <w:tcPr>
                  <w:tcW w:w="697" w:type="dxa"/>
                  <w:tcBorders>
                    <w:top w:val="nil"/>
                    <w:left w:val="nil"/>
                    <w:bottom w:val="nil"/>
                    <w:right w:val="nil"/>
                  </w:tcBorders>
                  <w:noWrap/>
                  <w:vAlign w:val="bottom"/>
                  <w:hideMark/>
                </w:tcPr>
                <w:p w14:paraId="45348FD1"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2,0</w:t>
                  </w:r>
                </w:p>
              </w:tc>
              <w:tc>
                <w:tcPr>
                  <w:tcW w:w="332" w:type="dxa"/>
                  <w:tcBorders>
                    <w:top w:val="nil"/>
                    <w:left w:val="nil"/>
                    <w:bottom w:val="nil"/>
                    <w:right w:val="nil"/>
                  </w:tcBorders>
                  <w:noWrap/>
                  <w:vAlign w:val="bottom"/>
                  <w:hideMark/>
                </w:tcPr>
                <w:p w14:paraId="0C7E23DD"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bottom"/>
                  <w:hideMark/>
                </w:tcPr>
                <w:p w14:paraId="5E328E14"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0,4</w:t>
                  </w:r>
                </w:p>
              </w:tc>
              <w:tc>
                <w:tcPr>
                  <w:tcW w:w="696" w:type="dxa"/>
                  <w:tcBorders>
                    <w:top w:val="nil"/>
                    <w:left w:val="nil"/>
                    <w:bottom w:val="nil"/>
                    <w:right w:val="nil"/>
                  </w:tcBorders>
                  <w:noWrap/>
                  <w:vAlign w:val="bottom"/>
                  <w:hideMark/>
                </w:tcPr>
                <w:p w14:paraId="54818954"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0,4</w:t>
                  </w:r>
                </w:p>
              </w:tc>
              <w:tc>
                <w:tcPr>
                  <w:tcW w:w="696" w:type="dxa"/>
                  <w:tcBorders>
                    <w:top w:val="nil"/>
                    <w:left w:val="nil"/>
                    <w:bottom w:val="nil"/>
                    <w:right w:val="nil"/>
                  </w:tcBorders>
                  <w:noWrap/>
                  <w:vAlign w:val="bottom"/>
                  <w:hideMark/>
                </w:tcPr>
                <w:p w14:paraId="087E4338"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0,3</w:t>
                  </w:r>
                </w:p>
              </w:tc>
              <w:tc>
                <w:tcPr>
                  <w:tcW w:w="696" w:type="dxa"/>
                  <w:tcBorders>
                    <w:top w:val="nil"/>
                    <w:left w:val="nil"/>
                    <w:bottom w:val="nil"/>
                    <w:right w:val="nil"/>
                  </w:tcBorders>
                  <w:noWrap/>
                  <w:vAlign w:val="bottom"/>
                  <w:hideMark/>
                </w:tcPr>
                <w:p w14:paraId="6EE57DCD"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2,6</w:t>
                  </w:r>
                </w:p>
              </w:tc>
            </w:tr>
            <w:tr w:rsidR="006B1AFC" w:rsidRPr="007D79D3" w14:paraId="7FDC23FA" w14:textId="77777777" w:rsidTr="003C4A79">
              <w:trPr>
                <w:trHeight w:val="255"/>
              </w:trPr>
              <w:tc>
                <w:tcPr>
                  <w:tcW w:w="3701" w:type="dxa"/>
                  <w:tcBorders>
                    <w:top w:val="nil"/>
                    <w:left w:val="nil"/>
                    <w:bottom w:val="nil"/>
                    <w:right w:val="nil"/>
                  </w:tcBorders>
                  <w:vAlign w:val="center"/>
                  <w:hideMark/>
                </w:tcPr>
                <w:p w14:paraId="3A7A540A" w14:textId="77777777" w:rsidR="006B1AFC" w:rsidRPr="007D79D3" w:rsidRDefault="006B1AFC" w:rsidP="003C4A79">
                  <w:pPr>
                    <w:spacing w:after="0" w:line="240" w:lineRule="auto"/>
                    <w:jc w:val="left"/>
                    <w:rPr>
                      <w:rFonts w:cs="Arial"/>
                      <w:color w:val="000000"/>
                      <w:sz w:val="16"/>
                      <w:szCs w:val="16"/>
                      <w:lang w:eastAsia="ko-KR"/>
                    </w:rPr>
                  </w:pPr>
                  <w:r w:rsidRPr="007D79D3">
                    <w:rPr>
                      <w:rFonts w:cs="Arial"/>
                      <w:color w:val="000000"/>
                      <w:sz w:val="16"/>
                      <w:szCs w:val="16"/>
                      <w:lang w:eastAsia="ko-KR"/>
                    </w:rPr>
                    <w:t>ZPRACOVATELSKÝ PRŮMYSL</w:t>
                  </w:r>
                </w:p>
              </w:tc>
              <w:tc>
                <w:tcPr>
                  <w:tcW w:w="696" w:type="dxa"/>
                  <w:tcBorders>
                    <w:top w:val="nil"/>
                    <w:left w:val="nil"/>
                    <w:bottom w:val="nil"/>
                    <w:right w:val="nil"/>
                  </w:tcBorders>
                  <w:noWrap/>
                  <w:vAlign w:val="bottom"/>
                  <w:hideMark/>
                </w:tcPr>
                <w:p w14:paraId="01F6DE13"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0,3</w:t>
                  </w:r>
                </w:p>
              </w:tc>
              <w:tc>
                <w:tcPr>
                  <w:tcW w:w="697" w:type="dxa"/>
                  <w:tcBorders>
                    <w:top w:val="nil"/>
                    <w:left w:val="nil"/>
                    <w:bottom w:val="nil"/>
                    <w:right w:val="nil"/>
                  </w:tcBorders>
                  <w:noWrap/>
                  <w:vAlign w:val="bottom"/>
                  <w:hideMark/>
                </w:tcPr>
                <w:p w14:paraId="76B23B97"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0,9</w:t>
                  </w:r>
                </w:p>
              </w:tc>
              <w:tc>
                <w:tcPr>
                  <w:tcW w:w="696" w:type="dxa"/>
                  <w:tcBorders>
                    <w:top w:val="nil"/>
                    <w:left w:val="nil"/>
                    <w:bottom w:val="nil"/>
                    <w:right w:val="nil"/>
                  </w:tcBorders>
                  <w:noWrap/>
                  <w:vAlign w:val="bottom"/>
                  <w:hideMark/>
                </w:tcPr>
                <w:p w14:paraId="2EA51502"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0,8</w:t>
                  </w:r>
                </w:p>
              </w:tc>
              <w:tc>
                <w:tcPr>
                  <w:tcW w:w="697" w:type="dxa"/>
                  <w:tcBorders>
                    <w:top w:val="nil"/>
                    <w:left w:val="nil"/>
                    <w:bottom w:val="nil"/>
                    <w:right w:val="nil"/>
                  </w:tcBorders>
                  <w:noWrap/>
                  <w:vAlign w:val="bottom"/>
                  <w:hideMark/>
                </w:tcPr>
                <w:p w14:paraId="0E23AF98"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3,2</w:t>
                  </w:r>
                </w:p>
              </w:tc>
              <w:tc>
                <w:tcPr>
                  <w:tcW w:w="332" w:type="dxa"/>
                  <w:tcBorders>
                    <w:top w:val="nil"/>
                    <w:left w:val="nil"/>
                    <w:bottom w:val="nil"/>
                    <w:right w:val="nil"/>
                  </w:tcBorders>
                  <w:noWrap/>
                  <w:vAlign w:val="bottom"/>
                  <w:hideMark/>
                </w:tcPr>
                <w:p w14:paraId="0A1400BC"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bottom"/>
                  <w:hideMark/>
                </w:tcPr>
                <w:p w14:paraId="3C6CEDB6"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0,4</w:t>
                  </w:r>
                </w:p>
              </w:tc>
              <w:tc>
                <w:tcPr>
                  <w:tcW w:w="696" w:type="dxa"/>
                  <w:tcBorders>
                    <w:top w:val="nil"/>
                    <w:left w:val="nil"/>
                    <w:bottom w:val="nil"/>
                    <w:right w:val="nil"/>
                  </w:tcBorders>
                  <w:noWrap/>
                  <w:vAlign w:val="bottom"/>
                  <w:hideMark/>
                </w:tcPr>
                <w:p w14:paraId="39E8288C"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0,6</w:t>
                  </w:r>
                </w:p>
              </w:tc>
              <w:tc>
                <w:tcPr>
                  <w:tcW w:w="696" w:type="dxa"/>
                  <w:tcBorders>
                    <w:top w:val="nil"/>
                    <w:left w:val="nil"/>
                    <w:bottom w:val="nil"/>
                    <w:right w:val="nil"/>
                  </w:tcBorders>
                  <w:noWrap/>
                  <w:vAlign w:val="bottom"/>
                  <w:hideMark/>
                </w:tcPr>
                <w:p w14:paraId="1A685D00"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0,6</w:t>
                  </w:r>
                </w:p>
              </w:tc>
              <w:tc>
                <w:tcPr>
                  <w:tcW w:w="696" w:type="dxa"/>
                  <w:tcBorders>
                    <w:top w:val="nil"/>
                    <w:left w:val="nil"/>
                    <w:bottom w:val="nil"/>
                    <w:right w:val="nil"/>
                  </w:tcBorders>
                  <w:noWrap/>
                  <w:vAlign w:val="bottom"/>
                  <w:hideMark/>
                </w:tcPr>
                <w:p w14:paraId="30C4902F"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3,5</w:t>
                  </w:r>
                </w:p>
              </w:tc>
            </w:tr>
            <w:tr w:rsidR="006B1AFC" w:rsidRPr="007D79D3" w14:paraId="1E6F9114" w14:textId="77777777" w:rsidTr="003C4A79">
              <w:trPr>
                <w:trHeight w:val="255"/>
              </w:trPr>
              <w:tc>
                <w:tcPr>
                  <w:tcW w:w="3701" w:type="dxa"/>
                  <w:tcBorders>
                    <w:top w:val="nil"/>
                    <w:left w:val="nil"/>
                    <w:bottom w:val="nil"/>
                    <w:right w:val="nil"/>
                  </w:tcBorders>
                  <w:vAlign w:val="center"/>
                  <w:hideMark/>
                </w:tcPr>
                <w:p w14:paraId="3B5D23E8" w14:textId="77777777" w:rsidR="006B1AFC" w:rsidRPr="007D79D3" w:rsidRDefault="006B1AFC" w:rsidP="003C4A79">
                  <w:pPr>
                    <w:spacing w:after="0" w:line="240" w:lineRule="auto"/>
                    <w:ind w:firstLineChars="140" w:firstLine="224"/>
                    <w:jc w:val="left"/>
                    <w:rPr>
                      <w:rFonts w:cs="Arial"/>
                      <w:color w:val="000000"/>
                      <w:sz w:val="16"/>
                      <w:szCs w:val="16"/>
                      <w:lang w:eastAsia="ko-KR"/>
                    </w:rPr>
                  </w:pPr>
                  <w:r w:rsidRPr="007D79D3">
                    <w:rPr>
                      <w:rFonts w:cs="Arial"/>
                      <w:color w:val="000000"/>
                      <w:sz w:val="16"/>
                      <w:szCs w:val="16"/>
                      <w:lang w:eastAsia="ko-KR"/>
                    </w:rPr>
                    <w:t>Potravinářské výrobky</w:t>
                  </w:r>
                </w:p>
              </w:tc>
              <w:tc>
                <w:tcPr>
                  <w:tcW w:w="696" w:type="dxa"/>
                  <w:tcBorders>
                    <w:top w:val="nil"/>
                    <w:left w:val="nil"/>
                    <w:bottom w:val="nil"/>
                    <w:right w:val="nil"/>
                  </w:tcBorders>
                  <w:noWrap/>
                  <w:vAlign w:val="bottom"/>
                  <w:hideMark/>
                </w:tcPr>
                <w:p w14:paraId="7F375F4F"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3,4</w:t>
                  </w:r>
                </w:p>
              </w:tc>
              <w:tc>
                <w:tcPr>
                  <w:tcW w:w="697" w:type="dxa"/>
                  <w:tcBorders>
                    <w:top w:val="nil"/>
                    <w:left w:val="nil"/>
                    <w:bottom w:val="nil"/>
                    <w:right w:val="nil"/>
                  </w:tcBorders>
                  <w:noWrap/>
                  <w:vAlign w:val="bottom"/>
                  <w:hideMark/>
                </w:tcPr>
                <w:p w14:paraId="0A504659"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1,3</w:t>
                  </w:r>
                </w:p>
              </w:tc>
              <w:tc>
                <w:tcPr>
                  <w:tcW w:w="696" w:type="dxa"/>
                  <w:tcBorders>
                    <w:top w:val="nil"/>
                    <w:left w:val="nil"/>
                    <w:bottom w:val="nil"/>
                    <w:right w:val="nil"/>
                  </w:tcBorders>
                  <w:noWrap/>
                  <w:vAlign w:val="bottom"/>
                  <w:hideMark/>
                </w:tcPr>
                <w:p w14:paraId="44A7867E"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2,4</w:t>
                  </w:r>
                </w:p>
              </w:tc>
              <w:tc>
                <w:tcPr>
                  <w:tcW w:w="697" w:type="dxa"/>
                  <w:tcBorders>
                    <w:top w:val="nil"/>
                    <w:left w:val="nil"/>
                    <w:bottom w:val="nil"/>
                    <w:right w:val="nil"/>
                  </w:tcBorders>
                  <w:noWrap/>
                  <w:vAlign w:val="bottom"/>
                  <w:hideMark/>
                </w:tcPr>
                <w:p w14:paraId="69DF7885"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4,2</w:t>
                  </w:r>
                </w:p>
              </w:tc>
              <w:tc>
                <w:tcPr>
                  <w:tcW w:w="332" w:type="dxa"/>
                  <w:tcBorders>
                    <w:top w:val="nil"/>
                    <w:left w:val="nil"/>
                    <w:bottom w:val="nil"/>
                    <w:right w:val="nil"/>
                  </w:tcBorders>
                  <w:noWrap/>
                  <w:vAlign w:val="bottom"/>
                  <w:hideMark/>
                </w:tcPr>
                <w:p w14:paraId="3D1F83F9"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bottom"/>
                  <w:hideMark/>
                </w:tcPr>
                <w:p w14:paraId="7D16B262"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0,4</w:t>
                  </w:r>
                </w:p>
              </w:tc>
              <w:tc>
                <w:tcPr>
                  <w:tcW w:w="696" w:type="dxa"/>
                  <w:tcBorders>
                    <w:top w:val="nil"/>
                    <w:left w:val="nil"/>
                    <w:bottom w:val="nil"/>
                    <w:right w:val="nil"/>
                  </w:tcBorders>
                  <w:noWrap/>
                  <w:vAlign w:val="bottom"/>
                  <w:hideMark/>
                </w:tcPr>
                <w:p w14:paraId="6AC64C04"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1,4</w:t>
                  </w:r>
                </w:p>
              </w:tc>
              <w:tc>
                <w:tcPr>
                  <w:tcW w:w="696" w:type="dxa"/>
                  <w:tcBorders>
                    <w:top w:val="nil"/>
                    <w:left w:val="nil"/>
                    <w:bottom w:val="nil"/>
                    <w:right w:val="nil"/>
                  </w:tcBorders>
                  <w:noWrap/>
                  <w:vAlign w:val="bottom"/>
                  <w:hideMark/>
                </w:tcPr>
                <w:p w14:paraId="545F1D61"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2,6</w:t>
                  </w:r>
                </w:p>
              </w:tc>
              <w:tc>
                <w:tcPr>
                  <w:tcW w:w="696" w:type="dxa"/>
                  <w:tcBorders>
                    <w:top w:val="nil"/>
                    <w:left w:val="nil"/>
                    <w:bottom w:val="nil"/>
                    <w:right w:val="nil"/>
                  </w:tcBorders>
                  <w:noWrap/>
                  <w:vAlign w:val="bottom"/>
                  <w:hideMark/>
                </w:tcPr>
                <w:p w14:paraId="5FF6E9AE"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0,5</w:t>
                  </w:r>
                </w:p>
              </w:tc>
            </w:tr>
            <w:tr w:rsidR="006B1AFC" w:rsidRPr="007D79D3" w14:paraId="381AB51B" w14:textId="77777777" w:rsidTr="003C4A79">
              <w:trPr>
                <w:trHeight w:val="255"/>
              </w:trPr>
              <w:tc>
                <w:tcPr>
                  <w:tcW w:w="3701" w:type="dxa"/>
                  <w:tcBorders>
                    <w:top w:val="nil"/>
                    <w:left w:val="nil"/>
                    <w:bottom w:val="nil"/>
                    <w:right w:val="nil"/>
                  </w:tcBorders>
                  <w:vAlign w:val="center"/>
                  <w:hideMark/>
                </w:tcPr>
                <w:p w14:paraId="391D7014" w14:textId="77777777" w:rsidR="006B1AFC" w:rsidRPr="007D79D3" w:rsidRDefault="006B1AFC" w:rsidP="003C4A79">
                  <w:pPr>
                    <w:spacing w:after="0" w:line="240" w:lineRule="auto"/>
                    <w:ind w:firstLineChars="140" w:firstLine="224"/>
                    <w:jc w:val="left"/>
                    <w:rPr>
                      <w:rFonts w:cs="Arial"/>
                      <w:color w:val="000000"/>
                      <w:sz w:val="16"/>
                      <w:szCs w:val="16"/>
                      <w:lang w:eastAsia="ko-KR"/>
                    </w:rPr>
                  </w:pPr>
                  <w:r w:rsidRPr="007D79D3">
                    <w:rPr>
                      <w:rFonts w:cs="Arial"/>
                      <w:color w:val="000000"/>
                      <w:sz w:val="16"/>
                      <w:szCs w:val="16"/>
                      <w:lang w:eastAsia="ko-KR"/>
                    </w:rPr>
                    <w:t>Nápoje</w:t>
                  </w:r>
                </w:p>
              </w:tc>
              <w:tc>
                <w:tcPr>
                  <w:tcW w:w="696" w:type="dxa"/>
                  <w:tcBorders>
                    <w:top w:val="nil"/>
                    <w:left w:val="nil"/>
                    <w:bottom w:val="nil"/>
                    <w:right w:val="nil"/>
                  </w:tcBorders>
                  <w:noWrap/>
                  <w:vAlign w:val="bottom"/>
                  <w:hideMark/>
                </w:tcPr>
                <w:p w14:paraId="39617181"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0,3</w:t>
                  </w:r>
                </w:p>
              </w:tc>
              <w:tc>
                <w:tcPr>
                  <w:tcW w:w="697" w:type="dxa"/>
                  <w:tcBorders>
                    <w:top w:val="nil"/>
                    <w:left w:val="nil"/>
                    <w:bottom w:val="nil"/>
                    <w:right w:val="nil"/>
                  </w:tcBorders>
                  <w:noWrap/>
                  <w:vAlign w:val="bottom"/>
                  <w:hideMark/>
                </w:tcPr>
                <w:p w14:paraId="6A4C2B37"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0,0</w:t>
                  </w:r>
                </w:p>
              </w:tc>
              <w:tc>
                <w:tcPr>
                  <w:tcW w:w="696" w:type="dxa"/>
                  <w:tcBorders>
                    <w:top w:val="nil"/>
                    <w:left w:val="nil"/>
                    <w:bottom w:val="nil"/>
                    <w:right w:val="nil"/>
                  </w:tcBorders>
                  <w:noWrap/>
                  <w:vAlign w:val="bottom"/>
                  <w:hideMark/>
                </w:tcPr>
                <w:p w14:paraId="0722D685"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0,9</w:t>
                  </w:r>
                </w:p>
              </w:tc>
              <w:tc>
                <w:tcPr>
                  <w:tcW w:w="697" w:type="dxa"/>
                  <w:tcBorders>
                    <w:top w:val="nil"/>
                    <w:left w:val="nil"/>
                    <w:bottom w:val="nil"/>
                    <w:right w:val="nil"/>
                  </w:tcBorders>
                  <w:noWrap/>
                  <w:vAlign w:val="bottom"/>
                  <w:hideMark/>
                </w:tcPr>
                <w:p w14:paraId="5E8C5141"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1,6</w:t>
                  </w:r>
                </w:p>
              </w:tc>
              <w:tc>
                <w:tcPr>
                  <w:tcW w:w="332" w:type="dxa"/>
                  <w:tcBorders>
                    <w:top w:val="nil"/>
                    <w:left w:val="nil"/>
                    <w:bottom w:val="nil"/>
                    <w:right w:val="nil"/>
                  </w:tcBorders>
                  <w:noWrap/>
                  <w:vAlign w:val="bottom"/>
                  <w:hideMark/>
                </w:tcPr>
                <w:p w14:paraId="48161982"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bottom"/>
                  <w:hideMark/>
                </w:tcPr>
                <w:p w14:paraId="12DD637A"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0,2</w:t>
                  </w:r>
                </w:p>
              </w:tc>
              <w:tc>
                <w:tcPr>
                  <w:tcW w:w="696" w:type="dxa"/>
                  <w:tcBorders>
                    <w:top w:val="nil"/>
                    <w:left w:val="nil"/>
                    <w:bottom w:val="nil"/>
                    <w:right w:val="nil"/>
                  </w:tcBorders>
                  <w:noWrap/>
                  <w:vAlign w:val="bottom"/>
                  <w:hideMark/>
                </w:tcPr>
                <w:p w14:paraId="523DEB3A"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0,6</w:t>
                  </w:r>
                </w:p>
              </w:tc>
              <w:tc>
                <w:tcPr>
                  <w:tcW w:w="696" w:type="dxa"/>
                  <w:tcBorders>
                    <w:top w:val="nil"/>
                    <w:left w:val="nil"/>
                    <w:bottom w:val="nil"/>
                    <w:right w:val="nil"/>
                  </w:tcBorders>
                  <w:noWrap/>
                  <w:vAlign w:val="bottom"/>
                  <w:hideMark/>
                </w:tcPr>
                <w:p w14:paraId="2C75FAD8"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0,8</w:t>
                  </w:r>
                </w:p>
              </w:tc>
              <w:tc>
                <w:tcPr>
                  <w:tcW w:w="696" w:type="dxa"/>
                  <w:tcBorders>
                    <w:top w:val="nil"/>
                    <w:left w:val="nil"/>
                    <w:bottom w:val="nil"/>
                    <w:right w:val="nil"/>
                  </w:tcBorders>
                  <w:noWrap/>
                  <w:vAlign w:val="bottom"/>
                  <w:hideMark/>
                </w:tcPr>
                <w:p w14:paraId="45250417"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0,3</w:t>
                  </w:r>
                </w:p>
              </w:tc>
            </w:tr>
            <w:tr w:rsidR="006B1AFC" w:rsidRPr="007D79D3" w14:paraId="5434CD83" w14:textId="77777777" w:rsidTr="003C4A79">
              <w:trPr>
                <w:trHeight w:val="255"/>
              </w:trPr>
              <w:tc>
                <w:tcPr>
                  <w:tcW w:w="3701" w:type="dxa"/>
                  <w:tcBorders>
                    <w:top w:val="nil"/>
                    <w:left w:val="nil"/>
                    <w:bottom w:val="nil"/>
                    <w:right w:val="nil"/>
                  </w:tcBorders>
                  <w:vAlign w:val="center"/>
                  <w:hideMark/>
                </w:tcPr>
                <w:p w14:paraId="73A2A2F9" w14:textId="77777777" w:rsidR="006B1AFC" w:rsidRPr="007D79D3" w:rsidRDefault="006B1AFC" w:rsidP="003C4A79">
                  <w:pPr>
                    <w:spacing w:after="0" w:line="240" w:lineRule="auto"/>
                    <w:ind w:firstLineChars="140" w:firstLine="224"/>
                    <w:jc w:val="left"/>
                    <w:rPr>
                      <w:rFonts w:cs="Arial"/>
                      <w:color w:val="000000"/>
                      <w:sz w:val="16"/>
                      <w:szCs w:val="16"/>
                      <w:lang w:eastAsia="ko-KR"/>
                    </w:rPr>
                  </w:pPr>
                  <w:r w:rsidRPr="007D79D3">
                    <w:rPr>
                      <w:rFonts w:cs="Arial"/>
                      <w:color w:val="000000"/>
                      <w:sz w:val="16"/>
                      <w:szCs w:val="16"/>
                      <w:lang w:eastAsia="ko-KR"/>
                    </w:rPr>
                    <w:t>Textilie</w:t>
                  </w:r>
                </w:p>
              </w:tc>
              <w:tc>
                <w:tcPr>
                  <w:tcW w:w="696" w:type="dxa"/>
                  <w:tcBorders>
                    <w:top w:val="nil"/>
                    <w:left w:val="nil"/>
                    <w:bottom w:val="nil"/>
                    <w:right w:val="nil"/>
                  </w:tcBorders>
                  <w:noWrap/>
                  <w:vAlign w:val="bottom"/>
                  <w:hideMark/>
                </w:tcPr>
                <w:p w14:paraId="41532650"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1,7</w:t>
                  </w:r>
                </w:p>
              </w:tc>
              <w:tc>
                <w:tcPr>
                  <w:tcW w:w="697" w:type="dxa"/>
                  <w:tcBorders>
                    <w:top w:val="nil"/>
                    <w:left w:val="nil"/>
                    <w:bottom w:val="nil"/>
                    <w:right w:val="nil"/>
                  </w:tcBorders>
                  <w:noWrap/>
                  <w:vAlign w:val="bottom"/>
                  <w:hideMark/>
                </w:tcPr>
                <w:p w14:paraId="2DF1AEA5"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0,5</w:t>
                  </w:r>
                </w:p>
              </w:tc>
              <w:tc>
                <w:tcPr>
                  <w:tcW w:w="696" w:type="dxa"/>
                  <w:tcBorders>
                    <w:top w:val="nil"/>
                    <w:left w:val="nil"/>
                    <w:bottom w:val="nil"/>
                    <w:right w:val="nil"/>
                  </w:tcBorders>
                  <w:noWrap/>
                  <w:vAlign w:val="bottom"/>
                  <w:hideMark/>
                </w:tcPr>
                <w:p w14:paraId="2BC5B2C7"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1,8</w:t>
                  </w:r>
                </w:p>
              </w:tc>
              <w:tc>
                <w:tcPr>
                  <w:tcW w:w="697" w:type="dxa"/>
                  <w:tcBorders>
                    <w:top w:val="nil"/>
                    <w:left w:val="nil"/>
                    <w:bottom w:val="nil"/>
                    <w:right w:val="nil"/>
                  </w:tcBorders>
                  <w:noWrap/>
                  <w:vAlign w:val="bottom"/>
                  <w:hideMark/>
                </w:tcPr>
                <w:p w14:paraId="5A685708"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1,7</w:t>
                  </w:r>
                </w:p>
              </w:tc>
              <w:tc>
                <w:tcPr>
                  <w:tcW w:w="332" w:type="dxa"/>
                  <w:tcBorders>
                    <w:top w:val="nil"/>
                    <w:left w:val="nil"/>
                    <w:bottom w:val="nil"/>
                    <w:right w:val="nil"/>
                  </w:tcBorders>
                  <w:noWrap/>
                  <w:vAlign w:val="bottom"/>
                  <w:hideMark/>
                </w:tcPr>
                <w:p w14:paraId="6FDFA678"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bottom"/>
                  <w:hideMark/>
                </w:tcPr>
                <w:p w14:paraId="72023E41"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0,4</w:t>
                  </w:r>
                </w:p>
              </w:tc>
              <w:tc>
                <w:tcPr>
                  <w:tcW w:w="696" w:type="dxa"/>
                  <w:tcBorders>
                    <w:top w:val="nil"/>
                    <w:left w:val="nil"/>
                    <w:bottom w:val="nil"/>
                    <w:right w:val="nil"/>
                  </w:tcBorders>
                  <w:noWrap/>
                  <w:vAlign w:val="bottom"/>
                  <w:hideMark/>
                </w:tcPr>
                <w:p w14:paraId="5B1B3CC5"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0,4</w:t>
                  </w:r>
                </w:p>
              </w:tc>
              <w:tc>
                <w:tcPr>
                  <w:tcW w:w="696" w:type="dxa"/>
                  <w:tcBorders>
                    <w:top w:val="nil"/>
                    <w:left w:val="nil"/>
                    <w:bottom w:val="nil"/>
                    <w:right w:val="nil"/>
                  </w:tcBorders>
                  <w:noWrap/>
                  <w:vAlign w:val="bottom"/>
                  <w:hideMark/>
                </w:tcPr>
                <w:p w14:paraId="3EF746D4"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1,4</w:t>
                  </w:r>
                </w:p>
              </w:tc>
              <w:tc>
                <w:tcPr>
                  <w:tcW w:w="696" w:type="dxa"/>
                  <w:tcBorders>
                    <w:top w:val="nil"/>
                    <w:left w:val="nil"/>
                    <w:bottom w:val="nil"/>
                    <w:right w:val="nil"/>
                  </w:tcBorders>
                  <w:noWrap/>
                  <w:vAlign w:val="bottom"/>
                  <w:hideMark/>
                </w:tcPr>
                <w:p w14:paraId="2F65171F"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0,4</w:t>
                  </w:r>
                </w:p>
              </w:tc>
            </w:tr>
            <w:tr w:rsidR="006B1AFC" w:rsidRPr="007D79D3" w14:paraId="60FD010C" w14:textId="77777777" w:rsidTr="003C4A79">
              <w:trPr>
                <w:trHeight w:val="255"/>
              </w:trPr>
              <w:tc>
                <w:tcPr>
                  <w:tcW w:w="3701" w:type="dxa"/>
                  <w:tcBorders>
                    <w:top w:val="nil"/>
                    <w:left w:val="nil"/>
                    <w:bottom w:val="nil"/>
                    <w:right w:val="nil"/>
                  </w:tcBorders>
                  <w:vAlign w:val="center"/>
                  <w:hideMark/>
                </w:tcPr>
                <w:p w14:paraId="08BCFED9" w14:textId="77777777" w:rsidR="006B1AFC" w:rsidRPr="007D79D3" w:rsidRDefault="006B1AFC" w:rsidP="003C4A79">
                  <w:pPr>
                    <w:spacing w:after="0" w:line="240" w:lineRule="auto"/>
                    <w:ind w:firstLineChars="140" w:firstLine="224"/>
                    <w:jc w:val="left"/>
                    <w:rPr>
                      <w:rFonts w:cs="Arial"/>
                      <w:color w:val="000000"/>
                      <w:sz w:val="16"/>
                      <w:szCs w:val="16"/>
                      <w:lang w:eastAsia="ko-KR"/>
                    </w:rPr>
                  </w:pPr>
                  <w:r w:rsidRPr="007D79D3">
                    <w:rPr>
                      <w:rFonts w:cs="Arial"/>
                      <w:color w:val="000000"/>
                      <w:sz w:val="16"/>
                      <w:szCs w:val="16"/>
                      <w:lang w:eastAsia="ko-KR"/>
                    </w:rPr>
                    <w:t>Oděvy</w:t>
                  </w:r>
                </w:p>
              </w:tc>
              <w:tc>
                <w:tcPr>
                  <w:tcW w:w="696" w:type="dxa"/>
                  <w:tcBorders>
                    <w:top w:val="nil"/>
                    <w:left w:val="nil"/>
                    <w:bottom w:val="nil"/>
                    <w:right w:val="nil"/>
                  </w:tcBorders>
                  <w:noWrap/>
                  <w:vAlign w:val="bottom"/>
                  <w:hideMark/>
                </w:tcPr>
                <w:p w14:paraId="55897FA8"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4,4</w:t>
                  </w:r>
                </w:p>
              </w:tc>
              <w:tc>
                <w:tcPr>
                  <w:tcW w:w="697" w:type="dxa"/>
                  <w:tcBorders>
                    <w:top w:val="nil"/>
                    <w:left w:val="nil"/>
                    <w:bottom w:val="nil"/>
                    <w:right w:val="nil"/>
                  </w:tcBorders>
                  <w:noWrap/>
                  <w:vAlign w:val="bottom"/>
                  <w:hideMark/>
                </w:tcPr>
                <w:p w14:paraId="16F32C0C"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3,6</w:t>
                  </w:r>
                </w:p>
              </w:tc>
              <w:tc>
                <w:tcPr>
                  <w:tcW w:w="696" w:type="dxa"/>
                  <w:tcBorders>
                    <w:top w:val="nil"/>
                    <w:left w:val="nil"/>
                    <w:bottom w:val="nil"/>
                    <w:right w:val="nil"/>
                  </w:tcBorders>
                  <w:noWrap/>
                  <w:vAlign w:val="bottom"/>
                  <w:hideMark/>
                </w:tcPr>
                <w:p w14:paraId="09ED7DF0"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2,3</w:t>
                  </w:r>
                </w:p>
              </w:tc>
              <w:tc>
                <w:tcPr>
                  <w:tcW w:w="697" w:type="dxa"/>
                  <w:tcBorders>
                    <w:top w:val="nil"/>
                    <w:left w:val="nil"/>
                    <w:bottom w:val="nil"/>
                    <w:right w:val="nil"/>
                  </w:tcBorders>
                  <w:noWrap/>
                  <w:vAlign w:val="bottom"/>
                  <w:hideMark/>
                </w:tcPr>
                <w:p w14:paraId="77050ECA"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2,0</w:t>
                  </w:r>
                </w:p>
              </w:tc>
              <w:tc>
                <w:tcPr>
                  <w:tcW w:w="332" w:type="dxa"/>
                  <w:tcBorders>
                    <w:top w:val="nil"/>
                    <w:left w:val="nil"/>
                    <w:bottom w:val="nil"/>
                    <w:right w:val="nil"/>
                  </w:tcBorders>
                  <w:noWrap/>
                  <w:vAlign w:val="bottom"/>
                  <w:hideMark/>
                </w:tcPr>
                <w:p w14:paraId="18155AD7"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bottom"/>
                  <w:hideMark/>
                </w:tcPr>
                <w:p w14:paraId="064A9C89"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0,2</w:t>
                  </w:r>
                </w:p>
              </w:tc>
              <w:tc>
                <w:tcPr>
                  <w:tcW w:w="696" w:type="dxa"/>
                  <w:tcBorders>
                    <w:top w:val="nil"/>
                    <w:left w:val="nil"/>
                    <w:bottom w:val="nil"/>
                    <w:right w:val="nil"/>
                  </w:tcBorders>
                  <w:noWrap/>
                  <w:vAlign w:val="bottom"/>
                  <w:hideMark/>
                </w:tcPr>
                <w:p w14:paraId="7763F09C"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0,3</w:t>
                  </w:r>
                </w:p>
              </w:tc>
              <w:tc>
                <w:tcPr>
                  <w:tcW w:w="696" w:type="dxa"/>
                  <w:tcBorders>
                    <w:top w:val="nil"/>
                    <w:left w:val="nil"/>
                    <w:bottom w:val="nil"/>
                    <w:right w:val="nil"/>
                  </w:tcBorders>
                  <w:noWrap/>
                  <w:vAlign w:val="bottom"/>
                  <w:hideMark/>
                </w:tcPr>
                <w:p w14:paraId="50127D64"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1,7</w:t>
                  </w:r>
                </w:p>
              </w:tc>
              <w:tc>
                <w:tcPr>
                  <w:tcW w:w="696" w:type="dxa"/>
                  <w:tcBorders>
                    <w:top w:val="nil"/>
                    <w:left w:val="nil"/>
                    <w:bottom w:val="nil"/>
                    <w:right w:val="nil"/>
                  </w:tcBorders>
                  <w:noWrap/>
                  <w:vAlign w:val="bottom"/>
                  <w:hideMark/>
                </w:tcPr>
                <w:p w14:paraId="706154BE"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0,2</w:t>
                  </w:r>
                </w:p>
              </w:tc>
            </w:tr>
            <w:tr w:rsidR="006B1AFC" w:rsidRPr="007D79D3" w14:paraId="77E1BFEC" w14:textId="77777777" w:rsidTr="003C4A79">
              <w:trPr>
                <w:trHeight w:val="255"/>
              </w:trPr>
              <w:tc>
                <w:tcPr>
                  <w:tcW w:w="3701" w:type="dxa"/>
                  <w:tcBorders>
                    <w:top w:val="nil"/>
                    <w:left w:val="nil"/>
                    <w:bottom w:val="nil"/>
                    <w:right w:val="nil"/>
                  </w:tcBorders>
                  <w:vAlign w:val="center"/>
                  <w:hideMark/>
                </w:tcPr>
                <w:p w14:paraId="651E054B" w14:textId="77777777" w:rsidR="006B1AFC" w:rsidRPr="007D79D3" w:rsidRDefault="006B1AFC" w:rsidP="003C4A79">
                  <w:pPr>
                    <w:spacing w:after="0" w:line="240" w:lineRule="auto"/>
                    <w:ind w:firstLineChars="140" w:firstLine="224"/>
                    <w:jc w:val="left"/>
                    <w:rPr>
                      <w:rFonts w:cs="Arial"/>
                      <w:color w:val="000000"/>
                      <w:sz w:val="16"/>
                      <w:szCs w:val="16"/>
                      <w:lang w:eastAsia="ko-KR"/>
                    </w:rPr>
                  </w:pPr>
                  <w:r w:rsidRPr="007D79D3">
                    <w:rPr>
                      <w:rFonts w:cs="Arial"/>
                      <w:color w:val="000000"/>
                      <w:sz w:val="16"/>
                      <w:szCs w:val="16"/>
                      <w:lang w:eastAsia="ko-KR"/>
                    </w:rPr>
                    <w:t>Usně a související výrobky</w:t>
                  </w:r>
                </w:p>
              </w:tc>
              <w:tc>
                <w:tcPr>
                  <w:tcW w:w="696" w:type="dxa"/>
                  <w:tcBorders>
                    <w:top w:val="nil"/>
                    <w:left w:val="nil"/>
                    <w:bottom w:val="nil"/>
                    <w:right w:val="nil"/>
                  </w:tcBorders>
                  <w:noWrap/>
                  <w:vAlign w:val="bottom"/>
                  <w:hideMark/>
                </w:tcPr>
                <w:p w14:paraId="4BBE0994"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1,5</w:t>
                  </w:r>
                </w:p>
              </w:tc>
              <w:tc>
                <w:tcPr>
                  <w:tcW w:w="697" w:type="dxa"/>
                  <w:tcBorders>
                    <w:top w:val="nil"/>
                    <w:left w:val="nil"/>
                    <w:bottom w:val="nil"/>
                    <w:right w:val="nil"/>
                  </w:tcBorders>
                  <w:noWrap/>
                  <w:vAlign w:val="bottom"/>
                  <w:hideMark/>
                </w:tcPr>
                <w:p w14:paraId="54824BDB"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1,5</w:t>
                  </w:r>
                </w:p>
              </w:tc>
              <w:tc>
                <w:tcPr>
                  <w:tcW w:w="696" w:type="dxa"/>
                  <w:tcBorders>
                    <w:top w:val="nil"/>
                    <w:left w:val="nil"/>
                    <w:bottom w:val="nil"/>
                    <w:right w:val="nil"/>
                  </w:tcBorders>
                  <w:noWrap/>
                  <w:vAlign w:val="bottom"/>
                  <w:hideMark/>
                </w:tcPr>
                <w:p w14:paraId="25A4E947"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0,3</w:t>
                  </w:r>
                </w:p>
              </w:tc>
              <w:tc>
                <w:tcPr>
                  <w:tcW w:w="697" w:type="dxa"/>
                  <w:tcBorders>
                    <w:top w:val="nil"/>
                    <w:left w:val="nil"/>
                    <w:bottom w:val="nil"/>
                    <w:right w:val="nil"/>
                  </w:tcBorders>
                  <w:noWrap/>
                  <w:vAlign w:val="bottom"/>
                  <w:hideMark/>
                </w:tcPr>
                <w:p w14:paraId="4295FEAB"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0,1</w:t>
                  </w:r>
                </w:p>
              </w:tc>
              <w:tc>
                <w:tcPr>
                  <w:tcW w:w="332" w:type="dxa"/>
                  <w:tcBorders>
                    <w:top w:val="nil"/>
                    <w:left w:val="nil"/>
                    <w:bottom w:val="nil"/>
                    <w:right w:val="nil"/>
                  </w:tcBorders>
                  <w:noWrap/>
                  <w:vAlign w:val="bottom"/>
                  <w:hideMark/>
                </w:tcPr>
                <w:p w14:paraId="0F57B09A"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bottom"/>
                  <w:hideMark/>
                </w:tcPr>
                <w:p w14:paraId="321ECC8D"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0,0</w:t>
                  </w:r>
                </w:p>
              </w:tc>
              <w:tc>
                <w:tcPr>
                  <w:tcW w:w="696" w:type="dxa"/>
                  <w:tcBorders>
                    <w:top w:val="nil"/>
                    <w:left w:val="nil"/>
                    <w:bottom w:val="nil"/>
                    <w:right w:val="nil"/>
                  </w:tcBorders>
                  <w:noWrap/>
                  <w:vAlign w:val="bottom"/>
                  <w:hideMark/>
                </w:tcPr>
                <w:p w14:paraId="629A176F"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0,0</w:t>
                  </w:r>
                </w:p>
              </w:tc>
              <w:tc>
                <w:tcPr>
                  <w:tcW w:w="696" w:type="dxa"/>
                  <w:tcBorders>
                    <w:top w:val="nil"/>
                    <w:left w:val="nil"/>
                    <w:bottom w:val="nil"/>
                    <w:right w:val="nil"/>
                  </w:tcBorders>
                  <w:noWrap/>
                  <w:vAlign w:val="bottom"/>
                  <w:hideMark/>
                </w:tcPr>
                <w:p w14:paraId="4C81F1D6"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0,0</w:t>
                  </w:r>
                </w:p>
              </w:tc>
              <w:tc>
                <w:tcPr>
                  <w:tcW w:w="696" w:type="dxa"/>
                  <w:tcBorders>
                    <w:top w:val="nil"/>
                    <w:left w:val="nil"/>
                    <w:bottom w:val="nil"/>
                    <w:right w:val="nil"/>
                  </w:tcBorders>
                  <w:noWrap/>
                  <w:vAlign w:val="bottom"/>
                  <w:hideMark/>
                </w:tcPr>
                <w:p w14:paraId="302789E4"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0,1</w:t>
                  </w:r>
                </w:p>
              </w:tc>
            </w:tr>
            <w:tr w:rsidR="006B1AFC" w:rsidRPr="007D79D3" w14:paraId="2F41F28F" w14:textId="77777777" w:rsidTr="003C4A79">
              <w:trPr>
                <w:trHeight w:val="255"/>
              </w:trPr>
              <w:tc>
                <w:tcPr>
                  <w:tcW w:w="3701" w:type="dxa"/>
                  <w:tcBorders>
                    <w:top w:val="nil"/>
                    <w:left w:val="nil"/>
                    <w:bottom w:val="nil"/>
                    <w:right w:val="nil"/>
                  </w:tcBorders>
                  <w:vAlign w:val="center"/>
                  <w:hideMark/>
                </w:tcPr>
                <w:p w14:paraId="2A8CC79B" w14:textId="77777777" w:rsidR="006B1AFC" w:rsidRPr="007D79D3" w:rsidRDefault="006B1AFC" w:rsidP="003C4A79">
                  <w:pPr>
                    <w:spacing w:after="0" w:line="240" w:lineRule="auto"/>
                    <w:ind w:firstLineChars="140" w:firstLine="224"/>
                    <w:jc w:val="left"/>
                    <w:rPr>
                      <w:rFonts w:cs="Arial"/>
                      <w:color w:val="000000"/>
                      <w:sz w:val="16"/>
                      <w:szCs w:val="16"/>
                      <w:lang w:eastAsia="ko-KR"/>
                    </w:rPr>
                  </w:pPr>
                  <w:r w:rsidRPr="007D79D3">
                    <w:rPr>
                      <w:rFonts w:cs="Arial"/>
                      <w:color w:val="000000"/>
                      <w:sz w:val="16"/>
                      <w:szCs w:val="16"/>
                      <w:lang w:eastAsia="ko-KR"/>
                    </w:rPr>
                    <w:t>Dřevo a dřevěné a korkové výrobky</w:t>
                  </w:r>
                </w:p>
              </w:tc>
              <w:tc>
                <w:tcPr>
                  <w:tcW w:w="696" w:type="dxa"/>
                  <w:tcBorders>
                    <w:top w:val="nil"/>
                    <w:left w:val="nil"/>
                    <w:bottom w:val="nil"/>
                    <w:right w:val="nil"/>
                  </w:tcBorders>
                  <w:noWrap/>
                  <w:vAlign w:val="bottom"/>
                  <w:hideMark/>
                </w:tcPr>
                <w:p w14:paraId="75D25D59"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4,9</w:t>
                  </w:r>
                </w:p>
              </w:tc>
              <w:tc>
                <w:tcPr>
                  <w:tcW w:w="697" w:type="dxa"/>
                  <w:tcBorders>
                    <w:top w:val="nil"/>
                    <w:left w:val="nil"/>
                    <w:bottom w:val="nil"/>
                    <w:right w:val="nil"/>
                  </w:tcBorders>
                  <w:noWrap/>
                  <w:vAlign w:val="bottom"/>
                  <w:hideMark/>
                </w:tcPr>
                <w:p w14:paraId="22540995"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7,5</w:t>
                  </w:r>
                </w:p>
              </w:tc>
              <w:tc>
                <w:tcPr>
                  <w:tcW w:w="696" w:type="dxa"/>
                  <w:tcBorders>
                    <w:top w:val="nil"/>
                    <w:left w:val="nil"/>
                    <w:bottom w:val="nil"/>
                    <w:right w:val="nil"/>
                  </w:tcBorders>
                  <w:noWrap/>
                  <w:vAlign w:val="bottom"/>
                  <w:hideMark/>
                </w:tcPr>
                <w:p w14:paraId="0D00627D"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10,0</w:t>
                  </w:r>
                </w:p>
              </w:tc>
              <w:tc>
                <w:tcPr>
                  <w:tcW w:w="697" w:type="dxa"/>
                  <w:tcBorders>
                    <w:top w:val="nil"/>
                    <w:left w:val="nil"/>
                    <w:bottom w:val="nil"/>
                    <w:right w:val="nil"/>
                  </w:tcBorders>
                  <w:noWrap/>
                  <w:vAlign w:val="bottom"/>
                  <w:hideMark/>
                </w:tcPr>
                <w:p w14:paraId="62CF0237"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9,4</w:t>
                  </w:r>
                </w:p>
              </w:tc>
              <w:tc>
                <w:tcPr>
                  <w:tcW w:w="332" w:type="dxa"/>
                  <w:tcBorders>
                    <w:top w:val="nil"/>
                    <w:left w:val="nil"/>
                    <w:bottom w:val="nil"/>
                    <w:right w:val="nil"/>
                  </w:tcBorders>
                  <w:noWrap/>
                  <w:vAlign w:val="bottom"/>
                  <w:hideMark/>
                </w:tcPr>
                <w:p w14:paraId="3A94E9A6"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bottom"/>
                  <w:hideMark/>
                </w:tcPr>
                <w:p w14:paraId="7DD44DD5"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0,5</w:t>
                  </w:r>
                </w:p>
              </w:tc>
              <w:tc>
                <w:tcPr>
                  <w:tcW w:w="696" w:type="dxa"/>
                  <w:tcBorders>
                    <w:top w:val="nil"/>
                    <w:left w:val="nil"/>
                    <w:bottom w:val="nil"/>
                    <w:right w:val="nil"/>
                  </w:tcBorders>
                  <w:noWrap/>
                  <w:vAlign w:val="bottom"/>
                  <w:hideMark/>
                </w:tcPr>
                <w:p w14:paraId="54BADDFD"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2,9</w:t>
                  </w:r>
                </w:p>
              </w:tc>
              <w:tc>
                <w:tcPr>
                  <w:tcW w:w="696" w:type="dxa"/>
                  <w:tcBorders>
                    <w:top w:val="nil"/>
                    <w:left w:val="nil"/>
                    <w:bottom w:val="nil"/>
                    <w:right w:val="nil"/>
                  </w:tcBorders>
                  <w:noWrap/>
                  <w:vAlign w:val="bottom"/>
                  <w:hideMark/>
                </w:tcPr>
                <w:p w14:paraId="1FE30542"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3,0</w:t>
                  </w:r>
                </w:p>
              </w:tc>
              <w:tc>
                <w:tcPr>
                  <w:tcW w:w="696" w:type="dxa"/>
                  <w:tcBorders>
                    <w:top w:val="nil"/>
                    <w:left w:val="nil"/>
                    <w:bottom w:val="nil"/>
                    <w:right w:val="nil"/>
                  </w:tcBorders>
                  <w:noWrap/>
                  <w:vAlign w:val="bottom"/>
                  <w:hideMark/>
                </w:tcPr>
                <w:p w14:paraId="634D805A"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2,6</w:t>
                  </w:r>
                </w:p>
              </w:tc>
            </w:tr>
            <w:tr w:rsidR="006B1AFC" w:rsidRPr="007D79D3" w14:paraId="0676BCD0" w14:textId="77777777" w:rsidTr="003C4A79">
              <w:trPr>
                <w:trHeight w:val="255"/>
              </w:trPr>
              <w:tc>
                <w:tcPr>
                  <w:tcW w:w="3701" w:type="dxa"/>
                  <w:tcBorders>
                    <w:top w:val="nil"/>
                    <w:left w:val="nil"/>
                    <w:bottom w:val="nil"/>
                    <w:right w:val="nil"/>
                  </w:tcBorders>
                  <w:vAlign w:val="center"/>
                  <w:hideMark/>
                </w:tcPr>
                <w:p w14:paraId="10032714" w14:textId="77777777" w:rsidR="006B1AFC" w:rsidRPr="007D79D3" w:rsidRDefault="006B1AFC" w:rsidP="003C4A79">
                  <w:pPr>
                    <w:spacing w:after="0" w:line="240" w:lineRule="auto"/>
                    <w:ind w:firstLineChars="140" w:firstLine="224"/>
                    <w:jc w:val="left"/>
                    <w:rPr>
                      <w:rFonts w:cs="Arial"/>
                      <w:color w:val="000000"/>
                      <w:sz w:val="16"/>
                      <w:szCs w:val="16"/>
                      <w:lang w:eastAsia="ko-KR"/>
                    </w:rPr>
                  </w:pPr>
                  <w:r w:rsidRPr="007D79D3">
                    <w:rPr>
                      <w:rFonts w:cs="Arial"/>
                      <w:color w:val="000000"/>
                      <w:sz w:val="16"/>
                      <w:szCs w:val="16"/>
                      <w:lang w:eastAsia="ko-KR"/>
                    </w:rPr>
                    <w:t>Papír a výrobky z papíru</w:t>
                  </w:r>
                </w:p>
              </w:tc>
              <w:tc>
                <w:tcPr>
                  <w:tcW w:w="696" w:type="dxa"/>
                  <w:tcBorders>
                    <w:top w:val="nil"/>
                    <w:left w:val="nil"/>
                    <w:bottom w:val="nil"/>
                    <w:right w:val="nil"/>
                  </w:tcBorders>
                  <w:noWrap/>
                  <w:vAlign w:val="bottom"/>
                  <w:hideMark/>
                </w:tcPr>
                <w:p w14:paraId="63FED68C"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0,9</w:t>
                  </w:r>
                </w:p>
              </w:tc>
              <w:tc>
                <w:tcPr>
                  <w:tcW w:w="697" w:type="dxa"/>
                  <w:tcBorders>
                    <w:top w:val="nil"/>
                    <w:left w:val="nil"/>
                    <w:bottom w:val="nil"/>
                    <w:right w:val="nil"/>
                  </w:tcBorders>
                  <w:noWrap/>
                  <w:vAlign w:val="bottom"/>
                  <w:hideMark/>
                </w:tcPr>
                <w:p w14:paraId="4279A01C"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3,7</w:t>
                  </w:r>
                </w:p>
              </w:tc>
              <w:tc>
                <w:tcPr>
                  <w:tcW w:w="696" w:type="dxa"/>
                  <w:tcBorders>
                    <w:top w:val="nil"/>
                    <w:left w:val="nil"/>
                    <w:bottom w:val="nil"/>
                    <w:right w:val="nil"/>
                  </w:tcBorders>
                  <w:noWrap/>
                  <w:vAlign w:val="bottom"/>
                  <w:hideMark/>
                </w:tcPr>
                <w:p w14:paraId="4F00378D"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3,8</w:t>
                  </w:r>
                </w:p>
              </w:tc>
              <w:tc>
                <w:tcPr>
                  <w:tcW w:w="697" w:type="dxa"/>
                  <w:tcBorders>
                    <w:top w:val="nil"/>
                    <w:left w:val="nil"/>
                    <w:bottom w:val="nil"/>
                    <w:right w:val="nil"/>
                  </w:tcBorders>
                  <w:noWrap/>
                  <w:vAlign w:val="bottom"/>
                  <w:hideMark/>
                </w:tcPr>
                <w:p w14:paraId="565FECD8"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3,4</w:t>
                  </w:r>
                </w:p>
              </w:tc>
              <w:tc>
                <w:tcPr>
                  <w:tcW w:w="332" w:type="dxa"/>
                  <w:tcBorders>
                    <w:top w:val="nil"/>
                    <w:left w:val="nil"/>
                    <w:bottom w:val="nil"/>
                    <w:right w:val="nil"/>
                  </w:tcBorders>
                  <w:noWrap/>
                  <w:vAlign w:val="bottom"/>
                  <w:hideMark/>
                </w:tcPr>
                <w:p w14:paraId="390E0564"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bottom"/>
                  <w:hideMark/>
                </w:tcPr>
                <w:p w14:paraId="69F1AEE2"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0,1</w:t>
                  </w:r>
                </w:p>
              </w:tc>
              <w:tc>
                <w:tcPr>
                  <w:tcW w:w="696" w:type="dxa"/>
                  <w:tcBorders>
                    <w:top w:val="nil"/>
                    <w:left w:val="nil"/>
                    <w:bottom w:val="nil"/>
                    <w:right w:val="nil"/>
                  </w:tcBorders>
                  <w:noWrap/>
                  <w:vAlign w:val="bottom"/>
                  <w:hideMark/>
                </w:tcPr>
                <w:p w14:paraId="77CF00F8"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1,4</w:t>
                  </w:r>
                </w:p>
              </w:tc>
              <w:tc>
                <w:tcPr>
                  <w:tcW w:w="696" w:type="dxa"/>
                  <w:tcBorders>
                    <w:top w:val="nil"/>
                    <w:left w:val="nil"/>
                    <w:bottom w:val="nil"/>
                    <w:right w:val="nil"/>
                  </w:tcBorders>
                  <w:noWrap/>
                  <w:vAlign w:val="bottom"/>
                  <w:hideMark/>
                </w:tcPr>
                <w:p w14:paraId="5B65275F"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1,9</w:t>
                  </w:r>
                </w:p>
              </w:tc>
              <w:tc>
                <w:tcPr>
                  <w:tcW w:w="696" w:type="dxa"/>
                  <w:tcBorders>
                    <w:top w:val="nil"/>
                    <w:left w:val="nil"/>
                    <w:bottom w:val="nil"/>
                    <w:right w:val="nil"/>
                  </w:tcBorders>
                  <w:noWrap/>
                  <w:vAlign w:val="bottom"/>
                  <w:hideMark/>
                </w:tcPr>
                <w:p w14:paraId="52A45C53"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0,0</w:t>
                  </w:r>
                </w:p>
              </w:tc>
            </w:tr>
            <w:tr w:rsidR="006B1AFC" w:rsidRPr="007D79D3" w14:paraId="65D44739" w14:textId="77777777" w:rsidTr="003C4A79">
              <w:trPr>
                <w:trHeight w:val="255"/>
              </w:trPr>
              <w:tc>
                <w:tcPr>
                  <w:tcW w:w="3701" w:type="dxa"/>
                  <w:tcBorders>
                    <w:top w:val="nil"/>
                    <w:left w:val="nil"/>
                    <w:bottom w:val="nil"/>
                    <w:right w:val="nil"/>
                  </w:tcBorders>
                  <w:vAlign w:val="center"/>
                  <w:hideMark/>
                </w:tcPr>
                <w:p w14:paraId="1436372E" w14:textId="77777777" w:rsidR="006B1AFC" w:rsidRPr="007D79D3" w:rsidRDefault="006B1AFC" w:rsidP="003C4A79">
                  <w:pPr>
                    <w:spacing w:after="0" w:line="240" w:lineRule="auto"/>
                    <w:ind w:firstLineChars="140" w:firstLine="224"/>
                    <w:jc w:val="left"/>
                    <w:rPr>
                      <w:rFonts w:cs="Arial"/>
                      <w:color w:val="000000"/>
                      <w:sz w:val="16"/>
                      <w:szCs w:val="16"/>
                      <w:lang w:eastAsia="ko-KR"/>
                    </w:rPr>
                  </w:pPr>
                  <w:r w:rsidRPr="007D79D3">
                    <w:rPr>
                      <w:rFonts w:cs="Arial"/>
                      <w:color w:val="000000"/>
                      <w:sz w:val="16"/>
                      <w:szCs w:val="16"/>
                      <w:lang w:eastAsia="ko-KR"/>
                    </w:rPr>
                    <w:t>Tiskařské a nahrávací služby</w:t>
                  </w:r>
                </w:p>
              </w:tc>
              <w:tc>
                <w:tcPr>
                  <w:tcW w:w="696" w:type="dxa"/>
                  <w:tcBorders>
                    <w:top w:val="nil"/>
                    <w:left w:val="nil"/>
                    <w:bottom w:val="nil"/>
                    <w:right w:val="nil"/>
                  </w:tcBorders>
                  <w:noWrap/>
                  <w:vAlign w:val="bottom"/>
                  <w:hideMark/>
                </w:tcPr>
                <w:p w14:paraId="7EEF9B5A"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4,4</w:t>
                  </w:r>
                </w:p>
              </w:tc>
              <w:tc>
                <w:tcPr>
                  <w:tcW w:w="697" w:type="dxa"/>
                  <w:tcBorders>
                    <w:top w:val="nil"/>
                    <w:left w:val="nil"/>
                    <w:bottom w:val="nil"/>
                    <w:right w:val="nil"/>
                  </w:tcBorders>
                  <w:noWrap/>
                  <w:vAlign w:val="bottom"/>
                  <w:hideMark/>
                </w:tcPr>
                <w:p w14:paraId="4927BC03"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0,2</w:t>
                  </w:r>
                </w:p>
              </w:tc>
              <w:tc>
                <w:tcPr>
                  <w:tcW w:w="696" w:type="dxa"/>
                  <w:tcBorders>
                    <w:top w:val="nil"/>
                    <w:left w:val="nil"/>
                    <w:bottom w:val="nil"/>
                    <w:right w:val="nil"/>
                  </w:tcBorders>
                  <w:noWrap/>
                  <w:vAlign w:val="bottom"/>
                  <w:hideMark/>
                </w:tcPr>
                <w:p w14:paraId="1464A3B9"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3,9</w:t>
                  </w:r>
                </w:p>
              </w:tc>
              <w:tc>
                <w:tcPr>
                  <w:tcW w:w="697" w:type="dxa"/>
                  <w:tcBorders>
                    <w:top w:val="nil"/>
                    <w:left w:val="nil"/>
                    <w:bottom w:val="nil"/>
                    <w:right w:val="nil"/>
                  </w:tcBorders>
                  <w:noWrap/>
                  <w:vAlign w:val="bottom"/>
                  <w:hideMark/>
                </w:tcPr>
                <w:p w14:paraId="73E9A182"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6,4</w:t>
                  </w:r>
                </w:p>
              </w:tc>
              <w:tc>
                <w:tcPr>
                  <w:tcW w:w="332" w:type="dxa"/>
                  <w:tcBorders>
                    <w:top w:val="nil"/>
                    <w:left w:val="nil"/>
                    <w:bottom w:val="nil"/>
                    <w:right w:val="nil"/>
                  </w:tcBorders>
                  <w:noWrap/>
                  <w:vAlign w:val="bottom"/>
                  <w:hideMark/>
                </w:tcPr>
                <w:p w14:paraId="64E5E5FF"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bottom"/>
                  <w:hideMark/>
                </w:tcPr>
                <w:p w14:paraId="62B54585"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0,2</w:t>
                  </w:r>
                </w:p>
              </w:tc>
              <w:tc>
                <w:tcPr>
                  <w:tcW w:w="696" w:type="dxa"/>
                  <w:tcBorders>
                    <w:top w:val="nil"/>
                    <w:left w:val="nil"/>
                    <w:bottom w:val="nil"/>
                    <w:right w:val="nil"/>
                  </w:tcBorders>
                  <w:noWrap/>
                  <w:vAlign w:val="bottom"/>
                  <w:hideMark/>
                </w:tcPr>
                <w:p w14:paraId="5F38F002"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1,9</w:t>
                  </w:r>
                </w:p>
              </w:tc>
              <w:tc>
                <w:tcPr>
                  <w:tcW w:w="696" w:type="dxa"/>
                  <w:tcBorders>
                    <w:top w:val="nil"/>
                    <w:left w:val="nil"/>
                    <w:bottom w:val="nil"/>
                    <w:right w:val="nil"/>
                  </w:tcBorders>
                  <w:noWrap/>
                  <w:vAlign w:val="bottom"/>
                  <w:hideMark/>
                </w:tcPr>
                <w:p w14:paraId="265C5DC3"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2,6</w:t>
                  </w:r>
                </w:p>
              </w:tc>
              <w:tc>
                <w:tcPr>
                  <w:tcW w:w="696" w:type="dxa"/>
                  <w:tcBorders>
                    <w:top w:val="nil"/>
                    <w:left w:val="nil"/>
                    <w:bottom w:val="nil"/>
                    <w:right w:val="nil"/>
                  </w:tcBorders>
                  <w:noWrap/>
                  <w:vAlign w:val="bottom"/>
                  <w:hideMark/>
                </w:tcPr>
                <w:p w14:paraId="4085BDEF"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2,0</w:t>
                  </w:r>
                </w:p>
              </w:tc>
            </w:tr>
            <w:tr w:rsidR="006B1AFC" w:rsidRPr="007D79D3" w14:paraId="5FC2857C" w14:textId="77777777" w:rsidTr="003C4A79">
              <w:trPr>
                <w:trHeight w:val="255"/>
              </w:trPr>
              <w:tc>
                <w:tcPr>
                  <w:tcW w:w="3701" w:type="dxa"/>
                  <w:tcBorders>
                    <w:top w:val="nil"/>
                    <w:left w:val="nil"/>
                    <w:bottom w:val="nil"/>
                    <w:right w:val="nil"/>
                  </w:tcBorders>
                  <w:vAlign w:val="center"/>
                  <w:hideMark/>
                </w:tcPr>
                <w:p w14:paraId="1BBD47E6" w14:textId="77777777" w:rsidR="006B1AFC" w:rsidRPr="007D79D3" w:rsidRDefault="006B1AFC" w:rsidP="003C4A79">
                  <w:pPr>
                    <w:spacing w:after="0" w:line="240" w:lineRule="auto"/>
                    <w:ind w:firstLineChars="140" w:firstLine="224"/>
                    <w:jc w:val="left"/>
                    <w:rPr>
                      <w:rFonts w:cs="Arial"/>
                      <w:color w:val="000000"/>
                      <w:sz w:val="16"/>
                      <w:szCs w:val="16"/>
                      <w:lang w:eastAsia="ko-KR"/>
                    </w:rPr>
                  </w:pPr>
                  <w:r w:rsidRPr="007D79D3">
                    <w:rPr>
                      <w:rFonts w:cs="Arial"/>
                      <w:color w:val="000000"/>
                      <w:sz w:val="16"/>
                      <w:szCs w:val="16"/>
                      <w:lang w:eastAsia="ko-KR"/>
                    </w:rPr>
                    <w:t>Chemické látky a přípravky</w:t>
                  </w:r>
                </w:p>
              </w:tc>
              <w:tc>
                <w:tcPr>
                  <w:tcW w:w="696" w:type="dxa"/>
                  <w:tcBorders>
                    <w:top w:val="nil"/>
                    <w:left w:val="nil"/>
                    <w:bottom w:val="nil"/>
                    <w:right w:val="nil"/>
                  </w:tcBorders>
                  <w:noWrap/>
                  <w:vAlign w:val="bottom"/>
                  <w:hideMark/>
                </w:tcPr>
                <w:p w14:paraId="477C1580"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7,1</w:t>
                  </w:r>
                </w:p>
              </w:tc>
              <w:tc>
                <w:tcPr>
                  <w:tcW w:w="697" w:type="dxa"/>
                  <w:tcBorders>
                    <w:top w:val="nil"/>
                    <w:left w:val="nil"/>
                    <w:bottom w:val="nil"/>
                    <w:right w:val="nil"/>
                  </w:tcBorders>
                  <w:noWrap/>
                  <w:vAlign w:val="bottom"/>
                  <w:hideMark/>
                </w:tcPr>
                <w:p w14:paraId="7E51AC42"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8,1</w:t>
                  </w:r>
                </w:p>
              </w:tc>
              <w:tc>
                <w:tcPr>
                  <w:tcW w:w="696" w:type="dxa"/>
                  <w:tcBorders>
                    <w:top w:val="nil"/>
                    <w:left w:val="nil"/>
                    <w:bottom w:val="nil"/>
                    <w:right w:val="nil"/>
                  </w:tcBorders>
                  <w:noWrap/>
                  <w:vAlign w:val="bottom"/>
                  <w:hideMark/>
                </w:tcPr>
                <w:p w14:paraId="1E4A5B3C"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9,1</w:t>
                  </w:r>
                </w:p>
              </w:tc>
              <w:tc>
                <w:tcPr>
                  <w:tcW w:w="697" w:type="dxa"/>
                  <w:tcBorders>
                    <w:top w:val="nil"/>
                    <w:left w:val="nil"/>
                    <w:bottom w:val="nil"/>
                    <w:right w:val="nil"/>
                  </w:tcBorders>
                  <w:noWrap/>
                  <w:vAlign w:val="bottom"/>
                  <w:hideMark/>
                </w:tcPr>
                <w:p w14:paraId="259ADEFF"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13,0</w:t>
                  </w:r>
                </w:p>
              </w:tc>
              <w:tc>
                <w:tcPr>
                  <w:tcW w:w="332" w:type="dxa"/>
                  <w:tcBorders>
                    <w:top w:val="nil"/>
                    <w:left w:val="nil"/>
                    <w:bottom w:val="nil"/>
                    <w:right w:val="nil"/>
                  </w:tcBorders>
                  <w:noWrap/>
                  <w:vAlign w:val="bottom"/>
                  <w:hideMark/>
                </w:tcPr>
                <w:p w14:paraId="41699A14"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bottom"/>
                  <w:hideMark/>
                </w:tcPr>
                <w:p w14:paraId="0B48C903"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2,8</w:t>
                  </w:r>
                </w:p>
              </w:tc>
              <w:tc>
                <w:tcPr>
                  <w:tcW w:w="696" w:type="dxa"/>
                  <w:tcBorders>
                    <w:top w:val="nil"/>
                    <w:left w:val="nil"/>
                    <w:bottom w:val="nil"/>
                    <w:right w:val="nil"/>
                  </w:tcBorders>
                  <w:noWrap/>
                  <w:vAlign w:val="bottom"/>
                  <w:hideMark/>
                </w:tcPr>
                <w:p w14:paraId="0254201B"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2,0</w:t>
                  </w:r>
                </w:p>
              </w:tc>
              <w:tc>
                <w:tcPr>
                  <w:tcW w:w="696" w:type="dxa"/>
                  <w:tcBorders>
                    <w:top w:val="nil"/>
                    <w:left w:val="nil"/>
                    <w:bottom w:val="nil"/>
                    <w:right w:val="nil"/>
                  </w:tcBorders>
                  <w:noWrap/>
                  <w:vAlign w:val="bottom"/>
                  <w:hideMark/>
                </w:tcPr>
                <w:p w14:paraId="70605F22"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0,4</w:t>
                  </w:r>
                </w:p>
              </w:tc>
              <w:tc>
                <w:tcPr>
                  <w:tcW w:w="696" w:type="dxa"/>
                  <w:tcBorders>
                    <w:top w:val="nil"/>
                    <w:left w:val="nil"/>
                    <w:bottom w:val="nil"/>
                    <w:right w:val="nil"/>
                  </w:tcBorders>
                  <w:noWrap/>
                  <w:vAlign w:val="bottom"/>
                  <w:hideMark/>
                </w:tcPr>
                <w:p w14:paraId="3C2E8574"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19,1</w:t>
                  </w:r>
                </w:p>
              </w:tc>
            </w:tr>
            <w:tr w:rsidR="006B1AFC" w:rsidRPr="007D79D3" w14:paraId="603960E6" w14:textId="77777777" w:rsidTr="003C4A79">
              <w:trPr>
                <w:trHeight w:val="255"/>
              </w:trPr>
              <w:tc>
                <w:tcPr>
                  <w:tcW w:w="3701" w:type="dxa"/>
                  <w:tcBorders>
                    <w:top w:val="nil"/>
                    <w:left w:val="nil"/>
                    <w:bottom w:val="nil"/>
                    <w:right w:val="nil"/>
                  </w:tcBorders>
                  <w:vAlign w:val="center"/>
                  <w:hideMark/>
                </w:tcPr>
                <w:p w14:paraId="4487D7CA" w14:textId="77777777" w:rsidR="006B1AFC" w:rsidRPr="007D79D3" w:rsidRDefault="006B1AFC" w:rsidP="003C4A79">
                  <w:pPr>
                    <w:spacing w:after="0" w:line="240" w:lineRule="auto"/>
                    <w:ind w:firstLineChars="140" w:firstLine="224"/>
                    <w:jc w:val="left"/>
                    <w:rPr>
                      <w:rFonts w:cs="Arial"/>
                      <w:color w:val="000000"/>
                      <w:sz w:val="16"/>
                      <w:szCs w:val="16"/>
                      <w:lang w:eastAsia="ko-KR"/>
                    </w:rPr>
                  </w:pPr>
                  <w:r w:rsidRPr="007D79D3">
                    <w:rPr>
                      <w:rFonts w:cs="Arial"/>
                      <w:color w:val="000000"/>
                      <w:sz w:val="16"/>
                      <w:szCs w:val="16"/>
                      <w:lang w:eastAsia="ko-KR"/>
                    </w:rPr>
                    <w:t>Základní farmaceutické výrobky a přípravky</w:t>
                  </w:r>
                </w:p>
              </w:tc>
              <w:tc>
                <w:tcPr>
                  <w:tcW w:w="696" w:type="dxa"/>
                  <w:tcBorders>
                    <w:top w:val="nil"/>
                    <w:left w:val="nil"/>
                    <w:bottom w:val="nil"/>
                    <w:right w:val="nil"/>
                  </w:tcBorders>
                  <w:noWrap/>
                  <w:vAlign w:val="bottom"/>
                  <w:hideMark/>
                </w:tcPr>
                <w:p w14:paraId="2A6E2FE2"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3,4</w:t>
                  </w:r>
                </w:p>
              </w:tc>
              <w:tc>
                <w:tcPr>
                  <w:tcW w:w="697" w:type="dxa"/>
                  <w:tcBorders>
                    <w:top w:val="nil"/>
                    <w:left w:val="nil"/>
                    <w:bottom w:val="nil"/>
                    <w:right w:val="nil"/>
                  </w:tcBorders>
                  <w:noWrap/>
                  <w:vAlign w:val="bottom"/>
                  <w:hideMark/>
                </w:tcPr>
                <w:p w14:paraId="602FC039"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3,1</w:t>
                  </w:r>
                </w:p>
              </w:tc>
              <w:tc>
                <w:tcPr>
                  <w:tcW w:w="696" w:type="dxa"/>
                  <w:tcBorders>
                    <w:top w:val="nil"/>
                    <w:left w:val="nil"/>
                    <w:bottom w:val="nil"/>
                    <w:right w:val="nil"/>
                  </w:tcBorders>
                  <w:noWrap/>
                  <w:vAlign w:val="bottom"/>
                  <w:hideMark/>
                </w:tcPr>
                <w:p w14:paraId="22EE43B8"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2,5</w:t>
                  </w:r>
                </w:p>
              </w:tc>
              <w:tc>
                <w:tcPr>
                  <w:tcW w:w="697" w:type="dxa"/>
                  <w:tcBorders>
                    <w:top w:val="nil"/>
                    <w:left w:val="nil"/>
                    <w:bottom w:val="nil"/>
                    <w:right w:val="nil"/>
                  </w:tcBorders>
                  <w:noWrap/>
                  <w:vAlign w:val="bottom"/>
                  <w:hideMark/>
                </w:tcPr>
                <w:p w14:paraId="29A8AABC"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3,1</w:t>
                  </w:r>
                </w:p>
              </w:tc>
              <w:tc>
                <w:tcPr>
                  <w:tcW w:w="332" w:type="dxa"/>
                  <w:tcBorders>
                    <w:top w:val="nil"/>
                    <w:left w:val="nil"/>
                    <w:bottom w:val="nil"/>
                    <w:right w:val="nil"/>
                  </w:tcBorders>
                  <w:noWrap/>
                  <w:vAlign w:val="bottom"/>
                  <w:hideMark/>
                </w:tcPr>
                <w:p w14:paraId="46AAAD50"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bottom"/>
                  <w:hideMark/>
                </w:tcPr>
                <w:p w14:paraId="1CC7A6B0"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0,3</w:t>
                  </w:r>
                </w:p>
              </w:tc>
              <w:tc>
                <w:tcPr>
                  <w:tcW w:w="696" w:type="dxa"/>
                  <w:tcBorders>
                    <w:top w:val="nil"/>
                    <w:left w:val="nil"/>
                    <w:bottom w:val="nil"/>
                    <w:right w:val="nil"/>
                  </w:tcBorders>
                  <w:noWrap/>
                  <w:vAlign w:val="bottom"/>
                  <w:hideMark/>
                </w:tcPr>
                <w:p w14:paraId="32527280"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0,3</w:t>
                  </w:r>
                </w:p>
              </w:tc>
              <w:tc>
                <w:tcPr>
                  <w:tcW w:w="696" w:type="dxa"/>
                  <w:tcBorders>
                    <w:top w:val="nil"/>
                    <w:left w:val="nil"/>
                    <w:bottom w:val="nil"/>
                    <w:right w:val="nil"/>
                  </w:tcBorders>
                  <w:noWrap/>
                  <w:vAlign w:val="bottom"/>
                  <w:hideMark/>
                </w:tcPr>
                <w:p w14:paraId="1FFF53B2"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1,7</w:t>
                  </w:r>
                </w:p>
              </w:tc>
              <w:tc>
                <w:tcPr>
                  <w:tcW w:w="696" w:type="dxa"/>
                  <w:tcBorders>
                    <w:top w:val="nil"/>
                    <w:left w:val="nil"/>
                    <w:bottom w:val="nil"/>
                    <w:right w:val="nil"/>
                  </w:tcBorders>
                  <w:noWrap/>
                  <w:vAlign w:val="bottom"/>
                  <w:hideMark/>
                </w:tcPr>
                <w:p w14:paraId="213A9A2C"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1,4</w:t>
                  </w:r>
                </w:p>
              </w:tc>
            </w:tr>
            <w:tr w:rsidR="006B1AFC" w:rsidRPr="007D79D3" w14:paraId="3B3A00F4" w14:textId="77777777" w:rsidTr="003C4A79">
              <w:trPr>
                <w:trHeight w:val="255"/>
              </w:trPr>
              <w:tc>
                <w:tcPr>
                  <w:tcW w:w="3701" w:type="dxa"/>
                  <w:tcBorders>
                    <w:top w:val="nil"/>
                    <w:left w:val="nil"/>
                    <w:bottom w:val="nil"/>
                    <w:right w:val="nil"/>
                  </w:tcBorders>
                  <w:vAlign w:val="center"/>
                  <w:hideMark/>
                </w:tcPr>
                <w:p w14:paraId="14474C5F" w14:textId="77777777" w:rsidR="006B1AFC" w:rsidRPr="007D79D3" w:rsidRDefault="006B1AFC" w:rsidP="003C4A79">
                  <w:pPr>
                    <w:spacing w:after="0" w:line="240" w:lineRule="auto"/>
                    <w:ind w:firstLineChars="140" w:firstLine="224"/>
                    <w:jc w:val="left"/>
                    <w:rPr>
                      <w:rFonts w:cs="Arial"/>
                      <w:color w:val="000000"/>
                      <w:sz w:val="16"/>
                      <w:szCs w:val="16"/>
                      <w:lang w:eastAsia="ko-KR"/>
                    </w:rPr>
                  </w:pPr>
                  <w:r w:rsidRPr="007D79D3">
                    <w:rPr>
                      <w:rFonts w:cs="Arial"/>
                      <w:color w:val="000000"/>
                      <w:sz w:val="16"/>
                      <w:szCs w:val="16"/>
                      <w:lang w:eastAsia="ko-KR"/>
                    </w:rPr>
                    <w:t>Pryžové a plastové výrobky</w:t>
                  </w:r>
                </w:p>
              </w:tc>
              <w:tc>
                <w:tcPr>
                  <w:tcW w:w="696" w:type="dxa"/>
                  <w:tcBorders>
                    <w:top w:val="nil"/>
                    <w:left w:val="nil"/>
                    <w:bottom w:val="nil"/>
                    <w:right w:val="nil"/>
                  </w:tcBorders>
                  <w:noWrap/>
                  <w:vAlign w:val="bottom"/>
                  <w:hideMark/>
                </w:tcPr>
                <w:p w14:paraId="0E4992CF"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0,2</w:t>
                  </w:r>
                </w:p>
              </w:tc>
              <w:tc>
                <w:tcPr>
                  <w:tcW w:w="697" w:type="dxa"/>
                  <w:tcBorders>
                    <w:top w:val="nil"/>
                    <w:left w:val="nil"/>
                    <w:bottom w:val="nil"/>
                    <w:right w:val="nil"/>
                  </w:tcBorders>
                  <w:noWrap/>
                  <w:vAlign w:val="bottom"/>
                  <w:hideMark/>
                </w:tcPr>
                <w:p w14:paraId="3791CED0"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1,3</w:t>
                  </w:r>
                </w:p>
              </w:tc>
              <w:tc>
                <w:tcPr>
                  <w:tcW w:w="696" w:type="dxa"/>
                  <w:tcBorders>
                    <w:top w:val="nil"/>
                    <w:left w:val="nil"/>
                    <w:bottom w:val="nil"/>
                    <w:right w:val="nil"/>
                  </w:tcBorders>
                  <w:noWrap/>
                  <w:vAlign w:val="bottom"/>
                  <w:hideMark/>
                </w:tcPr>
                <w:p w14:paraId="6FB7E391"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1,1</w:t>
                  </w:r>
                </w:p>
              </w:tc>
              <w:tc>
                <w:tcPr>
                  <w:tcW w:w="697" w:type="dxa"/>
                  <w:tcBorders>
                    <w:top w:val="nil"/>
                    <w:left w:val="nil"/>
                    <w:bottom w:val="nil"/>
                    <w:right w:val="nil"/>
                  </w:tcBorders>
                  <w:noWrap/>
                  <w:vAlign w:val="bottom"/>
                  <w:hideMark/>
                </w:tcPr>
                <w:p w14:paraId="7CA221FD"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2,5</w:t>
                  </w:r>
                </w:p>
              </w:tc>
              <w:tc>
                <w:tcPr>
                  <w:tcW w:w="332" w:type="dxa"/>
                  <w:tcBorders>
                    <w:top w:val="nil"/>
                    <w:left w:val="nil"/>
                    <w:bottom w:val="nil"/>
                    <w:right w:val="nil"/>
                  </w:tcBorders>
                  <w:noWrap/>
                  <w:vAlign w:val="bottom"/>
                  <w:hideMark/>
                </w:tcPr>
                <w:p w14:paraId="72FEF1E6"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bottom"/>
                  <w:hideMark/>
                </w:tcPr>
                <w:p w14:paraId="399302A9"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1,6</w:t>
                  </w:r>
                </w:p>
              </w:tc>
              <w:tc>
                <w:tcPr>
                  <w:tcW w:w="696" w:type="dxa"/>
                  <w:tcBorders>
                    <w:top w:val="nil"/>
                    <w:left w:val="nil"/>
                    <w:bottom w:val="nil"/>
                    <w:right w:val="nil"/>
                  </w:tcBorders>
                  <w:noWrap/>
                  <w:vAlign w:val="bottom"/>
                  <w:hideMark/>
                </w:tcPr>
                <w:p w14:paraId="57D9DBD8"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0,9</w:t>
                  </w:r>
                </w:p>
              </w:tc>
              <w:tc>
                <w:tcPr>
                  <w:tcW w:w="696" w:type="dxa"/>
                  <w:tcBorders>
                    <w:top w:val="nil"/>
                    <w:left w:val="nil"/>
                    <w:bottom w:val="nil"/>
                    <w:right w:val="nil"/>
                  </w:tcBorders>
                  <w:noWrap/>
                  <w:vAlign w:val="bottom"/>
                  <w:hideMark/>
                </w:tcPr>
                <w:p w14:paraId="5BD3CE20"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0,3</w:t>
                  </w:r>
                </w:p>
              </w:tc>
              <w:tc>
                <w:tcPr>
                  <w:tcW w:w="696" w:type="dxa"/>
                  <w:tcBorders>
                    <w:top w:val="nil"/>
                    <w:left w:val="nil"/>
                    <w:bottom w:val="nil"/>
                    <w:right w:val="nil"/>
                  </w:tcBorders>
                  <w:noWrap/>
                  <w:vAlign w:val="bottom"/>
                  <w:hideMark/>
                </w:tcPr>
                <w:p w14:paraId="6797879A"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4,8</w:t>
                  </w:r>
                </w:p>
              </w:tc>
            </w:tr>
            <w:tr w:rsidR="006B1AFC" w:rsidRPr="007D79D3" w14:paraId="214545E4" w14:textId="77777777" w:rsidTr="003C4A79">
              <w:trPr>
                <w:trHeight w:val="255"/>
              </w:trPr>
              <w:tc>
                <w:tcPr>
                  <w:tcW w:w="3701" w:type="dxa"/>
                  <w:tcBorders>
                    <w:top w:val="nil"/>
                    <w:left w:val="nil"/>
                    <w:bottom w:val="nil"/>
                    <w:right w:val="nil"/>
                  </w:tcBorders>
                  <w:vAlign w:val="center"/>
                  <w:hideMark/>
                </w:tcPr>
                <w:p w14:paraId="3B435A98" w14:textId="77777777" w:rsidR="006B1AFC" w:rsidRPr="007D79D3" w:rsidRDefault="006B1AFC" w:rsidP="003C4A79">
                  <w:pPr>
                    <w:spacing w:after="0" w:line="240" w:lineRule="auto"/>
                    <w:ind w:firstLineChars="140" w:firstLine="224"/>
                    <w:jc w:val="left"/>
                    <w:rPr>
                      <w:rFonts w:cs="Arial"/>
                      <w:color w:val="000000"/>
                      <w:sz w:val="16"/>
                      <w:szCs w:val="16"/>
                      <w:lang w:eastAsia="ko-KR"/>
                    </w:rPr>
                  </w:pPr>
                  <w:r w:rsidRPr="007D79D3">
                    <w:rPr>
                      <w:rFonts w:cs="Arial"/>
                      <w:color w:val="000000"/>
                      <w:sz w:val="16"/>
                      <w:szCs w:val="16"/>
                      <w:lang w:eastAsia="ko-KR"/>
                    </w:rPr>
                    <w:t>Ostatní nekovové minerální výrobky</w:t>
                  </w:r>
                </w:p>
              </w:tc>
              <w:tc>
                <w:tcPr>
                  <w:tcW w:w="696" w:type="dxa"/>
                  <w:tcBorders>
                    <w:top w:val="nil"/>
                    <w:left w:val="nil"/>
                    <w:bottom w:val="nil"/>
                    <w:right w:val="nil"/>
                  </w:tcBorders>
                  <w:noWrap/>
                  <w:vAlign w:val="bottom"/>
                  <w:hideMark/>
                </w:tcPr>
                <w:p w14:paraId="21F75DC6"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2,1</w:t>
                  </w:r>
                </w:p>
              </w:tc>
              <w:tc>
                <w:tcPr>
                  <w:tcW w:w="697" w:type="dxa"/>
                  <w:tcBorders>
                    <w:top w:val="nil"/>
                    <w:left w:val="nil"/>
                    <w:bottom w:val="nil"/>
                    <w:right w:val="nil"/>
                  </w:tcBorders>
                  <w:noWrap/>
                  <w:vAlign w:val="bottom"/>
                  <w:hideMark/>
                </w:tcPr>
                <w:p w14:paraId="29D545A1"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2,3</w:t>
                  </w:r>
                </w:p>
              </w:tc>
              <w:tc>
                <w:tcPr>
                  <w:tcW w:w="696" w:type="dxa"/>
                  <w:tcBorders>
                    <w:top w:val="nil"/>
                    <w:left w:val="nil"/>
                    <w:bottom w:val="nil"/>
                    <w:right w:val="nil"/>
                  </w:tcBorders>
                  <w:noWrap/>
                  <w:vAlign w:val="bottom"/>
                  <w:hideMark/>
                </w:tcPr>
                <w:p w14:paraId="75DCFD03"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2,3</w:t>
                  </w:r>
                </w:p>
              </w:tc>
              <w:tc>
                <w:tcPr>
                  <w:tcW w:w="697" w:type="dxa"/>
                  <w:tcBorders>
                    <w:top w:val="nil"/>
                    <w:left w:val="nil"/>
                    <w:bottom w:val="nil"/>
                    <w:right w:val="nil"/>
                  </w:tcBorders>
                  <w:noWrap/>
                  <w:vAlign w:val="bottom"/>
                  <w:hideMark/>
                </w:tcPr>
                <w:p w14:paraId="39E35FE4"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4,0</w:t>
                  </w:r>
                </w:p>
              </w:tc>
              <w:tc>
                <w:tcPr>
                  <w:tcW w:w="332" w:type="dxa"/>
                  <w:tcBorders>
                    <w:top w:val="nil"/>
                    <w:left w:val="nil"/>
                    <w:bottom w:val="nil"/>
                    <w:right w:val="nil"/>
                  </w:tcBorders>
                  <w:noWrap/>
                  <w:vAlign w:val="bottom"/>
                  <w:hideMark/>
                </w:tcPr>
                <w:p w14:paraId="62E274C9"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bottom"/>
                  <w:hideMark/>
                </w:tcPr>
                <w:p w14:paraId="24A71D63"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0,4</w:t>
                  </w:r>
                </w:p>
              </w:tc>
              <w:tc>
                <w:tcPr>
                  <w:tcW w:w="696" w:type="dxa"/>
                  <w:tcBorders>
                    <w:top w:val="nil"/>
                    <w:left w:val="nil"/>
                    <w:bottom w:val="nil"/>
                    <w:right w:val="nil"/>
                  </w:tcBorders>
                  <w:noWrap/>
                  <w:vAlign w:val="bottom"/>
                  <w:hideMark/>
                </w:tcPr>
                <w:p w14:paraId="3A1F14B0"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0,1</w:t>
                  </w:r>
                </w:p>
              </w:tc>
              <w:tc>
                <w:tcPr>
                  <w:tcW w:w="696" w:type="dxa"/>
                  <w:tcBorders>
                    <w:top w:val="nil"/>
                    <w:left w:val="nil"/>
                    <w:bottom w:val="nil"/>
                    <w:right w:val="nil"/>
                  </w:tcBorders>
                  <w:noWrap/>
                  <w:vAlign w:val="bottom"/>
                  <w:hideMark/>
                </w:tcPr>
                <w:p w14:paraId="556986D8"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1,0</w:t>
                  </w:r>
                </w:p>
              </w:tc>
              <w:tc>
                <w:tcPr>
                  <w:tcW w:w="696" w:type="dxa"/>
                  <w:tcBorders>
                    <w:top w:val="nil"/>
                    <w:left w:val="nil"/>
                    <w:bottom w:val="nil"/>
                    <w:right w:val="nil"/>
                  </w:tcBorders>
                  <w:noWrap/>
                  <w:vAlign w:val="bottom"/>
                  <w:hideMark/>
                </w:tcPr>
                <w:p w14:paraId="4C66DD51"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2,3</w:t>
                  </w:r>
                </w:p>
              </w:tc>
            </w:tr>
            <w:tr w:rsidR="006B1AFC" w:rsidRPr="007D79D3" w14:paraId="44970089" w14:textId="77777777" w:rsidTr="003C4A79">
              <w:trPr>
                <w:trHeight w:val="255"/>
              </w:trPr>
              <w:tc>
                <w:tcPr>
                  <w:tcW w:w="3701" w:type="dxa"/>
                  <w:tcBorders>
                    <w:top w:val="nil"/>
                    <w:left w:val="nil"/>
                    <w:bottom w:val="nil"/>
                    <w:right w:val="nil"/>
                  </w:tcBorders>
                  <w:noWrap/>
                  <w:vAlign w:val="center"/>
                  <w:hideMark/>
                </w:tcPr>
                <w:p w14:paraId="79971105" w14:textId="77777777" w:rsidR="006B1AFC" w:rsidRPr="007D79D3" w:rsidRDefault="006B1AFC" w:rsidP="003C4A79">
                  <w:pPr>
                    <w:spacing w:after="0" w:line="240" w:lineRule="auto"/>
                    <w:ind w:firstLineChars="140" w:firstLine="224"/>
                    <w:jc w:val="left"/>
                    <w:rPr>
                      <w:rFonts w:cs="Arial"/>
                      <w:color w:val="000000"/>
                      <w:sz w:val="16"/>
                      <w:szCs w:val="16"/>
                      <w:lang w:eastAsia="ko-KR"/>
                    </w:rPr>
                  </w:pPr>
                  <w:r w:rsidRPr="007D79D3">
                    <w:rPr>
                      <w:rFonts w:cs="Arial"/>
                      <w:color w:val="000000"/>
                      <w:sz w:val="16"/>
                      <w:szCs w:val="16"/>
                      <w:lang w:eastAsia="ko-KR"/>
                    </w:rPr>
                    <w:t>Základní kovy</w:t>
                  </w:r>
                </w:p>
              </w:tc>
              <w:tc>
                <w:tcPr>
                  <w:tcW w:w="696" w:type="dxa"/>
                  <w:tcBorders>
                    <w:top w:val="nil"/>
                    <w:left w:val="nil"/>
                    <w:bottom w:val="nil"/>
                    <w:right w:val="nil"/>
                  </w:tcBorders>
                  <w:noWrap/>
                  <w:vAlign w:val="bottom"/>
                  <w:hideMark/>
                </w:tcPr>
                <w:p w14:paraId="3374DAD0"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2,9</w:t>
                  </w:r>
                </w:p>
              </w:tc>
              <w:tc>
                <w:tcPr>
                  <w:tcW w:w="697" w:type="dxa"/>
                  <w:tcBorders>
                    <w:top w:val="nil"/>
                    <w:left w:val="nil"/>
                    <w:bottom w:val="nil"/>
                    <w:right w:val="nil"/>
                  </w:tcBorders>
                  <w:noWrap/>
                  <w:vAlign w:val="bottom"/>
                  <w:hideMark/>
                </w:tcPr>
                <w:p w14:paraId="24FB29EB"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2,7</w:t>
                  </w:r>
                </w:p>
              </w:tc>
              <w:tc>
                <w:tcPr>
                  <w:tcW w:w="696" w:type="dxa"/>
                  <w:tcBorders>
                    <w:top w:val="nil"/>
                    <w:left w:val="nil"/>
                    <w:bottom w:val="nil"/>
                    <w:right w:val="nil"/>
                  </w:tcBorders>
                  <w:noWrap/>
                  <w:vAlign w:val="bottom"/>
                  <w:hideMark/>
                </w:tcPr>
                <w:p w14:paraId="5283D35E"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0,0</w:t>
                  </w:r>
                </w:p>
              </w:tc>
              <w:tc>
                <w:tcPr>
                  <w:tcW w:w="697" w:type="dxa"/>
                  <w:tcBorders>
                    <w:top w:val="nil"/>
                    <w:left w:val="nil"/>
                    <w:bottom w:val="nil"/>
                    <w:right w:val="nil"/>
                  </w:tcBorders>
                  <w:noWrap/>
                  <w:vAlign w:val="bottom"/>
                  <w:hideMark/>
                </w:tcPr>
                <w:p w14:paraId="2650A36D"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2,9</w:t>
                  </w:r>
                </w:p>
              </w:tc>
              <w:tc>
                <w:tcPr>
                  <w:tcW w:w="332" w:type="dxa"/>
                  <w:tcBorders>
                    <w:top w:val="nil"/>
                    <w:left w:val="nil"/>
                    <w:bottom w:val="nil"/>
                    <w:right w:val="nil"/>
                  </w:tcBorders>
                  <w:noWrap/>
                  <w:vAlign w:val="bottom"/>
                  <w:hideMark/>
                </w:tcPr>
                <w:p w14:paraId="7E9A641C"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bottom"/>
                  <w:hideMark/>
                </w:tcPr>
                <w:p w14:paraId="03FF8C5F"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0,1</w:t>
                  </w:r>
                </w:p>
              </w:tc>
              <w:tc>
                <w:tcPr>
                  <w:tcW w:w="696" w:type="dxa"/>
                  <w:tcBorders>
                    <w:top w:val="nil"/>
                    <w:left w:val="nil"/>
                    <w:bottom w:val="nil"/>
                    <w:right w:val="nil"/>
                  </w:tcBorders>
                  <w:noWrap/>
                  <w:vAlign w:val="bottom"/>
                  <w:hideMark/>
                </w:tcPr>
                <w:p w14:paraId="7DB8D846"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1,3</w:t>
                  </w:r>
                </w:p>
              </w:tc>
              <w:tc>
                <w:tcPr>
                  <w:tcW w:w="696" w:type="dxa"/>
                  <w:tcBorders>
                    <w:top w:val="nil"/>
                    <w:left w:val="nil"/>
                    <w:bottom w:val="nil"/>
                    <w:right w:val="nil"/>
                  </w:tcBorders>
                  <w:noWrap/>
                  <w:vAlign w:val="bottom"/>
                  <w:hideMark/>
                </w:tcPr>
                <w:p w14:paraId="374DE560"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0,9</w:t>
                  </w:r>
                </w:p>
              </w:tc>
              <w:tc>
                <w:tcPr>
                  <w:tcW w:w="696" w:type="dxa"/>
                  <w:tcBorders>
                    <w:top w:val="nil"/>
                    <w:left w:val="nil"/>
                    <w:bottom w:val="nil"/>
                    <w:right w:val="nil"/>
                  </w:tcBorders>
                  <w:noWrap/>
                  <w:vAlign w:val="bottom"/>
                  <w:hideMark/>
                </w:tcPr>
                <w:p w14:paraId="426555BD"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3,5</w:t>
                  </w:r>
                </w:p>
              </w:tc>
            </w:tr>
            <w:tr w:rsidR="006B1AFC" w:rsidRPr="007D79D3" w14:paraId="5309632A" w14:textId="77777777" w:rsidTr="003C4A79">
              <w:trPr>
                <w:trHeight w:val="255"/>
              </w:trPr>
              <w:tc>
                <w:tcPr>
                  <w:tcW w:w="3701" w:type="dxa"/>
                  <w:tcBorders>
                    <w:top w:val="nil"/>
                    <w:left w:val="nil"/>
                    <w:bottom w:val="nil"/>
                    <w:right w:val="nil"/>
                  </w:tcBorders>
                  <w:noWrap/>
                  <w:vAlign w:val="center"/>
                  <w:hideMark/>
                </w:tcPr>
                <w:p w14:paraId="6FFC6F8B" w14:textId="77777777" w:rsidR="006B1AFC" w:rsidRPr="007D79D3" w:rsidRDefault="006B1AFC" w:rsidP="003C4A79">
                  <w:pPr>
                    <w:spacing w:after="0" w:line="240" w:lineRule="auto"/>
                    <w:ind w:firstLineChars="140" w:firstLine="224"/>
                    <w:jc w:val="left"/>
                    <w:rPr>
                      <w:rFonts w:cs="Arial"/>
                      <w:color w:val="000000"/>
                      <w:sz w:val="16"/>
                      <w:szCs w:val="16"/>
                      <w:lang w:eastAsia="ko-KR"/>
                    </w:rPr>
                  </w:pPr>
                  <w:r w:rsidRPr="007D79D3">
                    <w:rPr>
                      <w:rFonts w:cs="Arial"/>
                      <w:color w:val="000000"/>
                      <w:sz w:val="16"/>
                      <w:szCs w:val="16"/>
                      <w:lang w:eastAsia="ko-KR"/>
                    </w:rPr>
                    <w:t>Kovodělné výrobky, kromě strojů a zařízení</w:t>
                  </w:r>
                </w:p>
              </w:tc>
              <w:tc>
                <w:tcPr>
                  <w:tcW w:w="696" w:type="dxa"/>
                  <w:tcBorders>
                    <w:top w:val="nil"/>
                    <w:left w:val="nil"/>
                    <w:bottom w:val="nil"/>
                    <w:right w:val="nil"/>
                  </w:tcBorders>
                  <w:noWrap/>
                  <w:vAlign w:val="bottom"/>
                  <w:hideMark/>
                </w:tcPr>
                <w:p w14:paraId="4250174A"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0,6</w:t>
                  </w:r>
                </w:p>
              </w:tc>
              <w:tc>
                <w:tcPr>
                  <w:tcW w:w="697" w:type="dxa"/>
                  <w:tcBorders>
                    <w:top w:val="nil"/>
                    <w:left w:val="nil"/>
                    <w:bottom w:val="nil"/>
                    <w:right w:val="nil"/>
                  </w:tcBorders>
                  <w:noWrap/>
                  <w:vAlign w:val="bottom"/>
                  <w:hideMark/>
                </w:tcPr>
                <w:p w14:paraId="159A4C06"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0,9</w:t>
                  </w:r>
                </w:p>
              </w:tc>
              <w:tc>
                <w:tcPr>
                  <w:tcW w:w="696" w:type="dxa"/>
                  <w:tcBorders>
                    <w:top w:val="nil"/>
                    <w:left w:val="nil"/>
                    <w:bottom w:val="nil"/>
                    <w:right w:val="nil"/>
                  </w:tcBorders>
                  <w:noWrap/>
                  <w:vAlign w:val="bottom"/>
                  <w:hideMark/>
                </w:tcPr>
                <w:p w14:paraId="5B63495C"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1,3</w:t>
                  </w:r>
                </w:p>
              </w:tc>
              <w:tc>
                <w:tcPr>
                  <w:tcW w:w="697" w:type="dxa"/>
                  <w:tcBorders>
                    <w:top w:val="nil"/>
                    <w:left w:val="nil"/>
                    <w:bottom w:val="nil"/>
                    <w:right w:val="nil"/>
                  </w:tcBorders>
                  <w:noWrap/>
                  <w:vAlign w:val="bottom"/>
                  <w:hideMark/>
                </w:tcPr>
                <w:p w14:paraId="0B023DB2"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0,2</w:t>
                  </w:r>
                </w:p>
              </w:tc>
              <w:tc>
                <w:tcPr>
                  <w:tcW w:w="332" w:type="dxa"/>
                  <w:tcBorders>
                    <w:top w:val="nil"/>
                    <w:left w:val="nil"/>
                    <w:bottom w:val="nil"/>
                    <w:right w:val="nil"/>
                  </w:tcBorders>
                  <w:noWrap/>
                  <w:vAlign w:val="bottom"/>
                  <w:hideMark/>
                </w:tcPr>
                <w:p w14:paraId="70057F06"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bottom"/>
                  <w:hideMark/>
                </w:tcPr>
                <w:p w14:paraId="1DE6ED36"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0,8</w:t>
                  </w:r>
                </w:p>
              </w:tc>
              <w:tc>
                <w:tcPr>
                  <w:tcW w:w="696" w:type="dxa"/>
                  <w:tcBorders>
                    <w:top w:val="nil"/>
                    <w:left w:val="nil"/>
                    <w:bottom w:val="nil"/>
                    <w:right w:val="nil"/>
                  </w:tcBorders>
                  <w:noWrap/>
                  <w:vAlign w:val="bottom"/>
                  <w:hideMark/>
                </w:tcPr>
                <w:p w14:paraId="3F26F6FA"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0,4</w:t>
                  </w:r>
                </w:p>
              </w:tc>
              <w:tc>
                <w:tcPr>
                  <w:tcW w:w="696" w:type="dxa"/>
                  <w:tcBorders>
                    <w:top w:val="nil"/>
                    <w:left w:val="nil"/>
                    <w:bottom w:val="nil"/>
                    <w:right w:val="nil"/>
                  </w:tcBorders>
                  <w:noWrap/>
                  <w:vAlign w:val="bottom"/>
                  <w:hideMark/>
                </w:tcPr>
                <w:p w14:paraId="54DD9DCD"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0,2</w:t>
                  </w:r>
                </w:p>
              </w:tc>
              <w:tc>
                <w:tcPr>
                  <w:tcW w:w="696" w:type="dxa"/>
                  <w:tcBorders>
                    <w:top w:val="nil"/>
                    <w:left w:val="nil"/>
                    <w:bottom w:val="nil"/>
                    <w:right w:val="nil"/>
                  </w:tcBorders>
                  <w:noWrap/>
                  <w:vAlign w:val="bottom"/>
                  <w:hideMark/>
                </w:tcPr>
                <w:p w14:paraId="54FB982A"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1,3</w:t>
                  </w:r>
                </w:p>
              </w:tc>
            </w:tr>
            <w:tr w:rsidR="006B1AFC" w:rsidRPr="007D79D3" w14:paraId="2F698DAA" w14:textId="77777777" w:rsidTr="003C4A79">
              <w:trPr>
                <w:trHeight w:val="255"/>
              </w:trPr>
              <w:tc>
                <w:tcPr>
                  <w:tcW w:w="3701" w:type="dxa"/>
                  <w:tcBorders>
                    <w:top w:val="nil"/>
                    <w:left w:val="nil"/>
                    <w:bottom w:val="nil"/>
                    <w:right w:val="nil"/>
                  </w:tcBorders>
                  <w:noWrap/>
                  <w:vAlign w:val="center"/>
                  <w:hideMark/>
                </w:tcPr>
                <w:p w14:paraId="2A2E2F48" w14:textId="77777777" w:rsidR="006B1AFC" w:rsidRPr="007D79D3" w:rsidRDefault="006B1AFC" w:rsidP="003C4A79">
                  <w:pPr>
                    <w:spacing w:after="0" w:line="240" w:lineRule="auto"/>
                    <w:ind w:firstLineChars="140" w:firstLine="224"/>
                    <w:jc w:val="left"/>
                    <w:rPr>
                      <w:rFonts w:cs="Arial"/>
                      <w:color w:val="000000"/>
                      <w:sz w:val="16"/>
                      <w:szCs w:val="16"/>
                      <w:lang w:eastAsia="ko-KR"/>
                    </w:rPr>
                  </w:pPr>
                  <w:r w:rsidRPr="007D79D3">
                    <w:rPr>
                      <w:rFonts w:cs="Arial"/>
                      <w:color w:val="000000"/>
                      <w:sz w:val="16"/>
                      <w:szCs w:val="16"/>
                      <w:lang w:eastAsia="ko-KR"/>
                    </w:rPr>
                    <w:t>Počítače, elektron</w:t>
                  </w:r>
                  <w:r>
                    <w:rPr>
                      <w:rFonts w:cs="Arial"/>
                      <w:color w:val="000000"/>
                      <w:sz w:val="16"/>
                      <w:szCs w:val="16"/>
                      <w:lang w:eastAsia="ko-KR"/>
                    </w:rPr>
                    <w:t>.</w:t>
                  </w:r>
                  <w:r w:rsidRPr="007D79D3">
                    <w:rPr>
                      <w:rFonts w:cs="Arial"/>
                      <w:color w:val="000000"/>
                      <w:sz w:val="16"/>
                      <w:szCs w:val="16"/>
                      <w:lang w:eastAsia="ko-KR"/>
                    </w:rPr>
                    <w:t xml:space="preserve"> a opt</w:t>
                  </w:r>
                  <w:r>
                    <w:rPr>
                      <w:rFonts w:cs="Arial"/>
                      <w:color w:val="000000"/>
                      <w:sz w:val="16"/>
                      <w:szCs w:val="16"/>
                      <w:lang w:eastAsia="ko-KR"/>
                    </w:rPr>
                    <w:t>.</w:t>
                  </w:r>
                  <w:r w:rsidRPr="007D79D3">
                    <w:rPr>
                      <w:rFonts w:cs="Arial"/>
                      <w:color w:val="000000"/>
                      <w:sz w:val="16"/>
                      <w:szCs w:val="16"/>
                      <w:lang w:eastAsia="ko-KR"/>
                    </w:rPr>
                    <w:t xml:space="preserve"> přístroje a zařízení</w:t>
                  </w:r>
                </w:p>
              </w:tc>
              <w:tc>
                <w:tcPr>
                  <w:tcW w:w="696" w:type="dxa"/>
                  <w:tcBorders>
                    <w:top w:val="nil"/>
                    <w:left w:val="nil"/>
                    <w:bottom w:val="nil"/>
                    <w:right w:val="nil"/>
                  </w:tcBorders>
                  <w:noWrap/>
                  <w:vAlign w:val="bottom"/>
                  <w:hideMark/>
                </w:tcPr>
                <w:p w14:paraId="48D89BA5"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0,4</w:t>
                  </w:r>
                </w:p>
              </w:tc>
              <w:tc>
                <w:tcPr>
                  <w:tcW w:w="697" w:type="dxa"/>
                  <w:tcBorders>
                    <w:top w:val="nil"/>
                    <w:left w:val="nil"/>
                    <w:bottom w:val="nil"/>
                    <w:right w:val="nil"/>
                  </w:tcBorders>
                  <w:noWrap/>
                  <w:vAlign w:val="bottom"/>
                  <w:hideMark/>
                </w:tcPr>
                <w:p w14:paraId="38D7F583"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1,7</w:t>
                  </w:r>
                </w:p>
              </w:tc>
              <w:tc>
                <w:tcPr>
                  <w:tcW w:w="696" w:type="dxa"/>
                  <w:tcBorders>
                    <w:top w:val="nil"/>
                    <w:left w:val="nil"/>
                    <w:bottom w:val="nil"/>
                    <w:right w:val="nil"/>
                  </w:tcBorders>
                  <w:noWrap/>
                  <w:vAlign w:val="bottom"/>
                  <w:hideMark/>
                </w:tcPr>
                <w:p w14:paraId="4FF283FF"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0,4</w:t>
                  </w:r>
                </w:p>
              </w:tc>
              <w:tc>
                <w:tcPr>
                  <w:tcW w:w="697" w:type="dxa"/>
                  <w:tcBorders>
                    <w:top w:val="nil"/>
                    <w:left w:val="nil"/>
                    <w:bottom w:val="nil"/>
                    <w:right w:val="nil"/>
                  </w:tcBorders>
                  <w:noWrap/>
                  <w:vAlign w:val="bottom"/>
                  <w:hideMark/>
                </w:tcPr>
                <w:p w14:paraId="25BEAC93"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0,4</w:t>
                  </w:r>
                </w:p>
              </w:tc>
              <w:tc>
                <w:tcPr>
                  <w:tcW w:w="332" w:type="dxa"/>
                  <w:tcBorders>
                    <w:top w:val="nil"/>
                    <w:left w:val="nil"/>
                    <w:bottom w:val="nil"/>
                    <w:right w:val="nil"/>
                  </w:tcBorders>
                  <w:noWrap/>
                  <w:vAlign w:val="bottom"/>
                  <w:hideMark/>
                </w:tcPr>
                <w:p w14:paraId="1EEF3C33"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bottom"/>
                  <w:hideMark/>
                </w:tcPr>
                <w:p w14:paraId="5AE53E3A"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1,3</w:t>
                  </w:r>
                </w:p>
              </w:tc>
              <w:tc>
                <w:tcPr>
                  <w:tcW w:w="696" w:type="dxa"/>
                  <w:tcBorders>
                    <w:top w:val="nil"/>
                    <w:left w:val="nil"/>
                    <w:bottom w:val="nil"/>
                    <w:right w:val="nil"/>
                  </w:tcBorders>
                  <w:noWrap/>
                  <w:vAlign w:val="bottom"/>
                  <w:hideMark/>
                </w:tcPr>
                <w:p w14:paraId="27911EC6"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0,6</w:t>
                  </w:r>
                </w:p>
              </w:tc>
              <w:tc>
                <w:tcPr>
                  <w:tcW w:w="696" w:type="dxa"/>
                  <w:tcBorders>
                    <w:top w:val="nil"/>
                    <w:left w:val="nil"/>
                    <w:bottom w:val="nil"/>
                    <w:right w:val="nil"/>
                  </w:tcBorders>
                  <w:noWrap/>
                  <w:vAlign w:val="bottom"/>
                  <w:hideMark/>
                </w:tcPr>
                <w:p w14:paraId="05565465"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2,4</w:t>
                  </w:r>
                </w:p>
              </w:tc>
              <w:tc>
                <w:tcPr>
                  <w:tcW w:w="696" w:type="dxa"/>
                  <w:tcBorders>
                    <w:top w:val="nil"/>
                    <w:left w:val="nil"/>
                    <w:bottom w:val="nil"/>
                    <w:right w:val="nil"/>
                  </w:tcBorders>
                  <w:noWrap/>
                  <w:vAlign w:val="bottom"/>
                  <w:hideMark/>
                </w:tcPr>
                <w:p w14:paraId="5BF05E96"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0,9</w:t>
                  </w:r>
                </w:p>
              </w:tc>
            </w:tr>
            <w:tr w:rsidR="006B1AFC" w:rsidRPr="007D79D3" w14:paraId="5F08CBE0" w14:textId="77777777" w:rsidTr="003C4A79">
              <w:trPr>
                <w:trHeight w:val="255"/>
              </w:trPr>
              <w:tc>
                <w:tcPr>
                  <w:tcW w:w="3701" w:type="dxa"/>
                  <w:tcBorders>
                    <w:top w:val="nil"/>
                    <w:left w:val="nil"/>
                    <w:bottom w:val="nil"/>
                    <w:right w:val="nil"/>
                  </w:tcBorders>
                  <w:noWrap/>
                  <w:vAlign w:val="center"/>
                  <w:hideMark/>
                </w:tcPr>
                <w:p w14:paraId="7F6C7F2E" w14:textId="77777777" w:rsidR="006B1AFC" w:rsidRPr="007D79D3" w:rsidRDefault="006B1AFC" w:rsidP="003C4A79">
                  <w:pPr>
                    <w:spacing w:after="0" w:line="240" w:lineRule="auto"/>
                    <w:ind w:firstLineChars="140" w:firstLine="224"/>
                    <w:jc w:val="left"/>
                    <w:rPr>
                      <w:rFonts w:cs="Arial"/>
                      <w:color w:val="000000"/>
                      <w:sz w:val="16"/>
                      <w:szCs w:val="16"/>
                      <w:lang w:eastAsia="ko-KR"/>
                    </w:rPr>
                  </w:pPr>
                  <w:r w:rsidRPr="007D79D3">
                    <w:rPr>
                      <w:rFonts w:cs="Arial"/>
                      <w:color w:val="000000"/>
                      <w:sz w:val="16"/>
                      <w:szCs w:val="16"/>
                      <w:lang w:eastAsia="ko-KR"/>
                    </w:rPr>
                    <w:t>Elektrická zařízení</w:t>
                  </w:r>
                </w:p>
              </w:tc>
              <w:tc>
                <w:tcPr>
                  <w:tcW w:w="696" w:type="dxa"/>
                  <w:tcBorders>
                    <w:top w:val="nil"/>
                    <w:left w:val="nil"/>
                    <w:bottom w:val="nil"/>
                    <w:right w:val="nil"/>
                  </w:tcBorders>
                  <w:noWrap/>
                  <w:vAlign w:val="center"/>
                  <w:hideMark/>
                </w:tcPr>
                <w:p w14:paraId="00581268"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1,7</w:t>
                  </w:r>
                </w:p>
              </w:tc>
              <w:tc>
                <w:tcPr>
                  <w:tcW w:w="697" w:type="dxa"/>
                  <w:tcBorders>
                    <w:top w:val="nil"/>
                    <w:left w:val="nil"/>
                    <w:bottom w:val="nil"/>
                    <w:right w:val="nil"/>
                  </w:tcBorders>
                  <w:noWrap/>
                  <w:vAlign w:val="center"/>
                  <w:hideMark/>
                </w:tcPr>
                <w:p w14:paraId="4DC6DBA6"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2,0</w:t>
                  </w:r>
                </w:p>
              </w:tc>
              <w:tc>
                <w:tcPr>
                  <w:tcW w:w="696" w:type="dxa"/>
                  <w:tcBorders>
                    <w:top w:val="nil"/>
                    <w:left w:val="nil"/>
                    <w:bottom w:val="nil"/>
                    <w:right w:val="nil"/>
                  </w:tcBorders>
                  <w:noWrap/>
                  <w:vAlign w:val="center"/>
                  <w:hideMark/>
                </w:tcPr>
                <w:p w14:paraId="60E54E2A"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0,8</w:t>
                  </w:r>
                </w:p>
              </w:tc>
              <w:tc>
                <w:tcPr>
                  <w:tcW w:w="697" w:type="dxa"/>
                  <w:tcBorders>
                    <w:top w:val="nil"/>
                    <w:left w:val="nil"/>
                    <w:bottom w:val="nil"/>
                    <w:right w:val="nil"/>
                  </w:tcBorders>
                  <w:noWrap/>
                  <w:vAlign w:val="center"/>
                  <w:hideMark/>
                </w:tcPr>
                <w:p w14:paraId="57F487D5"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1,3</w:t>
                  </w:r>
                </w:p>
              </w:tc>
              <w:tc>
                <w:tcPr>
                  <w:tcW w:w="332" w:type="dxa"/>
                  <w:tcBorders>
                    <w:top w:val="nil"/>
                    <w:left w:val="nil"/>
                    <w:bottom w:val="nil"/>
                    <w:right w:val="nil"/>
                  </w:tcBorders>
                  <w:noWrap/>
                  <w:vAlign w:val="center"/>
                  <w:hideMark/>
                </w:tcPr>
                <w:p w14:paraId="5B0BE9C4"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center"/>
                  <w:hideMark/>
                </w:tcPr>
                <w:p w14:paraId="7313F9EA"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1,2</w:t>
                  </w:r>
                </w:p>
              </w:tc>
              <w:tc>
                <w:tcPr>
                  <w:tcW w:w="696" w:type="dxa"/>
                  <w:tcBorders>
                    <w:top w:val="nil"/>
                    <w:left w:val="nil"/>
                    <w:bottom w:val="nil"/>
                    <w:right w:val="nil"/>
                  </w:tcBorders>
                  <w:noWrap/>
                  <w:vAlign w:val="center"/>
                  <w:hideMark/>
                </w:tcPr>
                <w:p w14:paraId="60676D8F"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0,2</w:t>
                  </w:r>
                </w:p>
              </w:tc>
              <w:tc>
                <w:tcPr>
                  <w:tcW w:w="696" w:type="dxa"/>
                  <w:tcBorders>
                    <w:top w:val="nil"/>
                    <w:left w:val="nil"/>
                    <w:bottom w:val="nil"/>
                    <w:right w:val="nil"/>
                  </w:tcBorders>
                  <w:noWrap/>
                  <w:vAlign w:val="center"/>
                  <w:hideMark/>
                </w:tcPr>
                <w:p w14:paraId="7AE2E1FC"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0,9</w:t>
                  </w:r>
                </w:p>
              </w:tc>
              <w:tc>
                <w:tcPr>
                  <w:tcW w:w="696" w:type="dxa"/>
                  <w:tcBorders>
                    <w:top w:val="nil"/>
                    <w:left w:val="nil"/>
                    <w:bottom w:val="nil"/>
                    <w:right w:val="nil"/>
                  </w:tcBorders>
                  <w:noWrap/>
                  <w:vAlign w:val="center"/>
                  <w:hideMark/>
                </w:tcPr>
                <w:p w14:paraId="6D0474FC"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1,9</w:t>
                  </w:r>
                </w:p>
              </w:tc>
            </w:tr>
            <w:tr w:rsidR="006B1AFC" w:rsidRPr="007D79D3" w14:paraId="1947A37F" w14:textId="77777777" w:rsidTr="003C4A79">
              <w:trPr>
                <w:trHeight w:val="255"/>
              </w:trPr>
              <w:tc>
                <w:tcPr>
                  <w:tcW w:w="3701" w:type="dxa"/>
                  <w:tcBorders>
                    <w:top w:val="nil"/>
                    <w:left w:val="nil"/>
                    <w:bottom w:val="nil"/>
                    <w:right w:val="nil"/>
                  </w:tcBorders>
                  <w:noWrap/>
                  <w:vAlign w:val="center"/>
                  <w:hideMark/>
                </w:tcPr>
                <w:p w14:paraId="6F82329A" w14:textId="77777777" w:rsidR="006B1AFC" w:rsidRPr="007D79D3" w:rsidRDefault="006B1AFC" w:rsidP="003C4A79">
                  <w:pPr>
                    <w:spacing w:after="0" w:line="240" w:lineRule="auto"/>
                    <w:ind w:firstLineChars="140" w:firstLine="224"/>
                    <w:jc w:val="left"/>
                    <w:rPr>
                      <w:rFonts w:cs="Arial"/>
                      <w:color w:val="000000"/>
                      <w:sz w:val="16"/>
                      <w:szCs w:val="16"/>
                      <w:lang w:eastAsia="ko-KR"/>
                    </w:rPr>
                  </w:pPr>
                  <w:r w:rsidRPr="007D79D3">
                    <w:rPr>
                      <w:rFonts w:cs="Arial"/>
                      <w:color w:val="000000"/>
                      <w:sz w:val="16"/>
                      <w:szCs w:val="16"/>
                      <w:lang w:eastAsia="ko-KR"/>
                    </w:rPr>
                    <w:t>Stroje a zařízení j. n.</w:t>
                  </w:r>
                </w:p>
              </w:tc>
              <w:tc>
                <w:tcPr>
                  <w:tcW w:w="696" w:type="dxa"/>
                  <w:tcBorders>
                    <w:top w:val="nil"/>
                    <w:left w:val="nil"/>
                    <w:bottom w:val="nil"/>
                    <w:right w:val="nil"/>
                  </w:tcBorders>
                  <w:noWrap/>
                  <w:vAlign w:val="center"/>
                  <w:hideMark/>
                </w:tcPr>
                <w:p w14:paraId="70DC432A"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0,5</w:t>
                  </w:r>
                </w:p>
              </w:tc>
              <w:tc>
                <w:tcPr>
                  <w:tcW w:w="697" w:type="dxa"/>
                  <w:tcBorders>
                    <w:top w:val="nil"/>
                    <w:left w:val="nil"/>
                    <w:bottom w:val="nil"/>
                    <w:right w:val="nil"/>
                  </w:tcBorders>
                  <w:noWrap/>
                  <w:vAlign w:val="center"/>
                  <w:hideMark/>
                </w:tcPr>
                <w:p w14:paraId="4D09A0F6"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0,0</w:t>
                  </w:r>
                </w:p>
              </w:tc>
              <w:tc>
                <w:tcPr>
                  <w:tcW w:w="696" w:type="dxa"/>
                  <w:tcBorders>
                    <w:top w:val="nil"/>
                    <w:left w:val="nil"/>
                    <w:bottom w:val="nil"/>
                    <w:right w:val="nil"/>
                  </w:tcBorders>
                  <w:noWrap/>
                  <w:vAlign w:val="center"/>
                  <w:hideMark/>
                </w:tcPr>
                <w:p w14:paraId="0570DD34"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0,4</w:t>
                  </w:r>
                </w:p>
              </w:tc>
              <w:tc>
                <w:tcPr>
                  <w:tcW w:w="697" w:type="dxa"/>
                  <w:tcBorders>
                    <w:top w:val="nil"/>
                    <w:left w:val="nil"/>
                    <w:bottom w:val="nil"/>
                    <w:right w:val="nil"/>
                  </w:tcBorders>
                  <w:noWrap/>
                  <w:vAlign w:val="center"/>
                  <w:hideMark/>
                </w:tcPr>
                <w:p w14:paraId="55E2D394"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0,8</w:t>
                  </w:r>
                </w:p>
              </w:tc>
              <w:tc>
                <w:tcPr>
                  <w:tcW w:w="332" w:type="dxa"/>
                  <w:tcBorders>
                    <w:top w:val="nil"/>
                    <w:left w:val="nil"/>
                    <w:bottom w:val="nil"/>
                    <w:right w:val="nil"/>
                  </w:tcBorders>
                  <w:noWrap/>
                  <w:vAlign w:val="center"/>
                  <w:hideMark/>
                </w:tcPr>
                <w:p w14:paraId="79DBBDBD"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center"/>
                  <w:hideMark/>
                </w:tcPr>
                <w:p w14:paraId="7E0AE7DA"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0,4</w:t>
                  </w:r>
                </w:p>
              </w:tc>
              <w:tc>
                <w:tcPr>
                  <w:tcW w:w="696" w:type="dxa"/>
                  <w:tcBorders>
                    <w:top w:val="nil"/>
                    <w:left w:val="nil"/>
                    <w:bottom w:val="nil"/>
                    <w:right w:val="nil"/>
                  </w:tcBorders>
                  <w:noWrap/>
                  <w:vAlign w:val="center"/>
                  <w:hideMark/>
                </w:tcPr>
                <w:p w14:paraId="036DA17E"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0,4</w:t>
                  </w:r>
                </w:p>
              </w:tc>
              <w:tc>
                <w:tcPr>
                  <w:tcW w:w="696" w:type="dxa"/>
                  <w:tcBorders>
                    <w:top w:val="nil"/>
                    <w:left w:val="nil"/>
                    <w:bottom w:val="nil"/>
                    <w:right w:val="nil"/>
                  </w:tcBorders>
                  <w:noWrap/>
                  <w:vAlign w:val="center"/>
                  <w:hideMark/>
                </w:tcPr>
                <w:p w14:paraId="1FD905AA"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1,5</w:t>
                  </w:r>
                </w:p>
              </w:tc>
              <w:tc>
                <w:tcPr>
                  <w:tcW w:w="696" w:type="dxa"/>
                  <w:tcBorders>
                    <w:top w:val="nil"/>
                    <w:left w:val="nil"/>
                    <w:bottom w:val="nil"/>
                    <w:right w:val="nil"/>
                  </w:tcBorders>
                  <w:noWrap/>
                  <w:vAlign w:val="center"/>
                  <w:hideMark/>
                </w:tcPr>
                <w:p w14:paraId="63BB08A6"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0,2</w:t>
                  </w:r>
                </w:p>
              </w:tc>
            </w:tr>
            <w:tr w:rsidR="006B1AFC" w:rsidRPr="007D79D3" w14:paraId="1966CF36" w14:textId="77777777" w:rsidTr="003C4A79">
              <w:trPr>
                <w:trHeight w:val="255"/>
              </w:trPr>
              <w:tc>
                <w:tcPr>
                  <w:tcW w:w="3701" w:type="dxa"/>
                  <w:tcBorders>
                    <w:top w:val="nil"/>
                    <w:left w:val="nil"/>
                    <w:bottom w:val="nil"/>
                    <w:right w:val="nil"/>
                  </w:tcBorders>
                  <w:noWrap/>
                  <w:vAlign w:val="center"/>
                  <w:hideMark/>
                </w:tcPr>
                <w:p w14:paraId="6C57F4C8" w14:textId="77777777" w:rsidR="006B1AFC" w:rsidRPr="007D79D3" w:rsidRDefault="006B1AFC" w:rsidP="003C4A79">
                  <w:pPr>
                    <w:spacing w:after="0" w:line="240" w:lineRule="auto"/>
                    <w:ind w:firstLineChars="140" w:firstLine="224"/>
                    <w:jc w:val="left"/>
                    <w:rPr>
                      <w:rFonts w:cs="Arial"/>
                      <w:color w:val="000000"/>
                      <w:sz w:val="16"/>
                      <w:szCs w:val="16"/>
                      <w:lang w:eastAsia="ko-KR"/>
                    </w:rPr>
                  </w:pPr>
                  <w:r w:rsidRPr="007D79D3">
                    <w:rPr>
                      <w:rFonts w:cs="Arial"/>
                      <w:color w:val="000000"/>
                      <w:sz w:val="16"/>
                      <w:szCs w:val="16"/>
                      <w:lang w:eastAsia="ko-KR"/>
                    </w:rPr>
                    <w:t>Motorová vozidla (kromě motocyklů) a díly</w:t>
                  </w:r>
                </w:p>
              </w:tc>
              <w:tc>
                <w:tcPr>
                  <w:tcW w:w="696" w:type="dxa"/>
                  <w:tcBorders>
                    <w:top w:val="nil"/>
                    <w:left w:val="nil"/>
                    <w:bottom w:val="nil"/>
                    <w:right w:val="nil"/>
                  </w:tcBorders>
                  <w:noWrap/>
                  <w:vAlign w:val="center"/>
                  <w:hideMark/>
                </w:tcPr>
                <w:p w14:paraId="05569EF6"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1,1</w:t>
                  </w:r>
                </w:p>
              </w:tc>
              <w:tc>
                <w:tcPr>
                  <w:tcW w:w="697" w:type="dxa"/>
                  <w:tcBorders>
                    <w:top w:val="nil"/>
                    <w:left w:val="nil"/>
                    <w:bottom w:val="nil"/>
                    <w:right w:val="nil"/>
                  </w:tcBorders>
                  <w:noWrap/>
                  <w:vAlign w:val="center"/>
                  <w:hideMark/>
                </w:tcPr>
                <w:p w14:paraId="671CF20C"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2,0</w:t>
                  </w:r>
                </w:p>
              </w:tc>
              <w:tc>
                <w:tcPr>
                  <w:tcW w:w="696" w:type="dxa"/>
                  <w:tcBorders>
                    <w:top w:val="nil"/>
                    <w:left w:val="nil"/>
                    <w:bottom w:val="nil"/>
                    <w:right w:val="nil"/>
                  </w:tcBorders>
                  <w:noWrap/>
                  <w:vAlign w:val="center"/>
                  <w:hideMark/>
                </w:tcPr>
                <w:p w14:paraId="5C7E966B"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2,2</w:t>
                  </w:r>
                </w:p>
              </w:tc>
              <w:tc>
                <w:tcPr>
                  <w:tcW w:w="697" w:type="dxa"/>
                  <w:tcBorders>
                    <w:top w:val="nil"/>
                    <w:left w:val="nil"/>
                    <w:bottom w:val="nil"/>
                    <w:right w:val="nil"/>
                  </w:tcBorders>
                  <w:noWrap/>
                  <w:vAlign w:val="center"/>
                  <w:hideMark/>
                </w:tcPr>
                <w:p w14:paraId="7F5D5B76"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1,6</w:t>
                  </w:r>
                </w:p>
              </w:tc>
              <w:tc>
                <w:tcPr>
                  <w:tcW w:w="332" w:type="dxa"/>
                  <w:tcBorders>
                    <w:top w:val="nil"/>
                    <w:left w:val="nil"/>
                    <w:bottom w:val="nil"/>
                    <w:right w:val="nil"/>
                  </w:tcBorders>
                  <w:noWrap/>
                  <w:vAlign w:val="center"/>
                  <w:hideMark/>
                </w:tcPr>
                <w:p w14:paraId="3B8AC0D8"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center"/>
                  <w:hideMark/>
                </w:tcPr>
                <w:p w14:paraId="5514E56D"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0,9</w:t>
                  </w:r>
                </w:p>
              </w:tc>
              <w:tc>
                <w:tcPr>
                  <w:tcW w:w="696" w:type="dxa"/>
                  <w:tcBorders>
                    <w:top w:val="nil"/>
                    <w:left w:val="nil"/>
                    <w:bottom w:val="nil"/>
                    <w:right w:val="nil"/>
                  </w:tcBorders>
                  <w:noWrap/>
                  <w:vAlign w:val="center"/>
                  <w:hideMark/>
                </w:tcPr>
                <w:p w14:paraId="1DB260F7"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0,7</w:t>
                  </w:r>
                </w:p>
              </w:tc>
              <w:tc>
                <w:tcPr>
                  <w:tcW w:w="696" w:type="dxa"/>
                  <w:tcBorders>
                    <w:top w:val="nil"/>
                    <w:left w:val="nil"/>
                    <w:bottom w:val="nil"/>
                    <w:right w:val="nil"/>
                  </w:tcBorders>
                  <w:noWrap/>
                  <w:vAlign w:val="center"/>
                  <w:hideMark/>
                </w:tcPr>
                <w:p w14:paraId="5F3E9974"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0,1</w:t>
                  </w:r>
                </w:p>
              </w:tc>
              <w:tc>
                <w:tcPr>
                  <w:tcW w:w="696" w:type="dxa"/>
                  <w:tcBorders>
                    <w:top w:val="nil"/>
                    <w:left w:val="nil"/>
                    <w:bottom w:val="nil"/>
                    <w:right w:val="nil"/>
                  </w:tcBorders>
                  <w:noWrap/>
                  <w:vAlign w:val="center"/>
                  <w:hideMark/>
                </w:tcPr>
                <w:p w14:paraId="7F91DA0B"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0,0</w:t>
                  </w:r>
                </w:p>
              </w:tc>
            </w:tr>
            <w:tr w:rsidR="006B1AFC" w:rsidRPr="007D79D3" w14:paraId="24ADE6A8" w14:textId="77777777" w:rsidTr="003C4A79">
              <w:trPr>
                <w:trHeight w:val="255"/>
              </w:trPr>
              <w:tc>
                <w:tcPr>
                  <w:tcW w:w="3701" w:type="dxa"/>
                  <w:tcBorders>
                    <w:top w:val="nil"/>
                    <w:left w:val="nil"/>
                    <w:bottom w:val="nil"/>
                    <w:right w:val="nil"/>
                  </w:tcBorders>
                  <w:noWrap/>
                  <w:vAlign w:val="center"/>
                  <w:hideMark/>
                </w:tcPr>
                <w:p w14:paraId="1827FDCC" w14:textId="77777777" w:rsidR="006B1AFC" w:rsidRPr="007D79D3" w:rsidRDefault="006B1AFC" w:rsidP="003C4A79">
                  <w:pPr>
                    <w:spacing w:after="0" w:line="240" w:lineRule="auto"/>
                    <w:ind w:firstLineChars="140" w:firstLine="224"/>
                    <w:jc w:val="left"/>
                    <w:rPr>
                      <w:rFonts w:cs="Arial"/>
                      <w:color w:val="000000"/>
                      <w:sz w:val="16"/>
                      <w:szCs w:val="16"/>
                      <w:lang w:eastAsia="ko-KR"/>
                    </w:rPr>
                  </w:pPr>
                  <w:r w:rsidRPr="007D79D3">
                    <w:rPr>
                      <w:rFonts w:cs="Arial"/>
                      <w:color w:val="000000"/>
                      <w:sz w:val="16"/>
                      <w:szCs w:val="16"/>
                      <w:lang w:eastAsia="ko-KR"/>
                    </w:rPr>
                    <w:t>Ostatní dopravní prostředky a zařízení</w:t>
                  </w:r>
                </w:p>
              </w:tc>
              <w:tc>
                <w:tcPr>
                  <w:tcW w:w="696" w:type="dxa"/>
                  <w:tcBorders>
                    <w:top w:val="nil"/>
                    <w:left w:val="nil"/>
                    <w:bottom w:val="nil"/>
                    <w:right w:val="nil"/>
                  </w:tcBorders>
                  <w:noWrap/>
                  <w:vAlign w:val="center"/>
                  <w:hideMark/>
                </w:tcPr>
                <w:p w14:paraId="514030E8"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4,2</w:t>
                  </w:r>
                </w:p>
              </w:tc>
              <w:tc>
                <w:tcPr>
                  <w:tcW w:w="697" w:type="dxa"/>
                  <w:tcBorders>
                    <w:top w:val="nil"/>
                    <w:left w:val="nil"/>
                    <w:bottom w:val="nil"/>
                    <w:right w:val="nil"/>
                  </w:tcBorders>
                  <w:noWrap/>
                  <w:vAlign w:val="center"/>
                  <w:hideMark/>
                </w:tcPr>
                <w:p w14:paraId="26A11E28"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4,2</w:t>
                  </w:r>
                </w:p>
              </w:tc>
              <w:tc>
                <w:tcPr>
                  <w:tcW w:w="696" w:type="dxa"/>
                  <w:tcBorders>
                    <w:top w:val="nil"/>
                    <w:left w:val="nil"/>
                    <w:bottom w:val="nil"/>
                    <w:right w:val="nil"/>
                  </w:tcBorders>
                  <w:noWrap/>
                  <w:vAlign w:val="center"/>
                  <w:hideMark/>
                </w:tcPr>
                <w:p w14:paraId="0E0EB143"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2,4</w:t>
                  </w:r>
                </w:p>
              </w:tc>
              <w:tc>
                <w:tcPr>
                  <w:tcW w:w="697" w:type="dxa"/>
                  <w:tcBorders>
                    <w:top w:val="nil"/>
                    <w:left w:val="nil"/>
                    <w:bottom w:val="nil"/>
                    <w:right w:val="nil"/>
                  </w:tcBorders>
                  <w:noWrap/>
                  <w:vAlign w:val="center"/>
                  <w:hideMark/>
                </w:tcPr>
                <w:p w14:paraId="64B30AD0"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0,9</w:t>
                  </w:r>
                </w:p>
              </w:tc>
              <w:tc>
                <w:tcPr>
                  <w:tcW w:w="332" w:type="dxa"/>
                  <w:tcBorders>
                    <w:top w:val="nil"/>
                    <w:left w:val="nil"/>
                    <w:bottom w:val="nil"/>
                    <w:right w:val="nil"/>
                  </w:tcBorders>
                  <w:noWrap/>
                  <w:vAlign w:val="center"/>
                  <w:hideMark/>
                </w:tcPr>
                <w:p w14:paraId="43B2C599"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center"/>
                  <w:hideMark/>
                </w:tcPr>
                <w:p w14:paraId="3C5357F9"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0,0</w:t>
                  </w:r>
                </w:p>
              </w:tc>
              <w:tc>
                <w:tcPr>
                  <w:tcW w:w="696" w:type="dxa"/>
                  <w:tcBorders>
                    <w:top w:val="nil"/>
                    <w:left w:val="nil"/>
                    <w:bottom w:val="nil"/>
                    <w:right w:val="nil"/>
                  </w:tcBorders>
                  <w:noWrap/>
                  <w:vAlign w:val="center"/>
                  <w:hideMark/>
                </w:tcPr>
                <w:p w14:paraId="6462B9AE"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0,0</w:t>
                  </w:r>
                </w:p>
              </w:tc>
              <w:tc>
                <w:tcPr>
                  <w:tcW w:w="696" w:type="dxa"/>
                  <w:tcBorders>
                    <w:top w:val="nil"/>
                    <w:left w:val="nil"/>
                    <w:bottom w:val="nil"/>
                    <w:right w:val="nil"/>
                  </w:tcBorders>
                  <w:noWrap/>
                  <w:vAlign w:val="center"/>
                  <w:hideMark/>
                </w:tcPr>
                <w:p w14:paraId="3A7A3A54"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1,1</w:t>
                  </w:r>
                </w:p>
              </w:tc>
              <w:tc>
                <w:tcPr>
                  <w:tcW w:w="696" w:type="dxa"/>
                  <w:tcBorders>
                    <w:top w:val="nil"/>
                    <w:left w:val="nil"/>
                    <w:bottom w:val="nil"/>
                    <w:right w:val="nil"/>
                  </w:tcBorders>
                  <w:noWrap/>
                  <w:vAlign w:val="center"/>
                  <w:hideMark/>
                </w:tcPr>
                <w:p w14:paraId="7E1C747D"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0,2</w:t>
                  </w:r>
                </w:p>
              </w:tc>
            </w:tr>
            <w:tr w:rsidR="006B1AFC" w:rsidRPr="007D79D3" w14:paraId="726D4371" w14:textId="77777777" w:rsidTr="003C4A79">
              <w:trPr>
                <w:trHeight w:val="255"/>
              </w:trPr>
              <w:tc>
                <w:tcPr>
                  <w:tcW w:w="3701" w:type="dxa"/>
                  <w:tcBorders>
                    <w:top w:val="nil"/>
                    <w:left w:val="nil"/>
                    <w:bottom w:val="nil"/>
                    <w:right w:val="nil"/>
                  </w:tcBorders>
                  <w:noWrap/>
                  <w:vAlign w:val="center"/>
                  <w:hideMark/>
                </w:tcPr>
                <w:p w14:paraId="3E768FA0" w14:textId="77777777" w:rsidR="006B1AFC" w:rsidRPr="007D79D3" w:rsidRDefault="006B1AFC" w:rsidP="003C4A79">
                  <w:pPr>
                    <w:spacing w:after="0" w:line="240" w:lineRule="auto"/>
                    <w:ind w:firstLineChars="140" w:firstLine="224"/>
                    <w:jc w:val="left"/>
                    <w:rPr>
                      <w:rFonts w:cs="Arial"/>
                      <w:color w:val="000000"/>
                      <w:sz w:val="16"/>
                      <w:szCs w:val="16"/>
                      <w:lang w:eastAsia="ko-KR"/>
                    </w:rPr>
                  </w:pPr>
                  <w:r w:rsidRPr="007D79D3">
                    <w:rPr>
                      <w:rFonts w:cs="Arial"/>
                      <w:color w:val="000000"/>
                      <w:sz w:val="16"/>
                      <w:szCs w:val="16"/>
                      <w:lang w:eastAsia="ko-KR"/>
                    </w:rPr>
                    <w:t>Nábytek</w:t>
                  </w:r>
                </w:p>
              </w:tc>
              <w:tc>
                <w:tcPr>
                  <w:tcW w:w="696" w:type="dxa"/>
                  <w:tcBorders>
                    <w:top w:val="nil"/>
                    <w:left w:val="nil"/>
                    <w:bottom w:val="nil"/>
                    <w:right w:val="nil"/>
                  </w:tcBorders>
                  <w:noWrap/>
                  <w:vAlign w:val="center"/>
                  <w:hideMark/>
                </w:tcPr>
                <w:p w14:paraId="6570C9BC"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3,6</w:t>
                  </w:r>
                </w:p>
              </w:tc>
              <w:tc>
                <w:tcPr>
                  <w:tcW w:w="697" w:type="dxa"/>
                  <w:tcBorders>
                    <w:top w:val="nil"/>
                    <w:left w:val="nil"/>
                    <w:bottom w:val="nil"/>
                    <w:right w:val="nil"/>
                  </w:tcBorders>
                  <w:noWrap/>
                  <w:vAlign w:val="center"/>
                  <w:hideMark/>
                </w:tcPr>
                <w:p w14:paraId="32F81E9E"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3,2</w:t>
                  </w:r>
                </w:p>
              </w:tc>
              <w:tc>
                <w:tcPr>
                  <w:tcW w:w="696" w:type="dxa"/>
                  <w:tcBorders>
                    <w:top w:val="nil"/>
                    <w:left w:val="nil"/>
                    <w:bottom w:val="nil"/>
                    <w:right w:val="nil"/>
                  </w:tcBorders>
                  <w:noWrap/>
                  <w:vAlign w:val="center"/>
                  <w:hideMark/>
                </w:tcPr>
                <w:p w14:paraId="73BB6DC2"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3,0</w:t>
                  </w:r>
                </w:p>
              </w:tc>
              <w:tc>
                <w:tcPr>
                  <w:tcW w:w="697" w:type="dxa"/>
                  <w:tcBorders>
                    <w:top w:val="nil"/>
                    <w:left w:val="nil"/>
                    <w:bottom w:val="nil"/>
                    <w:right w:val="nil"/>
                  </w:tcBorders>
                  <w:noWrap/>
                  <w:vAlign w:val="center"/>
                  <w:hideMark/>
                </w:tcPr>
                <w:p w14:paraId="786EADEC"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2,2</w:t>
                  </w:r>
                </w:p>
              </w:tc>
              <w:tc>
                <w:tcPr>
                  <w:tcW w:w="332" w:type="dxa"/>
                  <w:tcBorders>
                    <w:top w:val="nil"/>
                    <w:left w:val="nil"/>
                    <w:bottom w:val="nil"/>
                    <w:right w:val="nil"/>
                  </w:tcBorders>
                  <w:noWrap/>
                  <w:vAlign w:val="center"/>
                  <w:hideMark/>
                </w:tcPr>
                <w:p w14:paraId="49134014"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center"/>
                  <w:hideMark/>
                </w:tcPr>
                <w:p w14:paraId="028E1729"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0,3</w:t>
                  </w:r>
                </w:p>
              </w:tc>
              <w:tc>
                <w:tcPr>
                  <w:tcW w:w="696" w:type="dxa"/>
                  <w:tcBorders>
                    <w:top w:val="nil"/>
                    <w:left w:val="nil"/>
                    <w:bottom w:val="nil"/>
                    <w:right w:val="nil"/>
                  </w:tcBorders>
                  <w:noWrap/>
                  <w:vAlign w:val="center"/>
                  <w:hideMark/>
                </w:tcPr>
                <w:p w14:paraId="201B35D8"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0,1</w:t>
                  </w:r>
                </w:p>
              </w:tc>
              <w:tc>
                <w:tcPr>
                  <w:tcW w:w="696" w:type="dxa"/>
                  <w:tcBorders>
                    <w:top w:val="nil"/>
                    <w:left w:val="nil"/>
                    <w:bottom w:val="nil"/>
                    <w:right w:val="nil"/>
                  </w:tcBorders>
                  <w:noWrap/>
                  <w:vAlign w:val="center"/>
                  <w:hideMark/>
                </w:tcPr>
                <w:p w14:paraId="4EED70EB"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1,4</w:t>
                  </w:r>
                </w:p>
              </w:tc>
              <w:tc>
                <w:tcPr>
                  <w:tcW w:w="696" w:type="dxa"/>
                  <w:tcBorders>
                    <w:top w:val="nil"/>
                    <w:left w:val="nil"/>
                    <w:bottom w:val="nil"/>
                    <w:right w:val="nil"/>
                  </w:tcBorders>
                  <w:noWrap/>
                  <w:vAlign w:val="center"/>
                  <w:hideMark/>
                </w:tcPr>
                <w:p w14:paraId="0611C2DD"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0,3</w:t>
                  </w:r>
                </w:p>
              </w:tc>
            </w:tr>
            <w:tr w:rsidR="006B1AFC" w:rsidRPr="007D79D3" w14:paraId="1089D9CC" w14:textId="77777777" w:rsidTr="003C4A79">
              <w:trPr>
                <w:trHeight w:val="255"/>
              </w:trPr>
              <w:tc>
                <w:tcPr>
                  <w:tcW w:w="3701" w:type="dxa"/>
                  <w:tcBorders>
                    <w:top w:val="nil"/>
                    <w:left w:val="nil"/>
                    <w:bottom w:val="nil"/>
                    <w:right w:val="nil"/>
                  </w:tcBorders>
                  <w:noWrap/>
                  <w:vAlign w:val="center"/>
                  <w:hideMark/>
                </w:tcPr>
                <w:p w14:paraId="64C137DD" w14:textId="77777777" w:rsidR="006B1AFC" w:rsidRPr="007D79D3" w:rsidRDefault="006B1AFC" w:rsidP="003C4A79">
                  <w:pPr>
                    <w:spacing w:after="0" w:line="240" w:lineRule="auto"/>
                    <w:ind w:firstLineChars="140" w:firstLine="224"/>
                    <w:jc w:val="left"/>
                    <w:rPr>
                      <w:rFonts w:cs="Arial"/>
                      <w:color w:val="000000"/>
                      <w:sz w:val="16"/>
                      <w:szCs w:val="16"/>
                      <w:lang w:eastAsia="ko-KR"/>
                    </w:rPr>
                  </w:pPr>
                  <w:r w:rsidRPr="007D79D3">
                    <w:rPr>
                      <w:rFonts w:cs="Arial"/>
                      <w:color w:val="000000"/>
                      <w:sz w:val="16"/>
                      <w:szCs w:val="16"/>
                      <w:lang w:eastAsia="ko-KR"/>
                    </w:rPr>
                    <w:t>Ostatní výrobky zpracovatelského průmyslu</w:t>
                  </w:r>
                </w:p>
              </w:tc>
              <w:tc>
                <w:tcPr>
                  <w:tcW w:w="696" w:type="dxa"/>
                  <w:tcBorders>
                    <w:top w:val="nil"/>
                    <w:left w:val="nil"/>
                    <w:bottom w:val="nil"/>
                    <w:right w:val="nil"/>
                  </w:tcBorders>
                  <w:noWrap/>
                  <w:vAlign w:val="center"/>
                  <w:hideMark/>
                </w:tcPr>
                <w:p w14:paraId="63891630"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0,6</w:t>
                  </w:r>
                </w:p>
              </w:tc>
              <w:tc>
                <w:tcPr>
                  <w:tcW w:w="697" w:type="dxa"/>
                  <w:tcBorders>
                    <w:top w:val="nil"/>
                    <w:left w:val="nil"/>
                    <w:bottom w:val="nil"/>
                    <w:right w:val="nil"/>
                  </w:tcBorders>
                  <w:noWrap/>
                  <w:vAlign w:val="center"/>
                  <w:hideMark/>
                </w:tcPr>
                <w:p w14:paraId="1D2527C6"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1,7</w:t>
                  </w:r>
                </w:p>
              </w:tc>
              <w:tc>
                <w:tcPr>
                  <w:tcW w:w="696" w:type="dxa"/>
                  <w:tcBorders>
                    <w:top w:val="nil"/>
                    <w:left w:val="nil"/>
                    <w:bottom w:val="nil"/>
                    <w:right w:val="nil"/>
                  </w:tcBorders>
                  <w:noWrap/>
                  <w:vAlign w:val="center"/>
                  <w:hideMark/>
                </w:tcPr>
                <w:p w14:paraId="3573A5D5"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1,0</w:t>
                  </w:r>
                </w:p>
              </w:tc>
              <w:tc>
                <w:tcPr>
                  <w:tcW w:w="697" w:type="dxa"/>
                  <w:tcBorders>
                    <w:top w:val="nil"/>
                    <w:left w:val="nil"/>
                    <w:bottom w:val="nil"/>
                    <w:right w:val="nil"/>
                  </w:tcBorders>
                  <w:noWrap/>
                  <w:vAlign w:val="center"/>
                  <w:hideMark/>
                </w:tcPr>
                <w:p w14:paraId="30AD9A1F"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2,2</w:t>
                  </w:r>
                </w:p>
              </w:tc>
              <w:tc>
                <w:tcPr>
                  <w:tcW w:w="332" w:type="dxa"/>
                  <w:tcBorders>
                    <w:top w:val="nil"/>
                    <w:left w:val="nil"/>
                    <w:bottom w:val="nil"/>
                    <w:right w:val="nil"/>
                  </w:tcBorders>
                  <w:noWrap/>
                  <w:vAlign w:val="center"/>
                  <w:hideMark/>
                </w:tcPr>
                <w:p w14:paraId="0EFE6484"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center"/>
                  <w:hideMark/>
                </w:tcPr>
                <w:p w14:paraId="5062D9D8"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0,4</w:t>
                  </w:r>
                </w:p>
              </w:tc>
              <w:tc>
                <w:tcPr>
                  <w:tcW w:w="696" w:type="dxa"/>
                  <w:tcBorders>
                    <w:top w:val="nil"/>
                    <w:left w:val="nil"/>
                    <w:bottom w:val="nil"/>
                    <w:right w:val="nil"/>
                  </w:tcBorders>
                  <w:noWrap/>
                  <w:vAlign w:val="center"/>
                  <w:hideMark/>
                </w:tcPr>
                <w:p w14:paraId="7B4C0EA7"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0,7</w:t>
                  </w:r>
                </w:p>
              </w:tc>
              <w:tc>
                <w:tcPr>
                  <w:tcW w:w="696" w:type="dxa"/>
                  <w:tcBorders>
                    <w:top w:val="nil"/>
                    <w:left w:val="nil"/>
                    <w:bottom w:val="nil"/>
                    <w:right w:val="nil"/>
                  </w:tcBorders>
                  <w:noWrap/>
                  <w:vAlign w:val="center"/>
                  <w:hideMark/>
                </w:tcPr>
                <w:p w14:paraId="2FDB1F0B"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0,1</w:t>
                  </w:r>
                </w:p>
              </w:tc>
              <w:tc>
                <w:tcPr>
                  <w:tcW w:w="696" w:type="dxa"/>
                  <w:tcBorders>
                    <w:top w:val="nil"/>
                    <w:left w:val="nil"/>
                    <w:bottom w:val="nil"/>
                    <w:right w:val="nil"/>
                  </w:tcBorders>
                  <w:noWrap/>
                  <w:vAlign w:val="center"/>
                  <w:hideMark/>
                </w:tcPr>
                <w:p w14:paraId="0442C4F0"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0,9</w:t>
                  </w:r>
                </w:p>
              </w:tc>
            </w:tr>
            <w:tr w:rsidR="006B1AFC" w:rsidRPr="007D79D3" w14:paraId="7AF8FA3E" w14:textId="77777777" w:rsidTr="003C4A79">
              <w:trPr>
                <w:trHeight w:val="255"/>
              </w:trPr>
              <w:tc>
                <w:tcPr>
                  <w:tcW w:w="3701" w:type="dxa"/>
                  <w:tcBorders>
                    <w:top w:val="nil"/>
                    <w:left w:val="nil"/>
                    <w:bottom w:val="nil"/>
                    <w:right w:val="nil"/>
                  </w:tcBorders>
                  <w:noWrap/>
                  <w:vAlign w:val="center"/>
                  <w:hideMark/>
                </w:tcPr>
                <w:p w14:paraId="137519D7" w14:textId="77777777" w:rsidR="006B1AFC" w:rsidRPr="007D79D3" w:rsidRDefault="006B1AFC" w:rsidP="003C4A79">
                  <w:pPr>
                    <w:spacing w:after="0" w:line="240" w:lineRule="auto"/>
                    <w:ind w:firstLineChars="140" w:firstLine="224"/>
                    <w:jc w:val="left"/>
                    <w:rPr>
                      <w:rFonts w:cs="Arial"/>
                      <w:color w:val="000000"/>
                      <w:sz w:val="16"/>
                      <w:szCs w:val="16"/>
                      <w:lang w:eastAsia="ko-KR"/>
                    </w:rPr>
                  </w:pPr>
                  <w:r w:rsidRPr="007D79D3">
                    <w:rPr>
                      <w:rFonts w:cs="Arial"/>
                      <w:color w:val="000000"/>
                      <w:sz w:val="16"/>
                      <w:szCs w:val="16"/>
                      <w:lang w:eastAsia="ko-KR"/>
                    </w:rPr>
                    <w:t>Opravy, údržba a instalace strojů a zařízení</w:t>
                  </w:r>
                </w:p>
              </w:tc>
              <w:tc>
                <w:tcPr>
                  <w:tcW w:w="696" w:type="dxa"/>
                  <w:tcBorders>
                    <w:top w:val="nil"/>
                    <w:left w:val="nil"/>
                    <w:bottom w:val="nil"/>
                    <w:right w:val="nil"/>
                  </w:tcBorders>
                  <w:noWrap/>
                  <w:vAlign w:val="center"/>
                  <w:hideMark/>
                </w:tcPr>
                <w:p w14:paraId="0E6CFF76"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4,0</w:t>
                  </w:r>
                </w:p>
              </w:tc>
              <w:tc>
                <w:tcPr>
                  <w:tcW w:w="697" w:type="dxa"/>
                  <w:tcBorders>
                    <w:top w:val="nil"/>
                    <w:left w:val="nil"/>
                    <w:bottom w:val="nil"/>
                    <w:right w:val="nil"/>
                  </w:tcBorders>
                  <w:noWrap/>
                  <w:vAlign w:val="center"/>
                  <w:hideMark/>
                </w:tcPr>
                <w:p w14:paraId="069107BF"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3,9</w:t>
                  </w:r>
                </w:p>
              </w:tc>
              <w:tc>
                <w:tcPr>
                  <w:tcW w:w="696" w:type="dxa"/>
                  <w:tcBorders>
                    <w:top w:val="nil"/>
                    <w:left w:val="nil"/>
                    <w:bottom w:val="nil"/>
                    <w:right w:val="nil"/>
                  </w:tcBorders>
                  <w:noWrap/>
                  <w:vAlign w:val="center"/>
                  <w:hideMark/>
                </w:tcPr>
                <w:p w14:paraId="04E2CE82"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3,9</w:t>
                  </w:r>
                </w:p>
              </w:tc>
              <w:tc>
                <w:tcPr>
                  <w:tcW w:w="697" w:type="dxa"/>
                  <w:tcBorders>
                    <w:top w:val="nil"/>
                    <w:left w:val="nil"/>
                    <w:bottom w:val="nil"/>
                    <w:right w:val="nil"/>
                  </w:tcBorders>
                  <w:noWrap/>
                  <w:vAlign w:val="center"/>
                  <w:hideMark/>
                </w:tcPr>
                <w:p w14:paraId="0C18F379"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4,0</w:t>
                  </w:r>
                </w:p>
              </w:tc>
              <w:tc>
                <w:tcPr>
                  <w:tcW w:w="332" w:type="dxa"/>
                  <w:tcBorders>
                    <w:top w:val="nil"/>
                    <w:left w:val="nil"/>
                    <w:bottom w:val="nil"/>
                    <w:right w:val="nil"/>
                  </w:tcBorders>
                  <w:noWrap/>
                  <w:vAlign w:val="center"/>
                  <w:hideMark/>
                </w:tcPr>
                <w:p w14:paraId="34411CCF"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center"/>
                  <w:hideMark/>
                </w:tcPr>
                <w:p w14:paraId="40FAFF5A"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0,4</w:t>
                  </w:r>
                </w:p>
              </w:tc>
              <w:tc>
                <w:tcPr>
                  <w:tcW w:w="696" w:type="dxa"/>
                  <w:tcBorders>
                    <w:top w:val="nil"/>
                    <w:left w:val="nil"/>
                    <w:bottom w:val="nil"/>
                    <w:right w:val="nil"/>
                  </w:tcBorders>
                  <w:noWrap/>
                  <w:vAlign w:val="center"/>
                  <w:hideMark/>
                </w:tcPr>
                <w:p w14:paraId="7822E47A"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0,1</w:t>
                  </w:r>
                </w:p>
              </w:tc>
              <w:tc>
                <w:tcPr>
                  <w:tcW w:w="696" w:type="dxa"/>
                  <w:tcBorders>
                    <w:top w:val="nil"/>
                    <w:left w:val="nil"/>
                    <w:bottom w:val="nil"/>
                    <w:right w:val="nil"/>
                  </w:tcBorders>
                  <w:noWrap/>
                  <w:vAlign w:val="center"/>
                  <w:hideMark/>
                </w:tcPr>
                <w:p w14:paraId="6DA412C8"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2,5</w:t>
                  </w:r>
                </w:p>
              </w:tc>
              <w:tc>
                <w:tcPr>
                  <w:tcW w:w="696" w:type="dxa"/>
                  <w:tcBorders>
                    <w:top w:val="nil"/>
                    <w:left w:val="nil"/>
                    <w:bottom w:val="nil"/>
                    <w:right w:val="nil"/>
                  </w:tcBorders>
                  <w:noWrap/>
                  <w:vAlign w:val="center"/>
                  <w:hideMark/>
                </w:tcPr>
                <w:p w14:paraId="4A71633D"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1,0</w:t>
                  </w:r>
                </w:p>
              </w:tc>
            </w:tr>
            <w:tr w:rsidR="006B1AFC" w:rsidRPr="007D79D3" w14:paraId="6EEAF88F" w14:textId="77777777" w:rsidTr="003C4A79">
              <w:trPr>
                <w:trHeight w:val="255"/>
              </w:trPr>
              <w:tc>
                <w:tcPr>
                  <w:tcW w:w="3701" w:type="dxa"/>
                  <w:tcBorders>
                    <w:top w:val="nil"/>
                    <w:left w:val="nil"/>
                    <w:bottom w:val="nil"/>
                    <w:right w:val="nil"/>
                  </w:tcBorders>
                  <w:noWrap/>
                  <w:vAlign w:val="center"/>
                  <w:hideMark/>
                </w:tcPr>
                <w:p w14:paraId="3CA5099F" w14:textId="77777777" w:rsidR="006B1AFC" w:rsidRPr="007D79D3" w:rsidRDefault="006B1AFC" w:rsidP="003C4A79">
                  <w:pPr>
                    <w:spacing w:after="0" w:line="240" w:lineRule="auto"/>
                    <w:jc w:val="left"/>
                    <w:rPr>
                      <w:rFonts w:cs="Arial"/>
                      <w:color w:val="000000"/>
                      <w:sz w:val="16"/>
                      <w:szCs w:val="16"/>
                      <w:lang w:eastAsia="ko-KR"/>
                    </w:rPr>
                  </w:pPr>
                  <w:r w:rsidRPr="007D79D3">
                    <w:rPr>
                      <w:rFonts w:cs="Arial"/>
                      <w:color w:val="000000"/>
                      <w:sz w:val="16"/>
                      <w:szCs w:val="16"/>
                      <w:lang w:eastAsia="ko-KR"/>
                    </w:rPr>
                    <w:t>ELEKTŘINA, PLYN, PÁRA A KLIM. VZDUCH</w:t>
                  </w:r>
                </w:p>
              </w:tc>
              <w:tc>
                <w:tcPr>
                  <w:tcW w:w="696" w:type="dxa"/>
                  <w:tcBorders>
                    <w:top w:val="nil"/>
                    <w:left w:val="nil"/>
                    <w:bottom w:val="nil"/>
                    <w:right w:val="nil"/>
                  </w:tcBorders>
                  <w:noWrap/>
                  <w:vAlign w:val="center"/>
                  <w:hideMark/>
                </w:tcPr>
                <w:p w14:paraId="226EDE39"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3,2</w:t>
                  </w:r>
                </w:p>
              </w:tc>
              <w:tc>
                <w:tcPr>
                  <w:tcW w:w="697" w:type="dxa"/>
                  <w:tcBorders>
                    <w:top w:val="nil"/>
                    <w:left w:val="nil"/>
                    <w:bottom w:val="nil"/>
                    <w:right w:val="nil"/>
                  </w:tcBorders>
                  <w:noWrap/>
                  <w:vAlign w:val="center"/>
                  <w:hideMark/>
                </w:tcPr>
                <w:p w14:paraId="124FF2CC"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3,8</w:t>
                  </w:r>
                </w:p>
              </w:tc>
              <w:tc>
                <w:tcPr>
                  <w:tcW w:w="696" w:type="dxa"/>
                  <w:tcBorders>
                    <w:top w:val="nil"/>
                    <w:left w:val="nil"/>
                    <w:bottom w:val="nil"/>
                    <w:right w:val="nil"/>
                  </w:tcBorders>
                  <w:noWrap/>
                  <w:vAlign w:val="center"/>
                  <w:hideMark/>
                </w:tcPr>
                <w:p w14:paraId="20223788"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7,9</w:t>
                  </w:r>
                </w:p>
              </w:tc>
              <w:tc>
                <w:tcPr>
                  <w:tcW w:w="697" w:type="dxa"/>
                  <w:tcBorders>
                    <w:top w:val="nil"/>
                    <w:left w:val="nil"/>
                    <w:bottom w:val="nil"/>
                    <w:right w:val="nil"/>
                  </w:tcBorders>
                  <w:noWrap/>
                  <w:vAlign w:val="center"/>
                  <w:hideMark/>
                </w:tcPr>
                <w:p w14:paraId="5BB91174"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5,6</w:t>
                  </w:r>
                </w:p>
              </w:tc>
              <w:tc>
                <w:tcPr>
                  <w:tcW w:w="332" w:type="dxa"/>
                  <w:tcBorders>
                    <w:top w:val="nil"/>
                    <w:left w:val="nil"/>
                    <w:bottom w:val="nil"/>
                    <w:right w:val="nil"/>
                  </w:tcBorders>
                  <w:noWrap/>
                  <w:vAlign w:val="center"/>
                  <w:hideMark/>
                </w:tcPr>
                <w:p w14:paraId="65DF800E"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center"/>
                  <w:hideMark/>
                </w:tcPr>
                <w:p w14:paraId="4A408F06"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0,7</w:t>
                  </w:r>
                </w:p>
              </w:tc>
              <w:tc>
                <w:tcPr>
                  <w:tcW w:w="696" w:type="dxa"/>
                  <w:tcBorders>
                    <w:top w:val="nil"/>
                    <w:left w:val="nil"/>
                    <w:bottom w:val="nil"/>
                    <w:right w:val="nil"/>
                  </w:tcBorders>
                  <w:noWrap/>
                  <w:vAlign w:val="center"/>
                  <w:hideMark/>
                </w:tcPr>
                <w:p w14:paraId="29BBAF46"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1,2</w:t>
                  </w:r>
                </w:p>
              </w:tc>
              <w:tc>
                <w:tcPr>
                  <w:tcW w:w="696" w:type="dxa"/>
                  <w:tcBorders>
                    <w:top w:val="nil"/>
                    <w:left w:val="nil"/>
                    <w:bottom w:val="nil"/>
                    <w:right w:val="nil"/>
                  </w:tcBorders>
                  <w:noWrap/>
                  <w:vAlign w:val="center"/>
                  <w:hideMark/>
                </w:tcPr>
                <w:p w14:paraId="203FDEF5"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3,5</w:t>
                  </w:r>
                </w:p>
              </w:tc>
              <w:tc>
                <w:tcPr>
                  <w:tcW w:w="696" w:type="dxa"/>
                  <w:tcBorders>
                    <w:top w:val="nil"/>
                    <w:left w:val="nil"/>
                    <w:bottom w:val="nil"/>
                    <w:right w:val="nil"/>
                  </w:tcBorders>
                  <w:noWrap/>
                  <w:vAlign w:val="center"/>
                  <w:hideMark/>
                </w:tcPr>
                <w:p w14:paraId="4D591E44" w14:textId="77777777" w:rsidR="006B1AFC" w:rsidRPr="007D79D3"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7D79D3">
                    <w:rPr>
                      <w:rFonts w:cs="Arial"/>
                      <w:color w:val="000000"/>
                      <w:sz w:val="16"/>
                      <w:szCs w:val="16"/>
                      <w:lang w:eastAsia="ko-KR"/>
                    </w:rPr>
                    <w:t>2,7</w:t>
                  </w:r>
                </w:p>
              </w:tc>
            </w:tr>
            <w:tr w:rsidR="006B1AFC" w:rsidRPr="007D79D3" w14:paraId="5F5EC1DD" w14:textId="77777777" w:rsidTr="003C4A79">
              <w:trPr>
                <w:trHeight w:val="255"/>
              </w:trPr>
              <w:tc>
                <w:tcPr>
                  <w:tcW w:w="3701" w:type="dxa"/>
                  <w:tcBorders>
                    <w:top w:val="nil"/>
                    <w:left w:val="nil"/>
                    <w:bottom w:val="nil"/>
                    <w:right w:val="nil"/>
                  </w:tcBorders>
                  <w:noWrap/>
                  <w:vAlign w:val="center"/>
                  <w:hideMark/>
                </w:tcPr>
                <w:p w14:paraId="474E6854" w14:textId="77777777" w:rsidR="006B1AFC" w:rsidRPr="007D79D3" w:rsidRDefault="006B1AFC" w:rsidP="003C4A79">
                  <w:pPr>
                    <w:spacing w:after="0" w:line="240" w:lineRule="auto"/>
                    <w:jc w:val="left"/>
                    <w:rPr>
                      <w:rFonts w:cs="Arial"/>
                      <w:color w:val="000000"/>
                      <w:sz w:val="16"/>
                      <w:szCs w:val="16"/>
                      <w:lang w:eastAsia="ko-KR"/>
                    </w:rPr>
                  </w:pPr>
                  <w:r w:rsidRPr="007D79D3">
                    <w:rPr>
                      <w:rFonts w:cs="Arial"/>
                      <w:color w:val="000000"/>
                      <w:sz w:val="16"/>
                      <w:szCs w:val="16"/>
                      <w:lang w:eastAsia="ko-KR"/>
                    </w:rPr>
                    <w:t>ZÁSOBOVÁNÍ VODOU A SOUVISEJÍCÍ SLUŽBY</w:t>
                  </w:r>
                </w:p>
              </w:tc>
              <w:tc>
                <w:tcPr>
                  <w:tcW w:w="696" w:type="dxa"/>
                  <w:tcBorders>
                    <w:top w:val="nil"/>
                    <w:left w:val="nil"/>
                    <w:bottom w:val="nil"/>
                    <w:right w:val="nil"/>
                  </w:tcBorders>
                  <w:noWrap/>
                  <w:vAlign w:val="center"/>
                  <w:hideMark/>
                </w:tcPr>
                <w:p w14:paraId="26054B63"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4,1</w:t>
                  </w:r>
                </w:p>
              </w:tc>
              <w:tc>
                <w:tcPr>
                  <w:tcW w:w="697" w:type="dxa"/>
                  <w:tcBorders>
                    <w:top w:val="nil"/>
                    <w:left w:val="nil"/>
                    <w:bottom w:val="nil"/>
                    <w:right w:val="nil"/>
                  </w:tcBorders>
                  <w:noWrap/>
                  <w:vAlign w:val="center"/>
                  <w:hideMark/>
                </w:tcPr>
                <w:p w14:paraId="3429EBE2"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4,1</w:t>
                  </w:r>
                </w:p>
              </w:tc>
              <w:tc>
                <w:tcPr>
                  <w:tcW w:w="696" w:type="dxa"/>
                  <w:tcBorders>
                    <w:top w:val="nil"/>
                    <w:left w:val="nil"/>
                    <w:bottom w:val="nil"/>
                    <w:right w:val="nil"/>
                  </w:tcBorders>
                  <w:noWrap/>
                  <w:vAlign w:val="center"/>
                  <w:hideMark/>
                </w:tcPr>
                <w:p w14:paraId="474B0B8D"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3,9</w:t>
                  </w:r>
                </w:p>
              </w:tc>
              <w:tc>
                <w:tcPr>
                  <w:tcW w:w="697" w:type="dxa"/>
                  <w:tcBorders>
                    <w:top w:val="nil"/>
                    <w:left w:val="nil"/>
                    <w:bottom w:val="nil"/>
                    <w:right w:val="nil"/>
                  </w:tcBorders>
                  <w:noWrap/>
                  <w:vAlign w:val="center"/>
                  <w:hideMark/>
                </w:tcPr>
                <w:p w14:paraId="250700E2"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3,9</w:t>
                  </w:r>
                </w:p>
              </w:tc>
              <w:tc>
                <w:tcPr>
                  <w:tcW w:w="332" w:type="dxa"/>
                  <w:tcBorders>
                    <w:top w:val="nil"/>
                    <w:left w:val="nil"/>
                    <w:bottom w:val="nil"/>
                    <w:right w:val="nil"/>
                  </w:tcBorders>
                  <w:noWrap/>
                  <w:vAlign w:val="center"/>
                  <w:hideMark/>
                </w:tcPr>
                <w:p w14:paraId="18B99DB8" w14:textId="77777777" w:rsidR="006B1AFC" w:rsidRPr="007D79D3" w:rsidRDefault="006B1AFC" w:rsidP="003C4A79">
                  <w:pPr>
                    <w:spacing w:after="0" w:line="240" w:lineRule="auto"/>
                    <w:jc w:val="right"/>
                    <w:rPr>
                      <w:rFonts w:cs="Arial"/>
                      <w:color w:val="000000"/>
                      <w:sz w:val="16"/>
                      <w:szCs w:val="16"/>
                      <w:lang w:eastAsia="ko-KR"/>
                    </w:rPr>
                  </w:pPr>
                </w:p>
              </w:tc>
              <w:tc>
                <w:tcPr>
                  <w:tcW w:w="696" w:type="dxa"/>
                  <w:tcBorders>
                    <w:top w:val="nil"/>
                    <w:left w:val="nil"/>
                    <w:bottom w:val="nil"/>
                    <w:right w:val="nil"/>
                  </w:tcBorders>
                  <w:noWrap/>
                  <w:vAlign w:val="center"/>
                  <w:hideMark/>
                </w:tcPr>
                <w:p w14:paraId="23E4577D"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0,0</w:t>
                  </w:r>
                </w:p>
              </w:tc>
              <w:tc>
                <w:tcPr>
                  <w:tcW w:w="696" w:type="dxa"/>
                  <w:tcBorders>
                    <w:top w:val="nil"/>
                    <w:left w:val="nil"/>
                    <w:bottom w:val="nil"/>
                    <w:right w:val="nil"/>
                  </w:tcBorders>
                  <w:noWrap/>
                  <w:vAlign w:val="center"/>
                  <w:hideMark/>
                </w:tcPr>
                <w:p w14:paraId="09FD205E"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0,0</w:t>
                  </w:r>
                </w:p>
              </w:tc>
              <w:tc>
                <w:tcPr>
                  <w:tcW w:w="696" w:type="dxa"/>
                  <w:tcBorders>
                    <w:top w:val="nil"/>
                    <w:left w:val="nil"/>
                    <w:bottom w:val="nil"/>
                    <w:right w:val="nil"/>
                  </w:tcBorders>
                  <w:noWrap/>
                  <w:vAlign w:val="center"/>
                  <w:hideMark/>
                </w:tcPr>
                <w:p w14:paraId="4ECF7457"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3,9</w:t>
                  </w:r>
                </w:p>
              </w:tc>
              <w:tc>
                <w:tcPr>
                  <w:tcW w:w="696" w:type="dxa"/>
                  <w:tcBorders>
                    <w:top w:val="nil"/>
                    <w:left w:val="nil"/>
                    <w:bottom w:val="nil"/>
                    <w:right w:val="nil"/>
                  </w:tcBorders>
                  <w:noWrap/>
                  <w:vAlign w:val="center"/>
                  <w:hideMark/>
                </w:tcPr>
                <w:p w14:paraId="07AEFE4F" w14:textId="77777777" w:rsidR="006B1AFC" w:rsidRPr="007D79D3" w:rsidRDefault="006B1AFC" w:rsidP="003C4A79">
                  <w:pPr>
                    <w:spacing w:after="0" w:line="240" w:lineRule="auto"/>
                    <w:jc w:val="right"/>
                    <w:rPr>
                      <w:rFonts w:cs="Arial"/>
                      <w:color w:val="000000"/>
                      <w:sz w:val="16"/>
                      <w:szCs w:val="16"/>
                      <w:lang w:eastAsia="ko-KR"/>
                    </w:rPr>
                  </w:pPr>
                  <w:r w:rsidRPr="007D79D3">
                    <w:rPr>
                      <w:rFonts w:cs="Arial"/>
                      <w:color w:val="000000"/>
                      <w:sz w:val="16"/>
                      <w:szCs w:val="16"/>
                      <w:lang w:eastAsia="ko-KR"/>
                    </w:rPr>
                    <w:t>0,0</w:t>
                  </w:r>
                </w:p>
              </w:tc>
            </w:tr>
          </w:tbl>
          <w:p w14:paraId="514018B8" w14:textId="77777777" w:rsidR="006B1AFC" w:rsidRDefault="006B1AFC" w:rsidP="003C4A79">
            <w:pPr>
              <w:spacing w:after="120"/>
              <w:rPr>
                <w:rStyle w:val="Znakapoznpodarou"/>
                <w:lang w:eastAsia="en-US"/>
              </w:rPr>
            </w:pPr>
          </w:p>
        </w:tc>
      </w:tr>
      <w:tr w:rsidR="006B1AFC" w14:paraId="049DAEF6" w14:textId="77777777" w:rsidTr="003C4A79">
        <w:trPr>
          <w:trHeight w:val="145"/>
        </w:trPr>
        <w:tc>
          <w:tcPr>
            <w:tcW w:w="9654" w:type="dxa"/>
            <w:gridSpan w:val="3"/>
          </w:tcPr>
          <w:p w14:paraId="00D19DC1" w14:textId="77777777" w:rsidR="006B1AFC" w:rsidRPr="00030560" w:rsidRDefault="006B1AFC" w:rsidP="003C4A79">
            <w:pPr>
              <w:spacing w:before="120"/>
              <w:rPr>
                <w:rStyle w:val="Znakapoznpodarou"/>
                <w:sz w:val="16"/>
                <w:szCs w:val="16"/>
                <w:lang w:eastAsia="en-US"/>
              </w:rPr>
            </w:pPr>
            <w:r w:rsidRPr="00030560">
              <w:rPr>
                <w:sz w:val="16"/>
                <w:szCs w:val="16"/>
                <w:lang w:eastAsia="en-US"/>
              </w:rPr>
              <w:t>Zdroj: ČSÚ</w:t>
            </w:r>
          </w:p>
        </w:tc>
      </w:tr>
      <w:tr w:rsidR="006B1AFC" w14:paraId="25FAC2F7" w14:textId="77777777" w:rsidTr="003C4A79">
        <w:trPr>
          <w:trHeight w:val="145"/>
        </w:trPr>
        <w:tc>
          <w:tcPr>
            <w:tcW w:w="1812" w:type="dxa"/>
          </w:tcPr>
          <w:p w14:paraId="304DCF89" w14:textId="77777777" w:rsidR="006B1AFC" w:rsidRDefault="006B1AFC" w:rsidP="003C4A79">
            <w:pPr>
              <w:pStyle w:val="Marginlie"/>
              <w:rPr>
                <w:spacing w:val="0"/>
                <w:lang w:eastAsia="en-US"/>
              </w:rPr>
            </w:pPr>
            <w:r>
              <w:rPr>
                <w:spacing w:val="0"/>
                <w:lang w:eastAsia="en-US"/>
              </w:rPr>
              <w:t>Ceny ropy zásadně ovlivnily vývoj cen ve zpracovatelském průmyslu.</w:t>
            </w:r>
          </w:p>
        </w:tc>
        <w:tc>
          <w:tcPr>
            <w:tcW w:w="213" w:type="dxa"/>
          </w:tcPr>
          <w:p w14:paraId="341F9AA3" w14:textId="77777777" w:rsidR="006B1AFC" w:rsidRDefault="006B1AFC" w:rsidP="003C4A79">
            <w:pPr>
              <w:pStyle w:val="Textpoznpodarou1"/>
              <w:jc w:val="both"/>
              <w:rPr>
                <w:lang w:eastAsia="en-US"/>
              </w:rPr>
            </w:pPr>
          </w:p>
        </w:tc>
        <w:tc>
          <w:tcPr>
            <w:tcW w:w="7629" w:type="dxa"/>
          </w:tcPr>
          <w:p w14:paraId="3B7C2DED" w14:textId="77777777" w:rsidR="006B1AFC" w:rsidRDefault="006B1AFC" w:rsidP="008D17C7">
            <w:pPr>
              <w:spacing w:after="0"/>
              <w:rPr>
                <w:lang w:eastAsia="en-US"/>
              </w:rPr>
            </w:pPr>
            <w:r>
              <w:rPr>
                <w:lang w:eastAsia="en-US"/>
              </w:rPr>
              <w:t>Ceny výrobků a služeb zpracovatelského průmyslu díky poměrně výraznému mezičtvrtletnímu přírůstku ve 2. čtvrtletí začaly opět růst i meziročně. Zrychlení dynamiky ale bylo ovlivněno především několika oddíly, u kterých je cenový vývoj provázaný s cenami ropy. Silně rostly ceny koksu a rafinovaných ropných výrobků</w:t>
            </w:r>
            <w:r>
              <w:rPr>
                <w:rStyle w:val="Znakapoznpodarou"/>
                <w:lang w:eastAsia="en-US"/>
              </w:rPr>
              <w:footnoteReference w:id="71"/>
            </w:r>
            <w:r>
              <w:rPr>
                <w:lang w:eastAsia="en-US"/>
              </w:rPr>
              <w:t>. Na dvouciferná tempa zrychlil meziroční i mezičtvrtletní růst cen chemických látek a přípravků, znatelně posílila dynamika cen pryžových a plastových výrobků, ostatních nekovových minerálních výrobků (zahrnují různé stavební hmoty, například asfalty, zdražovaly ale také cement, vápno a sádra a výrobky z nich) a základních kovů. Mezi oddíly, kde ve 2. čtvrtletí výrazně (zejména mezičtvrtletně) posílily ceny, patřily také dřevo a dřevěné a korkové výrobky, tiskařské a nahrávací služby, elektrická zařízení, základní farmaceutické výrobky a přípravky nebo kovodělné výrobky. Ve významné části průmyslové produkce ale cenový vývoj spíše stagnoval. Platilo to pro výrobu motorových vozidel a dílů, ostatní dopravní prostředky a zařízení nebo stroje a zařízení. Pokles cen byl zachycen u menšiny oddílů. Po krátkodobém výkyvu z 1. kvartálu se opět snižovaly ceny počítačů, elektronických a optických přístrojů a zařízení a na dva předchozí propady mírnějším poklesem navázaly také potravinářské výrobky.</w:t>
            </w:r>
          </w:p>
        </w:tc>
      </w:tr>
      <w:tr w:rsidR="006B1AFC" w14:paraId="3DCF1742" w14:textId="77777777" w:rsidTr="003C4A79">
        <w:trPr>
          <w:trHeight w:val="145"/>
        </w:trPr>
        <w:tc>
          <w:tcPr>
            <w:tcW w:w="1812" w:type="dxa"/>
            <w:hideMark/>
          </w:tcPr>
          <w:p w14:paraId="20164211" w14:textId="77777777" w:rsidR="006B1AFC" w:rsidRDefault="006B1AFC" w:rsidP="003C4A79">
            <w:pPr>
              <w:pStyle w:val="Marginlie"/>
              <w:rPr>
                <w:spacing w:val="0"/>
                <w:lang w:eastAsia="en-US"/>
              </w:rPr>
            </w:pPr>
            <w:r>
              <w:rPr>
                <w:spacing w:val="0"/>
                <w:lang w:eastAsia="en-US"/>
              </w:rPr>
              <w:lastRenderedPageBreak/>
              <w:t xml:space="preserve">Ceny průmyslových výrobců v EU vzrostly. </w:t>
            </w:r>
          </w:p>
        </w:tc>
        <w:tc>
          <w:tcPr>
            <w:tcW w:w="213" w:type="dxa"/>
          </w:tcPr>
          <w:p w14:paraId="10F152D5" w14:textId="77777777" w:rsidR="006B1AFC" w:rsidRDefault="006B1AFC" w:rsidP="003C4A79">
            <w:pPr>
              <w:pStyle w:val="Textpoznpodarou1"/>
              <w:jc w:val="both"/>
              <w:rPr>
                <w:lang w:eastAsia="en-US"/>
              </w:rPr>
            </w:pPr>
          </w:p>
        </w:tc>
        <w:tc>
          <w:tcPr>
            <w:tcW w:w="7629" w:type="dxa"/>
            <w:hideMark/>
          </w:tcPr>
          <w:p w14:paraId="150361E4" w14:textId="77777777" w:rsidR="006B1AFC" w:rsidRDefault="006B1AFC" w:rsidP="003C4A79">
            <w:pPr>
              <w:rPr>
                <w:lang w:eastAsia="en-US"/>
              </w:rPr>
            </w:pPr>
            <w:r>
              <w:rPr>
                <w:lang w:eastAsia="en-US"/>
              </w:rPr>
              <w:t>Ceny průmyslových výrobců v EU</w:t>
            </w:r>
            <w:r>
              <w:rPr>
                <w:rStyle w:val="Znakapoznpodarou"/>
                <w:lang w:eastAsia="en-US"/>
              </w:rPr>
              <w:footnoteReference w:id="72"/>
            </w:r>
            <w:r>
              <w:rPr>
                <w:lang w:eastAsia="en-US"/>
              </w:rPr>
              <w:t xml:space="preserve"> ve 2. čtvrtletí vzrostly mezičtvrtletně o 2,7 % a meziročně o 5,1 %. Přírůstek výrazně posílil ve srovnání s předchozím kvartálem, do kterého už zasáhla krize na Blízkém východě a související zdražení ropy a zemního plynu. Posiloval růst cen těžby a dobývání (5,4 % mezičtvrtletně a 8,0 % meziročně) i výrobků a služeb zpracovatelského průmyslu (3,8 % mezičtvrtletně a 5,5 % meziročně). Kromě navýšení cen </w:t>
            </w:r>
            <w:r w:rsidRPr="009F7D77">
              <w:rPr>
                <w:lang w:eastAsia="en-US"/>
              </w:rPr>
              <w:t xml:space="preserve">těžby ropy a </w:t>
            </w:r>
            <w:r>
              <w:rPr>
                <w:lang w:eastAsia="en-US"/>
              </w:rPr>
              <w:t xml:space="preserve">bezprostředně související </w:t>
            </w:r>
            <w:r w:rsidRPr="009F7D77">
              <w:rPr>
                <w:lang w:eastAsia="en-US"/>
              </w:rPr>
              <w:t xml:space="preserve">výroby koksu a rafinovaných ropných produktů </w:t>
            </w:r>
            <w:r>
              <w:rPr>
                <w:lang w:eastAsia="en-US"/>
              </w:rPr>
              <w:t xml:space="preserve">se nákladový šok projevil také na mezičtvrtletním přírůstku cen </w:t>
            </w:r>
            <w:r w:rsidRPr="009F7D77">
              <w:rPr>
                <w:lang w:eastAsia="en-US"/>
              </w:rPr>
              <w:t xml:space="preserve">chemických látek a produktů </w:t>
            </w:r>
            <w:r>
              <w:rPr>
                <w:lang w:eastAsia="en-US"/>
              </w:rPr>
              <w:t>a</w:t>
            </w:r>
            <w:r w:rsidRPr="009F7D77">
              <w:rPr>
                <w:lang w:eastAsia="en-US"/>
              </w:rPr>
              <w:t xml:space="preserve"> rovněž </w:t>
            </w:r>
            <w:r>
              <w:rPr>
                <w:lang w:eastAsia="en-US"/>
              </w:rPr>
              <w:t>u</w:t>
            </w:r>
            <w:r w:rsidRPr="009F7D77">
              <w:rPr>
                <w:lang w:eastAsia="en-US"/>
              </w:rPr>
              <w:t xml:space="preserve"> výroby gumových a plastových výrobků</w:t>
            </w:r>
            <w:r>
              <w:rPr>
                <w:lang w:eastAsia="en-US"/>
              </w:rPr>
              <w:t xml:space="preserve">. Naopak u cen elektřiny, plynu, páry a klimatizovaného vzduchu se ceny mezičtvrtletně snížily o 1,6 % a meziročně byly vyšší o 4,1 %. Ve většině zemí EU ve 2. čtvrtletí ceny průmyslových výrobců mezičtvrtletně vzrostly. Výjimkou byly Estonsko, Lotyšsko, Francie, Bulharsko, Švédsko, Finsko a Lucembursko. Česko bylo s přírůstkem o 2,2 % v mírném podprůměru EU.    </w:t>
            </w:r>
          </w:p>
        </w:tc>
      </w:tr>
      <w:tr w:rsidR="006B1AFC" w14:paraId="65388D73" w14:textId="77777777" w:rsidTr="003C4A79">
        <w:trPr>
          <w:trHeight w:val="145"/>
        </w:trPr>
        <w:tc>
          <w:tcPr>
            <w:tcW w:w="1812" w:type="dxa"/>
            <w:hideMark/>
          </w:tcPr>
          <w:p w14:paraId="4CBC17FE" w14:textId="77777777" w:rsidR="006B1AFC" w:rsidRDefault="006B1AFC" w:rsidP="003C4A79">
            <w:pPr>
              <w:pStyle w:val="Marginlie"/>
              <w:rPr>
                <w:spacing w:val="0"/>
                <w:lang w:eastAsia="en-US"/>
              </w:rPr>
            </w:pPr>
            <w:r>
              <w:rPr>
                <w:spacing w:val="0"/>
                <w:lang w:eastAsia="en-US"/>
              </w:rPr>
              <w:t>Zrychlil růst cen materiálových vstupů do stavebnictví.</w:t>
            </w:r>
          </w:p>
        </w:tc>
        <w:tc>
          <w:tcPr>
            <w:tcW w:w="213" w:type="dxa"/>
          </w:tcPr>
          <w:p w14:paraId="66F13D05" w14:textId="77777777" w:rsidR="006B1AFC" w:rsidRDefault="006B1AFC" w:rsidP="003C4A79">
            <w:pPr>
              <w:pStyle w:val="Textpoznpodarou1"/>
              <w:jc w:val="both"/>
              <w:rPr>
                <w:lang w:eastAsia="en-US"/>
              </w:rPr>
            </w:pPr>
          </w:p>
        </w:tc>
        <w:tc>
          <w:tcPr>
            <w:tcW w:w="7629" w:type="dxa"/>
            <w:hideMark/>
          </w:tcPr>
          <w:p w14:paraId="4FBEC92C" w14:textId="77777777" w:rsidR="006B1AFC" w:rsidRPr="00F64F3B" w:rsidRDefault="006B1AFC" w:rsidP="003C4A79">
            <w:pPr>
              <w:rPr>
                <w:lang w:eastAsia="en-US"/>
              </w:rPr>
            </w:pPr>
            <w:r>
              <w:rPr>
                <w:lang w:eastAsia="en-US"/>
              </w:rPr>
              <w:t xml:space="preserve">Zdražení některých stavebních materiálů související s krizí na Blízkém východě se projevilo výrazným zrychlením mezičtvrtletního nárůstu </w:t>
            </w:r>
            <w:r w:rsidRPr="00F64F3B">
              <w:rPr>
                <w:lang w:eastAsia="en-US"/>
              </w:rPr>
              <w:t>cen materiálů a výrobků spotřebovávaných ve stavebnictví</w:t>
            </w:r>
            <w:r>
              <w:rPr>
                <w:lang w:eastAsia="en-US"/>
              </w:rPr>
              <w:t xml:space="preserve">, který ve 2. čtvrtletí dle odhadů dosáhl </w:t>
            </w:r>
            <w:r w:rsidRPr="00F64F3B">
              <w:rPr>
                <w:lang w:eastAsia="en-US"/>
              </w:rPr>
              <w:t>4,2</w:t>
            </w:r>
            <w:r>
              <w:rPr>
                <w:lang w:eastAsia="en-US"/>
              </w:rPr>
              <w:t> %. Meziroční přírůstek se pak zvýšil na 5,9 %. Dynamika c</w:t>
            </w:r>
            <w:r w:rsidRPr="00F64F3B">
              <w:rPr>
                <w:lang w:eastAsia="en-US"/>
              </w:rPr>
              <w:t xml:space="preserve">en stavebních prací </w:t>
            </w:r>
            <w:r>
              <w:rPr>
                <w:lang w:eastAsia="en-US"/>
              </w:rPr>
              <w:t xml:space="preserve">oproti tomu zůstala celkem stabilní – </w:t>
            </w:r>
            <w:r w:rsidRPr="00F64F3B">
              <w:rPr>
                <w:lang w:eastAsia="en-US"/>
              </w:rPr>
              <w:t>dle odhadů</w:t>
            </w:r>
            <w:r>
              <w:rPr>
                <w:lang w:eastAsia="en-US"/>
              </w:rPr>
              <w:t xml:space="preserve"> byly ceny</w:t>
            </w:r>
            <w:r w:rsidRPr="00F64F3B">
              <w:rPr>
                <w:lang w:eastAsia="en-US"/>
              </w:rPr>
              <w:t xml:space="preserve"> ve 2. čtvrtletí </w:t>
            </w:r>
            <w:r>
              <w:rPr>
                <w:lang w:eastAsia="en-US"/>
              </w:rPr>
              <w:t>proti</w:t>
            </w:r>
            <w:r w:rsidRPr="00F64F3B">
              <w:rPr>
                <w:lang w:eastAsia="en-US"/>
              </w:rPr>
              <w:t xml:space="preserve"> zpřesněnému 1.</w:t>
            </w:r>
            <w:r>
              <w:rPr>
                <w:lang w:eastAsia="en-US"/>
              </w:rPr>
              <w:t> </w:t>
            </w:r>
            <w:r w:rsidRPr="00F64F3B">
              <w:rPr>
                <w:lang w:eastAsia="en-US"/>
              </w:rPr>
              <w:t>čtvrtletí vyšší o 1,0</w:t>
            </w:r>
            <w:r>
              <w:rPr>
                <w:lang w:eastAsia="en-US"/>
              </w:rPr>
              <w:t xml:space="preserve"> % a meziročně vzrostly o 3,6 %. </w:t>
            </w:r>
          </w:p>
        </w:tc>
      </w:tr>
      <w:tr w:rsidR="006B1AFC" w14:paraId="58DA4765" w14:textId="77777777" w:rsidTr="003C4A79">
        <w:trPr>
          <w:trHeight w:val="145"/>
        </w:trPr>
        <w:tc>
          <w:tcPr>
            <w:tcW w:w="1812" w:type="dxa"/>
            <w:hideMark/>
          </w:tcPr>
          <w:p w14:paraId="45976745" w14:textId="77777777" w:rsidR="006B1AFC" w:rsidRDefault="006B1AFC" w:rsidP="003C4A79">
            <w:pPr>
              <w:pStyle w:val="Marginlie"/>
              <w:rPr>
                <w:spacing w:val="0"/>
                <w:lang w:eastAsia="en-US"/>
              </w:rPr>
            </w:pPr>
            <w:r>
              <w:rPr>
                <w:spacing w:val="0"/>
                <w:lang w:eastAsia="en-US"/>
              </w:rPr>
              <w:t>Reklamní služby výrazně ovlivňovaly celkový růst cen tržních služeb.</w:t>
            </w:r>
          </w:p>
        </w:tc>
        <w:tc>
          <w:tcPr>
            <w:tcW w:w="213" w:type="dxa"/>
          </w:tcPr>
          <w:p w14:paraId="5C618A85" w14:textId="77777777" w:rsidR="006B1AFC" w:rsidRDefault="006B1AFC" w:rsidP="003C4A79">
            <w:pPr>
              <w:pStyle w:val="Textpoznpodarou1"/>
              <w:jc w:val="both"/>
              <w:rPr>
                <w:lang w:eastAsia="en-US"/>
              </w:rPr>
            </w:pPr>
          </w:p>
        </w:tc>
        <w:tc>
          <w:tcPr>
            <w:tcW w:w="7629" w:type="dxa"/>
            <w:hideMark/>
          </w:tcPr>
          <w:p w14:paraId="250C02F5" w14:textId="77777777" w:rsidR="006B1AFC" w:rsidRDefault="006B1AFC" w:rsidP="003C4A79">
            <w:pPr>
              <w:rPr>
                <w:lang w:eastAsia="en-US"/>
              </w:rPr>
            </w:pPr>
            <w:r>
              <w:rPr>
                <w:lang w:eastAsia="en-US"/>
              </w:rPr>
              <w:t xml:space="preserve">Navzdory poměrně silnému mezičtvrtletnímu nárůstu o 1,9 % meziroční navýšení cen tržních služeb opět oslabilo, a to na 3,1 %. Výrazný mezičtvrtletní nárůst cen byl ovlivněn především prudkým zvýšením cen reklamních služeb a průzkumu trhu (17,7 %). Meziroční dynamika cen oslabovala u velké části služeb, největší dopady na celkový index pak měl přechod z růstu do poklesu u architektonických a inženýrských služeb, technických zkoušek a analýz (−2,2 %). Vliv mělo i zpomalení u reklamních služeb a průzkumu trhu (15,7 %), cen skladování a podpůrných služeb v dopravě (1,3 %), služeb v oblasti programování a souvisejícího poradenství (2,5 %) a tvorby programů a vysílání (7,5 %). Naopak ve směru zrychlení meziročního růstu cen tržních služeb ve 2. čtvrtletí působily ceny pozemní a potrubní dopravy (1,6 %) a telekomunikačních služeb (2,1 %). Kromě zmíněných silně meziročně rostly také ceny služeb v oblasti zaměstnání (8,3 %), bezpečnostních a pátracích služeb (6,2 %) a informačních služeb (5,3 %). </w:t>
            </w:r>
          </w:p>
        </w:tc>
      </w:tr>
      <w:tr w:rsidR="006B1AFC" w14:paraId="00FBC180" w14:textId="77777777" w:rsidTr="003C4A79">
        <w:trPr>
          <w:trHeight w:val="170"/>
        </w:trPr>
        <w:tc>
          <w:tcPr>
            <w:tcW w:w="9654" w:type="dxa"/>
            <w:gridSpan w:val="3"/>
          </w:tcPr>
          <w:p w14:paraId="48F1D817" w14:textId="77777777" w:rsidR="006B1AFC" w:rsidRDefault="006B1AFC" w:rsidP="003C4A79">
            <w:pPr>
              <w:spacing w:after="0"/>
              <w:rPr>
                <w:lang w:eastAsia="en-US"/>
              </w:rPr>
            </w:pPr>
            <w:r w:rsidRPr="00532E08">
              <w:rPr>
                <w:b/>
                <w:bCs/>
                <w:lang w:eastAsia="en-US"/>
              </w:rPr>
              <w:t xml:space="preserve">Tabulka </w:t>
            </w:r>
            <w:r>
              <w:rPr>
                <w:b/>
                <w:bCs/>
                <w:lang w:eastAsia="en-US"/>
              </w:rPr>
              <w:t>č. 11</w:t>
            </w:r>
            <w:r w:rsidRPr="00532E08">
              <w:rPr>
                <w:b/>
                <w:bCs/>
                <w:lang w:eastAsia="en-US"/>
              </w:rPr>
              <w:t xml:space="preserve"> Vývoj cen zemědělských výrobců (meziročně v %)</w:t>
            </w:r>
          </w:p>
        </w:tc>
      </w:tr>
      <w:tr w:rsidR="006B1AFC" w14:paraId="7764C293" w14:textId="77777777" w:rsidTr="003C4A79">
        <w:trPr>
          <w:trHeight w:val="170"/>
        </w:trPr>
        <w:tc>
          <w:tcPr>
            <w:tcW w:w="9654" w:type="dxa"/>
            <w:gridSpan w:val="3"/>
          </w:tcPr>
          <w:tbl>
            <w:tblPr>
              <w:tblW w:w="9480" w:type="dxa"/>
              <w:tblLayout w:type="fixed"/>
              <w:tblCellMar>
                <w:left w:w="70" w:type="dxa"/>
                <w:right w:w="70" w:type="dxa"/>
              </w:tblCellMar>
              <w:tblLook w:val="04A0" w:firstRow="1" w:lastRow="0" w:firstColumn="1" w:lastColumn="0" w:noHBand="0" w:noVBand="1"/>
            </w:tblPr>
            <w:tblGrid>
              <w:gridCol w:w="3880"/>
              <w:gridCol w:w="700"/>
              <w:gridCol w:w="700"/>
              <w:gridCol w:w="700"/>
              <w:gridCol w:w="700"/>
              <w:gridCol w:w="700"/>
              <w:gridCol w:w="700"/>
              <w:gridCol w:w="700"/>
              <w:gridCol w:w="700"/>
            </w:tblGrid>
            <w:tr w:rsidR="006B1AFC" w:rsidRPr="00E04316" w14:paraId="70352FEE" w14:textId="77777777" w:rsidTr="003C4A79">
              <w:trPr>
                <w:trHeight w:val="255"/>
              </w:trPr>
              <w:tc>
                <w:tcPr>
                  <w:tcW w:w="3880" w:type="dxa"/>
                  <w:tcBorders>
                    <w:top w:val="nil"/>
                    <w:left w:val="nil"/>
                    <w:bottom w:val="nil"/>
                    <w:right w:val="nil"/>
                  </w:tcBorders>
                  <w:noWrap/>
                  <w:vAlign w:val="bottom"/>
                  <w:hideMark/>
                </w:tcPr>
                <w:p w14:paraId="553B087E" w14:textId="77777777" w:rsidR="006B1AFC" w:rsidRPr="00E04316" w:rsidRDefault="006B1AFC" w:rsidP="003C4A79">
                  <w:pPr>
                    <w:spacing w:after="0" w:line="240" w:lineRule="auto"/>
                    <w:jc w:val="left"/>
                    <w:rPr>
                      <w:rFonts w:ascii="Times New Roman" w:hAnsi="Times New Roman"/>
                      <w:sz w:val="24"/>
                      <w:szCs w:val="20"/>
                      <w:lang w:eastAsia="ko-KR"/>
                    </w:rPr>
                  </w:pPr>
                </w:p>
              </w:tc>
              <w:tc>
                <w:tcPr>
                  <w:tcW w:w="1400" w:type="dxa"/>
                  <w:gridSpan w:val="2"/>
                  <w:tcBorders>
                    <w:top w:val="nil"/>
                    <w:left w:val="nil"/>
                    <w:bottom w:val="nil"/>
                    <w:right w:val="nil"/>
                  </w:tcBorders>
                  <w:noWrap/>
                  <w:vAlign w:val="bottom"/>
                  <w:hideMark/>
                </w:tcPr>
                <w:p w14:paraId="54C19E11" w14:textId="77777777" w:rsidR="006B1AFC" w:rsidRPr="00E04316" w:rsidRDefault="006B1AFC" w:rsidP="003C4A79">
                  <w:pPr>
                    <w:spacing w:after="0" w:line="240" w:lineRule="auto"/>
                    <w:jc w:val="center"/>
                    <w:rPr>
                      <w:rFonts w:cs="Arial"/>
                      <w:color w:val="000000"/>
                      <w:sz w:val="16"/>
                      <w:szCs w:val="16"/>
                      <w:lang w:eastAsia="ko-KR"/>
                    </w:rPr>
                  </w:pPr>
                  <w:r w:rsidRPr="00E04316">
                    <w:rPr>
                      <w:rFonts w:cs="Arial"/>
                      <w:color w:val="000000"/>
                      <w:sz w:val="16"/>
                      <w:szCs w:val="16"/>
                      <w:lang w:eastAsia="ko-KR"/>
                    </w:rPr>
                    <w:t>2024</w:t>
                  </w:r>
                </w:p>
              </w:tc>
              <w:tc>
                <w:tcPr>
                  <w:tcW w:w="2800" w:type="dxa"/>
                  <w:gridSpan w:val="4"/>
                  <w:tcBorders>
                    <w:top w:val="nil"/>
                    <w:left w:val="nil"/>
                    <w:bottom w:val="nil"/>
                    <w:right w:val="nil"/>
                  </w:tcBorders>
                  <w:noWrap/>
                  <w:vAlign w:val="bottom"/>
                  <w:hideMark/>
                </w:tcPr>
                <w:p w14:paraId="22D9E4BE" w14:textId="77777777" w:rsidR="006B1AFC" w:rsidRPr="00E04316" w:rsidRDefault="006B1AFC" w:rsidP="003C4A79">
                  <w:pPr>
                    <w:spacing w:after="0" w:line="240" w:lineRule="auto"/>
                    <w:jc w:val="center"/>
                    <w:rPr>
                      <w:rFonts w:cs="Arial"/>
                      <w:color w:val="000000"/>
                      <w:sz w:val="16"/>
                      <w:szCs w:val="16"/>
                      <w:lang w:eastAsia="ko-KR"/>
                    </w:rPr>
                  </w:pPr>
                  <w:r w:rsidRPr="00E04316">
                    <w:rPr>
                      <w:rFonts w:cs="Arial"/>
                      <w:color w:val="000000"/>
                      <w:sz w:val="16"/>
                      <w:szCs w:val="16"/>
                      <w:lang w:eastAsia="ko-KR"/>
                    </w:rPr>
                    <w:t>2025</w:t>
                  </w:r>
                </w:p>
              </w:tc>
              <w:tc>
                <w:tcPr>
                  <w:tcW w:w="1400" w:type="dxa"/>
                  <w:gridSpan w:val="2"/>
                  <w:tcBorders>
                    <w:top w:val="nil"/>
                    <w:left w:val="nil"/>
                    <w:bottom w:val="nil"/>
                    <w:right w:val="nil"/>
                  </w:tcBorders>
                  <w:noWrap/>
                  <w:vAlign w:val="bottom"/>
                  <w:hideMark/>
                </w:tcPr>
                <w:p w14:paraId="1C291C73" w14:textId="77777777" w:rsidR="006B1AFC" w:rsidRPr="00E04316" w:rsidRDefault="006B1AFC" w:rsidP="003C4A79">
                  <w:pPr>
                    <w:spacing w:after="0" w:line="240" w:lineRule="auto"/>
                    <w:jc w:val="center"/>
                    <w:rPr>
                      <w:rFonts w:cs="Arial"/>
                      <w:color w:val="000000"/>
                      <w:sz w:val="16"/>
                      <w:szCs w:val="16"/>
                      <w:lang w:eastAsia="ko-KR"/>
                    </w:rPr>
                  </w:pPr>
                  <w:r w:rsidRPr="00E04316">
                    <w:rPr>
                      <w:rFonts w:cs="Arial"/>
                      <w:color w:val="000000"/>
                      <w:sz w:val="16"/>
                      <w:szCs w:val="16"/>
                      <w:lang w:eastAsia="ko-KR"/>
                    </w:rPr>
                    <w:t>2026</w:t>
                  </w:r>
                </w:p>
              </w:tc>
            </w:tr>
            <w:tr w:rsidR="006B1AFC" w:rsidRPr="00E04316" w14:paraId="4187A071" w14:textId="77777777" w:rsidTr="003C4A79">
              <w:trPr>
                <w:trHeight w:val="255"/>
              </w:trPr>
              <w:tc>
                <w:tcPr>
                  <w:tcW w:w="3880" w:type="dxa"/>
                  <w:tcBorders>
                    <w:top w:val="nil"/>
                    <w:left w:val="nil"/>
                    <w:bottom w:val="nil"/>
                    <w:right w:val="nil"/>
                  </w:tcBorders>
                  <w:noWrap/>
                  <w:vAlign w:val="bottom"/>
                  <w:hideMark/>
                </w:tcPr>
                <w:p w14:paraId="437CBA97" w14:textId="77777777" w:rsidR="006B1AFC" w:rsidRPr="00E04316" w:rsidRDefault="006B1AFC" w:rsidP="003C4A79">
                  <w:pPr>
                    <w:spacing w:after="0" w:line="240" w:lineRule="auto"/>
                    <w:jc w:val="center"/>
                    <w:rPr>
                      <w:rFonts w:cs="Arial"/>
                      <w:color w:val="000000"/>
                      <w:sz w:val="16"/>
                      <w:szCs w:val="16"/>
                      <w:lang w:eastAsia="ko-KR"/>
                    </w:rPr>
                  </w:pPr>
                </w:p>
              </w:tc>
              <w:tc>
                <w:tcPr>
                  <w:tcW w:w="700" w:type="dxa"/>
                  <w:tcBorders>
                    <w:top w:val="nil"/>
                    <w:left w:val="nil"/>
                    <w:bottom w:val="nil"/>
                    <w:right w:val="nil"/>
                  </w:tcBorders>
                  <w:noWrap/>
                  <w:vAlign w:val="bottom"/>
                  <w:hideMark/>
                </w:tcPr>
                <w:p w14:paraId="230F19E2"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Q3</w:t>
                  </w:r>
                </w:p>
              </w:tc>
              <w:tc>
                <w:tcPr>
                  <w:tcW w:w="700" w:type="dxa"/>
                  <w:tcBorders>
                    <w:top w:val="nil"/>
                    <w:left w:val="nil"/>
                    <w:bottom w:val="nil"/>
                    <w:right w:val="nil"/>
                  </w:tcBorders>
                  <w:noWrap/>
                  <w:vAlign w:val="bottom"/>
                  <w:hideMark/>
                </w:tcPr>
                <w:p w14:paraId="1560C394"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Q4</w:t>
                  </w:r>
                </w:p>
              </w:tc>
              <w:tc>
                <w:tcPr>
                  <w:tcW w:w="700" w:type="dxa"/>
                  <w:tcBorders>
                    <w:top w:val="nil"/>
                    <w:left w:val="nil"/>
                    <w:bottom w:val="nil"/>
                    <w:right w:val="nil"/>
                  </w:tcBorders>
                  <w:noWrap/>
                  <w:vAlign w:val="bottom"/>
                  <w:hideMark/>
                </w:tcPr>
                <w:p w14:paraId="3C3BBB64"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Q1</w:t>
                  </w:r>
                </w:p>
              </w:tc>
              <w:tc>
                <w:tcPr>
                  <w:tcW w:w="700" w:type="dxa"/>
                  <w:tcBorders>
                    <w:top w:val="nil"/>
                    <w:left w:val="nil"/>
                    <w:bottom w:val="nil"/>
                    <w:right w:val="nil"/>
                  </w:tcBorders>
                  <w:noWrap/>
                  <w:vAlign w:val="bottom"/>
                  <w:hideMark/>
                </w:tcPr>
                <w:p w14:paraId="5A90AEC3"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Q2</w:t>
                  </w:r>
                </w:p>
              </w:tc>
              <w:tc>
                <w:tcPr>
                  <w:tcW w:w="700" w:type="dxa"/>
                  <w:tcBorders>
                    <w:top w:val="nil"/>
                    <w:left w:val="nil"/>
                    <w:bottom w:val="nil"/>
                    <w:right w:val="nil"/>
                  </w:tcBorders>
                  <w:noWrap/>
                  <w:vAlign w:val="bottom"/>
                  <w:hideMark/>
                </w:tcPr>
                <w:p w14:paraId="7B8D5AF5"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Q3</w:t>
                  </w:r>
                </w:p>
              </w:tc>
              <w:tc>
                <w:tcPr>
                  <w:tcW w:w="700" w:type="dxa"/>
                  <w:tcBorders>
                    <w:top w:val="nil"/>
                    <w:left w:val="nil"/>
                    <w:bottom w:val="nil"/>
                    <w:right w:val="nil"/>
                  </w:tcBorders>
                  <w:noWrap/>
                  <w:vAlign w:val="bottom"/>
                  <w:hideMark/>
                </w:tcPr>
                <w:p w14:paraId="78E76D53"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Q4</w:t>
                  </w:r>
                </w:p>
              </w:tc>
              <w:tc>
                <w:tcPr>
                  <w:tcW w:w="700" w:type="dxa"/>
                  <w:tcBorders>
                    <w:top w:val="nil"/>
                    <w:left w:val="nil"/>
                    <w:bottom w:val="nil"/>
                    <w:right w:val="nil"/>
                  </w:tcBorders>
                  <w:noWrap/>
                  <w:vAlign w:val="bottom"/>
                  <w:hideMark/>
                </w:tcPr>
                <w:p w14:paraId="615A00F6"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Q1</w:t>
                  </w:r>
                </w:p>
              </w:tc>
              <w:tc>
                <w:tcPr>
                  <w:tcW w:w="700" w:type="dxa"/>
                  <w:tcBorders>
                    <w:top w:val="nil"/>
                    <w:left w:val="nil"/>
                    <w:bottom w:val="nil"/>
                    <w:right w:val="nil"/>
                  </w:tcBorders>
                  <w:noWrap/>
                  <w:vAlign w:val="bottom"/>
                  <w:hideMark/>
                </w:tcPr>
                <w:p w14:paraId="54E3C84A"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Q2</w:t>
                  </w:r>
                </w:p>
              </w:tc>
            </w:tr>
            <w:tr w:rsidR="006B1AFC" w:rsidRPr="00E04316" w14:paraId="3685DF29" w14:textId="77777777" w:rsidTr="003C4A79">
              <w:trPr>
                <w:trHeight w:val="255"/>
              </w:trPr>
              <w:tc>
                <w:tcPr>
                  <w:tcW w:w="3880" w:type="dxa"/>
                  <w:tcBorders>
                    <w:top w:val="single" w:sz="4" w:space="0" w:color="auto"/>
                    <w:left w:val="nil"/>
                    <w:bottom w:val="nil"/>
                    <w:right w:val="nil"/>
                  </w:tcBorders>
                  <w:vAlign w:val="center"/>
                  <w:hideMark/>
                </w:tcPr>
                <w:p w14:paraId="0B22D590" w14:textId="77777777" w:rsidR="006B1AFC" w:rsidRPr="00E04316" w:rsidRDefault="006B1AFC" w:rsidP="003C4A79">
                  <w:pPr>
                    <w:spacing w:after="0" w:line="240" w:lineRule="auto"/>
                    <w:jc w:val="left"/>
                    <w:rPr>
                      <w:rFonts w:cs="Arial"/>
                      <w:color w:val="000000"/>
                      <w:sz w:val="16"/>
                      <w:szCs w:val="16"/>
                      <w:lang w:eastAsia="ko-KR"/>
                    </w:rPr>
                  </w:pPr>
                  <w:r w:rsidRPr="00E04316">
                    <w:rPr>
                      <w:rFonts w:cs="Arial"/>
                      <w:color w:val="000000"/>
                      <w:sz w:val="16"/>
                      <w:szCs w:val="16"/>
                      <w:lang w:eastAsia="ko-KR"/>
                    </w:rPr>
                    <w:t>CELKEM</w:t>
                  </w:r>
                </w:p>
              </w:tc>
              <w:tc>
                <w:tcPr>
                  <w:tcW w:w="700" w:type="dxa"/>
                  <w:tcBorders>
                    <w:top w:val="single" w:sz="4" w:space="0" w:color="auto"/>
                    <w:left w:val="nil"/>
                    <w:bottom w:val="nil"/>
                    <w:right w:val="nil"/>
                  </w:tcBorders>
                  <w:noWrap/>
                  <w:vAlign w:val="bottom"/>
                  <w:hideMark/>
                </w:tcPr>
                <w:p w14:paraId="5267A5DE"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1,4</w:t>
                  </w:r>
                </w:p>
              </w:tc>
              <w:tc>
                <w:tcPr>
                  <w:tcW w:w="700" w:type="dxa"/>
                  <w:tcBorders>
                    <w:top w:val="single" w:sz="4" w:space="0" w:color="auto"/>
                    <w:left w:val="nil"/>
                    <w:bottom w:val="nil"/>
                    <w:right w:val="nil"/>
                  </w:tcBorders>
                  <w:noWrap/>
                  <w:vAlign w:val="bottom"/>
                  <w:hideMark/>
                </w:tcPr>
                <w:p w14:paraId="6D530419"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5,0</w:t>
                  </w:r>
                </w:p>
              </w:tc>
              <w:tc>
                <w:tcPr>
                  <w:tcW w:w="700" w:type="dxa"/>
                  <w:tcBorders>
                    <w:top w:val="single" w:sz="4" w:space="0" w:color="auto"/>
                    <w:left w:val="nil"/>
                    <w:bottom w:val="nil"/>
                    <w:right w:val="nil"/>
                  </w:tcBorders>
                  <w:noWrap/>
                  <w:vAlign w:val="bottom"/>
                  <w:hideMark/>
                </w:tcPr>
                <w:p w14:paraId="24D113BE"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8,8</w:t>
                  </w:r>
                </w:p>
              </w:tc>
              <w:tc>
                <w:tcPr>
                  <w:tcW w:w="700" w:type="dxa"/>
                  <w:tcBorders>
                    <w:top w:val="single" w:sz="4" w:space="0" w:color="auto"/>
                    <w:left w:val="nil"/>
                    <w:bottom w:val="nil"/>
                    <w:right w:val="nil"/>
                  </w:tcBorders>
                  <w:noWrap/>
                  <w:vAlign w:val="bottom"/>
                  <w:hideMark/>
                </w:tcPr>
                <w:p w14:paraId="03EF1FCB"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14,9</w:t>
                  </w:r>
                </w:p>
              </w:tc>
              <w:tc>
                <w:tcPr>
                  <w:tcW w:w="700" w:type="dxa"/>
                  <w:tcBorders>
                    <w:top w:val="single" w:sz="4" w:space="0" w:color="auto"/>
                    <w:left w:val="nil"/>
                    <w:bottom w:val="nil"/>
                    <w:right w:val="nil"/>
                  </w:tcBorders>
                  <w:noWrap/>
                  <w:vAlign w:val="bottom"/>
                  <w:hideMark/>
                </w:tcPr>
                <w:p w14:paraId="07A351F7"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9,8</w:t>
                  </w:r>
                </w:p>
              </w:tc>
              <w:tc>
                <w:tcPr>
                  <w:tcW w:w="700" w:type="dxa"/>
                  <w:tcBorders>
                    <w:top w:val="single" w:sz="4" w:space="0" w:color="auto"/>
                    <w:left w:val="nil"/>
                    <w:bottom w:val="nil"/>
                    <w:right w:val="nil"/>
                  </w:tcBorders>
                  <w:noWrap/>
                  <w:vAlign w:val="bottom"/>
                  <w:hideMark/>
                </w:tcPr>
                <w:p w14:paraId="1F8C3272"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0,9</w:t>
                  </w:r>
                </w:p>
              </w:tc>
              <w:tc>
                <w:tcPr>
                  <w:tcW w:w="700" w:type="dxa"/>
                  <w:tcBorders>
                    <w:top w:val="single" w:sz="4" w:space="0" w:color="auto"/>
                    <w:left w:val="nil"/>
                    <w:bottom w:val="nil"/>
                    <w:right w:val="nil"/>
                  </w:tcBorders>
                  <w:noWrap/>
                  <w:vAlign w:val="bottom"/>
                  <w:hideMark/>
                </w:tcPr>
                <w:p w14:paraId="6077FE5A"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8,1</w:t>
                  </w:r>
                </w:p>
              </w:tc>
              <w:tc>
                <w:tcPr>
                  <w:tcW w:w="700" w:type="dxa"/>
                  <w:tcBorders>
                    <w:top w:val="single" w:sz="4" w:space="0" w:color="auto"/>
                    <w:left w:val="nil"/>
                    <w:bottom w:val="nil"/>
                    <w:right w:val="nil"/>
                  </w:tcBorders>
                  <w:noWrap/>
                  <w:vAlign w:val="bottom"/>
                  <w:hideMark/>
                </w:tcPr>
                <w:p w14:paraId="7665B2B6"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12,4</w:t>
                  </w:r>
                </w:p>
              </w:tc>
            </w:tr>
            <w:tr w:rsidR="006B1AFC" w:rsidRPr="00E04316" w14:paraId="507016E8" w14:textId="77777777" w:rsidTr="003C4A79">
              <w:trPr>
                <w:trHeight w:val="255"/>
              </w:trPr>
              <w:tc>
                <w:tcPr>
                  <w:tcW w:w="3880" w:type="dxa"/>
                  <w:tcBorders>
                    <w:top w:val="nil"/>
                    <w:left w:val="nil"/>
                    <w:bottom w:val="nil"/>
                    <w:right w:val="nil"/>
                  </w:tcBorders>
                  <w:vAlign w:val="center"/>
                  <w:hideMark/>
                </w:tcPr>
                <w:p w14:paraId="48CF093A" w14:textId="77777777" w:rsidR="006B1AFC" w:rsidRPr="00E04316" w:rsidRDefault="006B1AFC" w:rsidP="003C4A79">
                  <w:pPr>
                    <w:spacing w:after="0" w:line="240" w:lineRule="auto"/>
                    <w:ind w:firstLine="82"/>
                    <w:jc w:val="left"/>
                    <w:rPr>
                      <w:rFonts w:cs="Arial"/>
                      <w:color w:val="000000"/>
                      <w:sz w:val="16"/>
                      <w:szCs w:val="16"/>
                      <w:lang w:eastAsia="ko-KR"/>
                    </w:rPr>
                  </w:pPr>
                  <w:r w:rsidRPr="00E04316">
                    <w:rPr>
                      <w:rFonts w:cs="Arial"/>
                      <w:color w:val="000000"/>
                      <w:sz w:val="16"/>
                      <w:szCs w:val="16"/>
                      <w:lang w:eastAsia="ko-KR"/>
                    </w:rPr>
                    <w:t>Rostlinná výroba</w:t>
                  </w:r>
                </w:p>
              </w:tc>
              <w:tc>
                <w:tcPr>
                  <w:tcW w:w="700" w:type="dxa"/>
                  <w:tcBorders>
                    <w:top w:val="nil"/>
                    <w:left w:val="nil"/>
                    <w:bottom w:val="nil"/>
                    <w:right w:val="nil"/>
                  </w:tcBorders>
                  <w:noWrap/>
                  <w:vAlign w:val="bottom"/>
                  <w:hideMark/>
                </w:tcPr>
                <w:p w14:paraId="49A1CE09"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4,5</w:t>
                  </w:r>
                </w:p>
              </w:tc>
              <w:tc>
                <w:tcPr>
                  <w:tcW w:w="700" w:type="dxa"/>
                  <w:tcBorders>
                    <w:top w:val="nil"/>
                    <w:left w:val="nil"/>
                    <w:bottom w:val="nil"/>
                    <w:right w:val="nil"/>
                  </w:tcBorders>
                  <w:noWrap/>
                  <w:vAlign w:val="bottom"/>
                  <w:hideMark/>
                </w:tcPr>
                <w:p w14:paraId="5F6A128C"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2,3</w:t>
                  </w:r>
                </w:p>
              </w:tc>
              <w:tc>
                <w:tcPr>
                  <w:tcW w:w="700" w:type="dxa"/>
                  <w:tcBorders>
                    <w:top w:val="nil"/>
                    <w:left w:val="nil"/>
                    <w:bottom w:val="nil"/>
                    <w:right w:val="nil"/>
                  </w:tcBorders>
                  <w:noWrap/>
                  <w:vAlign w:val="bottom"/>
                  <w:hideMark/>
                </w:tcPr>
                <w:p w14:paraId="0356788D"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6,5</w:t>
                  </w:r>
                </w:p>
              </w:tc>
              <w:tc>
                <w:tcPr>
                  <w:tcW w:w="700" w:type="dxa"/>
                  <w:tcBorders>
                    <w:top w:val="nil"/>
                    <w:left w:val="nil"/>
                    <w:bottom w:val="nil"/>
                    <w:right w:val="nil"/>
                  </w:tcBorders>
                  <w:noWrap/>
                  <w:vAlign w:val="bottom"/>
                  <w:hideMark/>
                </w:tcPr>
                <w:p w14:paraId="275B7E15"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14,7</w:t>
                  </w:r>
                </w:p>
              </w:tc>
              <w:tc>
                <w:tcPr>
                  <w:tcW w:w="700" w:type="dxa"/>
                  <w:tcBorders>
                    <w:top w:val="nil"/>
                    <w:left w:val="nil"/>
                    <w:bottom w:val="nil"/>
                    <w:right w:val="nil"/>
                  </w:tcBorders>
                  <w:noWrap/>
                  <w:vAlign w:val="bottom"/>
                  <w:hideMark/>
                </w:tcPr>
                <w:p w14:paraId="7C00C2B1"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2,7</w:t>
                  </w:r>
                </w:p>
              </w:tc>
              <w:tc>
                <w:tcPr>
                  <w:tcW w:w="700" w:type="dxa"/>
                  <w:tcBorders>
                    <w:top w:val="nil"/>
                    <w:left w:val="nil"/>
                    <w:bottom w:val="nil"/>
                    <w:right w:val="nil"/>
                  </w:tcBorders>
                  <w:noWrap/>
                  <w:vAlign w:val="bottom"/>
                  <w:hideMark/>
                </w:tcPr>
                <w:p w14:paraId="443A030D"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5,9</w:t>
                  </w:r>
                </w:p>
              </w:tc>
              <w:tc>
                <w:tcPr>
                  <w:tcW w:w="700" w:type="dxa"/>
                  <w:tcBorders>
                    <w:top w:val="nil"/>
                    <w:left w:val="nil"/>
                    <w:bottom w:val="nil"/>
                    <w:right w:val="nil"/>
                  </w:tcBorders>
                  <w:noWrap/>
                  <w:vAlign w:val="bottom"/>
                  <w:hideMark/>
                </w:tcPr>
                <w:p w14:paraId="0093E238"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13,9</w:t>
                  </w:r>
                </w:p>
              </w:tc>
              <w:tc>
                <w:tcPr>
                  <w:tcW w:w="700" w:type="dxa"/>
                  <w:tcBorders>
                    <w:top w:val="nil"/>
                    <w:left w:val="nil"/>
                    <w:bottom w:val="nil"/>
                    <w:right w:val="nil"/>
                  </w:tcBorders>
                  <w:noWrap/>
                  <w:vAlign w:val="bottom"/>
                  <w:hideMark/>
                </w:tcPr>
                <w:p w14:paraId="445A1F50"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12,1</w:t>
                  </w:r>
                </w:p>
              </w:tc>
            </w:tr>
            <w:tr w:rsidR="006B1AFC" w:rsidRPr="00E04316" w14:paraId="29D2D5EC" w14:textId="77777777" w:rsidTr="003C4A79">
              <w:trPr>
                <w:trHeight w:val="255"/>
              </w:trPr>
              <w:tc>
                <w:tcPr>
                  <w:tcW w:w="3880" w:type="dxa"/>
                  <w:tcBorders>
                    <w:top w:val="nil"/>
                    <w:left w:val="nil"/>
                    <w:bottom w:val="nil"/>
                    <w:right w:val="nil"/>
                  </w:tcBorders>
                  <w:vAlign w:val="center"/>
                  <w:hideMark/>
                </w:tcPr>
                <w:p w14:paraId="772B9539" w14:textId="77777777" w:rsidR="006B1AFC" w:rsidRPr="00E04316" w:rsidRDefault="006B1AFC" w:rsidP="003C4A79">
                  <w:pPr>
                    <w:spacing w:after="0" w:line="240" w:lineRule="auto"/>
                    <w:ind w:firstLine="224"/>
                    <w:jc w:val="left"/>
                    <w:rPr>
                      <w:rFonts w:cs="Arial"/>
                      <w:color w:val="000000"/>
                      <w:sz w:val="16"/>
                      <w:szCs w:val="16"/>
                      <w:lang w:eastAsia="ko-KR"/>
                    </w:rPr>
                  </w:pPr>
                  <w:r w:rsidRPr="00E04316">
                    <w:rPr>
                      <w:rFonts w:cs="Arial"/>
                      <w:color w:val="000000"/>
                      <w:sz w:val="16"/>
                      <w:szCs w:val="16"/>
                      <w:lang w:eastAsia="ko-KR"/>
                    </w:rPr>
                    <w:t>Obiloviny</w:t>
                  </w:r>
                </w:p>
              </w:tc>
              <w:tc>
                <w:tcPr>
                  <w:tcW w:w="700" w:type="dxa"/>
                  <w:tcBorders>
                    <w:top w:val="nil"/>
                    <w:left w:val="nil"/>
                    <w:bottom w:val="nil"/>
                    <w:right w:val="nil"/>
                  </w:tcBorders>
                  <w:noWrap/>
                  <w:vAlign w:val="bottom"/>
                  <w:hideMark/>
                </w:tcPr>
                <w:p w14:paraId="5E08AED4"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8,9</w:t>
                  </w:r>
                </w:p>
              </w:tc>
              <w:tc>
                <w:tcPr>
                  <w:tcW w:w="700" w:type="dxa"/>
                  <w:tcBorders>
                    <w:top w:val="nil"/>
                    <w:left w:val="nil"/>
                    <w:bottom w:val="nil"/>
                    <w:right w:val="nil"/>
                  </w:tcBorders>
                  <w:noWrap/>
                  <w:vAlign w:val="bottom"/>
                  <w:hideMark/>
                </w:tcPr>
                <w:p w14:paraId="0E27F66D"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0,2</w:t>
                  </w:r>
                </w:p>
              </w:tc>
              <w:tc>
                <w:tcPr>
                  <w:tcW w:w="700" w:type="dxa"/>
                  <w:tcBorders>
                    <w:top w:val="nil"/>
                    <w:left w:val="nil"/>
                    <w:bottom w:val="nil"/>
                    <w:right w:val="nil"/>
                  </w:tcBorders>
                  <w:noWrap/>
                  <w:vAlign w:val="bottom"/>
                  <w:hideMark/>
                </w:tcPr>
                <w:p w14:paraId="2E256D4B"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9,5</w:t>
                  </w:r>
                </w:p>
              </w:tc>
              <w:tc>
                <w:tcPr>
                  <w:tcW w:w="700" w:type="dxa"/>
                  <w:tcBorders>
                    <w:top w:val="nil"/>
                    <w:left w:val="nil"/>
                    <w:bottom w:val="nil"/>
                    <w:right w:val="nil"/>
                  </w:tcBorders>
                  <w:noWrap/>
                  <w:vAlign w:val="bottom"/>
                  <w:hideMark/>
                </w:tcPr>
                <w:p w14:paraId="6CDEAAD6"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14,9</w:t>
                  </w:r>
                </w:p>
              </w:tc>
              <w:tc>
                <w:tcPr>
                  <w:tcW w:w="700" w:type="dxa"/>
                  <w:tcBorders>
                    <w:top w:val="nil"/>
                    <w:left w:val="nil"/>
                    <w:bottom w:val="nil"/>
                    <w:right w:val="nil"/>
                  </w:tcBorders>
                  <w:noWrap/>
                  <w:vAlign w:val="bottom"/>
                  <w:hideMark/>
                </w:tcPr>
                <w:p w14:paraId="354CD6B8"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4,3</w:t>
                  </w:r>
                </w:p>
              </w:tc>
              <w:tc>
                <w:tcPr>
                  <w:tcW w:w="700" w:type="dxa"/>
                  <w:tcBorders>
                    <w:top w:val="nil"/>
                    <w:left w:val="nil"/>
                    <w:bottom w:val="nil"/>
                    <w:right w:val="nil"/>
                  </w:tcBorders>
                  <w:noWrap/>
                  <w:vAlign w:val="bottom"/>
                  <w:hideMark/>
                </w:tcPr>
                <w:p w14:paraId="5FD617CD"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7,0</w:t>
                  </w:r>
                </w:p>
              </w:tc>
              <w:tc>
                <w:tcPr>
                  <w:tcW w:w="700" w:type="dxa"/>
                  <w:tcBorders>
                    <w:top w:val="nil"/>
                    <w:left w:val="nil"/>
                    <w:bottom w:val="nil"/>
                    <w:right w:val="nil"/>
                  </w:tcBorders>
                  <w:noWrap/>
                  <w:vAlign w:val="bottom"/>
                  <w:hideMark/>
                </w:tcPr>
                <w:p w14:paraId="335BEDD6"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14,6</w:t>
                  </w:r>
                </w:p>
              </w:tc>
              <w:tc>
                <w:tcPr>
                  <w:tcW w:w="700" w:type="dxa"/>
                  <w:tcBorders>
                    <w:top w:val="nil"/>
                    <w:left w:val="nil"/>
                    <w:bottom w:val="nil"/>
                    <w:right w:val="nil"/>
                  </w:tcBorders>
                  <w:noWrap/>
                  <w:vAlign w:val="bottom"/>
                  <w:hideMark/>
                </w:tcPr>
                <w:p w14:paraId="68C006D4"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16,1</w:t>
                  </w:r>
                </w:p>
              </w:tc>
            </w:tr>
            <w:tr w:rsidR="006B1AFC" w:rsidRPr="00E04316" w14:paraId="4908D9E3" w14:textId="77777777" w:rsidTr="003C4A79">
              <w:trPr>
                <w:trHeight w:val="255"/>
              </w:trPr>
              <w:tc>
                <w:tcPr>
                  <w:tcW w:w="3880" w:type="dxa"/>
                  <w:tcBorders>
                    <w:top w:val="nil"/>
                    <w:left w:val="nil"/>
                    <w:bottom w:val="nil"/>
                    <w:right w:val="nil"/>
                  </w:tcBorders>
                  <w:vAlign w:val="center"/>
                  <w:hideMark/>
                </w:tcPr>
                <w:p w14:paraId="18658F96" w14:textId="77777777" w:rsidR="006B1AFC" w:rsidRPr="00E04316" w:rsidRDefault="006B1AFC" w:rsidP="003C4A79">
                  <w:pPr>
                    <w:spacing w:after="0" w:line="240" w:lineRule="auto"/>
                    <w:ind w:firstLine="224"/>
                    <w:jc w:val="left"/>
                    <w:rPr>
                      <w:rFonts w:cs="Arial"/>
                      <w:color w:val="000000"/>
                      <w:sz w:val="16"/>
                      <w:szCs w:val="16"/>
                      <w:lang w:eastAsia="ko-KR"/>
                    </w:rPr>
                  </w:pPr>
                  <w:r w:rsidRPr="00E04316">
                    <w:rPr>
                      <w:rFonts w:cs="Arial"/>
                      <w:color w:val="000000"/>
                      <w:sz w:val="16"/>
                      <w:szCs w:val="16"/>
                      <w:lang w:eastAsia="ko-KR"/>
                    </w:rPr>
                    <w:t>Průmyslové plodiny</w:t>
                  </w:r>
                </w:p>
              </w:tc>
              <w:tc>
                <w:tcPr>
                  <w:tcW w:w="700" w:type="dxa"/>
                  <w:tcBorders>
                    <w:top w:val="nil"/>
                    <w:left w:val="nil"/>
                    <w:bottom w:val="nil"/>
                    <w:right w:val="nil"/>
                  </w:tcBorders>
                  <w:noWrap/>
                  <w:vAlign w:val="bottom"/>
                  <w:hideMark/>
                </w:tcPr>
                <w:p w14:paraId="0B422099"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4,2</w:t>
                  </w:r>
                </w:p>
              </w:tc>
              <w:tc>
                <w:tcPr>
                  <w:tcW w:w="700" w:type="dxa"/>
                  <w:tcBorders>
                    <w:top w:val="nil"/>
                    <w:left w:val="nil"/>
                    <w:bottom w:val="nil"/>
                    <w:right w:val="nil"/>
                  </w:tcBorders>
                  <w:noWrap/>
                  <w:vAlign w:val="bottom"/>
                  <w:hideMark/>
                </w:tcPr>
                <w:p w14:paraId="02E93C6B"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9,7</w:t>
                  </w:r>
                </w:p>
              </w:tc>
              <w:tc>
                <w:tcPr>
                  <w:tcW w:w="700" w:type="dxa"/>
                  <w:tcBorders>
                    <w:top w:val="nil"/>
                    <w:left w:val="nil"/>
                    <w:bottom w:val="nil"/>
                    <w:right w:val="nil"/>
                  </w:tcBorders>
                  <w:noWrap/>
                  <w:vAlign w:val="bottom"/>
                  <w:hideMark/>
                </w:tcPr>
                <w:p w14:paraId="48BF7624"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21,7</w:t>
                  </w:r>
                </w:p>
              </w:tc>
              <w:tc>
                <w:tcPr>
                  <w:tcW w:w="700" w:type="dxa"/>
                  <w:tcBorders>
                    <w:top w:val="nil"/>
                    <w:left w:val="nil"/>
                    <w:bottom w:val="nil"/>
                    <w:right w:val="nil"/>
                  </w:tcBorders>
                  <w:noWrap/>
                  <w:vAlign w:val="bottom"/>
                  <w:hideMark/>
                </w:tcPr>
                <w:p w14:paraId="74240F6E"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22,9</w:t>
                  </w:r>
                </w:p>
              </w:tc>
              <w:tc>
                <w:tcPr>
                  <w:tcW w:w="700" w:type="dxa"/>
                  <w:tcBorders>
                    <w:top w:val="nil"/>
                    <w:left w:val="nil"/>
                    <w:bottom w:val="nil"/>
                    <w:right w:val="nil"/>
                  </w:tcBorders>
                  <w:noWrap/>
                  <w:vAlign w:val="bottom"/>
                  <w:hideMark/>
                </w:tcPr>
                <w:p w14:paraId="2670E354"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9,3</w:t>
                  </w:r>
                </w:p>
              </w:tc>
              <w:tc>
                <w:tcPr>
                  <w:tcW w:w="700" w:type="dxa"/>
                  <w:tcBorders>
                    <w:top w:val="nil"/>
                    <w:left w:val="nil"/>
                    <w:bottom w:val="nil"/>
                    <w:right w:val="nil"/>
                  </w:tcBorders>
                  <w:noWrap/>
                  <w:vAlign w:val="bottom"/>
                  <w:hideMark/>
                </w:tcPr>
                <w:p w14:paraId="53CDC470"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7,6</w:t>
                  </w:r>
                </w:p>
              </w:tc>
              <w:tc>
                <w:tcPr>
                  <w:tcW w:w="700" w:type="dxa"/>
                  <w:tcBorders>
                    <w:top w:val="nil"/>
                    <w:left w:val="nil"/>
                    <w:bottom w:val="nil"/>
                    <w:right w:val="nil"/>
                  </w:tcBorders>
                  <w:noWrap/>
                  <w:vAlign w:val="bottom"/>
                  <w:hideMark/>
                </w:tcPr>
                <w:p w14:paraId="17F5DC00"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11,5</w:t>
                  </w:r>
                </w:p>
              </w:tc>
              <w:tc>
                <w:tcPr>
                  <w:tcW w:w="700" w:type="dxa"/>
                  <w:tcBorders>
                    <w:top w:val="nil"/>
                    <w:left w:val="nil"/>
                    <w:bottom w:val="nil"/>
                    <w:right w:val="nil"/>
                  </w:tcBorders>
                  <w:noWrap/>
                  <w:vAlign w:val="bottom"/>
                  <w:hideMark/>
                </w:tcPr>
                <w:p w14:paraId="4E05A146"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10,1</w:t>
                  </w:r>
                </w:p>
              </w:tc>
            </w:tr>
            <w:tr w:rsidR="006B1AFC" w:rsidRPr="00E04316" w14:paraId="0AC2ED9A" w14:textId="77777777" w:rsidTr="003C4A79">
              <w:trPr>
                <w:trHeight w:val="255"/>
              </w:trPr>
              <w:tc>
                <w:tcPr>
                  <w:tcW w:w="3880" w:type="dxa"/>
                  <w:tcBorders>
                    <w:top w:val="nil"/>
                    <w:left w:val="nil"/>
                    <w:bottom w:val="nil"/>
                    <w:right w:val="nil"/>
                  </w:tcBorders>
                  <w:vAlign w:val="center"/>
                  <w:hideMark/>
                </w:tcPr>
                <w:p w14:paraId="739BC309" w14:textId="77777777" w:rsidR="006B1AFC" w:rsidRPr="00E04316" w:rsidRDefault="006B1AFC" w:rsidP="003C4A79">
                  <w:pPr>
                    <w:spacing w:after="0" w:line="240" w:lineRule="auto"/>
                    <w:ind w:firstLine="224"/>
                    <w:jc w:val="left"/>
                    <w:rPr>
                      <w:rFonts w:cs="Arial"/>
                      <w:color w:val="000000"/>
                      <w:sz w:val="16"/>
                      <w:szCs w:val="16"/>
                      <w:lang w:eastAsia="ko-KR"/>
                    </w:rPr>
                  </w:pPr>
                  <w:r w:rsidRPr="00E04316">
                    <w:rPr>
                      <w:rFonts w:cs="Arial"/>
                      <w:color w:val="000000"/>
                      <w:sz w:val="16"/>
                      <w:szCs w:val="16"/>
                      <w:lang w:eastAsia="ko-KR"/>
                    </w:rPr>
                    <w:t>Krmné plodiny</w:t>
                  </w:r>
                </w:p>
              </w:tc>
              <w:tc>
                <w:tcPr>
                  <w:tcW w:w="700" w:type="dxa"/>
                  <w:tcBorders>
                    <w:top w:val="nil"/>
                    <w:left w:val="nil"/>
                    <w:bottom w:val="nil"/>
                    <w:right w:val="nil"/>
                  </w:tcBorders>
                  <w:noWrap/>
                  <w:vAlign w:val="bottom"/>
                  <w:hideMark/>
                </w:tcPr>
                <w:p w14:paraId="39962DDA"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11,0</w:t>
                  </w:r>
                </w:p>
              </w:tc>
              <w:tc>
                <w:tcPr>
                  <w:tcW w:w="700" w:type="dxa"/>
                  <w:tcBorders>
                    <w:top w:val="nil"/>
                    <w:left w:val="nil"/>
                    <w:bottom w:val="nil"/>
                    <w:right w:val="nil"/>
                  </w:tcBorders>
                  <w:noWrap/>
                  <w:vAlign w:val="bottom"/>
                  <w:hideMark/>
                </w:tcPr>
                <w:p w14:paraId="5169C828"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7,5</w:t>
                  </w:r>
                </w:p>
              </w:tc>
              <w:tc>
                <w:tcPr>
                  <w:tcW w:w="700" w:type="dxa"/>
                  <w:tcBorders>
                    <w:top w:val="nil"/>
                    <w:left w:val="nil"/>
                    <w:bottom w:val="nil"/>
                    <w:right w:val="nil"/>
                  </w:tcBorders>
                  <w:noWrap/>
                  <w:vAlign w:val="bottom"/>
                  <w:hideMark/>
                </w:tcPr>
                <w:p w14:paraId="623076B4"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0,2</w:t>
                  </w:r>
                </w:p>
              </w:tc>
              <w:tc>
                <w:tcPr>
                  <w:tcW w:w="700" w:type="dxa"/>
                  <w:tcBorders>
                    <w:top w:val="nil"/>
                    <w:left w:val="nil"/>
                    <w:bottom w:val="nil"/>
                    <w:right w:val="nil"/>
                  </w:tcBorders>
                  <w:noWrap/>
                  <w:vAlign w:val="bottom"/>
                  <w:hideMark/>
                </w:tcPr>
                <w:p w14:paraId="7846BEDD"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9,6</w:t>
                  </w:r>
                </w:p>
              </w:tc>
              <w:tc>
                <w:tcPr>
                  <w:tcW w:w="700" w:type="dxa"/>
                  <w:tcBorders>
                    <w:top w:val="nil"/>
                    <w:left w:val="nil"/>
                    <w:bottom w:val="nil"/>
                    <w:right w:val="nil"/>
                  </w:tcBorders>
                  <w:noWrap/>
                  <w:vAlign w:val="bottom"/>
                  <w:hideMark/>
                </w:tcPr>
                <w:p w14:paraId="4D151E91"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5,4</w:t>
                  </w:r>
                </w:p>
              </w:tc>
              <w:tc>
                <w:tcPr>
                  <w:tcW w:w="700" w:type="dxa"/>
                  <w:tcBorders>
                    <w:top w:val="nil"/>
                    <w:left w:val="nil"/>
                    <w:bottom w:val="nil"/>
                    <w:right w:val="nil"/>
                  </w:tcBorders>
                  <w:noWrap/>
                  <w:vAlign w:val="bottom"/>
                  <w:hideMark/>
                </w:tcPr>
                <w:p w14:paraId="3E428B4D"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1,9</w:t>
                  </w:r>
                </w:p>
              </w:tc>
              <w:tc>
                <w:tcPr>
                  <w:tcW w:w="700" w:type="dxa"/>
                  <w:tcBorders>
                    <w:top w:val="nil"/>
                    <w:left w:val="nil"/>
                    <w:bottom w:val="nil"/>
                    <w:right w:val="nil"/>
                  </w:tcBorders>
                  <w:noWrap/>
                  <w:vAlign w:val="bottom"/>
                  <w:hideMark/>
                </w:tcPr>
                <w:p w14:paraId="19E6CEA9"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5,3</w:t>
                  </w:r>
                </w:p>
              </w:tc>
              <w:tc>
                <w:tcPr>
                  <w:tcW w:w="700" w:type="dxa"/>
                  <w:tcBorders>
                    <w:top w:val="nil"/>
                    <w:left w:val="nil"/>
                    <w:bottom w:val="nil"/>
                    <w:right w:val="nil"/>
                  </w:tcBorders>
                  <w:noWrap/>
                  <w:vAlign w:val="bottom"/>
                  <w:hideMark/>
                </w:tcPr>
                <w:p w14:paraId="4692DA06"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8,2</w:t>
                  </w:r>
                </w:p>
              </w:tc>
            </w:tr>
            <w:tr w:rsidR="006B1AFC" w:rsidRPr="00E04316" w14:paraId="123F7E7E" w14:textId="77777777" w:rsidTr="003C4A79">
              <w:trPr>
                <w:trHeight w:val="255"/>
              </w:trPr>
              <w:tc>
                <w:tcPr>
                  <w:tcW w:w="3880" w:type="dxa"/>
                  <w:tcBorders>
                    <w:top w:val="nil"/>
                    <w:left w:val="nil"/>
                    <w:bottom w:val="nil"/>
                    <w:right w:val="nil"/>
                  </w:tcBorders>
                  <w:vAlign w:val="center"/>
                  <w:hideMark/>
                </w:tcPr>
                <w:p w14:paraId="7321E31E" w14:textId="77777777" w:rsidR="006B1AFC" w:rsidRPr="00E04316" w:rsidRDefault="006B1AFC" w:rsidP="003C4A79">
                  <w:pPr>
                    <w:spacing w:after="0" w:line="240" w:lineRule="auto"/>
                    <w:ind w:firstLine="224"/>
                    <w:jc w:val="left"/>
                    <w:rPr>
                      <w:rFonts w:cs="Arial"/>
                      <w:color w:val="000000"/>
                      <w:sz w:val="16"/>
                      <w:szCs w:val="16"/>
                      <w:lang w:eastAsia="ko-KR"/>
                    </w:rPr>
                  </w:pPr>
                  <w:r w:rsidRPr="00E04316">
                    <w:rPr>
                      <w:rFonts w:cs="Arial"/>
                      <w:color w:val="000000"/>
                      <w:sz w:val="16"/>
                      <w:szCs w:val="16"/>
                      <w:lang w:eastAsia="ko-KR"/>
                    </w:rPr>
                    <w:t>Zelenina a zahradnické produkty</w:t>
                  </w:r>
                </w:p>
              </w:tc>
              <w:tc>
                <w:tcPr>
                  <w:tcW w:w="700" w:type="dxa"/>
                  <w:tcBorders>
                    <w:top w:val="nil"/>
                    <w:left w:val="nil"/>
                    <w:bottom w:val="nil"/>
                    <w:right w:val="nil"/>
                  </w:tcBorders>
                  <w:noWrap/>
                  <w:vAlign w:val="bottom"/>
                  <w:hideMark/>
                </w:tcPr>
                <w:p w14:paraId="7612DC3F"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5,8</w:t>
                  </w:r>
                </w:p>
              </w:tc>
              <w:tc>
                <w:tcPr>
                  <w:tcW w:w="700" w:type="dxa"/>
                  <w:tcBorders>
                    <w:top w:val="nil"/>
                    <w:left w:val="nil"/>
                    <w:bottom w:val="nil"/>
                    <w:right w:val="nil"/>
                  </w:tcBorders>
                  <w:noWrap/>
                  <w:vAlign w:val="bottom"/>
                  <w:hideMark/>
                </w:tcPr>
                <w:p w14:paraId="4C9861E2"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3,8</w:t>
                  </w:r>
                </w:p>
              </w:tc>
              <w:tc>
                <w:tcPr>
                  <w:tcW w:w="700" w:type="dxa"/>
                  <w:tcBorders>
                    <w:top w:val="nil"/>
                    <w:left w:val="nil"/>
                    <w:bottom w:val="nil"/>
                    <w:right w:val="nil"/>
                  </w:tcBorders>
                  <w:noWrap/>
                  <w:vAlign w:val="bottom"/>
                  <w:hideMark/>
                </w:tcPr>
                <w:p w14:paraId="0CF004D4"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17,7</w:t>
                  </w:r>
                </w:p>
              </w:tc>
              <w:tc>
                <w:tcPr>
                  <w:tcW w:w="700" w:type="dxa"/>
                  <w:tcBorders>
                    <w:top w:val="nil"/>
                    <w:left w:val="nil"/>
                    <w:bottom w:val="nil"/>
                    <w:right w:val="nil"/>
                  </w:tcBorders>
                  <w:noWrap/>
                  <w:vAlign w:val="bottom"/>
                  <w:hideMark/>
                </w:tcPr>
                <w:p w14:paraId="6EF5F7CE"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17,3</w:t>
                  </w:r>
                </w:p>
              </w:tc>
              <w:tc>
                <w:tcPr>
                  <w:tcW w:w="700" w:type="dxa"/>
                  <w:tcBorders>
                    <w:top w:val="nil"/>
                    <w:left w:val="nil"/>
                    <w:bottom w:val="nil"/>
                    <w:right w:val="nil"/>
                  </w:tcBorders>
                  <w:noWrap/>
                  <w:vAlign w:val="bottom"/>
                  <w:hideMark/>
                </w:tcPr>
                <w:p w14:paraId="6D307BEA"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7,7</w:t>
                  </w:r>
                </w:p>
              </w:tc>
              <w:tc>
                <w:tcPr>
                  <w:tcW w:w="700" w:type="dxa"/>
                  <w:tcBorders>
                    <w:top w:val="nil"/>
                    <w:left w:val="nil"/>
                    <w:bottom w:val="nil"/>
                    <w:right w:val="nil"/>
                  </w:tcBorders>
                  <w:noWrap/>
                  <w:vAlign w:val="bottom"/>
                  <w:hideMark/>
                </w:tcPr>
                <w:p w14:paraId="780EB75E"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0,0</w:t>
                  </w:r>
                </w:p>
              </w:tc>
              <w:tc>
                <w:tcPr>
                  <w:tcW w:w="700" w:type="dxa"/>
                  <w:tcBorders>
                    <w:top w:val="nil"/>
                    <w:left w:val="nil"/>
                    <w:bottom w:val="nil"/>
                    <w:right w:val="nil"/>
                  </w:tcBorders>
                  <w:noWrap/>
                  <w:vAlign w:val="bottom"/>
                  <w:hideMark/>
                </w:tcPr>
                <w:p w14:paraId="679D789F"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14,0</w:t>
                  </w:r>
                </w:p>
              </w:tc>
              <w:tc>
                <w:tcPr>
                  <w:tcW w:w="700" w:type="dxa"/>
                  <w:tcBorders>
                    <w:top w:val="nil"/>
                    <w:left w:val="nil"/>
                    <w:bottom w:val="nil"/>
                    <w:right w:val="nil"/>
                  </w:tcBorders>
                  <w:noWrap/>
                  <w:vAlign w:val="bottom"/>
                  <w:hideMark/>
                </w:tcPr>
                <w:p w14:paraId="1F29661F"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0,7</w:t>
                  </w:r>
                </w:p>
              </w:tc>
            </w:tr>
            <w:tr w:rsidR="006B1AFC" w:rsidRPr="00E04316" w14:paraId="2CF70C4E" w14:textId="77777777" w:rsidTr="003C4A79">
              <w:trPr>
                <w:trHeight w:val="255"/>
              </w:trPr>
              <w:tc>
                <w:tcPr>
                  <w:tcW w:w="3880" w:type="dxa"/>
                  <w:tcBorders>
                    <w:top w:val="nil"/>
                    <w:left w:val="nil"/>
                    <w:bottom w:val="nil"/>
                    <w:right w:val="nil"/>
                  </w:tcBorders>
                  <w:vAlign w:val="center"/>
                  <w:hideMark/>
                </w:tcPr>
                <w:p w14:paraId="28E46956" w14:textId="77777777" w:rsidR="006B1AFC" w:rsidRPr="00E04316" w:rsidRDefault="006B1AFC" w:rsidP="003C4A79">
                  <w:pPr>
                    <w:spacing w:after="0" w:line="240" w:lineRule="auto"/>
                    <w:ind w:firstLine="224"/>
                    <w:jc w:val="left"/>
                    <w:rPr>
                      <w:rFonts w:cs="Arial"/>
                      <w:color w:val="000000"/>
                      <w:sz w:val="16"/>
                      <w:szCs w:val="16"/>
                      <w:lang w:eastAsia="ko-KR"/>
                    </w:rPr>
                  </w:pPr>
                  <w:r w:rsidRPr="00E04316">
                    <w:rPr>
                      <w:rFonts w:cs="Arial"/>
                      <w:color w:val="000000"/>
                      <w:sz w:val="16"/>
                      <w:szCs w:val="16"/>
                      <w:lang w:eastAsia="ko-KR"/>
                    </w:rPr>
                    <w:t>Brambory (včetně sadby)</w:t>
                  </w:r>
                </w:p>
              </w:tc>
              <w:tc>
                <w:tcPr>
                  <w:tcW w:w="700" w:type="dxa"/>
                  <w:tcBorders>
                    <w:top w:val="nil"/>
                    <w:left w:val="nil"/>
                    <w:bottom w:val="nil"/>
                    <w:right w:val="nil"/>
                  </w:tcBorders>
                  <w:noWrap/>
                  <w:vAlign w:val="bottom"/>
                  <w:hideMark/>
                </w:tcPr>
                <w:p w14:paraId="5DA9DF9B"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21,3</w:t>
                  </w:r>
                </w:p>
              </w:tc>
              <w:tc>
                <w:tcPr>
                  <w:tcW w:w="700" w:type="dxa"/>
                  <w:tcBorders>
                    <w:top w:val="nil"/>
                    <w:left w:val="nil"/>
                    <w:bottom w:val="nil"/>
                    <w:right w:val="nil"/>
                  </w:tcBorders>
                  <w:noWrap/>
                  <w:vAlign w:val="bottom"/>
                  <w:hideMark/>
                </w:tcPr>
                <w:p w14:paraId="58F43591"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10,8</w:t>
                  </w:r>
                </w:p>
              </w:tc>
              <w:tc>
                <w:tcPr>
                  <w:tcW w:w="700" w:type="dxa"/>
                  <w:tcBorders>
                    <w:top w:val="nil"/>
                    <w:left w:val="nil"/>
                    <w:bottom w:val="nil"/>
                    <w:right w:val="nil"/>
                  </w:tcBorders>
                  <w:noWrap/>
                  <w:vAlign w:val="bottom"/>
                  <w:hideMark/>
                </w:tcPr>
                <w:p w14:paraId="2BB7E9F9"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18,3</w:t>
                  </w:r>
                </w:p>
              </w:tc>
              <w:tc>
                <w:tcPr>
                  <w:tcW w:w="700" w:type="dxa"/>
                  <w:tcBorders>
                    <w:top w:val="nil"/>
                    <w:left w:val="nil"/>
                    <w:bottom w:val="nil"/>
                    <w:right w:val="nil"/>
                  </w:tcBorders>
                  <w:noWrap/>
                  <w:vAlign w:val="bottom"/>
                  <w:hideMark/>
                </w:tcPr>
                <w:p w14:paraId="4997B752"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23,8</w:t>
                  </w:r>
                </w:p>
              </w:tc>
              <w:tc>
                <w:tcPr>
                  <w:tcW w:w="700" w:type="dxa"/>
                  <w:tcBorders>
                    <w:top w:val="nil"/>
                    <w:left w:val="nil"/>
                    <w:bottom w:val="nil"/>
                    <w:right w:val="nil"/>
                  </w:tcBorders>
                  <w:noWrap/>
                  <w:vAlign w:val="bottom"/>
                  <w:hideMark/>
                </w:tcPr>
                <w:p w14:paraId="5C6091AA"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20,7</w:t>
                  </w:r>
                </w:p>
              </w:tc>
              <w:tc>
                <w:tcPr>
                  <w:tcW w:w="700" w:type="dxa"/>
                  <w:tcBorders>
                    <w:top w:val="nil"/>
                    <w:left w:val="nil"/>
                    <w:bottom w:val="nil"/>
                    <w:right w:val="nil"/>
                  </w:tcBorders>
                  <w:noWrap/>
                  <w:vAlign w:val="bottom"/>
                  <w:hideMark/>
                </w:tcPr>
                <w:p w14:paraId="7FC10E88"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18,3</w:t>
                  </w:r>
                </w:p>
              </w:tc>
              <w:tc>
                <w:tcPr>
                  <w:tcW w:w="700" w:type="dxa"/>
                  <w:tcBorders>
                    <w:top w:val="nil"/>
                    <w:left w:val="nil"/>
                    <w:bottom w:val="nil"/>
                    <w:right w:val="nil"/>
                  </w:tcBorders>
                  <w:noWrap/>
                  <w:vAlign w:val="bottom"/>
                  <w:hideMark/>
                </w:tcPr>
                <w:p w14:paraId="2C576733"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23,8</w:t>
                  </w:r>
                </w:p>
              </w:tc>
              <w:tc>
                <w:tcPr>
                  <w:tcW w:w="700" w:type="dxa"/>
                  <w:tcBorders>
                    <w:top w:val="nil"/>
                    <w:left w:val="nil"/>
                    <w:bottom w:val="nil"/>
                    <w:right w:val="nil"/>
                  </w:tcBorders>
                  <w:noWrap/>
                  <w:vAlign w:val="bottom"/>
                  <w:hideMark/>
                </w:tcPr>
                <w:p w14:paraId="301EE9AB"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3,0</w:t>
                  </w:r>
                </w:p>
              </w:tc>
            </w:tr>
            <w:tr w:rsidR="006B1AFC" w:rsidRPr="00E04316" w14:paraId="7B80ED34" w14:textId="77777777" w:rsidTr="003C4A79">
              <w:trPr>
                <w:trHeight w:val="255"/>
              </w:trPr>
              <w:tc>
                <w:tcPr>
                  <w:tcW w:w="3880" w:type="dxa"/>
                  <w:tcBorders>
                    <w:top w:val="nil"/>
                    <w:left w:val="nil"/>
                    <w:bottom w:val="nil"/>
                    <w:right w:val="nil"/>
                  </w:tcBorders>
                  <w:vAlign w:val="center"/>
                  <w:hideMark/>
                </w:tcPr>
                <w:p w14:paraId="1C9FD53E" w14:textId="77777777" w:rsidR="006B1AFC" w:rsidRPr="00E04316" w:rsidRDefault="006B1AFC" w:rsidP="003C4A79">
                  <w:pPr>
                    <w:spacing w:after="0" w:line="240" w:lineRule="auto"/>
                    <w:ind w:firstLine="224"/>
                    <w:jc w:val="left"/>
                    <w:rPr>
                      <w:rFonts w:cs="Arial"/>
                      <w:color w:val="000000"/>
                      <w:sz w:val="16"/>
                      <w:szCs w:val="16"/>
                      <w:lang w:eastAsia="ko-KR"/>
                    </w:rPr>
                  </w:pPr>
                  <w:r w:rsidRPr="00E04316">
                    <w:rPr>
                      <w:rFonts w:cs="Arial"/>
                      <w:color w:val="000000"/>
                      <w:sz w:val="16"/>
                      <w:szCs w:val="16"/>
                      <w:lang w:eastAsia="ko-KR"/>
                    </w:rPr>
                    <w:t>Ovoce</w:t>
                  </w:r>
                </w:p>
              </w:tc>
              <w:tc>
                <w:tcPr>
                  <w:tcW w:w="700" w:type="dxa"/>
                  <w:tcBorders>
                    <w:top w:val="nil"/>
                    <w:left w:val="nil"/>
                    <w:bottom w:val="nil"/>
                    <w:right w:val="nil"/>
                  </w:tcBorders>
                  <w:noWrap/>
                  <w:vAlign w:val="bottom"/>
                  <w:hideMark/>
                </w:tcPr>
                <w:p w14:paraId="3AC47B3F"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32,4</w:t>
                  </w:r>
                </w:p>
              </w:tc>
              <w:tc>
                <w:tcPr>
                  <w:tcW w:w="700" w:type="dxa"/>
                  <w:tcBorders>
                    <w:top w:val="nil"/>
                    <w:left w:val="nil"/>
                    <w:bottom w:val="nil"/>
                    <w:right w:val="nil"/>
                  </w:tcBorders>
                  <w:noWrap/>
                  <w:vAlign w:val="bottom"/>
                  <w:hideMark/>
                </w:tcPr>
                <w:p w14:paraId="1EB903EB"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31,4</w:t>
                  </w:r>
                </w:p>
              </w:tc>
              <w:tc>
                <w:tcPr>
                  <w:tcW w:w="700" w:type="dxa"/>
                  <w:tcBorders>
                    <w:top w:val="nil"/>
                    <w:left w:val="nil"/>
                    <w:bottom w:val="nil"/>
                    <w:right w:val="nil"/>
                  </w:tcBorders>
                  <w:noWrap/>
                  <w:vAlign w:val="bottom"/>
                  <w:hideMark/>
                </w:tcPr>
                <w:p w14:paraId="3AD814A8"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25,6</w:t>
                  </w:r>
                </w:p>
              </w:tc>
              <w:tc>
                <w:tcPr>
                  <w:tcW w:w="700" w:type="dxa"/>
                  <w:tcBorders>
                    <w:top w:val="nil"/>
                    <w:left w:val="nil"/>
                    <w:bottom w:val="nil"/>
                    <w:right w:val="nil"/>
                  </w:tcBorders>
                  <w:noWrap/>
                  <w:vAlign w:val="bottom"/>
                  <w:hideMark/>
                </w:tcPr>
                <w:p w14:paraId="0E9D330C"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28,3</w:t>
                  </w:r>
                </w:p>
              </w:tc>
              <w:tc>
                <w:tcPr>
                  <w:tcW w:w="700" w:type="dxa"/>
                  <w:tcBorders>
                    <w:top w:val="nil"/>
                    <w:left w:val="nil"/>
                    <w:bottom w:val="nil"/>
                    <w:right w:val="nil"/>
                  </w:tcBorders>
                  <w:noWrap/>
                  <w:vAlign w:val="bottom"/>
                  <w:hideMark/>
                </w:tcPr>
                <w:p w14:paraId="3FBC07CF"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8,2</w:t>
                  </w:r>
                </w:p>
              </w:tc>
              <w:tc>
                <w:tcPr>
                  <w:tcW w:w="700" w:type="dxa"/>
                  <w:tcBorders>
                    <w:top w:val="nil"/>
                    <w:left w:val="nil"/>
                    <w:bottom w:val="nil"/>
                    <w:right w:val="nil"/>
                  </w:tcBorders>
                  <w:noWrap/>
                  <w:vAlign w:val="bottom"/>
                  <w:hideMark/>
                </w:tcPr>
                <w:p w14:paraId="2B846FBC"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19,3</w:t>
                  </w:r>
                </w:p>
              </w:tc>
              <w:tc>
                <w:tcPr>
                  <w:tcW w:w="700" w:type="dxa"/>
                  <w:tcBorders>
                    <w:top w:val="nil"/>
                    <w:left w:val="nil"/>
                    <w:bottom w:val="nil"/>
                    <w:right w:val="nil"/>
                  </w:tcBorders>
                  <w:noWrap/>
                  <w:vAlign w:val="bottom"/>
                  <w:hideMark/>
                </w:tcPr>
                <w:p w14:paraId="12BF497B"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36,7</w:t>
                  </w:r>
                </w:p>
              </w:tc>
              <w:tc>
                <w:tcPr>
                  <w:tcW w:w="700" w:type="dxa"/>
                  <w:tcBorders>
                    <w:top w:val="nil"/>
                    <w:left w:val="nil"/>
                    <w:bottom w:val="nil"/>
                    <w:right w:val="nil"/>
                  </w:tcBorders>
                  <w:noWrap/>
                  <w:vAlign w:val="bottom"/>
                  <w:hideMark/>
                </w:tcPr>
                <w:p w14:paraId="4F72A06A"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11,8</w:t>
                  </w:r>
                </w:p>
              </w:tc>
            </w:tr>
            <w:tr w:rsidR="006B1AFC" w:rsidRPr="00E04316" w14:paraId="4C28A6B3" w14:textId="77777777" w:rsidTr="003C4A79">
              <w:trPr>
                <w:trHeight w:val="255"/>
              </w:trPr>
              <w:tc>
                <w:tcPr>
                  <w:tcW w:w="3880" w:type="dxa"/>
                  <w:tcBorders>
                    <w:top w:val="nil"/>
                    <w:left w:val="nil"/>
                    <w:bottom w:val="nil"/>
                    <w:right w:val="nil"/>
                  </w:tcBorders>
                  <w:vAlign w:val="center"/>
                  <w:hideMark/>
                </w:tcPr>
                <w:p w14:paraId="1C18D6E8" w14:textId="77777777" w:rsidR="006B1AFC" w:rsidRPr="00E04316" w:rsidRDefault="006B1AFC" w:rsidP="003C4A79">
                  <w:pPr>
                    <w:spacing w:after="0" w:line="240" w:lineRule="auto"/>
                    <w:ind w:firstLine="82"/>
                    <w:jc w:val="left"/>
                    <w:rPr>
                      <w:rFonts w:cs="Arial"/>
                      <w:color w:val="000000"/>
                      <w:sz w:val="16"/>
                      <w:szCs w:val="16"/>
                      <w:lang w:eastAsia="ko-KR"/>
                    </w:rPr>
                  </w:pPr>
                  <w:r w:rsidRPr="00E04316">
                    <w:rPr>
                      <w:rFonts w:cs="Arial"/>
                      <w:color w:val="000000"/>
                      <w:sz w:val="16"/>
                      <w:szCs w:val="16"/>
                      <w:lang w:eastAsia="ko-KR"/>
                    </w:rPr>
                    <w:t>Živočišná výroba</w:t>
                  </w:r>
                </w:p>
              </w:tc>
              <w:tc>
                <w:tcPr>
                  <w:tcW w:w="700" w:type="dxa"/>
                  <w:tcBorders>
                    <w:top w:val="nil"/>
                    <w:left w:val="nil"/>
                    <w:bottom w:val="nil"/>
                    <w:right w:val="nil"/>
                  </w:tcBorders>
                  <w:noWrap/>
                  <w:vAlign w:val="bottom"/>
                  <w:hideMark/>
                </w:tcPr>
                <w:p w14:paraId="7FF95539"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2,6</w:t>
                  </w:r>
                </w:p>
              </w:tc>
              <w:tc>
                <w:tcPr>
                  <w:tcW w:w="700" w:type="dxa"/>
                  <w:tcBorders>
                    <w:top w:val="nil"/>
                    <w:left w:val="nil"/>
                    <w:bottom w:val="nil"/>
                    <w:right w:val="nil"/>
                  </w:tcBorders>
                  <w:noWrap/>
                  <w:vAlign w:val="bottom"/>
                  <w:hideMark/>
                </w:tcPr>
                <w:p w14:paraId="1B476ED6"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10,1</w:t>
                  </w:r>
                </w:p>
              </w:tc>
              <w:tc>
                <w:tcPr>
                  <w:tcW w:w="700" w:type="dxa"/>
                  <w:tcBorders>
                    <w:top w:val="nil"/>
                    <w:left w:val="nil"/>
                    <w:bottom w:val="nil"/>
                    <w:right w:val="nil"/>
                  </w:tcBorders>
                  <w:noWrap/>
                  <w:vAlign w:val="bottom"/>
                  <w:hideMark/>
                </w:tcPr>
                <w:p w14:paraId="1E73B66D"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12,0</w:t>
                  </w:r>
                </w:p>
              </w:tc>
              <w:tc>
                <w:tcPr>
                  <w:tcW w:w="700" w:type="dxa"/>
                  <w:tcBorders>
                    <w:top w:val="nil"/>
                    <w:left w:val="nil"/>
                    <w:bottom w:val="nil"/>
                    <w:right w:val="nil"/>
                  </w:tcBorders>
                  <w:noWrap/>
                  <w:vAlign w:val="bottom"/>
                  <w:hideMark/>
                </w:tcPr>
                <w:p w14:paraId="582A2D4B"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15,6</w:t>
                  </w:r>
                </w:p>
              </w:tc>
              <w:tc>
                <w:tcPr>
                  <w:tcW w:w="700" w:type="dxa"/>
                  <w:tcBorders>
                    <w:top w:val="nil"/>
                    <w:left w:val="nil"/>
                    <w:bottom w:val="nil"/>
                    <w:right w:val="nil"/>
                  </w:tcBorders>
                  <w:noWrap/>
                  <w:vAlign w:val="bottom"/>
                  <w:hideMark/>
                </w:tcPr>
                <w:p w14:paraId="65186AD7"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18,6</w:t>
                  </w:r>
                </w:p>
              </w:tc>
              <w:tc>
                <w:tcPr>
                  <w:tcW w:w="700" w:type="dxa"/>
                  <w:tcBorders>
                    <w:top w:val="nil"/>
                    <w:left w:val="nil"/>
                    <w:bottom w:val="nil"/>
                    <w:right w:val="nil"/>
                  </w:tcBorders>
                  <w:noWrap/>
                  <w:vAlign w:val="bottom"/>
                  <w:hideMark/>
                </w:tcPr>
                <w:p w14:paraId="74C796B7"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12,7</w:t>
                  </w:r>
                </w:p>
              </w:tc>
              <w:tc>
                <w:tcPr>
                  <w:tcW w:w="700" w:type="dxa"/>
                  <w:tcBorders>
                    <w:top w:val="nil"/>
                    <w:left w:val="nil"/>
                    <w:bottom w:val="nil"/>
                    <w:right w:val="nil"/>
                  </w:tcBorders>
                  <w:noWrap/>
                  <w:vAlign w:val="bottom"/>
                  <w:hideMark/>
                </w:tcPr>
                <w:p w14:paraId="27EDD7CD"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1,7</w:t>
                  </w:r>
                </w:p>
              </w:tc>
              <w:tc>
                <w:tcPr>
                  <w:tcW w:w="700" w:type="dxa"/>
                  <w:tcBorders>
                    <w:top w:val="nil"/>
                    <w:left w:val="nil"/>
                    <w:bottom w:val="nil"/>
                    <w:right w:val="nil"/>
                  </w:tcBorders>
                  <w:noWrap/>
                  <w:vAlign w:val="bottom"/>
                  <w:hideMark/>
                </w:tcPr>
                <w:p w14:paraId="6A7CADE9"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12,9</w:t>
                  </w:r>
                </w:p>
              </w:tc>
            </w:tr>
            <w:tr w:rsidR="006B1AFC" w:rsidRPr="00E04316" w14:paraId="608556E2" w14:textId="77777777" w:rsidTr="003C4A79">
              <w:trPr>
                <w:trHeight w:val="255"/>
              </w:trPr>
              <w:tc>
                <w:tcPr>
                  <w:tcW w:w="3880" w:type="dxa"/>
                  <w:tcBorders>
                    <w:top w:val="nil"/>
                    <w:left w:val="nil"/>
                    <w:bottom w:val="nil"/>
                    <w:right w:val="nil"/>
                  </w:tcBorders>
                  <w:vAlign w:val="center"/>
                  <w:hideMark/>
                </w:tcPr>
                <w:p w14:paraId="4E8FFFD0" w14:textId="77777777" w:rsidR="006B1AFC" w:rsidRPr="00E04316" w:rsidRDefault="006B1AFC" w:rsidP="003C4A79">
                  <w:pPr>
                    <w:spacing w:after="0" w:line="240" w:lineRule="auto"/>
                    <w:ind w:firstLine="224"/>
                    <w:jc w:val="left"/>
                    <w:rPr>
                      <w:rFonts w:cs="Arial"/>
                      <w:color w:val="000000"/>
                      <w:sz w:val="16"/>
                      <w:szCs w:val="16"/>
                      <w:lang w:eastAsia="ko-KR"/>
                    </w:rPr>
                  </w:pPr>
                  <w:r w:rsidRPr="00E04316">
                    <w:rPr>
                      <w:rFonts w:cs="Arial"/>
                      <w:color w:val="000000"/>
                      <w:sz w:val="16"/>
                      <w:szCs w:val="16"/>
                      <w:lang w:eastAsia="ko-KR"/>
                    </w:rPr>
                    <w:t>Skot</w:t>
                  </w:r>
                </w:p>
              </w:tc>
              <w:tc>
                <w:tcPr>
                  <w:tcW w:w="700" w:type="dxa"/>
                  <w:tcBorders>
                    <w:top w:val="nil"/>
                    <w:left w:val="nil"/>
                    <w:bottom w:val="nil"/>
                    <w:right w:val="nil"/>
                  </w:tcBorders>
                  <w:noWrap/>
                  <w:vAlign w:val="bottom"/>
                  <w:hideMark/>
                </w:tcPr>
                <w:p w14:paraId="05559FCA"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8,3</w:t>
                  </w:r>
                </w:p>
              </w:tc>
              <w:tc>
                <w:tcPr>
                  <w:tcW w:w="700" w:type="dxa"/>
                  <w:tcBorders>
                    <w:top w:val="nil"/>
                    <w:left w:val="nil"/>
                    <w:bottom w:val="nil"/>
                    <w:right w:val="nil"/>
                  </w:tcBorders>
                  <w:noWrap/>
                  <w:vAlign w:val="bottom"/>
                  <w:hideMark/>
                </w:tcPr>
                <w:p w14:paraId="40DFB7F6"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13,6</w:t>
                  </w:r>
                </w:p>
              </w:tc>
              <w:tc>
                <w:tcPr>
                  <w:tcW w:w="700" w:type="dxa"/>
                  <w:tcBorders>
                    <w:top w:val="nil"/>
                    <w:left w:val="nil"/>
                    <w:bottom w:val="nil"/>
                    <w:right w:val="nil"/>
                  </w:tcBorders>
                  <w:noWrap/>
                  <w:vAlign w:val="bottom"/>
                  <w:hideMark/>
                </w:tcPr>
                <w:p w14:paraId="61A13F51"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20,1</w:t>
                  </w:r>
                </w:p>
              </w:tc>
              <w:tc>
                <w:tcPr>
                  <w:tcW w:w="700" w:type="dxa"/>
                  <w:tcBorders>
                    <w:top w:val="nil"/>
                    <w:left w:val="nil"/>
                    <w:bottom w:val="nil"/>
                    <w:right w:val="nil"/>
                  </w:tcBorders>
                  <w:noWrap/>
                  <w:vAlign w:val="bottom"/>
                  <w:hideMark/>
                </w:tcPr>
                <w:p w14:paraId="0206F64C"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28,0</w:t>
                  </w:r>
                </w:p>
              </w:tc>
              <w:tc>
                <w:tcPr>
                  <w:tcW w:w="700" w:type="dxa"/>
                  <w:tcBorders>
                    <w:top w:val="nil"/>
                    <w:left w:val="nil"/>
                    <w:bottom w:val="nil"/>
                    <w:right w:val="nil"/>
                  </w:tcBorders>
                  <w:noWrap/>
                  <w:vAlign w:val="bottom"/>
                  <w:hideMark/>
                </w:tcPr>
                <w:p w14:paraId="60237C5A"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38,9</w:t>
                  </w:r>
                </w:p>
              </w:tc>
              <w:tc>
                <w:tcPr>
                  <w:tcW w:w="700" w:type="dxa"/>
                  <w:tcBorders>
                    <w:top w:val="nil"/>
                    <w:left w:val="nil"/>
                    <w:bottom w:val="nil"/>
                    <w:right w:val="nil"/>
                  </w:tcBorders>
                  <w:noWrap/>
                  <w:vAlign w:val="bottom"/>
                  <w:hideMark/>
                </w:tcPr>
                <w:p w14:paraId="4C66721F"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39,8</w:t>
                  </w:r>
                </w:p>
              </w:tc>
              <w:tc>
                <w:tcPr>
                  <w:tcW w:w="700" w:type="dxa"/>
                  <w:tcBorders>
                    <w:top w:val="nil"/>
                    <w:left w:val="nil"/>
                    <w:bottom w:val="nil"/>
                    <w:right w:val="nil"/>
                  </w:tcBorders>
                  <w:noWrap/>
                  <w:vAlign w:val="bottom"/>
                  <w:hideMark/>
                </w:tcPr>
                <w:p w14:paraId="1134EF8C"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30,5</w:t>
                  </w:r>
                </w:p>
              </w:tc>
              <w:tc>
                <w:tcPr>
                  <w:tcW w:w="700" w:type="dxa"/>
                  <w:tcBorders>
                    <w:top w:val="nil"/>
                    <w:left w:val="nil"/>
                    <w:bottom w:val="nil"/>
                    <w:right w:val="nil"/>
                  </w:tcBorders>
                  <w:noWrap/>
                  <w:vAlign w:val="bottom"/>
                  <w:hideMark/>
                </w:tcPr>
                <w:p w14:paraId="36D690FF"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10,7</w:t>
                  </w:r>
                </w:p>
              </w:tc>
            </w:tr>
            <w:tr w:rsidR="006B1AFC" w:rsidRPr="00E04316" w14:paraId="4AE51100" w14:textId="77777777" w:rsidTr="003C4A79">
              <w:trPr>
                <w:trHeight w:val="255"/>
              </w:trPr>
              <w:tc>
                <w:tcPr>
                  <w:tcW w:w="3880" w:type="dxa"/>
                  <w:tcBorders>
                    <w:top w:val="nil"/>
                    <w:left w:val="nil"/>
                    <w:bottom w:val="nil"/>
                    <w:right w:val="nil"/>
                  </w:tcBorders>
                  <w:vAlign w:val="center"/>
                  <w:hideMark/>
                </w:tcPr>
                <w:p w14:paraId="76630A8B" w14:textId="77777777" w:rsidR="006B1AFC" w:rsidRPr="00E04316" w:rsidRDefault="006B1AFC" w:rsidP="003C4A79">
                  <w:pPr>
                    <w:spacing w:after="0" w:line="240" w:lineRule="auto"/>
                    <w:ind w:firstLine="224"/>
                    <w:jc w:val="left"/>
                    <w:rPr>
                      <w:rFonts w:cs="Arial"/>
                      <w:color w:val="000000"/>
                      <w:sz w:val="16"/>
                      <w:szCs w:val="16"/>
                      <w:lang w:eastAsia="ko-KR"/>
                    </w:rPr>
                  </w:pPr>
                  <w:r w:rsidRPr="00E04316">
                    <w:rPr>
                      <w:rFonts w:cs="Arial"/>
                      <w:color w:val="000000"/>
                      <w:sz w:val="16"/>
                      <w:szCs w:val="16"/>
                      <w:lang w:eastAsia="ko-KR"/>
                    </w:rPr>
                    <w:t>Prasata a selata</w:t>
                  </w:r>
                </w:p>
              </w:tc>
              <w:tc>
                <w:tcPr>
                  <w:tcW w:w="700" w:type="dxa"/>
                  <w:tcBorders>
                    <w:top w:val="nil"/>
                    <w:left w:val="nil"/>
                    <w:bottom w:val="nil"/>
                    <w:right w:val="nil"/>
                  </w:tcBorders>
                  <w:noWrap/>
                  <w:vAlign w:val="bottom"/>
                  <w:hideMark/>
                </w:tcPr>
                <w:p w14:paraId="50986CA8"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8,8</w:t>
                  </w:r>
                </w:p>
              </w:tc>
              <w:tc>
                <w:tcPr>
                  <w:tcW w:w="700" w:type="dxa"/>
                  <w:tcBorders>
                    <w:top w:val="nil"/>
                    <w:left w:val="nil"/>
                    <w:bottom w:val="nil"/>
                    <w:right w:val="nil"/>
                  </w:tcBorders>
                  <w:noWrap/>
                  <w:vAlign w:val="bottom"/>
                  <w:hideMark/>
                </w:tcPr>
                <w:p w14:paraId="028D541C"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6,6</w:t>
                  </w:r>
                </w:p>
              </w:tc>
              <w:tc>
                <w:tcPr>
                  <w:tcW w:w="700" w:type="dxa"/>
                  <w:tcBorders>
                    <w:top w:val="nil"/>
                    <w:left w:val="nil"/>
                    <w:bottom w:val="nil"/>
                    <w:right w:val="nil"/>
                  </w:tcBorders>
                  <w:noWrap/>
                  <w:vAlign w:val="bottom"/>
                  <w:hideMark/>
                </w:tcPr>
                <w:p w14:paraId="02E058F1"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11,1</w:t>
                  </w:r>
                </w:p>
              </w:tc>
              <w:tc>
                <w:tcPr>
                  <w:tcW w:w="700" w:type="dxa"/>
                  <w:tcBorders>
                    <w:top w:val="nil"/>
                    <w:left w:val="nil"/>
                    <w:bottom w:val="nil"/>
                    <w:right w:val="nil"/>
                  </w:tcBorders>
                  <w:noWrap/>
                  <w:vAlign w:val="bottom"/>
                  <w:hideMark/>
                </w:tcPr>
                <w:p w14:paraId="73C0D3D1"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9,8</w:t>
                  </w:r>
                </w:p>
              </w:tc>
              <w:tc>
                <w:tcPr>
                  <w:tcW w:w="700" w:type="dxa"/>
                  <w:tcBorders>
                    <w:top w:val="nil"/>
                    <w:left w:val="nil"/>
                    <w:bottom w:val="nil"/>
                    <w:right w:val="nil"/>
                  </w:tcBorders>
                  <w:noWrap/>
                  <w:vAlign w:val="bottom"/>
                  <w:hideMark/>
                </w:tcPr>
                <w:p w14:paraId="478AE797"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5,3</w:t>
                  </w:r>
                </w:p>
              </w:tc>
              <w:tc>
                <w:tcPr>
                  <w:tcW w:w="700" w:type="dxa"/>
                  <w:tcBorders>
                    <w:top w:val="nil"/>
                    <w:left w:val="nil"/>
                    <w:bottom w:val="nil"/>
                    <w:right w:val="nil"/>
                  </w:tcBorders>
                  <w:noWrap/>
                  <w:vAlign w:val="bottom"/>
                  <w:hideMark/>
                </w:tcPr>
                <w:p w14:paraId="36E368FE"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13,1</w:t>
                  </w:r>
                </w:p>
              </w:tc>
              <w:tc>
                <w:tcPr>
                  <w:tcW w:w="700" w:type="dxa"/>
                  <w:tcBorders>
                    <w:top w:val="nil"/>
                    <w:left w:val="nil"/>
                    <w:bottom w:val="nil"/>
                    <w:right w:val="nil"/>
                  </w:tcBorders>
                  <w:noWrap/>
                  <w:vAlign w:val="bottom"/>
                  <w:hideMark/>
                </w:tcPr>
                <w:p w14:paraId="4D3FA9A5"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17,8</w:t>
                  </w:r>
                </w:p>
              </w:tc>
              <w:tc>
                <w:tcPr>
                  <w:tcW w:w="700" w:type="dxa"/>
                  <w:tcBorders>
                    <w:top w:val="nil"/>
                    <w:left w:val="nil"/>
                    <w:bottom w:val="nil"/>
                    <w:right w:val="nil"/>
                  </w:tcBorders>
                  <w:noWrap/>
                  <w:vAlign w:val="bottom"/>
                  <w:hideMark/>
                </w:tcPr>
                <w:p w14:paraId="1E5C02D3"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18,8</w:t>
                  </w:r>
                </w:p>
              </w:tc>
            </w:tr>
            <w:tr w:rsidR="006B1AFC" w:rsidRPr="00E04316" w14:paraId="38CEF0ED" w14:textId="77777777" w:rsidTr="003C4A79">
              <w:trPr>
                <w:trHeight w:val="255"/>
              </w:trPr>
              <w:tc>
                <w:tcPr>
                  <w:tcW w:w="3880" w:type="dxa"/>
                  <w:tcBorders>
                    <w:top w:val="nil"/>
                    <w:left w:val="nil"/>
                    <w:bottom w:val="nil"/>
                    <w:right w:val="nil"/>
                  </w:tcBorders>
                  <w:vAlign w:val="center"/>
                  <w:hideMark/>
                </w:tcPr>
                <w:p w14:paraId="50C9F741" w14:textId="77777777" w:rsidR="006B1AFC" w:rsidRPr="00E04316" w:rsidRDefault="006B1AFC" w:rsidP="003C4A79">
                  <w:pPr>
                    <w:spacing w:after="0" w:line="240" w:lineRule="auto"/>
                    <w:ind w:firstLine="224"/>
                    <w:jc w:val="left"/>
                    <w:rPr>
                      <w:rFonts w:cs="Arial"/>
                      <w:color w:val="000000"/>
                      <w:sz w:val="16"/>
                      <w:szCs w:val="16"/>
                      <w:lang w:eastAsia="ko-KR"/>
                    </w:rPr>
                  </w:pPr>
                  <w:r w:rsidRPr="00E04316">
                    <w:rPr>
                      <w:rFonts w:cs="Arial"/>
                      <w:color w:val="000000"/>
                      <w:sz w:val="16"/>
                      <w:szCs w:val="16"/>
                      <w:lang w:eastAsia="ko-KR"/>
                    </w:rPr>
                    <w:t>Drůbež</w:t>
                  </w:r>
                </w:p>
              </w:tc>
              <w:tc>
                <w:tcPr>
                  <w:tcW w:w="700" w:type="dxa"/>
                  <w:tcBorders>
                    <w:top w:val="nil"/>
                    <w:left w:val="nil"/>
                    <w:bottom w:val="nil"/>
                    <w:right w:val="nil"/>
                  </w:tcBorders>
                  <w:noWrap/>
                  <w:vAlign w:val="bottom"/>
                  <w:hideMark/>
                </w:tcPr>
                <w:p w14:paraId="6F1F52AD"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7,2</w:t>
                  </w:r>
                </w:p>
              </w:tc>
              <w:tc>
                <w:tcPr>
                  <w:tcW w:w="700" w:type="dxa"/>
                  <w:tcBorders>
                    <w:top w:val="nil"/>
                    <w:left w:val="nil"/>
                    <w:bottom w:val="nil"/>
                    <w:right w:val="nil"/>
                  </w:tcBorders>
                  <w:noWrap/>
                  <w:vAlign w:val="bottom"/>
                  <w:hideMark/>
                </w:tcPr>
                <w:p w14:paraId="1FB39D6D"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0,7</w:t>
                  </w:r>
                </w:p>
              </w:tc>
              <w:tc>
                <w:tcPr>
                  <w:tcW w:w="700" w:type="dxa"/>
                  <w:tcBorders>
                    <w:top w:val="nil"/>
                    <w:left w:val="nil"/>
                    <w:bottom w:val="nil"/>
                    <w:right w:val="nil"/>
                  </w:tcBorders>
                  <w:noWrap/>
                  <w:vAlign w:val="bottom"/>
                  <w:hideMark/>
                </w:tcPr>
                <w:p w14:paraId="48AB2BB3"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2,6</w:t>
                  </w:r>
                </w:p>
              </w:tc>
              <w:tc>
                <w:tcPr>
                  <w:tcW w:w="700" w:type="dxa"/>
                  <w:tcBorders>
                    <w:top w:val="nil"/>
                    <w:left w:val="nil"/>
                    <w:bottom w:val="nil"/>
                    <w:right w:val="nil"/>
                  </w:tcBorders>
                  <w:noWrap/>
                  <w:vAlign w:val="bottom"/>
                  <w:hideMark/>
                </w:tcPr>
                <w:p w14:paraId="69B84858"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6,0</w:t>
                  </w:r>
                </w:p>
              </w:tc>
              <w:tc>
                <w:tcPr>
                  <w:tcW w:w="700" w:type="dxa"/>
                  <w:tcBorders>
                    <w:top w:val="nil"/>
                    <w:left w:val="nil"/>
                    <w:bottom w:val="nil"/>
                    <w:right w:val="nil"/>
                  </w:tcBorders>
                  <w:noWrap/>
                  <w:vAlign w:val="bottom"/>
                  <w:hideMark/>
                </w:tcPr>
                <w:p w14:paraId="5DBC3B66"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11,3</w:t>
                  </w:r>
                </w:p>
              </w:tc>
              <w:tc>
                <w:tcPr>
                  <w:tcW w:w="700" w:type="dxa"/>
                  <w:tcBorders>
                    <w:top w:val="nil"/>
                    <w:left w:val="nil"/>
                    <w:bottom w:val="nil"/>
                    <w:right w:val="nil"/>
                  </w:tcBorders>
                  <w:noWrap/>
                  <w:vAlign w:val="bottom"/>
                  <w:hideMark/>
                </w:tcPr>
                <w:p w14:paraId="193F9352"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11,9</w:t>
                  </w:r>
                </w:p>
              </w:tc>
              <w:tc>
                <w:tcPr>
                  <w:tcW w:w="700" w:type="dxa"/>
                  <w:tcBorders>
                    <w:top w:val="nil"/>
                    <w:left w:val="nil"/>
                    <w:bottom w:val="nil"/>
                    <w:right w:val="nil"/>
                  </w:tcBorders>
                  <w:noWrap/>
                  <w:vAlign w:val="bottom"/>
                  <w:hideMark/>
                </w:tcPr>
                <w:p w14:paraId="37036D68"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9,3</w:t>
                  </w:r>
                </w:p>
              </w:tc>
              <w:tc>
                <w:tcPr>
                  <w:tcW w:w="700" w:type="dxa"/>
                  <w:tcBorders>
                    <w:top w:val="nil"/>
                    <w:left w:val="nil"/>
                    <w:bottom w:val="nil"/>
                    <w:right w:val="nil"/>
                  </w:tcBorders>
                  <w:noWrap/>
                  <w:vAlign w:val="bottom"/>
                  <w:hideMark/>
                </w:tcPr>
                <w:p w14:paraId="1989069A"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4,8</w:t>
                  </w:r>
                </w:p>
              </w:tc>
            </w:tr>
            <w:tr w:rsidR="006B1AFC" w:rsidRPr="00E04316" w14:paraId="23A248B1" w14:textId="77777777" w:rsidTr="003C4A79">
              <w:trPr>
                <w:trHeight w:val="255"/>
              </w:trPr>
              <w:tc>
                <w:tcPr>
                  <w:tcW w:w="3880" w:type="dxa"/>
                  <w:tcBorders>
                    <w:top w:val="nil"/>
                    <w:left w:val="nil"/>
                    <w:bottom w:val="nil"/>
                    <w:right w:val="nil"/>
                  </w:tcBorders>
                  <w:vAlign w:val="center"/>
                  <w:hideMark/>
                </w:tcPr>
                <w:p w14:paraId="75FD89AA" w14:textId="77777777" w:rsidR="006B1AFC" w:rsidRPr="00E04316" w:rsidRDefault="006B1AFC" w:rsidP="003C4A79">
                  <w:pPr>
                    <w:spacing w:after="0" w:line="240" w:lineRule="auto"/>
                    <w:ind w:firstLine="224"/>
                    <w:jc w:val="left"/>
                    <w:rPr>
                      <w:rFonts w:cs="Arial"/>
                      <w:color w:val="000000"/>
                      <w:sz w:val="16"/>
                      <w:szCs w:val="16"/>
                      <w:lang w:eastAsia="ko-KR"/>
                    </w:rPr>
                  </w:pPr>
                  <w:r w:rsidRPr="00E04316">
                    <w:rPr>
                      <w:rFonts w:cs="Arial"/>
                      <w:color w:val="000000"/>
                      <w:sz w:val="16"/>
                      <w:szCs w:val="16"/>
                      <w:lang w:eastAsia="ko-KR"/>
                    </w:rPr>
                    <w:t>Mléko</w:t>
                  </w:r>
                </w:p>
              </w:tc>
              <w:tc>
                <w:tcPr>
                  <w:tcW w:w="700" w:type="dxa"/>
                  <w:tcBorders>
                    <w:top w:val="nil"/>
                    <w:left w:val="nil"/>
                    <w:bottom w:val="nil"/>
                    <w:right w:val="nil"/>
                  </w:tcBorders>
                  <w:noWrap/>
                  <w:vAlign w:val="bottom"/>
                  <w:hideMark/>
                </w:tcPr>
                <w:p w14:paraId="1A97293C"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10,5</w:t>
                  </w:r>
                </w:p>
              </w:tc>
              <w:tc>
                <w:tcPr>
                  <w:tcW w:w="700" w:type="dxa"/>
                  <w:tcBorders>
                    <w:top w:val="nil"/>
                    <w:left w:val="nil"/>
                    <w:bottom w:val="nil"/>
                    <w:right w:val="nil"/>
                  </w:tcBorders>
                  <w:noWrap/>
                  <w:vAlign w:val="bottom"/>
                  <w:hideMark/>
                </w:tcPr>
                <w:p w14:paraId="34159A9F"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17,8</w:t>
                  </w:r>
                </w:p>
              </w:tc>
              <w:tc>
                <w:tcPr>
                  <w:tcW w:w="700" w:type="dxa"/>
                  <w:tcBorders>
                    <w:top w:val="nil"/>
                    <w:left w:val="nil"/>
                    <w:bottom w:val="nil"/>
                    <w:right w:val="nil"/>
                  </w:tcBorders>
                  <w:noWrap/>
                  <w:vAlign w:val="bottom"/>
                  <w:hideMark/>
                </w:tcPr>
                <w:p w14:paraId="3BD9859A"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17,9</w:t>
                  </w:r>
                </w:p>
              </w:tc>
              <w:tc>
                <w:tcPr>
                  <w:tcW w:w="700" w:type="dxa"/>
                  <w:tcBorders>
                    <w:top w:val="nil"/>
                    <w:left w:val="nil"/>
                    <w:bottom w:val="nil"/>
                    <w:right w:val="nil"/>
                  </w:tcBorders>
                  <w:noWrap/>
                  <w:vAlign w:val="bottom"/>
                  <w:hideMark/>
                </w:tcPr>
                <w:p w14:paraId="22E7357F"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19,7</w:t>
                  </w:r>
                </w:p>
              </w:tc>
              <w:tc>
                <w:tcPr>
                  <w:tcW w:w="700" w:type="dxa"/>
                  <w:tcBorders>
                    <w:top w:val="nil"/>
                    <w:left w:val="nil"/>
                    <w:bottom w:val="nil"/>
                    <w:right w:val="nil"/>
                  </w:tcBorders>
                  <w:noWrap/>
                  <w:vAlign w:val="bottom"/>
                  <w:hideMark/>
                </w:tcPr>
                <w:p w14:paraId="1AFC06BB"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19,7</w:t>
                  </w:r>
                </w:p>
              </w:tc>
              <w:tc>
                <w:tcPr>
                  <w:tcW w:w="700" w:type="dxa"/>
                  <w:tcBorders>
                    <w:top w:val="nil"/>
                    <w:left w:val="nil"/>
                    <w:bottom w:val="nil"/>
                    <w:right w:val="nil"/>
                  </w:tcBorders>
                  <w:noWrap/>
                  <w:vAlign w:val="bottom"/>
                  <w:hideMark/>
                </w:tcPr>
                <w:p w14:paraId="519AF33F"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10,3</w:t>
                  </w:r>
                </w:p>
              </w:tc>
              <w:tc>
                <w:tcPr>
                  <w:tcW w:w="700" w:type="dxa"/>
                  <w:tcBorders>
                    <w:top w:val="nil"/>
                    <w:left w:val="nil"/>
                    <w:bottom w:val="nil"/>
                    <w:right w:val="nil"/>
                  </w:tcBorders>
                  <w:noWrap/>
                  <w:vAlign w:val="bottom"/>
                  <w:hideMark/>
                </w:tcPr>
                <w:p w14:paraId="4072A462"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11,4</w:t>
                  </w:r>
                </w:p>
              </w:tc>
              <w:tc>
                <w:tcPr>
                  <w:tcW w:w="700" w:type="dxa"/>
                  <w:tcBorders>
                    <w:top w:val="nil"/>
                    <w:left w:val="nil"/>
                    <w:bottom w:val="nil"/>
                    <w:right w:val="nil"/>
                  </w:tcBorders>
                  <w:noWrap/>
                  <w:vAlign w:val="bottom"/>
                  <w:hideMark/>
                </w:tcPr>
                <w:p w14:paraId="09191E0B"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24,3</w:t>
                  </w:r>
                </w:p>
              </w:tc>
            </w:tr>
            <w:tr w:rsidR="006B1AFC" w:rsidRPr="00E04316" w14:paraId="04650E8C" w14:textId="77777777" w:rsidTr="003C4A79">
              <w:trPr>
                <w:trHeight w:val="255"/>
              </w:trPr>
              <w:tc>
                <w:tcPr>
                  <w:tcW w:w="3880" w:type="dxa"/>
                  <w:tcBorders>
                    <w:top w:val="nil"/>
                    <w:left w:val="nil"/>
                    <w:bottom w:val="nil"/>
                    <w:right w:val="nil"/>
                  </w:tcBorders>
                  <w:vAlign w:val="center"/>
                  <w:hideMark/>
                </w:tcPr>
                <w:p w14:paraId="23CB66B9" w14:textId="77777777" w:rsidR="006B1AFC" w:rsidRPr="00E04316" w:rsidRDefault="006B1AFC" w:rsidP="003C4A79">
                  <w:pPr>
                    <w:spacing w:after="0" w:line="240" w:lineRule="auto"/>
                    <w:ind w:firstLine="224"/>
                    <w:jc w:val="left"/>
                    <w:rPr>
                      <w:rFonts w:cs="Arial"/>
                      <w:color w:val="000000"/>
                      <w:sz w:val="16"/>
                      <w:szCs w:val="16"/>
                      <w:lang w:eastAsia="ko-KR"/>
                    </w:rPr>
                  </w:pPr>
                  <w:r w:rsidRPr="00E04316">
                    <w:rPr>
                      <w:rFonts w:cs="Arial"/>
                      <w:color w:val="000000"/>
                      <w:sz w:val="16"/>
                      <w:szCs w:val="16"/>
                      <w:lang w:eastAsia="ko-KR"/>
                    </w:rPr>
                    <w:t>Vejce</w:t>
                  </w:r>
                </w:p>
              </w:tc>
              <w:tc>
                <w:tcPr>
                  <w:tcW w:w="700" w:type="dxa"/>
                  <w:tcBorders>
                    <w:top w:val="nil"/>
                    <w:left w:val="nil"/>
                    <w:bottom w:val="nil"/>
                    <w:right w:val="nil"/>
                  </w:tcBorders>
                  <w:noWrap/>
                  <w:vAlign w:val="bottom"/>
                  <w:hideMark/>
                </w:tcPr>
                <w:p w14:paraId="4D30986E" w14:textId="77777777" w:rsidR="006B1AFC" w:rsidRPr="00E04316"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E04316">
                    <w:rPr>
                      <w:rFonts w:cs="Arial"/>
                      <w:color w:val="000000"/>
                      <w:sz w:val="16"/>
                      <w:szCs w:val="16"/>
                      <w:lang w:eastAsia="ko-KR"/>
                    </w:rPr>
                    <w:t>14,1</w:t>
                  </w:r>
                </w:p>
              </w:tc>
              <w:tc>
                <w:tcPr>
                  <w:tcW w:w="700" w:type="dxa"/>
                  <w:tcBorders>
                    <w:top w:val="nil"/>
                    <w:left w:val="nil"/>
                    <w:bottom w:val="nil"/>
                    <w:right w:val="nil"/>
                  </w:tcBorders>
                  <w:noWrap/>
                  <w:vAlign w:val="bottom"/>
                  <w:hideMark/>
                </w:tcPr>
                <w:p w14:paraId="5C5489E7"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10,3</w:t>
                  </w:r>
                </w:p>
              </w:tc>
              <w:tc>
                <w:tcPr>
                  <w:tcW w:w="700" w:type="dxa"/>
                  <w:tcBorders>
                    <w:top w:val="nil"/>
                    <w:left w:val="nil"/>
                    <w:bottom w:val="nil"/>
                    <w:right w:val="nil"/>
                  </w:tcBorders>
                  <w:noWrap/>
                  <w:vAlign w:val="bottom"/>
                  <w:hideMark/>
                </w:tcPr>
                <w:p w14:paraId="323B49DF"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25,1</w:t>
                  </w:r>
                </w:p>
              </w:tc>
              <w:tc>
                <w:tcPr>
                  <w:tcW w:w="700" w:type="dxa"/>
                  <w:tcBorders>
                    <w:top w:val="nil"/>
                    <w:left w:val="nil"/>
                    <w:bottom w:val="nil"/>
                    <w:right w:val="nil"/>
                  </w:tcBorders>
                  <w:noWrap/>
                  <w:vAlign w:val="bottom"/>
                  <w:hideMark/>
                </w:tcPr>
                <w:p w14:paraId="278DB985"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41,8</w:t>
                  </w:r>
                </w:p>
              </w:tc>
              <w:tc>
                <w:tcPr>
                  <w:tcW w:w="700" w:type="dxa"/>
                  <w:tcBorders>
                    <w:top w:val="nil"/>
                    <w:left w:val="nil"/>
                    <w:bottom w:val="nil"/>
                    <w:right w:val="nil"/>
                  </w:tcBorders>
                  <w:noWrap/>
                  <w:vAlign w:val="bottom"/>
                  <w:hideMark/>
                </w:tcPr>
                <w:p w14:paraId="0312DE10"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43,4</w:t>
                  </w:r>
                </w:p>
              </w:tc>
              <w:tc>
                <w:tcPr>
                  <w:tcW w:w="700" w:type="dxa"/>
                  <w:tcBorders>
                    <w:top w:val="nil"/>
                    <w:left w:val="nil"/>
                    <w:bottom w:val="nil"/>
                    <w:right w:val="nil"/>
                  </w:tcBorders>
                  <w:noWrap/>
                  <w:vAlign w:val="bottom"/>
                  <w:hideMark/>
                </w:tcPr>
                <w:p w14:paraId="05DDCEE1"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35,4</w:t>
                  </w:r>
                </w:p>
              </w:tc>
              <w:tc>
                <w:tcPr>
                  <w:tcW w:w="700" w:type="dxa"/>
                  <w:tcBorders>
                    <w:top w:val="nil"/>
                    <w:left w:val="nil"/>
                    <w:bottom w:val="nil"/>
                    <w:right w:val="nil"/>
                  </w:tcBorders>
                  <w:noWrap/>
                  <w:vAlign w:val="bottom"/>
                  <w:hideMark/>
                </w:tcPr>
                <w:p w14:paraId="295630A9"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21,2</w:t>
                  </w:r>
                </w:p>
              </w:tc>
              <w:tc>
                <w:tcPr>
                  <w:tcW w:w="700" w:type="dxa"/>
                  <w:tcBorders>
                    <w:top w:val="nil"/>
                    <w:left w:val="nil"/>
                    <w:bottom w:val="nil"/>
                    <w:right w:val="nil"/>
                  </w:tcBorders>
                  <w:noWrap/>
                  <w:vAlign w:val="bottom"/>
                  <w:hideMark/>
                </w:tcPr>
                <w:p w14:paraId="6A95803A" w14:textId="77777777" w:rsidR="006B1AFC" w:rsidRPr="00E04316" w:rsidRDefault="006B1AFC" w:rsidP="003C4A79">
                  <w:pPr>
                    <w:spacing w:after="0" w:line="240" w:lineRule="auto"/>
                    <w:jc w:val="right"/>
                    <w:rPr>
                      <w:rFonts w:cs="Arial"/>
                      <w:color w:val="000000"/>
                      <w:sz w:val="16"/>
                      <w:szCs w:val="16"/>
                      <w:lang w:eastAsia="ko-KR"/>
                    </w:rPr>
                  </w:pPr>
                  <w:r w:rsidRPr="00E04316">
                    <w:rPr>
                      <w:rFonts w:cs="Arial"/>
                      <w:color w:val="000000"/>
                      <w:sz w:val="16"/>
                      <w:szCs w:val="16"/>
                      <w:lang w:eastAsia="ko-KR"/>
                    </w:rPr>
                    <w:t>4,6</w:t>
                  </w:r>
                </w:p>
              </w:tc>
            </w:tr>
          </w:tbl>
          <w:p w14:paraId="33EBC802" w14:textId="77777777" w:rsidR="006B1AFC" w:rsidRDefault="006B1AFC" w:rsidP="003C4A79">
            <w:pPr>
              <w:rPr>
                <w:lang w:eastAsia="en-US"/>
              </w:rPr>
            </w:pPr>
          </w:p>
        </w:tc>
      </w:tr>
      <w:tr w:rsidR="006B1AFC" w14:paraId="07A89B5E" w14:textId="77777777" w:rsidTr="003C4A79">
        <w:trPr>
          <w:trHeight w:val="170"/>
        </w:trPr>
        <w:tc>
          <w:tcPr>
            <w:tcW w:w="9654" w:type="dxa"/>
            <w:gridSpan w:val="3"/>
          </w:tcPr>
          <w:p w14:paraId="6F89770A" w14:textId="77777777" w:rsidR="006B1AFC" w:rsidRDefault="006B1AFC" w:rsidP="003C4A79">
            <w:pPr>
              <w:spacing w:before="80" w:after="0"/>
              <w:rPr>
                <w:lang w:eastAsia="en-US"/>
              </w:rPr>
            </w:pPr>
            <w:r w:rsidRPr="00532E08">
              <w:rPr>
                <w:sz w:val="16"/>
                <w:szCs w:val="16"/>
                <w:lang w:eastAsia="en-US"/>
              </w:rPr>
              <w:t>Zdroj: ČSÚ</w:t>
            </w:r>
          </w:p>
        </w:tc>
      </w:tr>
      <w:tr w:rsidR="006B1AFC" w14:paraId="3D6BEAA2" w14:textId="77777777" w:rsidTr="003C4A79">
        <w:trPr>
          <w:trHeight w:val="145"/>
        </w:trPr>
        <w:tc>
          <w:tcPr>
            <w:tcW w:w="1812" w:type="dxa"/>
            <w:hideMark/>
          </w:tcPr>
          <w:p w14:paraId="6A5D2BCE" w14:textId="77777777" w:rsidR="006B1AFC" w:rsidRDefault="006B1AFC" w:rsidP="003C4A79">
            <w:pPr>
              <w:pStyle w:val="Marginlie"/>
              <w:rPr>
                <w:spacing w:val="0"/>
                <w:lang w:eastAsia="en-US"/>
              </w:rPr>
            </w:pPr>
            <w:r>
              <w:rPr>
                <w:spacing w:val="0"/>
                <w:lang w:eastAsia="en-US"/>
              </w:rPr>
              <w:lastRenderedPageBreak/>
              <w:t>Prohluboval se meziroční pokles cen zemědělských výrobců.</w:t>
            </w:r>
          </w:p>
        </w:tc>
        <w:tc>
          <w:tcPr>
            <w:tcW w:w="213" w:type="dxa"/>
          </w:tcPr>
          <w:p w14:paraId="136662B1" w14:textId="77777777" w:rsidR="006B1AFC" w:rsidRDefault="006B1AFC" w:rsidP="003C4A79">
            <w:pPr>
              <w:pStyle w:val="Textpoznpodarou1"/>
              <w:jc w:val="both"/>
              <w:rPr>
                <w:lang w:eastAsia="en-US"/>
              </w:rPr>
            </w:pPr>
          </w:p>
        </w:tc>
        <w:tc>
          <w:tcPr>
            <w:tcW w:w="7629" w:type="dxa"/>
            <w:hideMark/>
          </w:tcPr>
          <w:p w14:paraId="59E4E682" w14:textId="77777777" w:rsidR="006B1AFC" w:rsidRDefault="006B1AFC" w:rsidP="003C4A79">
            <w:pPr>
              <w:rPr>
                <w:lang w:eastAsia="en-US"/>
              </w:rPr>
            </w:pPr>
            <w:r>
              <w:rPr>
                <w:lang w:eastAsia="en-US"/>
              </w:rPr>
              <w:t xml:space="preserve">Meziroční pokles cen zemědělských výrobců se ve 2. čtvrtletí prohloubil na 12,4 %. Dvouciferný pokles si udržovaly ceny v rostlinné výrobě. S výjimkou zeleniny a zahradnických produktů (viz Tabulka č. 11) ostatní části rostlinné výroby vykazovaly meziroční pokles cen. U obilovin klesaly nejvíce ceny pšenice (−17,9 %), ječmene (−14,0 %), kukuřice (−13,9 %) a ovsa (−12,4 %). Pokles cen olejnin ovlivňovala řepka (−9,4 %), ale také značné prohloubení propadu cen máku (−19,8 %). Pokles cen brambor se kvůli vstupu nové konzumní produkce ve srovnání s předchozím kvartálem výrazně zmírnil. Ve 2. čtvrtletí se výrazně prohloubil meziroční propad cen v živočišné výrobě, a to klíčově ovlivnilo celkový vývoj cen zemědělských výrobců. Dál se udržoval značný meziroční pokles cen prasat a selat, ale zmírňoval se i růst cen ostatních zvířat – u skotu (býci, jalovice i telata) i drůbeže. Na meziroční snížení z 1. čtvrtletí navázaly dalším prohloubením poklesu ceny mléka a výrazně se zmírnil i růst cen vajec. </w:t>
            </w:r>
          </w:p>
        </w:tc>
      </w:tr>
      <w:tr w:rsidR="006B1AFC" w14:paraId="76A4292D" w14:textId="77777777" w:rsidTr="003C4A79">
        <w:trPr>
          <w:trHeight w:val="145"/>
        </w:trPr>
        <w:tc>
          <w:tcPr>
            <w:tcW w:w="9654" w:type="dxa"/>
            <w:gridSpan w:val="3"/>
          </w:tcPr>
          <w:p w14:paraId="701527C8" w14:textId="77777777" w:rsidR="006B1AFC" w:rsidRPr="00F879AD" w:rsidRDefault="006B1AFC" w:rsidP="003C4A79">
            <w:pPr>
              <w:pStyle w:val="Nadpis3"/>
              <w:spacing w:after="120"/>
              <w:rPr>
                <w:rStyle w:val="Znakapoznpodarou"/>
                <w:b w:val="0"/>
                <w:bCs w:val="0"/>
                <w:lang w:eastAsia="en-US"/>
              </w:rPr>
            </w:pPr>
            <w:bookmarkStart w:id="40" w:name="_Toc239947450"/>
            <w:bookmarkStart w:id="41" w:name="_Toc240366902"/>
            <w:r>
              <w:rPr>
                <w:lang w:eastAsia="en-US"/>
              </w:rPr>
              <w:t xml:space="preserve">5.3 </w:t>
            </w:r>
            <w:r w:rsidRPr="00F879AD">
              <w:rPr>
                <w:lang w:eastAsia="en-US"/>
              </w:rPr>
              <w:t>Ceny zahraničního obchodu</w:t>
            </w:r>
            <w:bookmarkEnd w:id="40"/>
            <w:bookmarkEnd w:id="41"/>
          </w:p>
        </w:tc>
      </w:tr>
      <w:tr w:rsidR="006B1AFC" w14:paraId="4DDF3EA9" w14:textId="77777777" w:rsidTr="003C4A79">
        <w:trPr>
          <w:trHeight w:val="170"/>
        </w:trPr>
        <w:tc>
          <w:tcPr>
            <w:tcW w:w="9654" w:type="dxa"/>
            <w:gridSpan w:val="3"/>
          </w:tcPr>
          <w:p w14:paraId="12CC9791" w14:textId="77777777" w:rsidR="006B1AFC" w:rsidRDefault="006B1AFC" w:rsidP="003C4A79">
            <w:pPr>
              <w:spacing w:after="0"/>
              <w:rPr>
                <w:lang w:eastAsia="en-US"/>
              </w:rPr>
            </w:pPr>
            <w:r w:rsidRPr="00532E08">
              <w:rPr>
                <w:b/>
                <w:bCs/>
                <w:lang w:eastAsia="en-US"/>
              </w:rPr>
              <w:t xml:space="preserve">Tabulka </w:t>
            </w:r>
            <w:r>
              <w:rPr>
                <w:b/>
                <w:bCs/>
                <w:lang w:eastAsia="en-US"/>
              </w:rPr>
              <w:t>č. 12</w:t>
            </w:r>
            <w:r w:rsidRPr="00532E08">
              <w:rPr>
                <w:b/>
                <w:bCs/>
                <w:lang w:eastAsia="en-US"/>
              </w:rPr>
              <w:t xml:space="preserve"> Vývoj cen </w:t>
            </w:r>
            <w:r>
              <w:rPr>
                <w:b/>
                <w:bCs/>
                <w:lang w:eastAsia="en-US"/>
              </w:rPr>
              <w:t xml:space="preserve">zahraničního obchodu se zbožím ve 2. čtvrtletí 2026 </w:t>
            </w:r>
            <w:r w:rsidRPr="00532E08">
              <w:rPr>
                <w:b/>
                <w:bCs/>
                <w:lang w:eastAsia="en-US"/>
              </w:rPr>
              <w:t>(v %)</w:t>
            </w:r>
          </w:p>
        </w:tc>
      </w:tr>
      <w:tr w:rsidR="006B1AFC" w14:paraId="0569577E" w14:textId="77777777" w:rsidTr="003C4A79">
        <w:trPr>
          <w:trHeight w:val="170"/>
        </w:trPr>
        <w:tc>
          <w:tcPr>
            <w:tcW w:w="9654" w:type="dxa"/>
            <w:gridSpan w:val="3"/>
          </w:tcPr>
          <w:tbl>
            <w:tblPr>
              <w:tblW w:w="9593" w:type="dxa"/>
              <w:tblLayout w:type="fixed"/>
              <w:tblCellMar>
                <w:left w:w="70" w:type="dxa"/>
                <w:right w:w="70" w:type="dxa"/>
              </w:tblCellMar>
              <w:tblLook w:val="04A0" w:firstRow="1" w:lastRow="0" w:firstColumn="1" w:lastColumn="0" w:noHBand="0" w:noVBand="1"/>
            </w:tblPr>
            <w:tblGrid>
              <w:gridCol w:w="4265"/>
              <w:gridCol w:w="888"/>
              <w:gridCol w:w="888"/>
              <w:gridCol w:w="888"/>
              <w:gridCol w:w="888"/>
              <w:gridCol w:w="888"/>
              <w:gridCol w:w="888"/>
            </w:tblGrid>
            <w:tr w:rsidR="006B1AFC" w:rsidRPr="009771ED" w14:paraId="4A77F0E1" w14:textId="77777777" w:rsidTr="003C4A79">
              <w:trPr>
                <w:trHeight w:val="255"/>
              </w:trPr>
              <w:tc>
                <w:tcPr>
                  <w:tcW w:w="4265" w:type="dxa"/>
                  <w:tcBorders>
                    <w:top w:val="nil"/>
                    <w:left w:val="nil"/>
                    <w:bottom w:val="nil"/>
                    <w:right w:val="nil"/>
                  </w:tcBorders>
                  <w:noWrap/>
                  <w:vAlign w:val="bottom"/>
                  <w:hideMark/>
                </w:tcPr>
                <w:p w14:paraId="0873C0F3" w14:textId="77777777" w:rsidR="006B1AFC" w:rsidRPr="009771ED" w:rsidRDefault="006B1AFC" w:rsidP="003C4A79">
                  <w:pPr>
                    <w:spacing w:after="0" w:line="240" w:lineRule="auto"/>
                    <w:jc w:val="left"/>
                    <w:rPr>
                      <w:rFonts w:ascii="Times New Roman" w:hAnsi="Times New Roman"/>
                      <w:sz w:val="24"/>
                      <w:szCs w:val="20"/>
                      <w:lang w:eastAsia="ko-KR"/>
                    </w:rPr>
                  </w:pPr>
                </w:p>
              </w:tc>
              <w:tc>
                <w:tcPr>
                  <w:tcW w:w="2664" w:type="dxa"/>
                  <w:gridSpan w:val="3"/>
                  <w:tcBorders>
                    <w:top w:val="nil"/>
                    <w:left w:val="nil"/>
                    <w:bottom w:val="nil"/>
                    <w:right w:val="nil"/>
                  </w:tcBorders>
                  <w:noWrap/>
                  <w:vAlign w:val="center"/>
                  <w:hideMark/>
                </w:tcPr>
                <w:p w14:paraId="5BBDDECD" w14:textId="77777777" w:rsidR="006B1AFC" w:rsidRPr="009771ED" w:rsidRDefault="006B1AFC" w:rsidP="003C4A79">
                  <w:pPr>
                    <w:spacing w:after="0" w:line="240" w:lineRule="auto"/>
                    <w:jc w:val="center"/>
                    <w:rPr>
                      <w:rFonts w:cs="Arial"/>
                      <w:color w:val="000000"/>
                      <w:sz w:val="16"/>
                      <w:szCs w:val="16"/>
                      <w:lang w:eastAsia="ko-KR"/>
                    </w:rPr>
                  </w:pPr>
                  <w:r w:rsidRPr="009771ED">
                    <w:rPr>
                      <w:rFonts w:cs="Arial"/>
                      <w:color w:val="000000"/>
                      <w:sz w:val="16"/>
                      <w:szCs w:val="16"/>
                      <w:lang w:eastAsia="ko-KR"/>
                    </w:rPr>
                    <w:t>mezičtvrtletně</w:t>
                  </w:r>
                </w:p>
              </w:tc>
              <w:tc>
                <w:tcPr>
                  <w:tcW w:w="2664" w:type="dxa"/>
                  <w:gridSpan w:val="3"/>
                  <w:tcBorders>
                    <w:top w:val="nil"/>
                    <w:left w:val="nil"/>
                    <w:bottom w:val="nil"/>
                    <w:right w:val="nil"/>
                  </w:tcBorders>
                  <w:noWrap/>
                  <w:vAlign w:val="center"/>
                  <w:hideMark/>
                </w:tcPr>
                <w:p w14:paraId="1E1944FA" w14:textId="77777777" w:rsidR="006B1AFC" w:rsidRPr="009771ED" w:rsidRDefault="006B1AFC" w:rsidP="003C4A79">
                  <w:pPr>
                    <w:spacing w:after="0" w:line="240" w:lineRule="auto"/>
                    <w:jc w:val="center"/>
                    <w:rPr>
                      <w:rFonts w:cs="Arial"/>
                      <w:color w:val="000000"/>
                      <w:sz w:val="16"/>
                      <w:szCs w:val="16"/>
                      <w:lang w:eastAsia="ko-KR"/>
                    </w:rPr>
                  </w:pPr>
                  <w:r w:rsidRPr="009771ED">
                    <w:rPr>
                      <w:rFonts w:cs="Arial"/>
                      <w:color w:val="000000"/>
                      <w:sz w:val="16"/>
                      <w:szCs w:val="16"/>
                      <w:lang w:eastAsia="ko-KR"/>
                    </w:rPr>
                    <w:t>meziročně</w:t>
                  </w:r>
                </w:p>
              </w:tc>
            </w:tr>
            <w:tr w:rsidR="006B1AFC" w:rsidRPr="009771ED" w14:paraId="4C6F6A5C" w14:textId="77777777" w:rsidTr="003C4A79">
              <w:trPr>
                <w:trHeight w:val="255"/>
              </w:trPr>
              <w:tc>
                <w:tcPr>
                  <w:tcW w:w="4265" w:type="dxa"/>
                  <w:tcBorders>
                    <w:top w:val="nil"/>
                    <w:left w:val="nil"/>
                    <w:bottom w:val="nil"/>
                    <w:right w:val="nil"/>
                  </w:tcBorders>
                  <w:noWrap/>
                  <w:vAlign w:val="bottom"/>
                  <w:hideMark/>
                </w:tcPr>
                <w:p w14:paraId="7660BB35" w14:textId="77777777" w:rsidR="006B1AFC" w:rsidRPr="009771ED" w:rsidRDefault="006B1AFC" w:rsidP="003C4A79">
                  <w:pPr>
                    <w:spacing w:after="0" w:line="240" w:lineRule="auto"/>
                    <w:jc w:val="center"/>
                    <w:rPr>
                      <w:rFonts w:cs="Arial"/>
                      <w:color w:val="000000"/>
                      <w:sz w:val="16"/>
                      <w:szCs w:val="16"/>
                      <w:lang w:eastAsia="ko-KR"/>
                    </w:rPr>
                  </w:pPr>
                </w:p>
              </w:tc>
              <w:tc>
                <w:tcPr>
                  <w:tcW w:w="888" w:type="dxa"/>
                  <w:tcBorders>
                    <w:top w:val="nil"/>
                    <w:left w:val="nil"/>
                    <w:bottom w:val="nil"/>
                    <w:right w:val="nil"/>
                  </w:tcBorders>
                  <w:noWrap/>
                  <w:vAlign w:val="center"/>
                  <w:hideMark/>
                </w:tcPr>
                <w:p w14:paraId="77FAC76D" w14:textId="77777777" w:rsidR="006B1AFC" w:rsidRPr="009771ED" w:rsidRDefault="006B1AFC" w:rsidP="003C4A79">
                  <w:pPr>
                    <w:spacing w:after="0" w:line="240" w:lineRule="auto"/>
                    <w:jc w:val="center"/>
                    <w:rPr>
                      <w:rFonts w:cs="Arial"/>
                      <w:color w:val="000000"/>
                      <w:sz w:val="16"/>
                      <w:szCs w:val="16"/>
                      <w:lang w:eastAsia="ko-KR"/>
                    </w:rPr>
                  </w:pPr>
                  <w:r w:rsidRPr="009771ED">
                    <w:rPr>
                      <w:rFonts w:cs="Arial"/>
                      <w:color w:val="000000"/>
                      <w:sz w:val="16"/>
                      <w:szCs w:val="16"/>
                      <w:lang w:eastAsia="ko-KR"/>
                    </w:rPr>
                    <w:t>vývoz</w:t>
                  </w:r>
                </w:p>
              </w:tc>
              <w:tc>
                <w:tcPr>
                  <w:tcW w:w="888" w:type="dxa"/>
                  <w:tcBorders>
                    <w:top w:val="nil"/>
                    <w:left w:val="nil"/>
                    <w:bottom w:val="nil"/>
                    <w:right w:val="nil"/>
                  </w:tcBorders>
                  <w:noWrap/>
                  <w:vAlign w:val="center"/>
                  <w:hideMark/>
                </w:tcPr>
                <w:p w14:paraId="6AC1A571" w14:textId="77777777" w:rsidR="006B1AFC" w:rsidRPr="009771ED" w:rsidRDefault="006B1AFC" w:rsidP="003C4A79">
                  <w:pPr>
                    <w:spacing w:after="0" w:line="240" w:lineRule="auto"/>
                    <w:jc w:val="center"/>
                    <w:rPr>
                      <w:rFonts w:cs="Arial"/>
                      <w:color w:val="000000"/>
                      <w:sz w:val="16"/>
                      <w:szCs w:val="16"/>
                      <w:lang w:eastAsia="ko-KR"/>
                    </w:rPr>
                  </w:pPr>
                  <w:r w:rsidRPr="009771ED">
                    <w:rPr>
                      <w:rFonts w:cs="Arial"/>
                      <w:color w:val="000000"/>
                      <w:sz w:val="16"/>
                      <w:szCs w:val="16"/>
                      <w:lang w:eastAsia="ko-KR"/>
                    </w:rPr>
                    <w:t>dovoz</w:t>
                  </w:r>
                </w:p>
              </w:tc>
              <w:tc>
                <w:tcPr>
                  <w:tcW w:w="888" w:type="dxa"/>
                  <w:tcBorders>
                    <w:top w:val="nil"/>
                    <w:left w:val="nil"/>
                    <w:bottom w:val="nil"/>
                    <w:right w:val="nil"/>
                  </w:tcBorders>
                  <w:noWrap/>
                  <w:vAlign w:val="center"/>
                  <w:hideMark/>
                </w:tcPr>
                <w:p w14:paraId="21F4E234" w14:textId="77777777" w:rsidR="006B1AFC" w:rsidRPr="009771ED" w:rsidRDefault="006B1AFC" w:rsidP="003C4A79">
                  <w:pPr>
                    <w:spacing w:after="0" w:line="240" w:lineRule="auto"/>
                    <w:jc w:val="center"/>
                    <w:rPr>
                      <w:rFonts w:cs="Arial"/>
                      <w:color w:val="000000"/>
                      <w:sz w:val="16"/>
                      <w:szCs w:val="16"/>
                      <w:lang w:eastAsia="ko-KR"/>
                    </w:rPr>
                  </w:pPr>
                  <w:r w:rsidRPr="009771ED">
                    <w:rPr>
                      <w:rFonts w:cs="Arial"/>
                      <w:color w:val="000000"/>
                      <w:sz w:val="16"/>
                      <w:szCs w:val="16"/>
                      <w:lang w:eastAsia="ko-KR"/>
                    </w:rPr>
                    <w:t>směnné relace</w:t>
                  </w:r>
                </w:p>
              </w:tc>
              <w:tc>
                <w:tcPr>
                  <w:tcW w:w="888" w:type="dxa"/>
                  <w:tcBorders>
                    <w:top w:val="nil"/>
                    <w:left w:val="nil"/>
                    <w:bottom w:val="nil"/>
                    <w:right w:val="nil"/>
                  </w:tcBorders>
                  <w:noWrap/>
                  <w:vAlign w:val="center"/>
                  <w:hideMark/>
                </w:tcPr>
                <w:p w14:paraId="4A96ABEC" w14:textId="77777777" w:rsidR="006B1AFC" w:rsidRPr="009771ED" w:rsidRDefault="006B1AFC" w:rsidP="003C4A79">
                  <w:pPr>
                    <w:spacing w:after="0" w:line="240" w:lineRule="auto"/>
                    <w:jc w:val="center"/>
                    <w:rPr>
                      <w:rFonts w:cs="Arial"/>
                      <w:color w:val="000000"/>
                      <w:sz w:val="16"/>
                      <w:szCs w:val="16"/>
                      <w:lang w:eastAsia="ko-KR"/>
                    </w:rPr>
                  </w:pPr>
                  <w:r w:rsidRPr="009771ED">
                    <w:rPr>
                      <w:rFonts w:cs="Arial"/>
                      <w:color w:val="000000"/>
                      <w:sz w:val="16"/>
                      <w:szCs w:val="16"/>
                      <w:lang w:eastAsia="ko-KR"/>
                    </w:rPr>
                    <w:t>vývoz</w:t>
                  </w:r>
                </w:p>
              </w:tc>
              <w:tc>
                <w:tcPr>
                  <w:tcW w:w="888" w:type="dxa"/>
                  <w:tcBorders>
                    <w:top w:val="nil"/>
                    <w:left w:val="nil"/>
                    <w:bottom w:val="nil"/>
                    <w:right w:val="nil"/>
                  </w:tcBorders>
                  <w:noWrap/>
                  <w:vAlign w:val="center"/>
                  <w:hideMark/>
                </w:tcPr>
                <w:p w14:paraId="114E5E12" w14:textId="77777777" w:rsidR="006B1AFC" w:rsidRPr="009771ED" w:rsidRDefault="006B1AFC" w:rsidP="003C4A79">
                  <w:pPr>
                    <w:spacing w:after="0" w:line="240" w:lineRule="auto"/>
                    <w:jc w:val="center"/>
                    <w:rPr>
                      <w:rFonts w:cs="Arial"/>
                      <w:color w:val="000000"/>
                      <w:sz w:val="16"/>
                      <w:szCs w:val="16"/>
                      <w:lang w:eastAsia="ko-KR"/>
                    </w:rPr>
                  </w:pPr>
                  <w:r w:rsidRPr="009771ED">
                    <w:rPr>
                      <w:rFonts w:cs="Arial"/>
                      <w:color w:val="000000"/>
                      <w:sz w:val="16"/>
                      <w:szCs w:val="16"/>
                      <w:lang w:eastAsia="ko-KR"/>
                    </w:rPr>
                    <w:t>dovoz</w:t>
                  </w:r>
                </w:p>
              </w:tc>
              <w:tc>
                <w:tcPr>
                  <w:tcW w:w="888" w:type="dxa"/>
                  <w:tcBorders>
                    <w:top w:val="nil"/>
                    <w:left w:val="nil"/>
                    <w:bottom w:val="single" w:sz="4" w:space="0" w:color="auto"/>
                    <w:right w:val="nil"/>
                  </w:tcBorders>
                  <w:noWrap/>
                  <w:vAlign w:val="center"/>
                  <w:hideMark/>
                </w:tcPr>
                <w:p w14:paraId="067B8A25" w14:textId="77777777" w:rsidR="006B1AFC" w:rsidRPr="009771ED" w:rsidRDefault="006B1AFC" w:rsidP="003C4A79">
                  <w:pPr>
                    <w:spacing w:after="0" w:line="240" w:lineRule="auto"/>
                    <w:jc w:val="center"/>
                    <w:rPr>
                      <w:rFonts w:cs="Arial"/>
                      <w:color w:val="000000"/>
                      <w:sz w:val="16"/>
                      <w:szCs w:val="16"/>
                      <w:lang w:eastAsia="ko-KR"/>
                    </w:rPr>
                  </w:pPr>
                  <w:r w:rsidRPr="009771ED">
                    <w:rPr>
                      <w:rFonts w:cs="Arial"/>
                      <w:color w:val="000000"/>
                      <w:sz w:val="16"/>
                      <w:szCs w:val="16"/>
                      <w:lang w:eastAsia="ko-KR"/>
                    </w:rPr>
                    <w:t>směnné relace</w:t>
                  </w:r>
                </w:p>
              </w:tc>
            </w:tr>
            <w:tr w:rsidR="006B1AFC" w:rsidRPr="009771ED" w14:paraId="1E491ABF" w14:textId="77777777" w:rsidTr="003C4A79">
              <w:trPr>
                <w:trHeight w:val="255"/>
              </w:trPr>
              <w:tc>
                <w:tcPr>
                  <w:tcW w:w="4265" w:type="dxa"/>
                  <w:tcBorders>
                    <w:top w:val="single" w:sz="4" w:space="0" w:color="auto"/>
                    <w:left w:val="nil"/>
                    <w:bottom w:val="nil"/>
                    <w:right w:val="nil"/>
                  </w:tcBorders>
                  <w:noWrap/>
                  <w:vAlign w:val="center"/>
                  <w:hideMark/>
                </w:tcPr>
                <w:p w14:paraId="695018BF" w14:textId="77777777" w:rsidR="006B1AFC" w:rsidRPr="009771ED" w:rsidRDefault="006B1AFC" w:rsidP="003C4A79">
                  <w:pPr>
                    <w:spacing w:after="0" w:line="240" w:lineRule="auto"/>
                    <w:jc w:val="left"/>
                    <w:rPr>
                      <w:rFonts w:cs="Arial"/>
                      <w:color w:val="000000"/>
                      <w:sz w:val="16"/>
                      <w:szCs w:val="16"/>
                      <w:lang w:eastAsia="ko-KR"/>
                    </w:rPr>
                  </w:pPr>
                  <w:r w:rsidRPr="009771ED">
                    <w:rPr>
                      <w:rFonts w:cs="Arial"/>
                      <w:color w:val="000000"/>
                      <w:sz w:val="16"/>
                      <w:szCs w:val="16"/>
                      <w:lang w:eastAsia="ko-KR"/>
                    </w:rPr>
                    <w:t>CELKEM</w:t>
                  </w:r>
                </w:p>
              </w:tc>
              <w:tc>
                <w:tcPr>
                  <w:tcW w:w="888" w:type="dxa"/>
                  <w:tcBorders>
                    <w:top w:val="single" w:sz="4" w:space="0" w:color="auto"/>
                    <w:left w:val="nil"/>
                    <w:bottom w:val="nil"/>
                    <w:right w:val="nil"/>
                  </w:tcBorders>
                  <w:noWrap/>
                  <w:vAlign w:val="bottom"/>
                  <w:hideMark/>
                </w:tcPr>
                <w:p w14:paraId="40D2429C"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2,4</w:t>
                  </w:r>
                </w:p>
              </w:tc>
              <w:tc>
                <w:tcPr>
                  <w:tcW w:w="888" w:type="dxa"/>
                  <w:tcBorders>
                    <w:top w:val="single" w:sz="4" w:space="0" w:color="auto"/>
                    <w:left w:val="nil"/>
                    <w:bottom w:val="nil"/>
                    <w:right w:val="nil"/>
                  </w:tcBorders>
                  <w:noWrap/>
                  <w:vAlign w:val="bottom"/>
                  <w:hideMark/>
                </w:tcPr>
                <w:p w14:paraId="5D5231BD"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4,7</w:t>
                  </w:r>
                </w:p>
              </w:tc>
              <w:tc>
                <w:tcPr>
                  <w:tcW w:w="888" w:type="dxa"/>
                  <w:tcBorders>
                    <w:top w:val="single" w:sz="4" w:space="0" w:color="auto"/>
                    <w:left w:val="nil"/>
                    <w:bottom w:val="nil"/>
                    <w:right w:val="nil"/>
                  </w:tcBorders>
                  <w:noWrap/>
                  <w:vAlign w:val="bottom"/>
                  <w:hideMark/>
                </w:tcPr>
                <w:p w14:paraId="354AFC0C"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97,8</w:t>
                  </w:r>
                </w:p>
              </w:tc>
              <w:tc>
                <w:tcPr>
                  <w:tcW w:w="888" w:type="dxa"/>
                  <w:tcBorders>
                    <w:top w:val="single" w:sz="4" w:space="0" w:color="auto"/>
                    <w:left w:val="nil"/>
                    <w:bottom w:val="nil"/>
                    <w:right w:val="nil"/>
                  </w:tcBorders>
                  <w:noWrap/>
                  <w:vAlign w:val="bottom"/>
                  <w:hideMark/>
                </w:tcPr>
                <w:p w14:paraId="18B430C7"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0,7</w:t>
                  </w:r>
                </w:p>
              </w:tc>
              <w:tc>
                <w:tcPr>
                  <w:tcW w:w="888" w:type="dxa"/>
                  <w:tcBorders>
                    <w:top w:val="single" w:sz="4" w:space="0" w:color="auto"/>
                    <w:left w:val="nil"/>
                    <w:bottom w:val="nil"/>
                    <w:right w:val="nil"/>
                  </w:tcBorders>
                  <w:noWrap/>
                  <w:vAlign w:val="bottom"/>
                  <w:hideMark/>
                </w:tcPr>
                <w:p w14:paraId="53C002A8"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2,8</w:t>
                  </w:r>
                </w:p>
              </w:tc>
              <w:tc>
                <w:tcPr>
                  <w:tcW w:w="888" w:type="dxa"/>
                  <w:tcBorders>
                    <w:top w:val="nil"/>
                    <w:left w:val="nil"/>
                    <w:bottom w:val="nil"/>
                    <w:right w:val="nil"/>
                  </w:tcBorders>
                  <w:noWrap/>
                  <w:vAlign w:val="bottom"/>
                  <w:hideMark/>
                </w:tcPr>
                <w:p w14:paraId="0832C1FF"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98,0</w:t>
                  </w:r>
                </w:p>
              </w:tc>
            </w:tr>
            <w:tr w:rsidR="006B1AFC" w:rsidRPr="009771ED" w14:paraId="4B87279A" w14:textId="77777777" w:rsidTr="003C4A79">
              <w:trPr>
                <w:trHeight w:val="255"/>
              </w:trPr>
              <w:tc>
                <w:tcPr>
                  <w:tcW w:w="4265" w:type="dxa"/>
                  <w:tcBorders>
                    <w:top w:val="nil"/>
                    <w:left w:val="nil"/>
                    <w:bottom w:val="nil"/>
                    <w:right w:val="nil"/>
                  </w:tcBorders>
                  <w:noWrap/>
                  <w:vAlign w:val="center"/>
                  <w:hideMark/>
                </w:tcPr>
                <w:p w14:paraId="7593D352" w14:textId="77777777" w:rsidR="006B1AFC" w:rsidRPr="009771ED" w:rsidRDefault="006B1AFC" w:rsidP="003C4A79">
                  <w:pPr>
                    <w:spacing w:after="0" w:line="240" w:lineRule="auto"/>
                    <w:jc w:val="left"/>
                    <w:rPr>
                      <w:rFonts w:cs="Arial"/>
                      <w:color w:val="000000"/>
                      <w:sz w:val="16"/>
                      <w:szCs w:val="16"/>
                      <w:lang w:eastAsia="ko-KR"/>
                    </w:rPr>
                  </w:pPr>
                  <w:r w:rsidRPr="009771ED">
                    <w:rPr>
                      <w:rFonts w:cs="Arial"/>
                      <w:color w:val="000000"/>
                      <w:sz w:val="16"/>
                      <w:szCs w:val="16"/>
                      <w:lang w:eastAsia="ko-KR"/>
                    </w:rPr>
                    <w:t>PROD</w:t>
                  </w:r>
                  <w:r>
                    <w:rPr>
                      <w:rFonts w:cs="Arial"/>
                      <w:color w:val="000000"/>
                      <w:sz w:val="16"/>
                      <w:szCs w:val="16"/>
                      <w:lang w:eastAsia="ko-KR"/>
                    </w:rPr>
                    <w:t>.</w:t>
                  </w:r>
                  <w:r w:rsidRPr="009771ED">
                    <w:rPr>
                      <w:rFonts w:cs="Arial"/>
                      <w:color w:val="000000"/>
                      <w:sz w:val="16"/>
                      <w:szCs w:val="16"/>
                      <w:lang w:eastAsia="ko-KR"/>
                    </w:rPr>
                    <w:t xml:space="preserve"> ZEMĚDĚLSTVÍ, LESNICTVÍ A RYBÁŘSTVÍ</w:t>
                  </w:r>
                </w:p>
              </w:tc>
              <w:tc>
                <w:tcPr>
                  <w:tcW w:w="888" w:type="dxa"/>
                  <w:tcBorders>
                    <w:top w:val="nil"/>
                    <w:left w:val="nil"/>
                    <w:bottom w:val="nil"/>
                    <w:right w:val="nil"/>
                  </w:tcBorders>
                  <w:noWrap/>
                  <w:vAlign w:val="bottom"/>
                  <w:hideMark/>
                </w:tcPr>
                <w:p w14:paraId="431EEAFF"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0,2</w:t>
                  </w:r>
                </w:p>
              </w:tc>
              <w:tc>
                <w:tcPr>
                  <w:tcW w:w="888" w:type="dxa"/>
                  <w:tcBorders>
                    <w:top w:val="nil"/>
                    <w:left w:val="nil"/>
                    <w:bottom w:val="nil"/>
                    <w:right w:val="nil"/>
                  </w:tcBorders>
                  <w:noWrap/>
                  <w:vAlign w:val="bottom"/>
                  <w:hideMark/>
                </w:tcPr>
                <w:p w14:paraId="142A1C5F"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2,3</w:t>
                  </w:r>
                </w:p>
              </w:tc>
              <w:tc>
                <w:tcPr>
                  <w:tcW w:w="888" w:type="dxa"/>
                  <w:tcBorders>
                    <w:top w:val="nil"/>
                    <w:left w:val="nil"/>
                    <w:bottom w:val="nil"/>
                    <w:right w:val="nil"/>
                  </w:tcBorders>
                  <w:noWrap/>
                  <w:vAlign w:val="bottom"/>
                  <w:hideMark/>
                </w:tcPr>
                <w:p w14:paraId="2E8F12EC"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102,1</w:t>
                  </w:r>
                </w:p>
              </w:tc>
              <w:tc>
                <w:tcPr>
                  <w:tcW w:w="888" w:type="dxa"/>
                  <w:tcBorders>
                    <w:top w:val="nil"/>
                    <w:left w:val="nil"/>
                    <w:bottom w:val="nil"/>
                    <w:right w:val="nil"/>
                  </w:tcBorders>
                  <w:noWrap/>
                  <w:vAlign w:val="bottom"/>
                  <w:hideMark/>
                </w:tcPr>
                <w:p w14:paraId="41D5BA3B"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1,7</w:t>
                  </w:r>
                </w:p>
              </w:tc>
              <w:tc>
                <w:tcPr>
                  <w:tcW w:w="888" w:type="dxa"/>
                  <w:tcBorders>
                    <w:top w:val="nil"/>
                    <w:left w:val="nil"/>
                    <w:bottom w:val="nil"/>
                    <w:right w:val="nil"/>
                  </w:tcBorders>
                  <w:noWrap/>
                  <w:vAlign w:val="bottom"/>
                  <w:hideMark/>
                </w:tcPr>
                <w:p w14:paraId="3F5642C0"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5,3</w:t>
                  </w:r>
                </w:p>
              </w:tc>
              <w:tc>
                <w:tcPr>
                  <w:tcW w:w="888" w:type="dxa"/>
                  <w:tcBorders>
                    <w:top w:val="nil"/>
                    <w:left w:val="nil"/>
                    <w:bottom w:val="nil"/>
                    <w:right w:val="nil"/>
                  </w:tcBorders>
                  <w:noWrap/>
                  <w:vAlign w:val="bottom"/>
                  <w:hideMark/>
                </w:tcPr>
                <w:p w14:paraId="6B4B8701"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96,6</w:t>
                  </w:r>
                </w:p>
              </w:tc>
            </w:tr>
            <w:tr w:rsidR="006B1AFC" w:rsidRPr="009771ED" w14:paraId="3EC916B8" w14:textId="77777777" w:rsidTr="003C4A79">
              <w:trPr>
                <w:trHeight w:val="255"/>
              </w:trPr>
              <w:tc>
                <w:tcPr>
                  <w:tcW w:w="4265" w:type="dxa"/>
                  <w:tcBorders>
                    <w:top w:val="nil"/>
                    <w:left w:val="nil"/>
                    <w:bottom w:val="nil"/>
                    <w:right w:val="nil"/>
                  </w:tcBorders>
                  <w:noWrap/>
                  <w:vAlign w:val="center"/>
                  <w:hideMark/>
                </w:tcPr>
                <w:p w14:paraId="1B070AB3" w14:textId="77777777" w:rsidR="006B1AFC" w:rsidRPr="009771ED" w:rsidRDefault="006B1AFC" w:rsidP="003C4A79">
                  <w:pPr>
                    <w:spacing w:after="0" w:line="240" w:lineRule="auto"/>
                    <w:jc w:val="left"/>
                    <w:rPr>
                      <w:rFonts w:cs="Arial"/>
                      <w:color w:val="000000"/>
                      <w:sz w:val="16"/>
                      <w:szCs w:val="16"/>
                      <w:lang w:eastAsia="ko-KR"/>
                    </w:rPr>
                  </w:pPr>
                  <w:r w:rsidRPr="009771ED">
                    <w:rPr>
                      <w:rFonts w:cs="Arial"/>
                      <w:color w:val="000000"/>
                      <w:sz w:val="16"/>
                      <w:szCs w:val="16"/>
                      <w:lang w:eastAsia="ko-KR"/>
                    </w:rPr>
                    <w:t>TĚŽBA A DOBÝVÁNÍ</w:t>
                  </w:r>
                </w:p>
              </w:tc>
              <w:tc>
                <w:tcPr>
                  <w:tcW w:w="888" w:type="dxa"/>
                  <w:tcBorders>
                    <w:top w:val="nil"/>
                    <w:left w:val="nil"/>
                    <w:bottom w:val="nil"/>
                    <w:right w:val="nil"/>
                  </w:tcBorders>
                  <w:noWrap/>
                  <w:vAlign w:val="bottom"/>
                  <w:hideMark/>
                </w:tcPr>
                <w:p w14:paraId="78324100"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0,7</w:t>
                  </w:r>
                </w:p>
              </w:tc>
              <w:tc>
                <w:tcPr>
                  <w:tcW w:w="888" w:type="dxa"/>
                  <w:tcBorders>
                    <w:top w:val="nil"/>
                    <w:left w:val="nil"/>
                    <w:bottom w:val="nil"/>
                    <w:right w:val="nil"/>
                  </w:tcBorders>
                  <w:noWrap/>
                  <w:vAlign w:val="bottom"/>
                  <w:hideMark/>
                </w:tcPr>
                <w:p w14:paraId="3AF4A43F"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25,8</w:t>
                  </w:r>
                </w:p>
              </w:tc>
              <w:tc>
                <w:tcPr>
                  <w:tcW w:w="888" w:type="dxa"/>
                  <w:tcBorders>
                    <w:top w:val="nil"/>
                    <w:left w:val="nil"/>
                    <w:bottom w:val="nil"/>
                    <w:right w:val="nil"/>
                  </w:tcBorders>
                  <w:noWrap/>
                  <w:vAlign w:val="bottom"/>
                  <w:hideMark/>
                </w:tcPr>
                <w:p w14:paraId="564DD97B"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78,9</w:t>
                  </w:r>
                </w:p>
              </w:tc>
              <w:tc>
                <w:tcPr>
                  <w:tcW w:w="888" w:type="dxa"/>
                  <w:tcBorders>
                    <w:top w:val="nil"/>
                    <w:left w:val="nil"/>
                    <w:bottom w:val="nil"/>
                    <w:right w:val="nil"/>
                  </w:tcBorders>
                  <w:noWrap/>
                  <w:vAlign w:val="bottom"/>
                  <w:hideMark/>
                </w:tcPr>
                <w:p w14:paraId="039D204D"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3,9</w:t>
                  </w:r>
                </w:p>
              </w:tc>
              <w:tc>
                <w:tcPr>
                  <w:tcW w:w="888" w:type="dxa"/>
                  <w:tcBorders>
                    <w:top w:val="nil"/>
                    <w:left w:val="nil"/>
                    <w:bottom w:val="nil"/>
                    <w:right w:val="nil"/>
                  </w:tcBorders>
                  <w:noWrap/>
                  <w:vAlign w:val="bottom"/>
                  <w:hideMark/>
                </w:tcPr>
                <w:p w14:paraId="3DECCA91"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21,5</w:t>
                  </w:r>
                </w:p>
              </w:tc>
              <w:tc>
                <w:tcPr>
                  <w:tcW w:w="888" w:type="dxa"/>
                  <w:tcBorders>
                    <w:top w:val="nil"/>
                    <w:left w:val="nil"/>
                    <w:bottom w:val="nil"/>
                    <w:right w:val="nil"/>
                  </w:tcBorders>
                  <w:noWrap/>
                  <w:vAlign w:val="bottom"/>
                  <w:hideMark/>
                </w:tcPr>
                <w:p w14:paraId="4023F70A"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79,1</w:t>
                  </w:r>
                </w:p>
              </w:tc>
            </w:tr>
            <w:tr w:rsidR="006B1AFC" w:rsidRPr="009771ED" w14:paraId="33BAAA75" w14:textId="77777777" w:rsidTr="003C4A79">
              <w:trPr>
                <w:trHeight w:val="255"/>
              </w:trPr>
              <w:tc>
                <w:tcPr>
                  <w:tcW w:w="4265" w:type="dxa"/>
                  <w:tcBorders>
                    <w:top w:val="nil"/>
                    <w:left w:val="nil"/>
                    <w:bottom w:val="nil"/>
                    <w:right w:val="nil"/>
                  </w:tcBorders>
                  <w:noWrap/>
                  <w:vAlign w:val="center"/>
                  <w:hideMark/>
                </w:tcPr>
                <w:p w14:paraId="437973C0" w14:textId="77777777" w:rsidR="006B1AFC" w:rsidRPr="009771ED" w:rsidRDefault="006B1AFC" w:rsidP="003C4A79">
                  <w:pPr>
                    <w:spacing w:after="0" w:line="240" w:lineRule="auto"/>
                    <w:jc w:val="left"/>
                    <w:rPr>
                      <w:rFonts w:cs="Arial"/>
                      <w:color w:val="000000"/>
                      <w:sz w:val="16"/>
                      <w:szCs w:val="16"/>
                      <w:lang w:eastAsia="ko-KR"/>
                    </w:rPr>
                  </w:pPr>
                  <w:r w:rsidRPr="009771ED">
                    <w:rPr>
                      <w:rFonts w:cs="Arial"/>
                      <w:color w:val="000000"/>
                      <w:sz w:val="16"/>
                      <w:szCs w:val="16"/>
                      <w:lang w:eastAsia="ko-KR"/>
                    </w:rPr>
                    <w:t>VÝROBKY ZPRACOVATELSKÉHO PRŮMYSLU</w:t>
                  </w:r>
                </w:p>
              </w:tc>
              <w:tc>
                <w:tcPr>
                  <w:tcW w:w="888" w:type="dxa"/>
                  <w:tcBorders>
                    <w:top w:val="nil"/>
                    <w:left w:val="nil"/>
                    <w:bottom w:val="nil"/>
                    <w:right w:val="nil"/>
                  </w:tcBorders>
                  <w:noWrap/>
                  <w:vAlign w:val="bottom"/>
                  <w:hideMark/>
                </w:tcPr>
                <w:p w14:paraId="255A5D99"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2,6</w:t>
                  </w:r>
                </w:p>
              </w:tc>
              <w:tc>
                <w:tcPr>
                  <w:tcW w:w="888" w:type="dxa"/>
                  <w:tcBorders>
                    <w:top w:val="nil"/>
                    <w:left w:val="nil"/>
                    <w:bottom w:val="nil"/>
                    <w:right w:val="nil"/>
                  </w:tcBorders>
                  <w:noWrap/>
                  <w:vAlign w:val="bottom"/>
                  <w:hideMark/>
                </w:tcPr>
                <w:p w14:paraId="16C5900D"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3,5</w:t>
                  </w:r>
                </w:p>
              </w:tc>
              <w:tc>
                <w:tcPr>
                  <w:tcW w:w="888" w:type="dxa"/>
                  <w:tcBorders>
                    <w:top w:val="nil"/>
                    <w:left w:val="nil"/>
                    <w:bottom w:val="nil"/>
                    <w:right w:val="nil"/>
                  </w:tcBorders>
                  <w:noWrap/>
                  <w:vAlign w:val="bottom"/>
                  <w:hideMark/>
                </w:tcPr>
                <w:p w14:paraId="3433F18E"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99,1</w:t>
                  </w:r>
                </w:p>
              </w:tc>
              <w:tc>
                <w:tcPr>
                  <w:tcW w:w="888" w:type="dxa"/>
                  <w:tcBorders>
                    <w:top w:val="nil"/>
                    <w:left w:val="nil"/>
                    <w:bottom w:val="nil"/>
                    <w:right w:val="nil"/>
                  </w:tcBorders>
                  <w:noWrap/>
                  <w:vAlign w:val="bottom"/>
                  <w:hideMark/>
                </w:tcPr>
                <w:p w14:paraId="47C69C38"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0,2</w:t>
                  </w:r>
                </w:p>
              </w:tc>
              <w:tc>
                <w:tcPr>
                  <w:tcW w:w="888" w:type="dxa"/>
                  <w:tcBorders>
                    <w:top w:val="nil"/>
                    <w:left w:val="nil"/>
                    <w:bottom w:val="nil"/>
                    <w:right w:val="nil"/>
                  </w:tcBorders>
                  <w:noWrap/>
                  <w:vAlign w:val="bottom"/>
                  <w:hideMark/>
                </w:tcPr>
                <w:p w14:paraId="2963DCB3"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1,4</w:t>
                  </w:r>
                </w:p>
              </w:tc>
              <w:tc>
                <w:tcPr>
                  <w:tcW w:w="888" w:type="dxa"/>
                  <w:tcBorders>
                    <w:top w:val="nil"/>
                    <w:left w:val="nil"/>
                    <w:bottom w:val="nil"/>
                    <w:right w:val="nil"/>
                  </w:tcBorders>
                  <w:noWrap/>
                  <w:vAlign w:val="bottom"/>
                  <w:hideMark/>
                </w:tcPr>
                <w:p w14:paraId="77167606"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98,9</w:t>
                  </w:r>
                </w:p>
              </w:tc>
            </w:tr>
            <w:tr w:rsidR="006B1AFC" w:rsidRPr="009771ED" w14:paraId="7C0F56B1" w14:textId="77777777" w:rsidTr="003C4A79">
              <w:trPr>
                <w:trHeight w:val="255"/>
              </w:trPr>
              <w:tc>
                <w:tcPr>
                  <w:tcW w:w="4265" w:type="dxa"/>
                  <w:tcBorders>
                    <w:top w:val="nil"/>
                    <w:left w:val="nil"/>
                    <w:bottom w:val="nil"/>
                    <w:right w:val="nil"/>
                  </w:tcBorders>
                  <w:noWrap/>
                  <w:vAlign w:val="center"/>
                  <w:hideMark/>
                </w:tcPr>
                <w:p w14:paraId="1B2A2219" w14:textId="77777777" w:rsidR="006B1AFC" w:rsidRPr="009771ED" w:rsidRDefault="006B1AFC" w:rsidP="003C4A79">
                  <w:pPr>
                    <w:spacing w:after="0" w:line="240" w:lineRule="auto"/>
                    <w:ind w:left="82"/>
                    <w:jc w:val="left"/>
                    <w:rPr>
                      <w:rFonts w:cs="Arial"/>
                      <w:color w:val="000000"/>
                      <w:sz w:val="16"/>
                      <w:szCs w:val="16"/>
                      <w:lang w:eastAsia="ko-KR"/>
                    </w:rPr>
                  </w:pPr>
                  <w:r w:rsidRPr="009771ED">
                    <w:rPr>
                      <w:rFonts w:cs="Arial"/>
                      <w:color w:val="000000"/>
                      <w:sz w:val="16"/>
                      <w:szCs w:val="16"/>
                      <w:lang w:eastAsia="ko-KR"/>
                    </w:rPr>
                    <w:t>Potravinářské výrobky</w:t>
                  </w:r>
                </w:p>
              </w:tc>
              <w:tc>
                <w:tcPr>
                  <w:tcW w:w="888" w:type="dxa"/>
                  <w:tcBorders>
                    <w:top w:val="nil"/>
                    <w:left w:val="nil"/>
                    <w:bottom w:val="nil"/>
                    <w:right w:val="nil"/>
                  </w:tcBorders>
                  <w:noWrap/>
                  <w:vAlign w:val="bottom"/>
                  <w:hideMark/>
                </w:tcPr>
                <w:p w14:paraId="3A6AD985"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0,3</w:t>
                  </w:r>
                </w:p>
              </w:tc>
              <w:tc>
                <w:tcPr>
                  <w:tcW w:w="888" w:type="dxa"/>
                  <w:tcBorders>
                    <w:top w:val="nil"/>
                    <w:left w:val="nil"/>
                    <w:bottom w:val="nil"/>
                    <w:right w:val="nil"/>
                  </w:tcBorders>
                  <w:noWrap/>
                  <w:vAlign w:val="bottom"/>
                  <w:hideMark/>
                </w:tcPr>
                <w:p w14:paraId="3027A540"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1,9</w:t>
                  </w:r>
                </w:p>
              </w:tc>
              <w:tc>
                <w:tcPr>
                  <w:tcW w:w="888" w:type="dxa"/>
                  <w:tcBorders>
                    <w:top w:val="nil"/>
                    <w:left w:val="nil"/>
                    <w:bottom w:val="nil"/>
                    <w:right w:val="nil"/>
                  </w:tcBorders>
                  <w:noWrap/>
                  <w:vAlign w:val="bottom"/>
                  <w:hideMark/>
                </w:tcPr>
                <w:p w14:paraId="7BFB4B3C"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101,6</w:t>
                  </w:r>
                </w:p>
              </w:tc>
              <w:tc>
                <w:tcPr>
                  <w:tcW w:w="888" w:type="dxa"/>
                  <w:tcBorders>
                    <w:top w:val="nil"/>
                    <w:left w:val="nil"/>
                    <w:bottom w:val="nil"/>
                    <w:right w:val="nil"/>
                  </w:tcBorders>
                  <w:noWrap/>
                  <w:vAlign w:val="bottom"/>
                  <w:hideMark/>
                </w:tcPr>
                <w:p w14:paraId="72822578"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7,8</w:t>
                  </w:r>
                </w:p>
              </w:tc>
              <w:tc>
                <w:tcPr>
                  <w:tcW w:w="888" w:type="dxa"/>
                  <w:tcBorders>
                    <w:top w:val="nil"/>
                    <w:left w:val="nil"/>
                    <w:bottom w:val="nil"/>
                    <w:right w:val="nil"/>
                  </w:tcBorders>
                  <w:noWrap/>
                  <w:vAlign w:val="bottom"/>
                  <w:hideMark/>
                </w:tcPr>
                <w:p w14:paraId="05E4635C"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9,2</w:t>
                  </w:r>
                </w:p>
              </w:tc>
              <w:tc>
                <w:tcPr>
                  <w:tcW w:w="888" w:type="dxa"/>
                  <w:tcBorders>
                    <w:top w:val="nil"/>
                    <w:left w:val="nil"/>
                    <w:bottom w:val="nil"/>
                    <w:right w:val="nil"/>
                  </w:tcBorders>
                  <w:noWrap/>
                  <w:vAlign w:val="bottom"/>
                  <w:hideMark/>
                </w:tcPr>
                <w:p w14:paraId="25C47027"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101,6</w:t>
                  </w:r>
                </w:p>
              </w:tc>
            </w:tr>
            <w:tr w:rsidR="006B1AFC" w:rsidRPr="009771ED" w14:paraId="23CA8F46" w14:textId="77777777" w:rsidTr="003C4A79">
              <w:trPr>
                <w:trHeight w:val="255"/>
              </w:trPr>
              <w:tc>
                <w:tcPr>
                  <w:tcW w:w="4265" w:type="dxa"/>
                  <w:tcBorders>
                    <w:top w:val="nil"/>
                    <w:left w:val="nil"/>
                    <w:bottom w:val="nil"/>
                    <w:right w:val="nil"/>
                  </w:tcBorders>
                  <w:noWrap/>
                  <w:vAlign w:val="center"/>
                  <w:hideMark/>
                </w:tcPr>
                <w:p w14:paraId="737DABEC" w14:textId="77777777" w:rsidR="006B1AFC" w:rsidRPr="009771ED" w:rsidRDefault="006B1AFC" w:rsidP="003C4A79">
                  <w:pPr>
                    <w:spacing w:after="0" w:line="240" w:lineRule="auto"/>
                    <w:ind w:left="82"/>
                    <w:jc w:val="left"/>
                    <w:rPr>
                      <w:rFonts w:cs="Arial"/>
                      <w:color w:val="000000"/>
                      <w:sz w:val="16"/>
                      <w:szCs w:val="16"/>
                      <w:lang w:eastAsia="ko-KR"/>
                    </w:rPr>
                  </w:pPr>
                  <w:r w:rsidRPr="009771ED">
                    <w:rPr>
                      <w:rFonts w:cs="Arial"/>
                      <w:color w:val="000000"/>
                      <w:sz w:val="16"/>
                      <w:szCs w:val="16"/>
                      <w:lang w:eastAsia="ko-KR"/>
                    </w:rPr>
                    <w:t>Nápoje</w:t>
                  </w:r>
                </w:p>
              </w:tc>
              <w:tc>
                <w:tcPr>
                  <w:tcW w:w="888" w:type="dxa"/>
                  <w:tcBorders>
                    <w:top w:val="nil"/>
                    <w:left w:val="nil"/>
                    <w:bottom w:val="nil"/>
                    <w:right w:val="nil"/>
                  </w:tcBorders>
                  <w:noWrap/>
                  <w:vAlign w:val="bottom"/>
                  <w:hideMark/>
                </w:tcPr>
                <w:p w14:paraId="37398508"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0,1</w:t>
                  </w:r>
                </w:p>
              </w:tc>
              <w:tc>
                <w:tcPr>
                  <w:tcW w:w="888" w:type="dxa"/>
                  <w:tcBorders>
                    <w:top w:val="nil"/>
                    <w:left w:val="nil"/>
                    <w:bottom w:val="nil"/>
                    <w:right w:val="nil"/>
                  </w:tcBorders>
                  <w:noWrap/>
                  <w:vAlign w:val="bottom"/>
                  <w:hideMark/>
                </w:tcPr>
                <w:p w14:paraId="34B146F8"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0,1</w:t>
                  </w:r>
                </w:p>
              </w:tc>
              <w:tc>
                <w:tcPr>
                  <w:tcW w:w="888" w:type="dxa"/>
                  <w:tcBorders>
                    <w:top w:val="nil"/>
                    <w:left w:val="nil"/>
                    <w:bottom w:val="nil"/>
                    <w:right w:val="nil"/>
                  </w:tcBorders>
                  <w:noWrap/>
                  <w:vAlign w:val="bottom"/>
                  <w:hideMark/>
                </w:tcPr>
                <w:p w14:paraId="0FFC6160"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100,2</w:t>
                  </w:r>
                </w:p>
              </w:tc>
              <w:tc>
                <w:tcPr>
                  <w:tcW w:w="888" w:type="dxa"/>
                  <w:tcBorders>
                    <w:top w:val="nil"/>
                    <w:left w:val="nil"/>
                    <w:bottom w:val="nil"/>
                    <w:right w:val="nil"/>
                  </w:tcBorders>
                  <w:noWrap/>
                  <w:vAlign w:val="bottom"/>
                  <w:hideMark/>
                </w:tcPr>
                <w:p w14:paraId="60306C13"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5,6</w:t>
                  </w:r>
                </w:p>
              </w:tc>
              <w:tc>
                <w:tcPr>
                  <w:tcW w:w="888" w:type="dxa"/>
                  <w:tcBorders>
                    <w:top w:val="nil"/>
                    <w:left w:val="nil"/>
                    <w:bottom w:val="nil"/>
                    <w:right w:val="nil"/>
                  </w:tcBorders>
                  <w:noWrap/>
                  <w:vAlign w:val="bottom"/>
                  <w:hideMark/>
                </w:tcPr>
                <w:p w14:paraId="3CAF0AB1"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1,6</w:t>
                  </w:r>
                </w:p>
              </w:tc>
              <w:tc>
                <w:tcPr>
                  <w:tcW w:w="888" w:type="dxa"/>
                  <w:tcBorders>
                    <w:top w:val="nil"/>
                    <w:left w:val="nil"/>
                    <w:bottom w:val="nil"/>
                    <w:right w:val="nil"/>
                  </w:tcBorders>
                  <w:noWrap/>
                  <w:vAlign w:val="bottom"/>
                  <w:hideMark/>
                </w:tcPr>
                <w:p w14:paraId="2239F075"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92,9</w:t>
                  </w:r>
                </w:p>
              </w:tc>
            </w:tr>
            <w:tr w:rsidR="006B1AFC" w:rsidRPr="009771ED" w14:paraId="33767FAF" w14:textId="77777777" w:rsidTr="003C4A79">
              <w:trPr>
                <w:trHeight w:val="255"/>
              </w:trPr>
              <w:tc>
                <w:tcPr>
                  <w:tcW w:w="4265" w:type="dxa"/>
                  <w:tcBorders>
                    <w:top w:val="nil"/>
                    <w:left w:val="nil"/>
                    <w:bottom w:val="nil"/>
                    <w:right w:val="nil"/>
                  </w:tcBorders>
                  <w:noWrap/>
                  <w:vAlign w:val="center"/>
                  <w:hideMark/>
                </w:tcPr>
                <w:p w14:paraId="2CE730F2" w14:textId="77777777" w:rsidR="006B1AFC" w:rsidRPr="009771ED" w:rsidRDefault="006B1AFC" w:rsidP="003C4A79">
                  <w:pPr>
                    <w:spacing w:after="0" w:line="240" w:lineRule="auto"/>
                    <w:ind w:left="82"/>
                    <w:jc w:val="left"/>
                    <w:rPr>
                      <w:rFonts w:cs="Arial"/>
                      <w:color w:val="000000"/>
                      <w:sz w:val="16"/>
                      <w:szCs w:val="16"/>
                      <w:lang w:eastAsia="ko-KR"/>
                    </w:rPr>
                  </w:pPr>
                  <w:r w:rsidRPr="009771ED">
                    <w:rPr>
                      <w:rFonts w:cs="Arial"/>
                      <w:color w:val="000000"/>
                      <w:sz w:val="16"/>
                      <w:szCs w:val="16"/>
                      <w:lang w:eastAsia="ko-KR"/>
                    </w:rPr>
                    <w:t>Textilie</w:t>
                  </w:r>
                </w:p>
              </w:tc>
              <w:tc>
                <w:tcPr>
                  <w:tcW w:w="888" w:type="dxa"/>
                  <w:tcBorders>
                    <w:top w:val="nil"/>
                    <w:left w:val="nil"/>
                    <w:bottom w:val="nil"/>
                    <w:right w:val="nil"/>
                  </w:tcBorders>
                  <w:noWrap/>
                  <w:vAlign w:val="bottom"/>
                  <w:hideMark/>
                </w:tcPr>
                <w:p w14:paraId="3C4D7673"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3,8</w:t>
                  </w:r>
                </w:p>
              </w:tc>
              <w:tc>
                <w:tcPr>
                  <w:tcW w:w="888" w:type="dxa"/>
                  <w:tcBorders>
                    <w:top w:val="nil"/>
                    <w:left w:val="nil"/>
                    <w:bottom w:val="nil"/>
                    <w:right w:val="nil"/>
                  </w:tcBorders>
                  <w:noWrap/>
                  <w:vAlign w:val="bottom"/>
                  <w:hideMark/>
                </w:tcPr>
                <w:p w14:paraId="02C5FF02"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1,3</w:t>
                  </w:r>
                </w:p>
              </w:tc>
              <w:tc>
                <w:tcPr>
                  <w:tcW w:w="888" w:type="dxa"/>
                  <w:tcBorders>
                    <w:top w:val="nil"/>
                    <w:left w:val="nil"/>
                    <w:bottom w:val="nil"/>
                    <w:right w:val="nil"/>
                  </w:tcBorders>
                  <w:noWrap/>
                  <w:vAlign w:val="bottom"/>
                  <w:hideMark/>
                </w:tcPr>
                <w:p w14:paraId="00D4B26B"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102,5</w:t>
                  </w:r>
                </w:p>
              </w:tc>
              <w:tc>
                <w:tcPr>
                  <w:tcW w:w="888" w:type="dxa"/>
                  <w:tcBorders>
                    <w:top w:val="nil"/>
                    <w:left w:val="nil"/>
                    <w:bottom w:val="nil"/>
                    <w:right w:val="nil"/>
                  </w:tcBorders>
                  <w:noWrap/>
                  <w:vAlign w:val="bottom"/>
                  <w:hideMark/>
                </w:tcPr>
                <w:p w14:paraId="7ACD594F"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0,6</w:t>
                  </w:r>
                </w:p>
              </w:tc>
              <w:tc>
                <w:tcPr>
                  <w:tcW w:w="888" w:type="dxa"/>
                  <w:tcBorders>
                    <w:top w:val="nil"/>
                    <w:left w:val="nil"/>
                    <w:bottom w:val="nil"/>
                    <w:right w:val="nil"/>
                  </w:tcBorders>
                  <w:noWrap/>
                  <w:vAlign w:val="bottom"/>
                  <w:hideMark/>
                </w:tcPr>
                <w:p w14:paraId="32E82381"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3,5</w:t>
                  </w:r>
                </w:p>
              </w:tc>
              <w:tc>
                <w:tcPr>
                  <w:tcW w:w="888" w:type="dxa"/>
                  <w:tcBorders>
                    <w:top w:val="nil"/>
                    <w:left w:val="nil"/>
                    <w:bottom w:val="nil"/>
                    <w:right w:val="nil"/>
                  </w:tcBorders>
                  <w:noWrap/>
                  <w:vAlign w:val="bottom"/>
                  <w:hideMark/>
                </w:tcPr>
                <w:p w14:paraId="0EA6E39C"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103,0</w:t>
                  </w:r>
                </w:p>
              </w:tc>
            </w:tr>
            <w:tr w:rsidR="006B1AFC" w:rsidRPr="009771ED" w14:paraId="4249A0A9" w14:textId="77777777" w:rsidTr="003C4A79">
              <w:trPr>
                <w:trHeight w:val="255"/>
              </w:trPr>
              <w:tc>
                <w:tcPr>
                  <w:tcW w:w="4265" w:type="dxa"/>
                  <w:tcBorders>
                    <w:top w:val="nil"/>
                    <w:left w:val="nil"/>
                    <w:bottom w:val="nil"/>
                    <w:right w:val="nil"/>
                  </w:tcBorders>
                  <w:noWrap/>
                  <w:vAlign w:val="center"/>
                  <w:hideMark/>
                </w:tcPr>
                <w:p w14:paraId="640D3643" w14:textId="77777777" w:rsidR="006B1AFC" w:rsidRPr="009771ED" w:rsidRDefault="006B1AFC" w:rsidP="003C4A79">
                  <w:pPr>
                    <w:spacing w:after="0" w:line="240" w:lineRule="auto"/>
                    <w:ind w:left="82"/>
                    <w:jc w:val="left"/>
                    <w:rPr>
                      <w:rFonts w:cs="Arial"/>
                      <w:color w:val="000000"/>
                      <w:sz w:val="16"/>
                      <w:szCs w:val="16"/>
                      <w:lang w:eastAsia="ko-KR"/>
                    </w:rPr>
                  </w:pPr>
                  <w:r w:rsidRPr="009771ED">
                    <w:rPr>
                      <w:rFonts w:cs="Arial"/>
                      <w:color w:val="000000"/>
                      <w:sz w:val="16"/>
                      <w:szCs w:val="16"/>
                      <w:lang w:eastAsia="ko-KR"/>
                    </w:rPr>
                    <w:t>Oděvy</w:t>
                  </w:r>
                </w:p>
              </w:tc>
              <w:tc>
                <w:tcPr>
                  <w:tcW w:w="888" w:type="dxa"/>
                  <w:tcBorders>
                    <w:top w:val="nil"/>
                    <w:left w:val="nil"/>
                    <w:bottom w:val="nil"/>
                    <w:right w:val="nil"/>
                  </w:tcBorders>
                  <w:noWrap/>
                  <w:vAlign w:val="bottom"/>
                  <w:hideMark/>
                </w:tcPr>
                <w:p w14:paraId="69E79270"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0,3</w:t>
                  </w:r>
                </w:p>
              </w:tc>
              <w:tc>
                <w:tcPr>
                  <w:tcW w:w="888" w:type="dxa"/>
                  <w:tcBorders>
                    <w:top w:val="nil"/>
                    <w:left w:val="nil"/>
                    <w:bottom w:val="nil"/>
                    <w:right w:val="nil"/>
                  </w:tcBorders>
                  <w:noWrap/>
                  <w:vAlign w:val="bottom"/>
                  <w:hideMark/>
                </w:tcPr>
                <w:p w14:paraId="73E9B451"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1,9</w:t>
                  </w:r>
                </w:p>
              </w:tc>
              <w:tc>
                <w:tcPr>
                  <w:tcW w:w="888" w:type="dxa"/>
                  <w:tcBorders>
                    <w:top w:val="nil"/>
                    <w:left w:val="nil"/>
                    <w:bottom w:val="nil"/>
                    <w:right w:val="nil"/>
                  </w:tcBorders>
                  <w:noWrap/>
                  <w:vAlign w:val="bottom"/>
                  <w:hideMark/>
                </w:tcPr>
                <w:p w14:paraId="67B77B43"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101,6</w:t>
                  </w:r>
                </w:p>
              </w:tc>
              <w:tc>
                <w:tcPr>
                  <w:tcW w:w="888" w:type="dxa"/>
                  <w:tcBorders>
                    <w:top w:val="nil"/>
                    <w:left w:val="nil"/>
                    <w:bottom w:val="nil"/>
                    <w:right w:val="nil"/>
                  </w:tcBorders>
                  <w:noWrap/>
                  <w:vAlign w:val="bottom"/>
                  <w:hideMark/>
                </w:tcPr>
                <w:p w14:paraId="0500B2A7"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1,5</w:t>
                  </w:r>
                </w:p>
              </w:tc>
              <w:tc>
                <w:tcPr>
                  <w:tcW w:w="888" w:type="dxa"/>
                  <w:tcBorders>
                    <w:top w:val="nil"/>
                    <w:left w:val="nil"/>
                    <w:bottom w:val="nil"/>
                    <w:right w:val="nil"/>
                  </w:tcBorders>
                  <w:noWrap/>
                  <w:vAlign w:val="bottom"/>
                  <w:hideMark/>
                </w:tcPr>
                <w:p w14:paraId="06D26712"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9,0</w:t>
                  </w:r>
                </w:p>
              </w:tc>
              <w:tc>
                <w:tcPr>
                  <w:tcW w:w="888" w:type="dxa"/>
                  <w:tcBorders>
                    <w:top w:val="nil"/>
                    <w:left w:val="nil"/>
                    <w:bottom w:val="nil"/>
                    <w:right w:val="nil"/>
                  </w:tcBorders>
                  <w:noWrap/>
                  <w:vAlign w:val="bottom"/>
                  <w:hideMark/>
                </w:tcPr>
                <w:p w14:paraId="50C8CC12"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108,3</w:t>
                  </w:r>
                </w:p>
              </w:tc>
            </w:tr>
            <w:tr w:rsidR="006B1AFC" w:rsidRPr="009771ED" w14:paraId="3FC80C41" w14:textId="77777777" w:rsidTr="003C4A79">
              <w:trPr>
                <w:trHeight w:val="255"/>
              </w:trPr>
              <w:tc>
                <w:tcPr>
                  <w:tcW w:w="4265" w:type="dxa"/>
                  <w:tcBorders>
                    <w:top w:val="nil"/>
                    <w:left w:val="nil"/>
                    <w:bottom w:val="nil"/>
                    <w:right w:val="nil"/>
                  </w:tcBorders>
                  <w:noWrap/>
                  <w:vAlign w:val="center"/>
                  <w:hideMark/>
                </w:tcPr>
                <w:p w14:paraId="1DA5503C" w14:textId="77777777" w:rsidR="006B1AFC" w:rsidRPr="009771ED" w:rsidRDefault="006B1AFC" w:rsidP="003C4A79">
                  <w:pPr>
                    <w:spacing w:after="0" w:line="240" w:lineRule="auto"/>
                    <w:ind w:left="82"/>
                    <w:jc w:val="left"/>
                    <w:rPr>
                      <w:rFonts w:cs="Arial"/>
                      <w:color w:val="000000"/>
                      <w:sz w:val="16"/>
                      <w:szCs w:val="16"/>
                      <w:lang w:eastAsia="ko-KR"/>
                    </w:rPr>
                  </w:pPr>
                  <w:r w:rsidRPr="009771ED">
                    <w:rPr>
                      <w:rFonts w:cs="Arial"/>
                      <w:color w:val="000000"/>
                      <w:sz w:val="16"/>
                      <w:szCs w:val="16"/>
                      <w:lang w:eastAsia="ko-KR"/>
                    </w:rPr>
                    <w:t>Usně a související výrobky</w:t>
                  </w:r>
                </w:p>
              </w:tc>
              <w:tc>
                <w:tcPr>
                  <w:tcW w:w="888" w:type="dxa"/>
                  <w:tcBorders>
                    <w:top w:val="nil"/>
                    <w:left w:val="nil"/>
                    <w:bottom w:val="nil"/>
                    <w:right w:val="nil"/>
                  </w:tcBorders>
                  <w:noWrap/>
                  <w:vAlign w:val="bottom"/>
                  <w:hideMark/>
                </w:tcPr>
                <w:p w14:paraId="6A03C34B"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2,1</w:t>
                  </w:r>
                </w:p>
              </w:tc>
              <w:tc>
                <w:tcPr>
                  <w:tcW w:w="888" w:type="dxa"/>
                  <w:tcBorders>
                    <w:top w:val="nil"/>
                    <w:left w:val="nil"/>
                    <w:bottom w:val="nil"/>
                    <w:right w:val="nil"/>
                  </w:tcBorders>
                  <w:noWrap/>
                  <w:vAlign w:val="bottom"/>
                  <w:hideMark/>
                </w:tcPr>
                <w:p w14:paraId="2D68089C"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0,1</w:t>
                  </w:r>
                </w:p>
              </w:tc>
              <w:tc>
                <w:tcPr>
                  <w:tcW w:w="888" w:type="dxa"/>
                  <w:tcBorders>
                    <w:top w:val="nil"/>
                    <w:left w:val="nil"/>
                    <w:bottom w:val="nil"/>
                    <w:right w:val="nil"/>
                  </w:tcBorders>
                  <w:noWrap/>
                  <w:vAlign w:val="bottom"/>
                  <w:hideMark/>
                </w:tcPr>
                <w:p w14:paraId="0B1F25E3"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97,8</w:t>
                  </w:r>
                </w:p>
              </w:tc>
              <w:tc>
                <w:tcPr>
                  <w:tcW w:w="888" w:type="dxa"/>
                  <w:tcBorders>
                    <w:top w:val="nil"/>
                    <w:left w:val="nil"/>
                    <w:bottom w:val="nil"/>
                    <w:right w:val="nil"/>
                  </w:tcBorders>
                  <w:noWrap/>
                  <w:vAlign w:val="bottom"/>
                  <w:hideMark/>
                </w:tcPr>
                <w:p w14:paraId="44FD2771"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4,0</w:t>
                  </w:r>
                </w:p>
              </w:tc>
              <w:tc>
                <w:tcPr>
                  <w:tcW w:w="888" w:type="dxa"/>
                  <w:tcBorders>
                    <w:top w:val="nil"/>
                    <w:left w:val="nil"/>
                    <w:bottom w:val="nil"/>
                    <w:right w:val="nil"/>
                  </w:tcBorders>
                  <w:noWrap/>
                  <w:vAlign w:val="bottom"/>
                  <w:hideMark/>
                </w:tcPr>
                <w:p w14:paraId="3EDEF9CF"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2,4</w:t>
                  </w:r>
                </w:p>
              </w:tc>
              <w:tc>
                <w:tcPr>
                  <w:tcW w:w="888" w:type="dxa"/>
                  <w:tcBorders>
                    <w:top w:val="nil"/>
                    <w:left w:val="nil"/>
                    <w:bottom w:val="nil"/>
                    <w:right w:val="nil"/>
                  </w:tcBorders>
                  <w:noWrap/>
                  <w:vAlign w:val="bottom"/>
                  <w:hideMark/>
                </w:tcPr>
                <w:p w14:paraId="0B225949"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93,8</w:t>
                  </w:r>
                </w:p>
              </w:tc>
            </w:tr>
            <w:tr w:rsidR="006B1AFC" w:rsidRPr="009771ED" w14:paraId="311FEAE7" w14:textId="77777777" w:rsidTr="003C4A79">
              <w:trPr>
                <w:trHeight w:val="255"/>
              </w:trPr>
              <w:tc>
                <w:tcPr>
                  <w:tcW w:w="4265" w:type="dxa"/>
                  <w:tcBorders>
                    <w:top w:val="nil"/>
                    <w:left w:val="nil"/>
                    <w:bottom w:val="nil"/>
                    <w:right w:val="nil"/>
                  </w:tcBorders>
                  <w:noWrap/>
                  <w:vAlign w:val="center"/>
                  <w:hideMark/>
                </w:tcPr>
                <w:p w14:paraId="788ADF12" w14:textId="77777777" w:rsidR="006B1AFC" w:rsidRPr="009771ED" w:rsidRDefault="006B1AFC" w:rsidP="003C4A79">
                  <w:pPr>
                    <w:spacing w:after="0" w:line="240" w:lineRule="auto"/>
                    <w:ind w:left="82"/>
                    <w:jc w:val="left"/>
                    <w:rPr>
                      <w:rFonts w:cs="Arial"/>
                      <w:color w:val="000000"/>
                      <w:sz w:val="16"/>
                      <w:szCs w:val="16"/>
                      <w:lang w:eastAsia="ko-KR"/>
                    </w:rPr>
                  </w:pPr>
                  <w:r w:rsidRPr="009771ED">
                    <w:rPr>
                      <w:rFonts w:cs="Arial"/>
                      <w:color w:val="000000"/>
                      <w:sz w:val="16"/>
                      <w:szCs w:val="16"/>
                      <w:lang w:eastAsia="ko-KR"/>
                    </w:rPr>
                    <w:t>Dřevo a dřevěné a korkové výrobky, kromě nábytku</w:t>
                  </w:r>
                </w:p>
              </w:tc>
              <w:tc>
                <w:tcPr>
                  <w:tcW w:w="888" w:type="dxa"/>
                  <w:tcBorders>
                    <w:top w:val="nil"/>
                    <w:left w:val="nil"/>
                    <w:bottom w:val="nil"/>
                    <w:right w:val="nil"/>
                  </w:tcBorders>
                  <w:noWrap/>
                  <w:vAlign w:val="bottom"/>
                  <w:hideMark/>
                </w:tcPr>
                <w:p w14:paraId="029C9DFE"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3,5</w:t>
                  </w:r>
                </w:p>
              </w:tc>
              <w:tc>
                <w:tcPr>
                  <w:tcW w:w="888" w:type="dxa"/>
                  <w:tcBorders>
                    <w:top w:val="nil"/>
                    <w:left w:val="nil"/>
                    <w:bottom w:val="nil"/>
                    <w:right w:val="nil"/>
                  </w:tcBorders>
                  <w:noWrap/>
                  <w:vAlign w:val="bottom"/>
                  <w:hideMark/>
                </w:tcPr>
                <w:p w14:paraId="4D65D4D7"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2,9</w:t>
                  </w:r>
                </w:p>
              </w:tc>
              <w:tc>
                <w:tcPr>
                  <w:tcW w:w="888" w:type="dxa"/>
                  <w:tcBorders>
                    <w:top w:val="nil"/>
                    <w:left w:val="nil"/>
                    <w:bottom w:val="nil"/>
                    <w:right w:val="nil"/>
                  </w:tcBorders>
                  <w:noWrap/>
                  <w:vAlign w:val="bottom"/>
                  <w:hideMark/>
                </w:tcPr>
                <w:p w14:paraId="56A32575"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100,6</w:t>
                  </w:r>
                </w:p>
              </w:tc>
              <w:tc>
                <w:tcPr>
                  <w:tcW w:w="888" w:type="dxa"/>
                  <w:tcBorders>
                    <w:top w:val="nil"/>
                    <w:left w:val="nil"/>
                    <w:bottom w:val="nil"/>
                    <w:right w:val="nil"/>
                  </w:tcBorders>
                  <w:noWrap/>
                  <w:vAlign w:val="bottom"/>
                  <w:hideMark/>
                </w:tcPr>
                <w:p w14:paraId="4BE0D2D1"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5,5</w:t>
                  </w:r>
                </w:p>
              </w:tc>
              <w:tc>
                <w:tcPr>
                  <w:tcW w:w="888" w:type="dxa"/>
                  <w:tcBorders>
                    <w:top w:val="nil"/>
                    <w:left w:val="nil"/>
                    <w:bottom w:val="nil"/>
                    <w:right w:val="nil"/>
                  </w:tcBorders>
                  <w:noWrap/>
                  <w:vAlign w:val="bottom"/>
                  <w:hideMark/>
                </w:tcPr>
                <w:p w14:paraId="0B04898D"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2,3</w:t>
                  </w:r>
                </w:p>
              </w:tc>
              <w:tc>
                <w:tcPr>
                  <w:tcW w:w="888" w:type="dxa"/>
                  <w:tcBorders>
                    <w:top w:val="nil"/>
                    <w:left w:val="nil"/>
                    <w:bottom w:val="nil"/>
                    <w:right w:val="nil"/>
                  </w:tcBorders>
                  <w:noWrap/>
                  <w:vAlign w:val="bottom"/>
                  <w:hideMark/>
                </w:tcPr>
                <w:p w14:paraId="481D8FBC"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103,1</w:t>
                  </w:r>
                </w:p>
              </w:tc>
            </w:tr>
            <w:tr w:rsidR="006B1AFC" w:rsidRPr="009771ED" w14:paraId="12946E00" w14:textId="77777777" w:rsidTr="003C4A79">
              <w:trPr>
                <w:trHeight w:val="255"/>
              </w:trPr>
              <w:tc>
                <w:tcPr>
                  <w:tcW w:w="4265" w:type="dxa"/>
                  <w:tcBorders>
                    <w:top w:val="nil"/>
                    <w:left w:val="nil"/>
                    <w:bottom w:val="nil"/>
                    <w:right w:val="nil"/>
                  </w:tcBorders>
                  <w:noWrap/>
                  <w:vAlign w:val="center"/>
                  <w:hideMark/>
                </w:tcPr>
                <w:p w14:paraId="30835DF6" w14:textId="77777777" w:rsidR="006B1AFC" w:rsidRPr="009771ED" w:rsidRDefault="006B1AFC" w:rsidP="003C4A79">
                  <w:pPr>
                    <w:spacing w:after="0" w:line="240" w:lineRule="auto"/>
                    <w:ind w:left="82"/>
                    <w:jc w:val="left"/>
                    <w:rPr>
                      <w:rFonts w:cs="Arial"/>
                      <w:color w:val="000000"/>
                      <w:sz w:val="16"/>
                      <w:szCs w:val="16"/>
                      <w:lang w:eastAsia="ko-KR"/>
                    </w:rPr>
                  </w:pPr>
                  <w:r w:rsidRPr="009771ED">
                    <w:rPr>
                      <w:rFonts w:cs="Arial"/>
                      <w:color w:val="000000"/>
                      <w:sz w:val="16"/>
                      <w:szCs w:val="16"/>
                      <w:lang w:eastAsia="ko-KR"/>
                    </w:rPr>
                    <w:t>Papír a výrobky z papíru</w:t>
                  </w:r>
                </w:p>
              </w:tc>
              <w:tc>
                <w:tcPr>
                  <w:tcW w:w="888" w:type="dxa"/>
                  <w:tcBorders>
                    <w:top w:val="nil"/>
                    <w:left w:val="nil"/>
                    <w:bottom w:val="nil"/>
                    <w:right w:val="nil"/>
                  </w:tcBorders>
                  <w:noWrap/>
                  <w:vAlign w:val="bottom"/>
                  <w:hideMark/>
                </w:tcPr>
                <w:p w14:paraId="3AB86921"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0,7</w:t>
                  </w:r>
                </w:p>
              </w:tc>
              <w:tc>
                <w:tcPr>
                  <w:tcW w:w="888" w:type="dxa"/>
                  <w:tcBorders>
                    <w:top w:val="nil"/>
                    <w:left w:val="nil"/>
                    <w:bottom w:val="nil"/>
                    <w:right w:val="nil"/>
                  </w:tcBorders>
                  <w:noWrap/>
                  <w:vAlign w:val="bottom"/>
                  <w:hideMark/>
                </w:tcPr>
                <w:p w14:paraId="4FA5EAC2"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2,8</w:t>
                  </w:r>
                </w:p>
              </w:tc>
              <w:tc>
                <w:tcPr>
                  <w:tcW w:w="888" w:type="dxa"/>
                  <w:tcBorders>
                    <w:top w:val="nil"/>
                    <w:left w:val="nil"/>
                    <w:bottom w:val="nil"/>
                    <w:right w:val="nil"/>
                  </w:tcBorders>
                  <w:noWrap/>
                  <w:vAlign w:val="bottom"/>
                  <w:hideMark/>
                </w:tcPr>
                <w:p w14:paraId="2B2BF12A"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97,9</w:t>
                  </w:r>
                </w:p>
              </w:tc>
              <w:tc>
                <w:tcPr>
                  <w:tcW w:w="888" w:type="dxa"/>
                  <w:tcBorders>
                    <w:top w:val="nil"/>
                    <w:left w:val="nil"/>
                    <w:bottom w:val="nil"/>
                    <w:right w:val="nil"/>
                  </w:tcBorders>
                  <w:noWrap/>
                  <w:vAlign w:val="bottom"/>
                  <w:hideMark/>
                </w:tcPr>
                <w:p w14:paraId="4FCFA62F"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6,4</w:t>
                  </w:r>
                </w:p>
              </w:tc>
              <w:tc>
                <w:tcPr>
                  <w:tcW w:w="888" w:type="dxa"/>
                  <w:tcBorders>
                    <w:top w:val="nil"/>
                    <w:left w:val="nil"/>
                    <w:bottom w:val="nil"/>
                    <w:right w:val="nil"/>
                  </w:tcBorders>
                  <w:noWrap/>
                  <w:vAlign w:val="bottom"/>
                  <w:hideMark/>
                </w:tcPr>
                <w:p w14:paraId="6C272F50"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2,5</w:t>
                  </w:r>
                </w:p>
              </w:tc>
              <w:tc>
                <w:tcPr>
                  <w:tcW w:w="888" w:type="dxa"/>
                  <w:tcBorders>
                    <w:top w:val="nil"/>
                    <w:left w:val="nil"/>
                    <w:bottom w:val="nil"/>
                    <w:right w:val="nil"/>
                  </w:tcBorders>
                  <w:noWrap/>
                  <w:vAlign w:val="bottom"/>
                  <w:hideMark/>
                </w:tcPr>
                <w:p w14:paraId="364F12E3"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96,0</w:t>
                  </w:r>
                </w:p>
              </w:tc>
            </w:tr>
            <w:tr w:rsidR="006B1AFC" w:rsidRPr="009771ED" w14:paraId="22A13A0C" w14:textId="77777777" w:rsidTr="003C4A79">
              <w:trPr>
                <w:trHeight w:val="255"/>
              </w:trPr>
              <w:tc>
                <w:tcPr>
                  <w:tcW w:w="4265" w:type="dxa"/>
                  <w:tcBorders>
                    <w:top w:val="nil"/>
                    <w:left w:val="nil"/>
                    <w:bottom w:val="nil"/>
                    <w:right w:val="nil"/>
                  </w:tcBorders>
                  <w:noWrap/>
                  <w:vAlign w:val="center"/>
                  <w:hideMark/>
                </w:tcPr>
                <w:p w14:paraId="634CC02D" w14:textId="77777777" w:rsidR="006B1AFC" w:rsidRPr="009771ED" w:rsidRDefault="006B1AFC" w:rsidP="003C4A79">
                  <w:pPr>
                    <w:spacing w:after="0" w:line="240" w:lineRule="auto"/>
                    <w:ind w:left="82"/>
                    <w:jc w:val="left"/>
                    <w:rPr>
                      <w:rFonts w:cs="Arial"/>
                      <w:color w:val="000000"/>
                      <w:sz w:val="16"/>
                      <w:szCs w:val="16"/>
                      <w:lang w:eastAsia="ko-KR"/>
                    </w:rPr>
                  </w:pPr>
                  <w:r w:rsidRPr="009771ED">
                    <w:rPr>
                      <w:rFonts w:cs="Arial"/>
                      <w:color w:val="000000"/>
                      <w:sz w:val="16"/>
                      <w:szCs w:val="16"/>
                      <w:lang w:eastAsia="ko-KR"/>
                    </w:rPr>
                    <w:t>Koks a rafinované ropné produkty</w:t>
                  </w:r>
                </w:p>
              </w:tc>
              <w:tc>
                <w:tcPr>
                  <w:tcW w:w="888" w:type="dxa"/>
                  <w:tcBorders>
                    <w:top w:val="nil"/>
                    <w:left w:val="nil"/>
                    <w:bottom w:val="nil"/>
                    <w:right w:val="nil"/>
                  </w:tcBorders>
                  <w:noWrap/>
                  <w:vAlign w:val="bottom"/>
                  <w:hideMark/>
                </w:tcPr>
                <w:p w14:paraId="127577CF"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35,1</w:t>
                  </w:r>
                </w:p>
              </w:tc>
              <w:tc>
                <w:tcPr>
                  <w:tcW w:w="888" w:type="dxa"/>
                  <w:tcBorders>
                    <w:top w:val="nil"/>
                    <w:left w:val="nil"/>
                    <w:bottom w:val="nil"/>
                    <w:right w:val="nil"/>
                  </w:tcBorders>
                  <w:noWrap/>
                  <w:vAlign w:val="bottom"/>
                  <w:hideMark/>
                </w:tcPr>
                <w:p w14:paraId="3F820489"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45,1</w:t>
                  </w:r>
                </w:p>
              </w:tc>
              <w:tc>
                <w:tcPr>
                  <w:tcW w:w="888" w:type="dxa"/>
                  <w:tcBorders>
                    <w:top w:val="nil"/>
                    <w:left w:val="nil"/>
                    <w:bottom w:val="nil"/>
                    <w:right w:val="nil"/>
                  </w:tcBorders>
                  <w:noWrap/>
                  <w:vAlign w:val="bottom"/>
                  <w:hideMark/>
                </w:tcPr>
                <w:p w14:paraId="79F4C86B"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93,1</w:t>
                  </w:r>
                </w:p>
              </w:tc>
              <w:tc>
                <w:tcPr>
                  <w:tcW w:w="888" w:type="dxa"/>
                  <w:tcBorders>
                    <w:top w:val="nil"/>
                    <w:left w:val="nil"/>
                    <w:bottom w:val="nil"/>
                    <w:right w:val="nil"/>
                  </w:tcBorders>
                  <w:noWrap/>
                  <w:vAlign w:val="bottom"/>
                  <w:hideMark/>
                </w:tcPr>
                <w:p w14:paraId="3EB9AA1B"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43,2</w:t>
                  </w:r>
                </w:p>
              </w:tc>
              <w:tc>
                <w:tcPr>
                  <w:tcW w:w="888" w:type="dxa"/>
                  <w:tcBorders>
                    <w:top w:val="nil"/>
                    <w:left w:val="nil"/>
                    <w:bottom w:val="nil"/>
                    <w:right w:val="nil"/>
                  </w:tcBorders>
                  <w:noWrap/>
                  <w:vAlign w:val="bottom"/>
                  <w:hideMark/>
                </w:tcPr>
                <w:p w14:paraId="73BFA3C0"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59,9</w:t>
                  </w:r>
                </w:p>
              </w:tc>
              <w:tc>
                <w:tcPr>
                  <w:tcW w:w="888" w:type="dxa"/>
                  <w:tcBorders>
                    <w:top w:val="nil"/>
                    <w:left w:val="nil"/>
                    <w:bottom w:val="nil"/>
                    <w:right w:val="nil"/>
                  </w:tcBorders>
                  <w:noWrap/>
                  <w:vAlign w:val="bottom"/>
                  <w:hideMark/>
                </w:tcPr>
                <w:p w14:paraId="19F9E3B4"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89,6</w:t>
                  </w:r>
                </w:p>
              </w:tc>
            </w:tr>
            <w:tr w:rsidR="006B1AFC" w:rsidRPr="009771ED" w14:paraId="313D5733" w14:textId="77777777" w:rsidTr="003C4A79">
              <w:trPr>
                <w:trHeight w:val="255"/>
              </w:trPr>
              <w:tc>
                <w:tcPr>
                  <w:tcW w:w="4265" w:type="dxa"/>
                  <w:tcBorders>
                    <w:top w:val="nil"/>
                    <w:left w:val="nil"/>
                    <w:bottom w:val="nil"/>
                    <w:right w:val="nil"/>
                  </w:tcBorders>
                  <w:noWrap/>
                  <w:vAlign w:val="center"/>
                  <w:hideMark/>
                </w:tcPr>
                <w:p w14:paraId="1E3CA70B" w14:textId="77777777" w:rsidR="006B1AFC" w:rsidRPr="009771ED" w:rsidRDefault="006B1AFC" w:rsidP="003C4A79">
                  <w:pPr>
                    <w:spacing w:after="0" w:line="240" w:lineRule="auto"/>
                    <w:ind w:left="82"/>
                    <w:jc w:val="left"/>
                    <w:rPr>
                      <w:rFonts w:cs="Arial"/>
                      <w:color w:val="000000"/>
                      <w:sz w:val="16"/>
                      <w:szCs w:val="16"/>
                      <w:lang w:eastAsia="ko-KR"/>
                    </w:rPr>
                  </w:pPr>
                  <w:r w:rsidRPr="009771ED">
                    <w:rPr>
                      <w:rFonts w:cs="Arial"/>
                      <w:color w:val="000000"/>
                      <w:sz w:val="16"/>
                      <w:szCs w:val="16"/>
                      <w:lang w:eastAsia="ko-KR"/>
                    </w:rPr>
                    <w:t>Chemické látky a přípravky</w:t>
                  </w:r>
                </w:p>
              </w:tc>
              <w:tc>
                <w:tcPr>
                  <w:tcW w:w="888" w:type="dxa"/>
                  <w:tcBorders>
                    <w:top w:val="nil"/>
                    <w:left w:val="nil"/>
                    <w:bottom w:val="nil"/>
                    <w:right w:val="nil"/>
                  </w:tcBorders>
                  <w:noWrap/>
                  <w:vAlign w:val="bottom"/>
                  <w:hideMark/>
                </w:tcPr>
                <w:p w14:paraId="17E10BD1"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15,0</w:t>
                  </w:r>
                </w:p>
              </w:tc>
              <w:tc>
                <w:tcPr>
                  <w:tcW w:w="888" w:type="dxa"/>
                  <w:tcBorders>
                    <w:top w:val="nil"/>
                    <w:left w:val="nil"/>
                    <w:bottom w:val="nil"/>
                    <w:right w:val="nil"/>
                  </w:tcBorders>
                  <w:noWrap/>
                  <w:vAlign w:val="bottom"/>
                  <w:hideMark/>
                </w:tcPr>
                <w:p w14:paraId="2F8F1AF5"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11,6</w:t>
                  </w:r>
                </w:p>
              </w:tc>
              <w:tc>
                <w:tcPr>
                  <w:tcW w:w="888" w:type="dxa"/>
                  <w:tcBorders>
                    <w:top w:val="nil"/>
                    <w:left w:val="nil"/>
                    <w:bottom w:val="nil"/>
                    <w:right w:val="nil"/>
                  </w:tcBorders>
                  <w:noWrap/>
                  <w:vAlign w:val="bottom"/>
                  <w:hideMark/>
                </w:tcPr>
                <w:p w14:paraId="2009EE2A"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103,0</w:t>
                  </w:r>
                </w:p>
              </w:tc>
              <w:tc>
                <w:tcPr>
                  <w:tcW w:w="888" w:type="dxa"/>
                  <w:tcBorders>
                    <w:top w:val="nil"/>
                    <w:left w:val="nil"/>
                    <w:bottom w:val="nil"/>
                    <w:right w:val="nil"/>
                  </w:tcBorders>
                  <w:noWrap/>
                  <w:vAlign w:val="bottom"/>
                  <w:hideMark/>
                </w:tcPr>
                <w:p w14:paraId="38028DD6"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7,0</w:t>
                  </w:r>
                </w:p>
              </w:tc>
              <w:tc>
                <w:tcPr>
                  <w:tcW w:w="888" w:type="dxa"/>
                  <w:tcBorders>
                    <w:top w:val="nil"/>
                    <w:left w:val="nil"/>
                    <w:bottom w:val="nil"/>
                    <w:right w:val="nil"/>
                  </w:tcBorders>
                  <w:noWrap/>
                  <w:vAlign w:val="bottom"/>
                  <w:hideMark/>
                </w:tcPr>
                <w:p w14:paraId="550816A5"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7,5</w:t>
                  </w:r>
                </w:p>
              </w:tc>
              <w:tc>
                <w:tcPr>
                  <w:tcW w:w="888" w:type="dxa"/>
                  <w:tcBorders>
                    <w:top w:val="nil"/>
                    <w:left w:val="nil"/>
                    <w:bottom w:val="nil"/>
                    <w:right w:val="nil"/>
                  </w:tcBorders>
                  <w:noWrap/>
                  <w:vAlign w:val="bottom"/>
                  <w:hideMark/>
                </w:tcPr>
                <w:p w14:paraId="325991DB"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99,5</w:t>
                  </w:r>
                </w:p>
              </w:tc>
            </w:tr>
            <w:tr w:rsidR="006B1AFC" w:rsidRPr="009771ED" w14:paraId="37DFEFAE" w14:textId="77777777" w:rsidTr="003C4A79">
              <w:trPr>
                <w:trHeight w:val="255"/>
              </w:trPr>
              <w:tc>
                <w:tcPr>
                  <w:tcW w:w="4265" w:type="dxa"/>
                  <w:tcBorders>
                    <w:top w:val="nil"/>
                    <w:left w:val="nil"/>
                    <w:bottom w:val="nil"/>
                    <w:right w:val="nil"/>
                  </w:tcBorders>
                  <w:noWrap/>
                  <w:vAlign w:val="center"/>
                  <w:hideMark/>
                </w:tcPr>
                <w:p w14:paraId="194714CC" w14:textId="77777777" w:rsidR="006B1AFC" w:rsidRPr="009771ED" w:rsidRDefault="006B1AFC" w:rsidP="003C4A79">
                  <w:pPr>
                    <w:spacing w:after="0" w:line="240" w:lineRule="auto"/>
                    <w:ind w:left="82"/>
                    <w:jc w:val="left"/>
                    <w:rPr>
                      <w:rFonts w:cs="Arial"/>
                      <w:color w:val="000000"/>
                      <w:sz w:val="16"/>
                      <w:szCs w:val="16"/>
                      <w:lang w:eastAsia="ko-KR"/>
                    </w:rPr>
                  </w:pPr>
                  <w:r w:rsidRPr="009771ED">
                    <w:rPr>
                      <w:rFonts w:cs="Arial"/>
                      <w:color w:val="000000"/>
                      <w:sz w:val="16"/>
                      <w:szCs w:val="16"/>
                      <w:lang w:eastAsia="ko-KR"/>
                    </w:rPr>
                    <w:t>Základní farmaceutické výrobky a přípravky</w:t>
                  </w:r>
                </w:p>
              </w:tc>
              <w:tc>
                <w:tcPr>
                  <w:tcW w:w="888" w:type="dxa"/>
                  <w:tcBorders>
                    <w:top w:val="nil"/>
                    <w:left w:val="nil"/>
                    <w:bottom w:val="nil"/>
                    <w:right w:val="nil"/>
                  </w:tcBorders>
                  <w:noWrap/>
                  <w:vAlign w:val="bottom"/>
                  <w:hideMark/>
                </w:tcPr>
                <w:p w14:paraId="56F5A4B5"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1,2</w:t>
                  </w:r>
                </w:p>
              </w:tc>
              <w:tc>
                <w:tcPr>
                  <w:tcW w:w="888" w:type="dxa"/>
                  <w:tcBorders>
                    <w:top w:val="nil"/>
                    <w:left w:val="nil"/>
                    <w:bottom w:val="nil"/>
                    <w:right w:val="nil"/>
                  </w:tcBorders>
                  <w:noWrap/>
                  <w:vAlign w:val="bottom"/>
                  <w:hideMark/>
                </w:tcPr>
                <w:p w14:paraId="28BCA25A"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0,3</w:t>
                  </w:r>
                </w:p>
              </w:tc>
              <w:tc>
                <w:tcPr>
                  <w:tcW w:w="888" w:type="dxa"/>
                  <w:tcBorders>
                    <w:top w:val="nil"/>
                    <w:left w:val="nil"/>
                    <w:bottom w:val="nil"/>
                    <w:right w:val="nil"/>
                  </w:tcBorders>
                  <w:noWrap/>
                  <w:vAlign w:val="bottom"/>
                  <w:hideMark/>
                </w:tcPr>
                <w:p w14:paraId="67AD0E11"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100,9</w:t>
                  </w:r>
                </w:p>
              </w:tc>
              <w:tc>
                <w:tcPr>
                  <w:tcW w:w="888" w:type="dxa"/>
                  <w:tcBorders>
                    <w:top w:val="nil"/>
                    <w:left w:val="nil"/>
                    <w:bottom w:val="nil"/>
                    <w:right w:val="nil"/>
                  </w:tcBorders>
                  <w:noWrap/>
                  <w:vAlign w:val="bottom"/>
                  <w:hideMark/>
                </w:tcPr>
                <w:p w14:paraId="750184EE"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1,0</w:t>
                  </w:r>
                </w:p>
              </w:tc>
              <w:tc>
                <w:tcPr>
                  <w:tcW w:w="888" w:type="dxa"/>
                  <w:tcBorders>
                    <w:top w:val="nil"/>
                    <w:left w:val="nil"/>
                    <w:bottom w:val="nil"/>
                    <w:right w:val="nil"/>
                  </w:tcBorders>
                  <w:noWrap/>
                  <w:vAlign w:val="bottom"/>
                  <w:hideMark/>
                </w:tcPr>
                <w:p w14:paraId="565587BC"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0,8</w:t>
                  </w:r>
                </w:p>
              </w:tc>
              <w:tc>
                <w:tcPr>
                  <w:tcW w:w="888" w:type="dxa"/>
                  <w:tcBorders>
                    <w:top w:val="nil"/>
                    <w:left w:val="nil"/>
                    <w:bottom w:val="nil"/>
                    <w:right w:val="nil"/>
                  </w:tcBorders>
                  <w:noWrap/>
                  <w:vAlign w:val="bottom"/>
                  <w:hideMark/>
                </w:tcPr>
                <w:p w14:paraId="2A451914"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98,2</w:t>
                  </w:r>
                </w:p>
              </w:tc>
            </w:tr>
            <w:tr w:rsidR="006B1AFC" w:rsidRPr="009771ED" w14:paraId="0EC8252A" w14:textId="77777777" w:rsidTr="003C4A79">
              <w:trPr>
                <w:trHeight w:val="255"/>
              </w:trPr>
              <w:tc>
                <w:tcPr>
                  <w:tcW w:w="4265" w:type="dxa"/>
                  <w:tcBorders>
                    <w:top w:val="nil"/>
                    <w:left w:val="nil"/>
                    <w:bottom w:val="nil"/>
                    <w:right w:val="nil"/>
                  </w:tcBorders>
                  <w:noWrap/>
                  <w:vAlign w:val="center"/>
                  <w:hideMark/>
                </w:tcPr>
                <w:p w14:paraId="24FAB0C4" w14:textId="77777777" w:rsidR="006B1AFC" w:rsidRPr="009771ED" w:rsidRDefault="006B1AFC" w:rsidP="003C4A79">
                  <w:pPr>
                    <w:spacing w:after="0" w:line="240" w:lineRule="auto"/>
                    <w:ind w:left="82"/>
                    <w:jc w:val="left"/>
                    <w:rPr>
                      <w:rFonts w:cs="Arial"/>
                      <w:color w:val="000000"/>
                      <w:sz w:val="16"/>
                      <w:szCs w:val="16"/>
                      <w:lang w:eastAsia="ko-KR"/>
                    </w:rPr>
                  </w:pPr>
                  <w:r w:rsidRPr="009771ED">
                    <w:rPr>
                      <w:rFonts w:cs="Arial"/>
                      <w:color w:val="000000"/>
                      <w:sz w:val="16"/>
                      <w:szCs w:val="16"/>
                      <w:lang w:eastAsia="ko-KR"/>
                    </w:rPr>
                    <w:t>Pryžové a plastové výrobky</w:t>
                  </w:r>
                </w:p>
              </w:tc>
              <w:tc>
                <w:tcPr>
                  <w:tcW w:w="888" w:type="dxa"/>
                  <w:tcBorders>
                    <w:top w:val="nil"/>
                    <w:left w:val="nil"/>
                    <w:bottom w:val="nil"/>
                    <w:right w:val="nil"/>
                  </w:tcBorders>
                  <w:noWrap/>
                  <w:vAlign w:val="bottom"/>
                  <w:hideMark/>
                </w:tcPr>
                <w:p w14:paraId="405C1EC7"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2,4</w:t>
                  </w:r>
                </w:p>
              </w:tc>
              <w:tc>
                <w:tcPr>
                  <w:tcW w:w="888" w:type="dxa"/>
                  <w:tcBorders>
                    <w:top w:val="nil"/>
                    <w:left w:val="nil"/>
                    <w:bottom w:val="nil"/>
                    <w:right w:val="nil"/>
                  </w:tcBorders>
                  <w:noWrap/>
                  <w:vAlign w:val="bottom"/>
                  <w:hideMark/>
                </w:tcPr>
                <w:p w14:paraId="29158E63"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2,6</w:t>
                  </w:r>
                </w:p>
              </w:tc>
              <w:tc>
                <w:tcPr>
                  <w:tcW w:w="888" w:type="dxa"/>
                  <w:tcBorders>
                    <w:top w:val="nil"/>
                    <w:left w:val="nil"/>
                    <w:bottom w:val="nil"/>
                    <w:right w:val="nil"/>
                  </w:tcBorders>
                  <w:noWrap/>
                  <w:vAlign w:val="bottom"/>
                  <w:hideMark/>
                </w:tcPr>
                <w:p w14:paraId="3B043A7E"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99,8</w:t>
                  </w:r>
                </w:p>
              </w:tc>
              <w:tc>
                <w:tcPr>
                  <w:tcW w:w="888" w:type="dxa"/>
                  <w:tcBorders>
                    <w:top w:val="nil"/>
                    <w:left w:val="nil"/>
                    <w:bottom w:val="nil"/>
                    <w:right w:val="nil"/>
                  </w:tcBorders>
                  <w:noWrap/>
                  <w:vAlign w:val="bottom"/>
                  <w:hideMark/>
                </w:tcPr>
                <w:p w14:paraId="2C44B50A"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1,3</w:t>
                  </w:r>
                </w:p>
              </w:tc>
              <w:tc>
                <w:tcPr>
                  <w:tcW w:w="888" w:type="dxa"/>
                  <w:tcBorders>
                    <w:top w:val="nil"/>
                    <w:left w:val="nil"/>
                    <w:bottom w:val="nil"/>
                    <w:right w:val="nil"/>
                  </w:tcBorders>
                  <w:noWrap/>
                  <w:vAlign w:val="bottom"/>
                  <w:hideMark/>
                </w:tcPr>
                <w:p w14:paraId="62E1FC20"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1,2</w:t>
                  </w:r>
                </w:p>
              </w:tc>
              <w:tc>
                <w:tcPr>
                  <w:tcW w:w="888" w:type="dxa"/>
                  <w:tcBorders>
                    <w:top w:val="nil"/>
                    <w:left w:val="nil"/>
                    <w:bottom w:val="nil"/>
                    <w:right w:val="nil"/>
                  </w:tcBorders>
                  <w:noWrap/>
                  <w:vAlign w:val="bottom"/>
                  <w:hideMark/>
                </w:tcPr>
                <w:p w14:paraId="12923A02"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97,5</w:t>
                  </w:r>
                </w:p>
              </w:tc>
            </w:tr>
            <w:tr w:rsidR="006B1AFC" w:rsidRPr="009771ED" w14:paraId="2B639BDF" w14:textId="77777777" w:rsidTr="003C4A79">
              <w:trPr>
                <w:trHeight w:val="255"/>
              </w:trPr>
              <w:tc>
                <w:tcPr>
                  <w:tcW w:w="4265" w:type="dxa"/>
                  <w:tcBorders>
                    <w:top w:val="nil"/>
                    <w:left w:val="nil"/>
                    <w:bottom w:val="nil"/>
                    <w:right w:val="nil"/>
                  </w:tcBorders>
                  <w:noWrap/>
                  <w:vAlign w:val="center"/>
                  <w:hideMark/>
                </w:tcPr>
                <w:p w14:paraId="2F4665D8" w14:textId="77777777" w:rsidR="006B1AFC" w:rsidRPr="009771ED" w:rsidRDefault="006B1AFC" w:rsidP="003C4A79">
                  <w:pPr>
                    <w:spacing w:after="0" w:line="240" w:lineRule="auto"/>
                    <w:ind w:left="82"/>
                    <w:jc w:val="left"/>
                    <w:rPr>
                      <w:rFonts w:cs="Arial"/>
                      <w:color w:val="000000"/>
                      <w:sz w:val="16"/>
                      <w:szCs w:val="16"/>
                      <w:lang w:eastAsia="ko-KR"/>
                    </w:rPr>
                  </w:pPr>
                  <w:r w:rsidRPr="009771ED">
                    <w:rPr>
                      <w:rFonts w:cs="Arial"/>
                      <w:color w:val="000000"/>
                      <w:sz w:val="16"/>
                      <w:szCs w:val="16"/>
                      <w:lang w:eastAsia="ko-KR"/>
                    </w:rPr>
                    <w:t>Ostatní nekovové minerální výrobky</w:t>
                  </w:r>
                </w:p>
              </w:tc>
              <w:tc>
                <w:tcPr>
                  <w:tcW w:w="888" w:type="dxa"/>
                  <w:tcBorders>
                    <w:top w:val="nil"/>
                    <w:left w:val="nil"/>
                    <w:bottom w:val="nil"/>
                    <w:right w:val="nil"/>
                  </w:tcBorders>
                  <w:noWrap/>
                  <w:vAlign w:val="bottom"/>
                  <w:hideMark/>
                </w:tcPr>
                <w:p w14:paraId="3ABDE20A"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0,7</w:t>
                  </w:r>
                </w:p>
              </w:tc>
              <w:tc>
                <w:tcPr>
                  <w:tcW w:w="888" w:type="dxa"/>
                  <w:tcBorders>
                    <w:top w:val="nil"/>
                    <w:left w:val="nil"/>
                    <w:bottom w:val="nil"/>
                    <w:right w:val="nil"/>
                  </w:tcBorders>
                  <w:noWrap/>
                  <w:vAlign w:val="bottom"/>
                  <w:hideMark/>
                </w:tcPr>
                <w:p w14:paraId="219579EB"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w:t>
                  </w:r>
                </w:p>
              </w:tc>
              <w:tc>
                <w:tcPr>
                  <w:tcW w:w="888" w:type="dxa"/>
                  <w:tcBorders>
                    <w:top w:val="nil"/>
                    <w:left w:val="nil"/>
                    <w:bottom w:val="nil"/>
                    <w:right w:val="nil"/>
                  </w:tcBorders>
                  <w:noWrap/>
                  <w:vAlign w:val="bottom"/>
                  <w:hideMark/>
                </w:tcPr>
                <w:p w14:paraId="7E72EF81"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99,7</w:t>
                  </w:r>
                </w:p>
              </w:tc>
              <w:tc>
                <w:tcPr>
                  <w:tcW w:w="888" w:type="dxa"/>
                  <w:tcBorders>
                    <w:top w:val="nil"/>
                    <w:left w:val="nil"/>
                    <w:bottom w:val="nil"/>
                    <w:right w:val="nil"/>
                  </w:tcBorders>
                  <w:noWrap/>
                  <w:vAlign w:val="bottom"/>
                  <w:hideMark/>
                </w:tcPr>
                <w:p w14:paraId="1A5B1E7A"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1,7</w:t>
                  </w:r>
                </w:p>
              </w:tc>
              <w:tc>
                <w:tcPr>
                  <w:tcW w:w="888" w:type="dxa"/>
                  <w:tcBorders>
                    <w:top w:val="nil"/>
                    <w:left w:val="nil"/>
                    <w:bottom w:val="nil"/>
                    <w:right w:val="nil"/>
                  </w:tcBorders>
                  <w:noWrap/>
                  <w:vAlign w:val="bottom"/>
                  <w:hideMark/>
                </w:tcPr>
                <w:p w14:paraId="34ACF67A"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1,8</w:t>
                  </w:r>
                </w:p>
              </w:tc>
              <w:tc>
                <w:tcPr>
                  <w:tcW w:w="888" w:type="dxa"/>
                  <w:tcBorders>
                    <w:top w:val="nil"/>
                    <w:left w:val="nil"/>
                    <w:bottom w:val="nil"/>
                    <w:right w:val="nil"/>
                  </w:tcBorders>
                  <w:noWrap/>
                  <w:vAlign w:val="bottom"/>
                  <w:hideMark/>
                </w:tcPr>
                <w:p w14:paraId="6A787D16"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100,1</w:t>
                  </w:r>
                </w:p>
              </w:tc>
            </w:tr>
            <w:tr w:rsidR="006B1AFC" w:rsidRPr="009771ED" w14:paraId="3A5C8134" w14:textId="77777777" w:rsidTr="003C4A79">
              <w:trPr>
                <w:trHeight w:val="255"/>
              </w:trPr>
              <w:tc>
                <w:tcPr>
                  <w:tcW w:w="4265" w:type="dxa"/>
                  <w:tcBorders>
                    <w:top w:val="nil"/>
                    <w:left w:val="nil"/>
                    <w:bottom w:val="nil"/>
                    <w:right w:val="nil"/>
                  </w:tcBorders>
                  <w:noWrap/>
                  <w:vAlign w:val="center"/>
                  <w:hideMark/>
                </w:tcPr>
                <w:p w14:paraId="275F7C8D" w14:textId="77777777" w:rsidR="006B1AFC" w:rsidRPr="009771ED" w:rsidRDefault="006B1AFC" w:rsidP="003C4A79">
                  <w:pPr>
                    <w:spacing w:after="0" w:line="240" w:lineRule="auto"/>
                    <w:ind w:left="82"/>
                    <w:jc w:val="left"/>
                    <w:rPr>
                      <w:rFonts w:cs="Arial"/>
                      <w:color w:val="000000"/>
                      <w:sz w:val="16"/>
                      <w:szCs w:val="16"/>
                      <w:lang w:eastAsia="ko-KR"/>
                    </w:rPr>
                  </w:pPr>
                  <w:r w:rsidRPr="009771ED">
                    <w:rPr>
                      <w:rFonts w:cs="Arial"/>
                      <w:color w:val="000000"/>
                      <w:sz w:val="16"/>
                      <w:szCs w:val="16"/>
                      <w:lang w:eastAsia="ko-KR"/>
                    </w:rPr>
                    <w:t>Základní kovy</w:t>
                  </w:r>
                </w:p>
              </w:tc>
              <w:tc>
                <w:tcPr>
                  <w:tcW w:w="888" w:type="dxa"/>
                  <w:tcBorders>
                    <w:top w:val="nil"/>
                    <w:left w:val="nil"/>
                    <w:bottom w:val="nil"/>
                    <w:right w:val="nil"/>
                  </w:tcBorders>
                  <w:noWrap/>
                  <w:vAlign w:val="bottom"/>
                  <w:hideMark/>
                </w:tcPr>
                <w:p w14:paraId="1539EC17"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5,3</w:t>
                  </w:r>
                </w:p>
              </w:tc>
              <w:tc>
                <w:tcPr>
                  <w:tcW w:w="888" w:type="dxa"/>
                  <w:tcBorders>
                    <w:top w:val="nil"/>
                    <w:left w:val="nil"/>
                    <w:bottom w:val="nil"/>
                    <w:right w:val="nil"/>
                  </w:tcBorders>
                  <w:noWrap/>
                  <w:vAlign w:val="bottom"/>
                  <w:hideMark/>
                </w:tcPr>
                <w:p w14:paraId="6A22F10A"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5,1</w:t>
                  </w:r>
                </w:p>
              </w:tc>
              <w:tc>
                <w:tcPr>
                  <w:tcW w:w="888" w:type="dxa"/>
                  <w:tcBorders>
                    <w:top w:val="nil"/>
                    <w:left w:val="nil"/>
                    <w:bottom w:val="nil"/>
                    <w:right w:val="nil"/>
                  </w:tcBorders>
                  <w:noWrap/>
                  <w:vAlign w:val="bottom"/>
                  <w:hideMark/>
                </w:tcPr>
                <w:p w14:paraId="5985FFCC"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100,2</w:t>
                  </w:r>
                </w:p>
              </w:tc>
              <w:tc>
                <w:tcPr>
                  <w:tcW w:w="888" w:type="dxa"/>
                  <w:tcBorders>
                    <w:top w:val="nil"/>
                    <w:left w:val="nil"/>
                    <w:bottom w:val="nil"/>
                    <w:right w:val="nil"/>
                  </w:tcBorders>
                  <w:noWrap/>
                  <w:vAlign w:val="bottom"/>
                  <w:hideMark/>
                </w:tcPr>
                <w:p w14:paraId="04B315EC"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2,9</w:t>
                  </w:r>
                </w:p>
              </w:tc>
              <w:tc>
                <w:tcPr>
                  <w:tcW w:w="888" w:type="dxa"/>
                  <w:tcBorders>
                    <w:top w:val="nil"/>
                    <w:left w:val="nil"/>
                    <w:bottom w:val="nil"/>
                    <w:right w:val="nil"/>
                  </w:tcBorders>
                  <w:noWrap/>
                  <w:vAlign w:val="bottom"/>
                  <w:hideMark/>
                </w:tcPr>
                <w:p w14:paraId="655CA5EC"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6,9</w:t>
                  </w:r>
                </w:p>
              </w:tc>
              <w:tc>
                <w:tcPr>
                  <w:tcW w:w="888" w:type="dxa"/>
                  <w:tcBorders>
                    <w:top w:val="nil"/>
                    <w:left w:val="nil"/>
                    <w:bottom w:val="nil"/>
                    <w:right w:val="nil"/>
                  </w:tcBorders>
                  <w:noWrap/>
                  <w:vAlign w:val="bottom"/>
                  <w:hideMark/>
                </w:tcPr>
                <w:p w14:paraId="2E562880"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96,3</w:t>
                  </w:r>
                </w:p>
              </w:tc>
            </w:tr>
            <w:tr w:rsidR="006B1AFC" w:rsidRPr="009771ED" w14:paraId="39FF7FD9" w14:textId="77777777" w:rsidTr="003C4A79">
              <w:trPr>
                <w:trHeight w:val="255"/>
              </w:trPr>
              <w:tc>
                <w:tcPr>
                  <w:tcW w:w="4265" w:type="dxa"/>
                  <w:tcBorders>
                    <w:top w:val="nil"/>
                    <w:left w:val="nil"/>
                    <w:bottom w:val="nil"/>
                    <w:right w:val="nil"/>
                  </w:tcBorders>
                  <w:noWrap/>
                  <w:vAlign w:val="center"/>
                  <w:hideMark/>
                </w:tcPr>
                <w:p w14:paraId="09D58568" w14:textId="77777777" w:rsidR="006B1AFC" w:rsidRPr="009771ED" w:rsidRDefault="006B1AFC" w:rsidP="003C4A79">
                  <w:pPr>
                    <w:spacing w:after="0" w:line="240" w:lineRule="auto"/>
                    <w:ind w:left="82"/>
                    <w:jc w:val="left"/>
                    <w:rPr>
                      <w:rFonts w:cs="Arial"/>
                      <w:color w:val="000000"/>
                      <w:sz w:val="16"/>
                      <w:szCs w:val="16"/>
                      <w:lang w:eastAsia="ko-KR"/>
                    </w:rPr>
                  </w:pPr>
                  <w:r w:rsidRPr="009771ED">
                    <w:rPr>
                      <w:rFonts w:cs="Arial"/>
                      <w:color w:val="000000"/>
                      <w:sz w:val="16"/>
                      <w:szCs w:val="16"/>
                      <w:lang w:eastAsia="ko-KR"/>
                    </w:rPr>
                    <w:t>Kovodělné výrobky, kromě strojů a zařízení</w:t>
                  </w:r>
                </w:p>
              </w:tc>
              <w:tc>
                <w:tcPr>
                  <w:tcW w:w="888" w:type="dxa"/>
                  <w:tcBorders>
                    <w:top w:val="nil"/>
                    <w:left w:val="nil"/>
                    <w:bottom w:val="nil"/>
                    <w:right w:val="nil"/>
                  </w:tcBorders>
                  <w:noWrap/>
                  <w:vAlign w:val="bottom"/>
                  <w:hideMark/>
                </w:tcPr>
                <w:p w14:paraId="5F6B8E44"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2,3</w:t>
                  </w:r>
                </w:p>
              </w:tc>
              <w:tc>
                <w:tcPr>
                  <w:tcW w:w="888" w:type="dxa"/>
                  <w:tcBorders>
                    <w:top w:val="nil"/>
                    <w:left w:val="nil"/>
                    <w:bottom w:val="nil"/>
                    <w:right w:val="nil"/>
                  </w:tcBorders>
                  <w:noWrap/>
                  <w:vAlign w:val="bottom"/>
                  <w:hideMark/>
                </w:tcPr>
                <w:p w14:paraId="3C3DBC57"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1,1</w:t>
                  </w:r>
                </w:p>
              </w:tc>
              <w:tc>
                <w:tcPr>
                  <w:tcW w:w="888" w:type="dxa"/>
                  <w:tcBorders>
                    <w:top w:val="nil"/>
                    <w:left w:val="nil"/>
                    <w:bottom w:val="nil"/>
                    <w:right w:val="nil"/>
                  </w:tcBorders>
                  <w:noWrap/>
                  <w:vAlign w:val="bottom"/>
                  <w:hideMark/>
                </w:tcPr>
                <w:p w14:paraId="276F3631"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101,2</w:t>
                  </w:r>
                </w:p>
              </w:tc>
              <w:tc>
                <w:tcPr>
                  <w:tcW w:w="888" w:type="dxa"/>
                  <w:tcBorders>
                    <w:top w:val="nil"/>
                    <w:left w:val="nil"/>
                    <w:bottom w:val="nil"/>
                    <w:right w:val="nil"/>
                  </w:tcBorders>
                  <w:noWrap/>
                  <w:vAlign w:val="bottom"/>
                  <w:hideMark/>
                </w:tcPr>
                <w:p w14:paraId="707EAE72"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2,1</w:t>
                  </w:r>
                </w:p>
              </w:tc>
              <w:tc>
                <w:tcPr>
                  <w:tcW w:w="888" w:type="dxa"/>
                  <w:tcBorders>
                    <w:top w:val="nil"/>
                    <w:left w:val="nil"/>
                    <w:bottom w:val="nil"/>
                    <w:right w:val="nil"/>
                  </w:tcBorders>
                  <w:noWrap/>
                  <w:vAlign w:val="bottom"/>
                  <w:hideMark/>
                </w:tcPr>
                <w:p w14:paraId="46F7318B"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0,8</w:t>
                  </w:r>
                </w:p>
              </w:tc>
              <w:tc>
                <w:tcPr>
                  <w:tcW w:w="888" w:type="dxa"/>
                  <w:tcBorders>
                    <w:top w:val="nil"/>
                    <w:left w:val="nil"/>
                    <w:bottom w:val="nil"/>
                    <w:right w:val="nil"/>
                  </w:tcBorders>
                  <w:noWrap/>
                  <w:vAlign w:val="bottom"/>
                  <w:hideMark/>
                </w:tcPr>
                <w:p w14:paraId="14346B27"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98,7</w:t>
                  </w:r>
                </w:p>
              </w:tc>
            </w:tr>
            <w:tr w:rsidR="006B1AFC" w:rsidRPr="009771ED" w14:paraId="66B716FA" w14:textId="77777777" w:rsidTr="003C4A79">
              <w:trPr>
                <w:trHeight w:val="255"/>
              </w:trPr>
              <w:tc>
                <w:tcPr>
                  <w:tcW w:w="4265" w:type="dxa"/>
                  <w:tcBorders>
                    <w:top w:val="nil"/>
                    <w:left w:val="nil"/>
                    <w:bottom w:val="nil"/>
                    <w:right w:val="nil"/>
                  </w:tcBorders>
                  <w:noWrap/>
                  <w:vAlign w:val="center"/>
                  <w:hideMark/>
                </w:tcPr>
                <w:p w14:paraId="19D88904" w14:textId="77777777" w:rsidR="006B1AFC" w:rsidRPr="009771ED" w:rsidRDefault="006B1AFC" w:rsidP="003C4A79">
                  <w:pPr>
                    <w:spacing w:after="0" w:line="240" w:lineRule="auto"/>
                    <w:ind w:left="82"/>
                    <w:jc w:val="left"/>
                    <w:rPr>
                      <w:rFonts w:cs="Arial"/>
                      <w:color w:val="000000"/>
                      <w:sz w:val="16"/>
                      <w:szCs w:val="16"/>
                      <w:lang w:eastAsia="ko-KR"/>
                    </w:rPr>
                  </w:pPr>
                  <w:r w:rsidRPr="009771ED">
                    <w:rPr>
                      <w:rFonts w:cs="Arial"/>
                      <w:color w:val="000000"/>
                      <w:sz w:val="16"/>
                      <w:szCs w:val="16"/>
                      <w:lang w:eastAsia="ko-KR"/>
                    </w:rPr>
                    <w:t>Počítače, elektronické a optické přístroje a zařízení</w:t>
                  </w:r>
                </w:p>
              </w:tc>
              <w:tc>
                <w:tcPr>
                  <w:tcW w:w="888" w:type="dxa"/>
                  <w:tcBorders>
                    <w:top w:val="nil"/>
                    <w:left w:val="nil"/>
                    <w:bottom w:val="nil"/>
                    <w:right w:val="nil"/>
                  </w:tcBorders>
                  <w:noWrap/>
                  <w:vAlign w:val="bottom"/>
                  <w:hideMark/>
                </w:tcPr>
                <w:p w14:paraId="230D287C"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3,4</w:t>
                  </w:r>
                </w:p>
              </w:tc>
              <w:tc>
                <w:tcPr>
                  <w:tcW w:w="888" w:type="dxa"/>
                  <w:tcBorders>
                    <w:top w:val="nil"/>
                    <w:left w:val="nil"/>
                    <w:bottom w:val="nil"/>
                    <w:right w:val="nil"/>
                  </w:tcBorders>
                  <w:noWrap/>
                  <w:vAlign w:val="bottom"/>
                  <w:hideMark/>
                </w:tcPr>
                <w:p w14:paraId="4AD6E235"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6,0</w:t>
                  </w:r>
                </w:p>
              </w:tc>
              <w:tc>
                <w:tcPr>
                  <w:tcW w:w="888" w:type="dxa"/>
                  <w:tcBorders>
                    <w:top w:val="nil"/>
                    <w:left w:val="nil"/>
                    <w:bottom w:val="nil"/>
                    <w:right w:val="nil"/>
                  </w:tcBorders>
                  <w:noWrap/>
                  <w:vAlign w:val="bottom"/>
                  <w:hideMark/>
                </w:tcPr>
                <w:p w14:paraId="30B0D7D5"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97,5</w:t>
                  </w:r>
                </w:p>
              </w:tc>
              <w:tc>
                <w:tcPr>
                  <w:tcW w:w="888" w:type="dxa"/>
                  <w:tcBorders>
                    <w:top w:val="nil"/>
                    <w:left w:val="nil"/>
                    <w:bottom w:val="nil"/>
                    <w:right w:val="nil"/>
                  </w:tcBorders>
                  <w:noWrap/>
                  <w:vAlign w:val="bottom"/>
                  <w:hideMark/>
                </w:tcPr>
                <w:p w14:paraId="0B54D249"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2,9</w:t>
                  </w:r>
                </w:p>
              </w:tc>
              <w:tc>
                <w:tcPr>
                  <w:tcW w:w="888" w:type="dxa"/>
                  <w:tcBorders>
                    <w:top w:val="nil"/>
                    <w:left w:val="nil"/>
                    <w:bottom w:val="nil"/>
                    <w:right w:val="nil"/>
                  </w:tcBorders>
                  <w:noWrap/>
                  <w:vAlign w:val="bottom"/>
                  <w:hideMark/>
                </w:tcPr>
                <w:p w14:paraId="5013EE12"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2,8</w:t>
                  </w:r>
                </w:p>
              </w:tc>
              <w:tc>
                <w:tcPr>
                  <w:tcW w:w="888" w:type="dxa"/>
                  <w:tcBorders>
                    <w:top w:val="nil"/>
                    <w:left w:val="nil"/>
                    <w:bottom w:val="nil"/>
                    <w:right w:val="nil"/>
                  </w:tcBorders>
                  <w:noWrap/>
                  <w:vAlign w:val="bottom"/>
                  <w:hideMark/>
                </w:tcPr>
                <w:p w14:paraId="27A1012E"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100,1</w:t>
                  </w:r>
                </w:p>
              </w:tc>
            </w:tr>
            <w:tr w:rsidR="006B1AFC" w:rsidRPr="009771ED" w14:paraId="65ECEED6" w14:textId="77777777" w:rsidTr="003C4A79">
              <w:trPr>
                <w:trHeight w:val="255"/>
              </w:trPr>
              <w:tc>
                <w:tcPr>
                  <w:tcW w:w="4265" w:type="dxa"/>
                  <w:tcBorders>
                    <w:top w:val="nil"/>
                    <w:left w:val="nil"/>
                    <w:bottom w:val="nil"/>
                    <w:right w:val="nil"/>
                  </w:tcBorders>
                  <w:noWrap/>
                  <w:vAlign w:val="center"/>
                  <w:hideMark/>
                </w:tcPr>
                <w:p w14:paraId="18F969C9" w14:textId="77777777" w:rsidR="006B1AFC" w:rsidRPr="009771ED" w:rsidRDefault="006B1AFC" w:rsidP="003C4A79">
                  <w:pPr>
                    <w:spacing w:after="0" w:line="240" w:lineRule="auto"/>
                    <w:ind w:left="82"/>
                    <w:jc w:val="left"/>
                    <w:rPr>
                      <w:rFonts w:cs="Arial"/>
                      <w:color w:val="000000"/>
                      <w:sz w:val="16"/>
                      <w:szCs w:val="16"/>
                      <w:lang w:eastAsia="ko-KR"/>
                    </w:rPr>
                  </w:pPr>
                  <w:r w:rsidRPr="009771ED">
                    <w:rPr>
                      <w:rFonts w:cs="Arial"/>
                      <w:color w:val="000000"/>
                      <w:sz w:val="16"/>
                      <w:szCs w:val="16"/>
                      <w:lang w:eastAsia="ko-KR"/>
                    </w:rPr>
                    <w:t>Elektrická zařízení</w:t>
                  </w:r>
                </w:p>
              </w:tc>
              <w:tc>
                <w:tcPr>
                  <w:tcW w:w="888" w:type="dxa"/>
                  <w:tcBorders>
                    <w:top w:val="nil"/>
                    <w:left w:val="nil"/>
                    <w:bottom w:val="nil"/>
                    <w:right w:val="nil"/>
                  </w:tcBorders>
                  <w:noWrap/>
                  <w:vAlign w:val="bottom"/>
                  <w:hideMark/>
                </w:tcPr>
                <w:p w14:paraId="335C0C40"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2,0</w:t>
                  </w:r>
                </w:p>
              </w:tc>
              <w:tc>
                <w:tcPr>
                  <w:tcW w:w="888" w:type="dxa"/>
                  <w:tcBorders>
                    <w:top w:val="nil"/>
                    <w:left w:val="nil"/>
                    <w:bottom w:val="nil"/>
                    <w:right w:val="nil"/>
                  </w:tcBorders>
                  <w:noWrap/>
                  <w:vAlign w:val="bottom"/>
                  <w:hideMark/>
                </w:tcPr>
                <w:p w14:paraId="6D4ED0FC"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0,6</w:t>
                  </w:r>
                </w:p>
              </w:tc>
              <w:tc>
                <w:tcPr>
                  <w:tcW w:w="888" w:type="dxa"/>
                  <w:tcBorders>
                    <w:top w:val="nil"/>
                    <w:left w:val="nil"/>
                    <w:bottom w:val="nil"/>
                    <w:right w:val="nil"/>
                  </w:tcBorders>
                  <w:noWrap/>
                  <w:vAlign w:val="bottom"/>
                  <w:hideMark/>
                </w:tcPr>
                <w:p w14:paraId="03B4364E"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101,4</w:t>
                  </w:r>
                </w:p>
              </w:tc>
              <w:tc>
                <w:tcPr>
                  <w:tcW w:w="888" w:type="dxa"/>
                  <w:tcBorders>
                    <w:top w:val="nil"/>
                    <w:left w:val="nil"/>
                    <w:bottom w:val="nil"/>
                    <w:right w:val="nil"/>
                  </w:tcBorders>
                  <w:noWrap/>
                  <w:vAlign w:val="bottom"/>
                  <w:hideMark/>
                </w:tcPr>
                <w:p w14:paraId="33941166"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1,4</w:t>
                  </w:r>
                </w:p>
              </w:tc>
              <w:tc>
                <w:tcPr>
                  <w:tcW w:w="888" w:type="dxa"/>
                  <w:tcBorders>
                    <w:top w:val="nil"/>
                    <w:left w:val="nil"/>
                    <w:bottom w:val="nil"/>
                    <w:right w:val="nil"/>
                  </w:tcBorders>
                  <w:noWrap/>
                  <w:vAlign w:val="bottom"/>
                  <w:hideMark/>
                </w:tcPr>
                <w:p w14:paraId="526C3F55"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1,2</w:t>
                  </w:r>
                </w:p>
              </w:tc>
              <w:tc>
                <w:tcPr>
                  <w:tcW w:w="888" w:type="dxa"/>
                  <w:tcBorders>
                    <w:top w:val="nil"/>
                    <w:left w:val="nil"/>
                    <w:bottom w:val="nil"/>
                    <w:right w:val="nil"/>
                  </w:tcBorders>
                  <w:noWrap/>
                  <w:vAlign w:val="bottom"/>
                  <w:hideMark/>
                </w:tcPr>
                <w:p w14:paraId="1DC69272"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102,6</w:t>
                  </w:r>
                </w:p>
              </w:tc>
            </w:tr>
            <w:tr w:rsidR="006B1AFC" w:rsidRPr="009771ED" w14:paraId="34D1024C" w14:textId="77777777" w:rsidTr="003C4A79">
              <w:trPr>
                <w:trHeight w:val="255"/>
              </w:trPr>
              <w:tc>
                <w:tcPr>
                  <w:tcW w:w="4265" w:type="dxa"/>
                  <w:tcBorders>
                    <w:top w:val="nil"/>
                    <w:left w:val="nil"/>
                    <w:bottom w:val="nil"/>
                    <w:right w:val="nil"/>
                  </w:tcBorders>
                  <w:noWrap/>
                  <w:vAlign w:val="center"/>
                  <w:hideMark/>
                </w:tcPr>
                <w:p w14:paraId="4D937643" w14:textId="77777777" w:rsidR="006B1AFC" w:rsidRPr="009771ED" w:rsidRDefault="006B1AFC" w:rsidP="003C4A79">
                  <w:pPr>
                    <w:spacing w:after="0" w:line="240" w:lineRule="auto"/>
                    <w:ind w:left="82"/>
                    <w:jc w:val="left"/>
                    <w:rPr>
                      <w:rFonts w:cs="Arial"/>
                      <w:color w:val="000000"/>
                      <w:sz w:val="16"/>
                      <w:szCs w:val="16"/>
                      <w:lang w:eastAsia="ko-KR"/>
                    </w:rPr>
                  </w:pPr>
                  <w:r w:rsidRPr="009771ED">
                    <w:rPr>
                      <w:rFonts w:cs="Arial"/>
                      <w:color w:val="000000"/>
                      <w:sz w:val="16"/>
                      <w:szCs w:val="16"/>
                      <w:lang w:eastAsia="ko-KR"/>
                    </w:rPr>
                    <w:t>Stroje a zařízení j. n.</w:t>
                  </w:r>
                </w:p>
              </w:tc>
              <w:tc>
                <w:tcPr>
                  <w:tcW w:w="888" w:type="dxa"/>
                  <w:tcBorders>
                    <w:top w:val="nil"/>
                    <w:left w:val="nil"/>
                    <w:bottom w:val="nil"/>
                    <w:right w:val="nil"/>
                  </w:tcBorders>
                  <w:noWrap/>
                  <w:vAlign w:val="bottom"/>
                  <w:hideMark/>
                </w:tcPr>
                <w:p w14:paraId="2D2CBF1C"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w:t>
                  </w:r>
                </w:p>
              </w:tc>
              <w:tc>
                <w:tcPr>
                  <w:tcW w:w="888" w:type="dxa"/>
                  <w:tcBorders>
                    <w:top w:val="nil"/>
                    <w:left w:val="nil"/>
                    <w:bottom w:val="nil"/>
                    <w:right w:val="nil"/>
                  </w:tcBorders>
                  <w:noWrap/>
                  <w:vAlign w:val="bottom"/>
                  <w:hideMark/>
                </w:tcPr>
                <w:p w14:paraId="28AC55B0"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0,4</w:t>
                  </w:r>
                </w:p>
              </w:tc>
              <w:tc>
                <w:tcPr>
                  <w:tcW w:w="888" w:type="dxa"/>
                  <w:tcBorders>
                    <w:top w:val="nil"/>
                    <w:left w:val="nil"/>
                    <w:bottom w:val="nil"/>
                    <w:right w:val="nil"/>
                  </w:tcBorders>
                  <w:noWrap/>
                  <w:vAlign w:val="bottom"/>
                  <w:hideMark/>
                </w:tcPr>
                <w:p w14:paraId="76600379"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100,6</w:t>
                  </w:r>
                </w:p>
              </w:tc>
              <w:tc>
                <w:tcPr>
                  <w:tcW w:w="888" w:type="dxa"/>
                  <w:tcBorders>
                    <w:top w:val="nil"/>
                    <w:left w:val="nil"/>
                    <w:bottom w:val="nil"/>
                    <w:right w:val="nil"/>
                  </w:tcBorders>
                  <w:noWrap/>
                  <w:vAlign w:val="bottom"/>
                  <w:hideMark/>
                </w:tcPr>
                <w:p w14:paraId="5C721E2F"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0,1</w:t>
                  </w:r>
                </w:p>
              </w:tc>
              <w:tc>
                <w:tcPr>
                  <w:tcW w:w="888" w:type="dxa"/>
                  <w:tcBorders>
                    <w:top w:val="nil"/>
                    <w:left w:val="nil"/>
                    <w:bottom w:val="nil"/>
                    <w:right w:val="nil"/>
                  </w:tcBorders>
                  <w:noWrap/>
                  <w:vAlign w:val="bottom"/>
                  <w:hideMark/>
                </w:tcPr>
                <w:p w14:paraId="20FCDA33"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3,4</w:t>
                  </w:r>
                </w:p>
              </w:tc>
              <w:tc>
                <w:tcPr>
                  <w:tcW w:w="888" w:type="dxa"/>
                  <w:tcBorders>
                    <w:top w:val="nil"/>
                    <w:left w:val="nil"/>
                    <w:bottom w:val="nil"/>
                    <w:right w:val="nil"/>
                  </w:tcBorders>
                  <w:noWrap/>
                  <w:vAlign w:val="bottom"/>
                  <w:hideMark/>
                </w:tcPr>
                <w:p w14:paraId="1F4BAA4D"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103,6</w:t>
                  </w:r>
                </w:p>
              </w:tc>
            </w:tr>
            <w:tr w:rsidR="006B1AFC" w:rsidRPr="009771ED" w14:paraId="56C99011" w14:textId="77777777" w:rsidTr="003C4A79">
              <w:trPr>
                <w:trHeight w:val="255"/>
              </w:trPr>
              <w:tc>
                <w:tcPr>
                  <w:tcW w:w="4265" w:type="dxa"/>
                  <w:tcBorders>
                    <w:top w:val="nil"/>
                    <w:left w:val="nil"/>
                    <w:bottom w:val="nil"/>
                    <w:right w:val="nil"/>
                  </w:tcBorders>
                  <w:noWrap/>
                  <w:vAlign w:val="center"/>
                  <w:hideMark/>
                </w:tcPr>
                <w:p w14:paraId="5151EB89" w14:textId="77777777" w:rsidR="006B1AFC" w:rsidRPr="009771ED" w:rsidRDefault="006B1AFC" w:rsidP="003C4A79">
                  <w:pPr>
                    <w:spacing w:after="0" w:line="240" w:lineRule="auto"/>
                    <w:ind w:left="82"/>
                    <w:jc w:val="left"/>
                    <w:rPr>
                      <w:rFonts w:cs="Arial"/>
                      <w:color w:val="000000"/>
                      <w:sz w:val="16"/>
                      <w:szCs w:val="16"/>
                      <w:lang w:eastAsia="ko-KR"/>
                    </w:rPr>
                  </w:pPr>
                  <w:r w:rsidRPr="009771ED">
                    <w:rPr>
                      <w:rFonts w:cs="Arial"/>
                      <w:color w:val="000000"/>
                      <w:sz w:val="16"/>
                      <w:szCs w:val="16"/>
                      <w:lang w:eastAsia="ko-KR"/>
                    </w:rPr>
                    <w:t>Motorová vozidla (kromě motocyklů) a díly</w:t>
                  </w:r>
                </w:p>
              </w:tc>
              <w:tc>
                <w:tcPr>
                  <w:tcW w:w="888" w:type="dxa"/>
                  <w:tcBorders>
                    <w:top w:val="nil"/>
                    <w:left w:val="nil"/>
                    <w:bottom w:val="nil"/>
                    <w:right w:val="nil"/>
                  </w:tcBorders>
                  <w:noWrap/>
                  <w:vAlign w:val="bottom"/>
                  <w:hideMark/>
                </w:tcPr>
                <w:p w14:paraId="4EC5BD03"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0,5</w:t>
                  </w:r>
                </w:p>
              </w:tc>
              <w:tc>
                <w:tcPr>
                  <w:tcW w:w="888" w:type="dxa"/>
                  <w:tcBorders>
                    <w:top w:val="nil"/>
                    <w:left w:val="nil"/>
                    <w:bottom w:val="nil"/>
                    <w:right w:val="nil"/>
                  </w:tcBorders>
                  <w:noWrap/>
                  <w:vAlign w:val="bottom"/>
                  <w:hideMark/>
                </w:tcPr>
                <w:p w14:paraId="12F0F88E"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0,5</w:t>
                  </w:r>
                </w:p>
              </w:tc>
              <w:tc>
                <w:tcPr>
                  <w:tcW w:w="888" w:type="dxa"/>
                  <w:tcBorders>
                    <w:top w:val="nil"/>
                    <w:left w:val="nil"/>
                    <w:bottom w:val="nil"/>
                    <w:right w:val="nil"/>
                  </w:tcBorders>
                  <w:noWrap/>
                  <w:vAlign w:val="bottom"/>
                  <w:hideMark/>
                </w:tcPr>
                <w:p w14:paraId="417C189B"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100,0</w:t>
                  </w:r>
                </w:p>
              </w:tc>
              <w:tc>
                <w:tcPr>
                  <w:tcW w:w="888" w:type="dxa"/>
                  <w:tcBorders>
                    <w:top w:val="nil"/>
                    <w:left w:val="nil"/>
                    <w:bottom w:val="nil"/>
                    <w:right w:val="nil"/>
                  </w:tcBorders>
                  <w:noWrap/>
                  <w:vAlign w:val="bottom"/>
                  <w:hideMark/>
                </w:tcPr>
                <w:p w14:paraId="50C8D4EA"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1,2</w:t>
                  </w:r>
                </w:p>
              </w:tc>
              <w:tc>
                <w:tcPr>
                  <w:tcW w:w="888" w:type="dxa"/>
                  <w:tcBorders>
                    <w:top w:val="nil"/>
                    <w:left w:val="nil"/>
                    <w:bottom w:val="nil"/>
                    <w:right w:val="nil"/>
                  </w:tcBorders>
                  <w:noWrap/>
                  <w:vAlign w:val="bottom"/>
                  <w:hideMark/>
                </w:tcPr>
                <w:p w14:paraId="439CF058"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1,1</w:t>
                  </w:r>
                </w:p>
              </w:tc>
              <w:tc>
                <w:tcPr>
                  <w:tcW w:w="888" w:type="dxa"/>
                  <w:tcBorders>
                    <w:top w:val="nil"/>
                    <w:left w:val="nil"/>
                    <w:bottom w:val="nil"/>
                    <w:right w:val="nil"/>
                  </w:tcBorders>
                  <w:noWrap/>
                  <w:vAlign w:val="bottom"/>
                  <w:hideMark/>
                </w:tcPr>
                <w:p w14:paraId="76BD49EA"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99,8</w:t>
                  </w:r>
                </w:p>
              </w:tc>
            </w:tr>
            <w:tr w:rsidR="006B1AFC" w:rsidRPr="009771ED" w14:paraId="47EA47C7" w14:textId="77777777" w:rsidTr="003C4A79">
              <w:trPr>
                <w:trHeight w:val="255"/>
              </w:trPr>
              <w:tc>
                <w:tcPr>
                  <w:tcW w:w="4265" w:type="dxa"/>
                  <w:tcBorders>
                    <w:top w:val="nil"/>
                    <w:left w:val="nil"/>
                    <w:bottom w:val="nil"/>
                    <w:right w:val="nil"/>
                  </w:tcBorders>
                  <w:noWrap/>
                  <w:vAlign w:val="center"/>
                  <w:hideMark/>
                </w:tcPr>
                <w:p w14:paraId="0DA8B1F9" w14:textId="77777777" w:rsidR="006B1AFC" w:rsidRPr="009771ED" w:rsidRDefault="006B1AFC" w:rsidP="003C4A79">
                  <w:pPr>
                    <w:spacing w:after="0" w:line="240" w:lineRule="auto"/>
                    <w:ind w:left="82"/>
                    <w:jc w:val="left"/>
                    <w:rPr>
                      <w:rFonts w:cs="Arial"/>
                      <w:color w:val="000000"/>
                      <w:sz w:val="16"/>
                      <w:szCs w:val="16"/>
                      <w:lang w:eastAsia="ko-KR"/>
                    </w:rPr>
                  </w:pPr>
                  <w:r w:rsidRPr="009771ED">
                    <w:rPr>
                      <w:rFonts w:cs="Arial"/>
                      <w:color w:val="000000"/>
                      <w:sz w:val="16"/>
                      <w:szCs w:val="16"/>
                      <w:lang w:eastAsia="ko-KR"/>
                    </w:rPr>
                    <w:t>Ostatní dopravní prostředky a zařízení</w:t>
                  </w:r>
                </w:p>
              </w:tc>
              <w:tc>
                <w:tcPr>
                  <w:tcW w:w="888" w:type="dxa"/>
                  <w:tcBorders>
                    <w:top w:val="nil"/>
                    <w:left w:val="nil"/>
                    <w:bottom w:val="nil"/>
                    <w:right w:val="nil"/>
                  </w:tcBorders>
                  <w:noWrap/>
                  <w:vAlign w:val="bottom"/>
                  <w:hideMark/>
                </w:tcPr>
                <w:p w14:paraId="1BC0501C"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0,2</w:t>
                  </w:r>
                </w:p>
              </w:tc>
              <w:tc>
                <w:tcPr>
                  <w:tcW w:w="888" w:type="dxa"/>
                  <w:tcBorders>
                    <w:top w:val="nil"/>
                    <w:left w:val="nil"/>
                    <w:bottom w:val="nil"/>
                    <w:right w:val="nil"/>
                  </w:tcBorders>
                  <w:noWrap/>
                  <w:vAlign w:val="bottom"/>
                  <w:hideMark/>
                </w:tcPr>
                <w:p w14:paraId="3BCE13EB"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1,2</w:t>
                  </w:r>
                </w:p>
              </w:tc>
              <w:tc>
                <w:tcPr>
                  <w:tcW w:w="888" w:type="dxa"/>
                  <w:tcBorders>
                    <w:top w:val="nil"/>
                    <w:left w:val="nil"/>
                    <w:bottom w:val="nil"/>
                    <w:right w:val="nil"/>
                  </w:tcBorders>
                  <w:noWrap/>
                  <w:vAlign w:val="bottom"/>
                  <w:hideMark/>
                </w:tcPr>
                <w:p w14:paraId="6BDEFEBA"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101,0</w:t>
                  </w:r>
                </w:p>
              </w:tc>
              <w:tc>
                <w:tcPr>
                  <w:tcW w:w="888" w:type="dxa"/>
                  <w:tcBorders>
                    <w:top w:val="nil"/>
                    <w:left w:val="nil"/>
                    <w:bottom w:val="nil"/>
                    <w:right w:val="nil"/>
                  </w:tcBorders>
                  <w:noWrap/>
                  <w:vAlign w:val="bottom"/>
                  <w:hideMark/>
                </w:tcPr>
                <w:p w14:paraId="64DF1609"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4,7</w:t>
                  </w:r>
                </w:p>
              </w:tc>
              <w:tc>
                <w:tcPr>
                  <w:tcW w:w="888" w:type="dxa"/>
                  <w:tcBorders>
                    <w:top w:val="nil"/>
                    <w:left w:val="nil"/>
                    <w:bottom w:val="nil"/>
                    <w:right w:val="nil"/>
                  </w:tcBorders>
                  <w:noWrap/>
                  <w:vAlign w:val="bottom"/>
                  <w:hideMark/>
                </w:tcPr>
                <w:p w14:paraId="5D5D49D5"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2,6</w:t>
                  </w:r>
                </w:p>
              </w:tc>
              <w:tc>
                <w:tcPr>
                  <w:tcW w:w="888" w:type="dxa"/>
                  <w:tcBorders>
                    <w:top w:val="nil"/>
                    <w:left w:val="nil"/>
                    <w:bottom w:val="nil"/>
                    <w:right w:val="nil"/>
                  </w:tcBorders>
                  <w:noWrap/>
                  <w:vAlign w:val="bottom"/>
                  <w:hideMark/>
                </w:tcPr>
                <w:p w14:paraId="5EE6662A"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97,9</w:t>
                  </w:r>
                </w:p>
              </w:tc>
            </w:tr>
            <w:tr w:rsidR="006B1AFC" w:rsidRPr="009771ED" w14:paraId="33736F85" w14:textId="77777777" w:rsidTr="003C4A79">
              <w:trPr>
                <w:trHeight w:val="255"/>
              </w:trPr>
              <w:tc>
                <w:tcPr>
                  <w:tcW w:w="4265" w:type="dxa"/>
                  <w:tcBorders>
                    <w:top w:val="nil"/>
                    <w:left w:val="nil"/>
                    <w:bottom w:val="nil"/>
                    <w:right w:val="nil"/>
                  </w:tcBorders>
                  <w:noWrap/>
                  <w:vAlign w:val="center"/>
                  <w:hideMark/>
                </w:tcPr>
                <w:p w14:paraId="01D07410" w14:textId="77777777" w:rsidR="006B1AFC" w:rsidRPr="009771ED" w:rsidRDefault="006B1AFC" w:rsidP="003C4A79">
                  <w:pPr>
                    <w:spacing w:after="0" w:line="240" w:lineRule="auto"/>
                    <w:ind w:left="82"/>
                    <w:jc w:val="left"/>
                    <w:rPr>
                      <w:rFonts w:cs="Arial"/>
                      <w:color w:val="000000"/>
                      <w:sz w:val="16"/>
                      <w:szCs w:val="16"/>
                      <w:lang w:eastAsia="ko-KR"/>
                    </w:rPr>
                  </w:pPr>
                  <w:r w:rsidRPr="009771ED">
                    <w:rPr>
                      <w:rFonts w:cs="Arial"/>
                      <w:color w:val="000000"/>
                      <w:sz w:val="16"/>
                      <w:szCs w:val="16"/>
                      <w:lang w:eastAsia="ko-KR"/>
                    </w:rPr>
                    <w:t>Nábytek</w:t>
                  </w:r>
                </w:p>
              </w:tc>
              <w:tc>
                <w:tcPr>
                  <w:tcW w:w="888" w:type="dxa"/>
                  <w:tcBorders>
                    <w:top w:val="nil"/>
                    <w:left w:val="nil"/>
                    <w:bottom w:val="nil"/>
                    <w:right w:val="nil"/>
                  </w:tcBorders>
                  <w:noWrap/>
                  <w:vAlign w:val="bottom"/>
                  <w:hideMark/>
                </w:tcPr>
                <w:p w14:paraId="35014A54"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0,6</w:t>
                  </w:r>
                </w:p>
              </w:tc>
              <w:tc>
                <w:tcPr>
                  <w:tcW w:w="888" w:type="dxa"/>
                  <w:tcBorders>
                    <w:top w:val="nil"/>
                    <w:left w:val="nil"/>
                    <w:bottom w:val="nil"/>
                    <w:right w:val="nil"/>
                  </w:tcBorders>
                  <w:noWrap/>
                  <w:vAlign w:val="bottom"/>
                  <w:hideMark/>
                </w:tcPr>
                <w:p w14:paraId="0D8D3B0F"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0,0</w:t>
                  </w:r>
                </w:p>
              </w:tc>
              <w:tc>
                <w:tcPr>
                  <w:tcW w:w="888" w:type="dxa"/>
                  <w:tcBorders>
                    <w:top w:val="nil"/>
                    <w:left w:val="nil"/>
                    <w:bottom w:val="nil"/>
                    <w:right w:val="nil"/>
                  </w:tcBorders>
                  <w:noWrap/>
                  <w:vAlign w:val="bottom"/>
                  <w:hideMark/>
                </w:tcPr>
                <w:p w14:paraId="7E1F5DF3"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99,4</w:t>
                  </w:r>
                </w:p>
              </w:tc>
              <w:tc>
                <w:tcPr>
                  <w:tcW w:w="888" w:type="dxa"/>
                  <w:tcBorders>
                    <w:top w:val="nil"/>
                    <w:left w:val="nil"/>
                    <w:bottom w:val="nil"/>
                    <w:right w:val="nil"/>
                  </w:tcBorders>
                  <w:noWrap/>
                  <w:vAlign w:val="bottom"/>
                  <w:hideMark/>
                </w:tcPr>
                <w:p w14:paraId="146439A0"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4,5</w:t>
                  </w:r>
                </w:p>
              </w:tc>
              <w:tc>
                <w:tcPr>
                  <w:tcW w:w="888" w:type="dxa"/>
                  <w:tcBorders>
                    <w:top w:val="nil"/>
                    <w:left w:val="nil"/>
                    <w:bottom w:val="nil"/>
                    <w:right w:val="nil"/>
                  </w:tcBorders>
                  <w:noWrap/>
                  <w:vAlign w:val="bottom"/>
                  <w:hideMark/>
                </w:tcPr>
                <w:p w14:paraId="64037CD3"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1,5</w:t>
                  </w:r>
                </w:p>
              </w:tc>
              <w:tc>
                <w:tcPr>
                  <w:tcW w:w="888" w:type="dxa"/>
                  <w:tcBorders>
                    <w:top w:val="nil"/>
                    <w:left w:val="nil"/>
                    <w:bottom w:val="nil"/>
                    <w:right w:val="nil"/>
                  </w:tcBorders>
                  <w:noWrap/>
                  <w:vAlign w:val="bottom"/>
                  <w:hideMark/>
                </w:tcPr>
                <w:p w14:paraId="74D8925A"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94,1</w:t>
                  </w:r>
                </w:p>
              </w:tc>
            </w:tr>
            <w:tr w:rsidR="006B1AFC" w:rsidRPr="009771ED" w14:paraId="22FDD72F" w14:textId="77777777" w:rsidTr="003C4A79">
              <w:trPr>
                <w:trHeight w:val="255"/>
              </w:trPr>
              <w:tc>
                <w:tcPr>
                  <w:tcW w:w="4265" w:type="dxa"/>
                  <w:tcBorders>
                    <w:top w:val="nil"/>
                    <w:left w:val="nil"/>
                    <w:bottom w:val="nil"/>
                    <w:right w:val="nil"/>
                  </w:tcBorders>
                  <w:noWrap/>
                  <w:vAlign w:val="center"/>
                  <w:hideMark/>
                </w:tcPr>
                <w:p w14:paraId="6E8A1FA6" w14:textId="77777777" w:rsidR="006B1AFC" w:rsidRPr="009771ED" w:rsidRDefault="006B1AFC" w:rsidP="003C4A79">
                  <w:pPr>
                    <w:spacing w:after="0" w:line="240" w:lineRule="auto"/>
                    <w:ind w:left="82"/>
                    <w:jc w:val="left"/>
                    <w:rPr>
                      <w:rFonts w:cs="Arial"/>
                      <w:color w:val="000000"/>
                      <w:sz w:val="16"/>
                      <w:szCs w:val="16"/>
                      <w:lang w:eastAsia="ko-KR"/>
                    </w:rPr>
                  </w:pPr>
                  <w:r w:rsidRPr="009771ED">
                    <w:rPr>
                      <w:rFonts w:cs="Arial"/>
                      <w:color w:val="000000"/>
                      <w:sz w:val="16"/>
                      <w:szCs w:val="16"/>
                      <w:lang w:eastAsia="ko-KR"/>
                    </w:rPr>
                    <w:t>Ostatní výrobky zpracovatelského průmyslu</w:t>
                  </w:r>
                </w:p>
              </w:tc>
              <w:tc>
                <w:tcPr>
                  <w:tcW w:w="888" w:type="dxa"/>
                  <w:tcBorders>
                    <w:top w:val="nil"/>
                    <w:left w:val="nil"/>
                    <w:bottom w:val="nil"/>
                    <w:right w:val="nil"/>
                  </w:tcBorders>
                  <w:noWrap/>
                  <w:vAlign w:val="bottom"/>
                  <w:hideMark/>
                </w:tcPr>
                <w:p w14:paraId="43ED1772"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1,3</w:t>
                  </w:r>
                </w:p>
              </w:tc>
              <w:tc>
                <w:tcPr>
                  <w:tcW w:w="888" w:type="dxa"/>
                  <w:tcBorders>
                    <w:top w:val="nil"/>
                    <w:left w:val="nil"/>
                    <w:bottom w:val="nil"/>
                    <w:right w:val="nil"/>
                  </w:tcBorders>
                  <w:noWrap/>
                  <w:vAlign w:val="bottom"/>
                  <w:hideMark/>
                </w:tcPr>
                <w:p w14:paraId="79A938DE"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0,6</w:t>
                  </w:r>
                </w:p>
              </w:tc>
              <w:tc>
                <w:tcPr>
                  <w:tcW w:w="888" w:type="dxa"/>
                  <w:tcBorders>
                    <w:top w:val="nil"/>
                    <w:left w:val="nil"/>
                    <w:bottom w:val="nil"/>
                    <w:right w:val="nil"/>
                  </w:tcBorders>
                  <w:noWrap/>
                  <w:vAlign w:val="bottom"/>
                  <w:hideMark/>
                </w:tcPr>
                <w:p w14:paraId="6BF78F49"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101,8</w:t>
                  </w:r>
                </w:p>
              </w:tc>
              <w:tc>
                <w:tcPr>
                  <w:tcW w:w="888" w:type="dxa"/>
                  <w:tcBorders>
                    <w:top w:val="nil"/>
                    <w:left w:val="nil"/>
                    <w:bottom w:val="nil"/>
                    <w:right w:val="nil"/>
                  </w:tcBorders>
                  <w:noWrap/>
                  <w:vAlign w:val="bottom"/>
                  <w:hideMark/>
                </w:tcPr>
                <w:p w14:paraId="1340E06E"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2,8</w:t>
                  </w:r>
                </w:p>
              </w:tc>
              <w:tc>
                <w:tcPr>
                  <w:tcW w:w="888" w:type="dxa"/>
                  <w:tcBorders>
                    <w:top w:val="nil"/>
                    <w:left w:val="nil"/>
                    <w:bottom w:val="nil"/>
                    <w:right w:val="nil"/>
                  </w:tcBorders>
                  <w:noWrap/>
                  <w:vAlign w:val="bottom"/>
                  <w:hideMark/>
                </w:tcPr>
                <w:p w14:paraId="3AEE87A5"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5,3</w:t>
                  </w:r>
                </w:p>
              </w:tc>
              <w:tc>
                <w:tcPr>
                  <w:tcW w:w="888" w:type="dxa"/>
                  <w:tcBorders>
                    <w:top w:val="nil"/>
                    <w:left w:val="nil"/>
                    <w:bottom w:val="nil"/>
                    <w:right w:val="nil"/>
                  </w:tcBorders>
                  <w:noWrap/>
                  <w:vAlign w:val="bottom"/>
                  <w:hideMark/>
                </w:tcPr>
                <w:p w14:paraId="6BD69ACF"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102,7</w:t>
                  </w:r>
                </w:p>
              </w:tc>
            </w:tr>
            <w:tr w:rsidR="006B1AFC" w:rsidRPr="009771ED" w14:paraId="1356F410" w14:textId="77777777" w:rsidTr="003C4A79">
              <w:trPr>
                <w:trHeight w:val="255"/>
              </w:trPr>
              <w:tc>
                <w:tcPr>
                  <w:tcW w:w="4265" w:type="dxa"/>
                  <w:tcBorders>
                    <w:top w:val="nil"/>
                    <w:left w:val="nil"/>
                    <w:bottom w:val="nil"/>
                    <w:right w:val="nil"/>
                  </w:tcBorders>
                  <w:noWrap/>
                  <w:vAlign w:val="center"/>
                  <w:hideMark/>
                </w:tcPr>
                <w:p w14:paraId="7F34F3C5" w14:textId="77777777" w:rsidR="006B1AFC" w:rsidRPr="009771ED" w:rsidRDefault="006B1AFC" w:rsidP="003C4A79">
                  <w:pPr>
                    <w:spacing w:after="0" w:line="240" w:lineRule="auto"/>
                    <w:jc w:val="left"/>
                    <w:rPr>
                      <w:rFonts w:cs="Arial"/>
                      <w:color w:val="000000"/>
                      <w:sz w:val="16"/>
                      <w:szCs w:val="16"/>
                      <w:lang w:eastAsia="ko-KR"/>
                    </w:rPr>
                  </w:pPr>
                  <w:r w:rsidRPr="009771ED">
                    <w:rPr>
                      <w:rFonts w:cs="Arial"/>
                      <w:color w:val="000000"/>
                      <w:sz w:val="16"/>
                      <w:szCs w:val="16"/>
                      <w:lang w:eastAsia="ko-KR"/>
                    </w:rPr>
                    <w:t>ELEKTŘINA, PLYN, PÁRA A KLIM. VZDUCH</w:t>
                  </w:r>
                </w:p>
              </w:tc>
              <w:tc>
                <w:tcPr>
                  <w:tcW w:w="888" w:type="dxa"/>
                  <w:tcBorders>
                    <w:top w:val="nil"/>
                    <w:left w:val="nil"/>
                    <w:bottom w:val="nil"/>
                    <w:right w:val="nil"/>
                  </w:tcBorders>
                  <w:noWrap/>
                  <w:vAlign w:val="bottom"/>
                  <w:hideMark/>
                </w:tcPr>
                <w:p w14:paraId="2D78DAA2"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2,4</w:t>
                  </w:r>
                </w:p>
              </w:tc>
              <w:tc>
                <w:tcPr>
                  <w:tcW w:w="888" w:type="dxa"/>
                  <w:tcBorders>
                    <w:top w:val="nil"/>
                    <w:left w:val="nil"/>
                    <w:bottom w:val="nil"/>
                    <w:right w:val="nil"/>
                  </w:tcBorders>
                  <w:noWrap/>
                  <w:vAlign w:val="bottom"/>
                  <w:hideMark/>
                </w:tcPr>
                <w:p w14:paraId="10683B51"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w:t>
                  </w:r>
                  <w:r w:rsidRPr="009771ED">
                    <w:rPr>
                      <w:rFonts w:cs="Arial"/>
                      <w:color w:val="000000"/>
                      <w:sz w:val="16"/>
                      <w:szCs w:val="16"/>
                      <w:lang w:eastAsia="ko-KR"/>
                    </w:rPr>
                    <w:t>4,5</w:t>
                  </w:r>
                </w:p>
              </w:tc>
              <w:tc>
                <w:tcPr>
                  <w:tcW w:w="888" w:type="dxa"/>
                  <w:tcBorders>
                    <w:top w:val="nil"/>
                    <w:left w:val="nil"/>
                    <w:bottom w:val="nil"/>
                    <w:right w:val="nil"/>
                  </w:tcBorders>
                  <w:noWrap/>
                  <w:vAlign w:val="bottom"/>
                  <w:hideMark/>
                </w:tcPr>
                <w:p w14:paraId="09B84A53"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102,2</w:t>
                  </w:r>
                </w:p>
              </w:tc>
              <w:tc>
                <w:tcPr>
                  <w:tcW w:w="888" w:type="dxa"/>
                  <w:tcBorders>
                    <w:top w:val="nil"/>
                    <w:left w:val="nil"/>
                    <w:bottom w:val="nil"/>
                    <w:right w:val="nil"/>
                  </w:tcBorders>
                  <w:noWrap/>
                  <w:vAlign w:val="bottom"/>
                  <w:hideMark/>
                </w:tcPr>
                <w:p w14:paraId="7E0818F5"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15,5</w:t>
                  </w:r>
                </w:p>
              </w:tc>
              <w:tc>
                <w:tcPr>
                  <w:tcW w:w="888" w:type="dxa"/>
                  <w:tcBorders>
                    <w:top w:val="nil"/>
                    <w:left w:val="nil"/>
                    <w:bottom w:val="nil"/>
                    <w:right w:val="nil"/>
                  </w:tcBorders>
                  <w:noWrap/>
                  <w:vAlign w:val="bottom"/>
                  <w:hideMark/>
                </w:tcPr>
                <w:p w14:paraId="17B261CC"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27,9</w:t>
                  </w:r>
                </w:p>
              </w:tc>
              <w:tc>
                <w:tcPr>
                  <w:tcW w:w="888" w:type="dxa"/>
                  <w:tcBorders>
                    <w:top w:val="nil"/>
                    <w:left w:val="nil"/>
                    <w:bottom w:val="nil"/>
                    <w:right w:val="nil"/>
                  </w:tcBorders>
                  <w:noWrap/>
                  <w:vAlign w:val="bottom"/>
                  <w:hideMark/>
                </w:tcPr>
                <w:p w14:paraId="315E8D14"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90,3</w:t>
                  </w:r>
                </w:p>
              </w:tc>
            </w:tr>
            <w:tr w:rsidR="006B1AFC" w:rsidRPr="009771ED" w14:paraId="75F2FA8C" w14:textId="77777777" w:rsidTr="003C4A79">
              <w:trPr>
                <w:trHeight w:val="255"/>
              </w:trPr>
              <w:tc>
                <w:tcPr>
                  <w:tcW w:w="4265" w:type="dxa"/>
                  <w:tcBorders>
                    <w:top w:val="nil"/>
                    <w:left w:val="nil"/>
                    <w:bottom w:val="nil"/>
                    <w:right w:val="nil"/>
                  </w:tcBorders>
                  <w:noWrap/>
                  <w:vAlign w:val="center"/>
                  <w:hideMark/>
                </w:tcPr>
                <w:p w14:paraId="09DDBB58" w14:textId="77777777" w:rsidR="006B1AFC" w:rsidRPr="009771ED" w:rsidRDefault="006B1AFC" w:rsidP="003C4A79">
                  <w:pPr>
                    <w:spacing w:after="0" w:line="240" w:lineRule="auto"/>
                    <w:jc w:val="left"/>
                    <w:rPr>
                      <w:rFonts w:cs="Arial"/>
                      <w:color w:val="000000"/>
                      <w:sz w:val="16"/>
                      <w:szCs w:val="16"/>
                      <w:lang w:eastAsia="ko-KR"/>
                    </w:rPr>
                  </w:pPr>
                  <w:r w:rsidRPr="009771ED">
                    <w:rPr>
                      <w:rFonts w:cs="Arial"/>
                      <w:color w:val="000000"/>
                      <w:sz w:val="16"/>
                      <w:szCs w:val="16"/>
                      <w:lang w:eastAsia="ko-KR"/>
                    </w:rPr>
                    <w:t>ZÁSOBOVÁNÍ VODOU A SOUVISEJÍCÍ SLUŽBY</w:t>
                  </w:r>
                </w:p>
              </w:tc>
              <w:tc>
                <w:tcPr>
                  <w:tcW w:w="888" w:type="dxa"/>
                  <w:tcBorders>
                    <w:top w:val="nil"/>
                    <w:left w:val="nil"/>
                    <w:bottom w:val="nil"/>
                    <w:right w:val="nil"/>
                  </w:tcBorders>
                  <w:noWrap/>
                  <w:vAlign w:val="bottom"/>
                  <w:hideMark/>
                </w:tcPr>
                <w:p w14:paraId="1A68D4EB"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8,7</w:t>
                  </w:r>
                </w:p>
              </w:tc>
              <w:tc>
                <w:tcPr>
                  <w:tcW w:w="888" w:type="dxa"/>
                  <w:tcBorders>
                    <w:top w:val="nil"/>
                    <w:left w:val="nil"/>
                    <w:bottom w:val="nil"/>
                    <w:right w:val="nil"/>
                  </w:tcBorders>
                  <w:noWrap/>
                  <w:vAlign w:val="bottom"/>
                  <w:hideMark/>
                </w:tcPr>
                <w:p w14:paraId="42BD0CD1"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x</w:t>
                  </w:r>
                </w:p>
              </w:tc>
              <w:tc>
                <w:tcPr>
                  <w:tcW w:w="888" w:type="dxa"/>
                  <w:tcBorders>
                    <w:top w:val="nil"/>
                    <w:left w:val="nil"/>
                    <w:bottom w:val="nil"/>
                    <w:right w:val="nil"/>
                  </w:tcBorders>
                  <w:noWrap/>
                  <w:vAlign w:val="bottom"/>
                  <w:hideMark/>
                </w:tcPr>
                <w:p w14:paraId="69A198C5"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x</w:t>
                  </w:r>
                </w:p>
              </w:tc>
              <w:tc>
                <w:tcPr>
                  <w:tcW w:w="888" w:type="dxa"/>
                  <w:tcBorders>
                    <w:top w:val="nil"/>
                    <w:left w:val="nil"/>
                    <w:bottom w:val="nil"/>
                    <w:right w:val="nil"/>
                  </w:tcBorders>
                  <w:noWrap/>
                  <w:vAlign w:val="bottom"/>
                  <w:hideMark/>
                </w:tcPr>
                <w:p w14:paraId="776EBE84" w14:textId="77777777" w:rsidR="006B1AFC" w:rsidRPr="009771ED" w:rsidRDefault="006B1AFC" w:rsidP="003C4A79">
                  <w:pPr>
                    <w:spacing w:after="0" w:line="240" w:lineRule="auto"/>
                    <w:jc w:val="right"/>
                    <w:rPr>
                      <w:rFonts w:cs="Arial"/>
                      <w:color w:val="000000"/>
                      <w:sz w:val="16"/>
                      <w:szCs w:val="16"/>
                      <w:lang w:eastAsia="ko-KR"/>
                    </w:rPr>
                  </w:pPr>
                  <w:r w:rsidRPr="009771ED">
                    <w:rPr>
                      <w:rFonts w:cs="Arial"/>
                      <w:color w:val="000000"/>
                      <w:sz w:val="16"/>
                      <w:szCs w:val="16"/>
                      <w:lang w:eastAsia="ko-KR"/>
                    </w:rPr>
                    <w:t>4,0</w:t>
                  </w:r>
                </w:p>
              </w:tc>
              <w:tc>
                <w:tcPr>
                  <w:tcW w:w="888" w:type="dxa"/>
                  <w:tcBorders>
                    <w:top w:val="nil"/>
                    <w:left w:val="nil"/>
                    <w:bottom w:val="nil"/>
                    <w:right w:val="nil"/>
                  </w:tcBorders>
                  <w:noWrap/>
                  <w:vAlign w:val="bottom"/>
                  <w:hideMark/>
                </w:tcPr>
                <w:p w14:paraId="6E8FBEF1"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x</w:t>
                  </w:r>
                </w:p>
              </w:tc>
              <w:tc>
                <w:tcPr>
                  <w:tcW w:w="888" w:type="dxa"/>
                  <w:tcBorders>
                    <w:top w:val="nil"/>
                    <w:left w:val="nil"/>
                    <w:bottom w:val="nil"/>
                    <w:right w:val="nil"/>
                  </w:tcBorders>
                  <w:noWrap/>
                  <w:vAlign w:val="bottom"/>
                  <w:hideMark/>
                </w:tcPr>
                <w:p w14:paraId="1B9D2075" w14:textId="77777777" w:rsidR="006B1AFC" w:rsidRPr="009771ED" w:rsidRDefault="006B1AFC" w:rsidP="003C4A79">
                  <w:pPr>
                    <w:spacing w:after="0" w:line="240" w:lineRule="auto"/>
                    <w:jc w:val="right"/>
                    <w:rPr>
                      <w:rFonts w:cs="Arial"/>
                      <w:color w:val="000000"/>
                      <w:sz w:val="16"/>
                      <w:szCs w:val="16"/>
                      <w:lang w:eastAsia="ko-KR"/>
                    </w:rPr>
                  </w:pPr>
                  <w:r>
                    <w:rPr>
                      <w:rFonts w:cs="Arial"/>
                      <w:color w:val="000000"/>
                      <w:sz w:val="16"/>
                      <w:szCs w:val="16"/>
                      <w:lang w:eastAsia="ko-KR"/>
                    </w:rPr>
                    <w:t>x</w:t>
                  </w:r>
                </w:p>
              </w:tc>
            </w:tr>
          </w:tbl>
          <w:p w14:paraId="0582C918" w14:textId="77777777" w:rsidR="006B1AFC" w:rsidRDefault="006B1AFC" w:rsidP="003C4A79">
            <w:pPr>
              <w:rPr>
                <w:lang w:eastAsia="en-US"/>
              </w:rPr>
            </w:pPr>
          </w:p>
        </w:tc>
      </w:tr>
      <w:tr w:rsidR="006B1AFC" w14:paraId="13DFF5F3" w14:textId="77777777" w:rsidTr="003C4A79">
        <w:trPr>
          <w:trHeight w:val="170"/>
        </w:trPr>
        <w:tc>
          <w:tcPr>
            <w:tcW w:w="9654" w:type="dxa"/>
            <w:gridSpan w:val="3"/>
          </w:tcPr>
          <w:p w14:paraId="354E31F9" w14:textId="77777777" w:rsidR="006B1AFC" w:rsidRDefault="006B1AFC" w:rsidP="003C4A79">
            <w:pPr>
              <w:spacing w:before="120"/>
              <w:rPr>
                <w:lang w:eastAsia="en-US"/>
              </w:rPr>
            </w:pPr>
            <w:r w:rsidRPr="00532E08">
              <w:rPr>
                <w:sz w:val="16"/>
                <w:szCs w:val="16"/>
                <w:lang w:eastAsia="en-US"/>
              </w:rPr>
              <w:t>Zdroj: ČSÚ</w:t>
            </w:r>
          </w:p>
        </w:tc>
      </w:tr>
      <w:tr w:rsidR="006B1AFC" w14:paraId="2EDDA31B" w14:textId="77777777" w:rsidTr="003C4A79">
        <w:trPr>
          <w:trHeight w:val="145"/>
        </w:trPr>
        <w:tc>
          <w:tcPr>
            <w:tcW w:w="1812" w:type="dxa"/>
            <w:hideMark/>
          </w:tcPr>
          <w:p w14:paraId="11EB329D" w14:textId="77777777" w:rsidR="006B1AFC" w:rsidRDefault="006B1AFC" w:rsidP="003C4A79">
            <w:pPr>
              <w:pStyle w:val="Marginlie"/>
              <w:rPr>
                <w:spacing w:val="0"/>
                <w:lang w:eastAsia="en-US"/>
              </w:rPr>
            </w:pPr>
            <w:r>
              <w:rPr>
                <w:spacing w:val="0"/>
                <w:lang w:eastAsia="en-US"/>
              </w:rPr>
              <w:t>Na cenách zahraničního obchodu se výrazně projevilo zvýšení cen ropy.</w:t>
            </w:r>
          </w:p>
        </w:tc>
        <w:tc>
          <w:tcPr>
            <w:tcW w:w="213" w:type="dxa"/>
          </w:tcPr>
          <w:p w14:paraId="07016184" w14:textId="77777777" w:rsidR="006B1AFC" w:rsidRDefault="006B1AFC" w:rsidP="003C4A79">
            <w:pPr>
              <w:pStyle w:val="Textpoznpodarou1"/>
              <w:jc w:val="both"/>
              <w:rPr>
                <w:lang w:eastAsia="en-US"/>
              </w:rPr>
            </w:pPr>
          </w:p>
        </w:tc>
        <w:tc>
          <w:tcPr>
            <w:tcW w:w="7629" w:type="dxa"/>
            <w:hideMark/>
          </w:tcPr>
          <w:p w14:paraId="5B06CC6F" w14:textId="77777777" w:rsidR="006B1AFC" w:rsidRDefault="006B1AFC" w:rsidP="003C4A79">
            <w:pPr>
              <w:rPr>
                <w:lang w:eastAsia="en-US"/>
              </w:rPr>
            </w:pPr>
            <w:r>
              <w:rPr>
                <w:lang w:eastAsia="en-US"/>
              </w:rPr>
              <w:t>Zvýšení cen ropy se výrazně dotklo i cen zahraničního obchodu se zbožím. Mezičtvrtletní přírůstek cen exportu zboží ve 2. čtvrtletí zrychlil na 2,4 % a meziročně ceny poprvé od 1. čtvrtletí 2025 vzrostly, a to o 0,7 %. Kurz koruny vůči euru i dolaru meziročně posílil</w:t>
            </w:r>
            <w:r>
              <w:rPr>
                <w:rStyle w:val="Znakapoznpodarou"/>
                <w:lang w:eastAsia="en-US"/>
              </w:rPr>
              <w:footnoteReference w:id="73"/>
            </w:r>
            <w:r>
              <w:rPr>
                <w:lang w:eastAsia="en-US"/>
              </w:rPr>
              <w:t xml:space="preserve">, což mělo protiinflační vliv na meziroční dynamiku cen zahraničního obchodu. Na straně vývozu byl vliv cen ropy patrný hlavně ve zrychlení mezičtvrtletního </w:t>
            </w:r>
            <w:r>
              <w:rPr>
                <w:lang w:eastAsia="en-US"/>
              </w:rPr>
              <w:lastRenderedPageBreak/>
              <w:t xml:space="preserve">růstu cen výrobků ve zpracovatelském průmyslu (viz Tabulka č. 12), naopak ceny vývozu v oblasti těžby a dobývání se vrátily k poklesu a nižší byly i ceny elektřiny, plynu, páry a klimatizovaného vzduchu. Mezi ostatními oddíly zpracovatelského průmyslu vynikl především mezičtvrtletní i meziroční přírůstek cen koksu a rafinovaných ropných výrobků a chemických látek a přípravků. Výrazné mezičtvrtletní navýšení cen bylo ve 2. čtvrtletí zachyceno také v případě základních kovů, textilií, dřeva a výrobků z něj, počítačů, elektronických a optických přístrojů a zařízení, pryžových a plastových výrobků, kovodělných výrobků nebo elektrických zařízení. Mezičtvrtletně ceny klesly jen u menšiny výrobků. </w:t>
            </w:r>
          </w:p>
        </w:tc>
      </w:tr>
      <w:tr w:rsidR="006B1AFC" w14:paraId="5D714302" w14:textId="77777777" w:rsidTr="003C4A79">
        <w:trPr>
          <w:trHeight w:val="145"/>
        </w:trPr>
        <w:tc>
          <w:tcPr>
            <w:tcW w:w="1812" w:type="dxa"/>
          </w:tcPr>
          <w:p w14:paraId="07C7020D" w14:textId="77777777" w:rsidR="006B1AFC" w:rsidRDefault="006B1AFC" w:rsidP="003C4A79">
            <w:pPr>
              <w:pStyle w:val="Marginlie"/>
              <w:rPr>
                <w:spacing w:val="0"/>
                <w:lang w:eastAsia="en-US"/>
              </w:rPr>
            </w:pPr>
            <w:r>
              <w:rPr>
                <w:spacing w:val="0"/>
                <w:lang w:eastAsia="en-US"/>
              </w:rPr>
              <w:lastRenderedPageBreak/>
              <w:t>Směnné relace zahraničního obchodu se zbožím byly záporné.</w:t>
            </w:r>
          </w:p>
        </w:tc>
        <w:tc>
          <w:tcPr>
            <w:tcW w:w="213" w:type="dxa"/>
          </w:tcPr>
          <w:p w14:paraId="78A66BE2" w14:textId="77777777" w:rsidR="006B1AFC" w:rsidRDefault="006B1AFC" w:rsidP="003C4A79">
            <w:pPr>
              <w:pStyle w:val="Textpoznpodarou1"/>
              <w:jc w:val="both"/>
              <w:rPr>
                <w:lang w:eastAsia="en-US"/>
              </w:rPr>
            </w:pPr>
          </w:p>
        </w:tc>
        <w:tc>
          <w:tcPr>
            <w:tcW w:w="7629" w:type="dxa"/>
          </w:tcPr>
          <w:p w14:paraId="2385C207" w14:textId="77777777" w:rsidR="006B1AFC" w:rsidRDefault="006B1AFC" w:rsidP="003C4A79">
            <w:pPr>
              <w:rPr>
                <w:lang w:eastAsia="en-US"/>
              </w:rPr>
            </w:pPr>
            <w:r>
              <w:rPr>
                <w:lang w:eastAsia="en-US"/>
              </w:rPr>
              <w:t xml:space="preserve">Ceny dovozu rostly ve 2. čtvrtletí výrazněji než ceny vývozu, na čemž se projevuje významnější role surovin v celkovém složení importu. Mezičtvrtletně byly ceny importu zboží vyšší o 4,7 % a meziročně o 2,8 %. Pod vlivem ropy a zemního plynu se prudce zvýšily ceny dovozu v oblasti těžby a dobývání. Ceny elektřiny, plynu, páry a klimatizovaného vzduchu naopak mezičtvrtletně klesly. Vyšší byly ceny výrobků zpracovatelského průmyslu a dynamika v rámci sekce byla podobná jako u vývozu – prudce se zvýšily ceny koksu a rafinovaných ropných výrobků a chemických látek a přípravků a alespoň mírně rostly ceny u většiny ostatních oddílů. Mezičtvrtletní směnné relace zahraničního obchodu se zbožím dosáhly 97,8 % a projevil se na tom především výrazně záporný výsledek u těžby a dobývání. Mírně záporné ale byly i relace obchodu s výrobky zpracovatelského průmyslu (především koks a rafinované ropné výrobky). Naopak kladné byly mezičtvrtletní směnné relace obchodu s elektřinou. Meziroční směnné relace dosáhly 98,0 % a záporné byly poprvé od 4. čtvrtletí 2022. Negativní byly relace obchodu s produkty zemědělství, lesnictví a rybářství, těžby a dobývání, s výrobky zpracovatelského průmyslu i u elektřiny, plynu, páry a klimatizovaného vzduchu.   </w:t>
            </w:r>
          </w:p>
        </w:tc>
      </w:tr>
    </w:tbl>
    <w:p w14:paraId="5D2493F8" w14:textId="77777777" w:rsidR="006B1AFC" w:rsidRDefault="006B1AFC" w:rsidP="009324EF">
      <w:pPr>
        <w:spacing w:after="0"/>
      </w:pPr>
    </w:p>
    <w:p w14:paraId="5F4D6EAD" w14:textId="77777777" w:rsidR="006B1AFC" w:rsidRPr="00C5418A" w:rsidRDefault="006B1AFC" w:rsidP="009324EF">
      <w:pPr>
        <w:spacing w:after="0"/>
        <w:rPr>
          <w:highlight w:val="yellow"/>
        </w:rPr>
      </w:pPr>
    </w:p>
    <w:p w14:paraId="389BDE08" w14:textId="77777777" w:rsidR="006B1AFC" w:rsidRDefault="006B1AFC" w:rsidP="009324EF">
      <w:pPr>
        <w:spacing w:after="0" w:line="240" w:lineRule="auto"/>
        <w:jc w:val="left"/>
        <w:rPr>
          <w:rFonts w:eastAsia="MS Gothic"/>
          <w:b/>
          <w:bCs/>
          <w:color w:val="86BF5E"/>
          <w:sz w:val="32"/>
          <w:szCs w:val="28"/>
          <w:highlight w:val="yellow"/>
        </w:rPr>
      </w:pPr>
      <w:r>
        <w:rPr>
          <w:highlight w:val="yellow"/>
        </w:rPr>
        <w:br w:type="page"/>
      </w:r>
    </w:p>
    <w:p w14:paraId="789A5A39" w14:textId="77777777" w:rsidR="00AD1119" w:rsidRDefault="00AD1119" w:rsidP="00AD1119">
      <w:pPr>
        <w:pStyle w:val="Nadpis1"/>
        <w:spacing w:after="120"/>
      </w:pPr>
      <w:bookmarkStart w:id="42" w:name="_Toc239947454"/>
      <w:bookmarkStart w:id="43" w:name="_Toc224903150"/>
      <w:bookmarkStart w:id="44" w:name="_Toc240366903"/>
      <w:bookmarkEnd w:id="21"/>
      <w:r>
        <w:lastRenderedPageBreak/>
        <w:t>6. Trh práce</w:t>
      </w:r>
      <w:bookmarkEnd w:id="43"/>
      <w:bookmarkEnd w:id="44"/>
    </w:p>
    <w:tbl>
      <w:tblPr>
        <w:tblW w:w="9674" w:type="dxa"/>
        <w:tblInd w:w="-35" w:type="dxa"/>
        <w:tblCellMar>
          <w:left w:w="0" w:type="dxa"/>
          <w:right w:w="0" w:type="dxa"/>
        </w:tblCellMar>
        <w:tblLook w:val="00A0" w:firstRow="1" w:lastRow="0" w:firstColumn="1" w:lastColumn="0" w:noHBand="0" w:noVBand="0"/>
      </w:tblPr>
      <w:tblGrid>
        <w:gridCol w:w="1797"/>
        <w:gridCol w:w="173"/>
        <w:gridCol w:w="7704"/>
      </w:tblGrid>
      <w:tr w:rsidR="00AD1119" w:rsidRPr="009F0D7F" w14:paraId="703B6726" w14:textId="77777777" w:rsidTr="00E962EE">
        <w:trPr>
          <w:trHeight w:val="155"/>
        </w:trPr>
        <w:tc>
          <w:tcPr>
            <w:tcW w:w="9674" w:type="dxa"/>
            <w:gridSpan w:val="3"/>
            <w:tcMar>
              <w:left w:w="0" w:type="dxa"/>
            </w:tcMar>
          </w:tcPr>
          <w:p w14:paraId="54843D95" w14:textId="77777777" w:rsidR="00AD1119" w:rsidRDefault="00AD1119" w:rsidP="0036073B">
            <w:pPr>
              <w:pStyle w:val="Nadpis3"/>
            </w:pPr>
            <w:bookmarkStart w:id="45" w:name="_Toc240366904"/>
            <w:r>
              <w:rPr>
                <w:lang w:eastAsia="en-US"/>
              </w:rPr>
              <w:t>6</w:t>
            </w:r>
            <w:r w:rsidRPr="006B2C72">
              <w:rPr>
                <w:lang w:eastAsia="en-US"/>
              </w:rPr>
              <w:t xml:space="preserve">.1 </w:t>
            </w:r>
            <w:r>
              <w:rPr>
                <w:lang w:eastAsia="en-US"/>
              </w:rPr>
              <w:t>Zaměstnanost a nezaměstnanost</w:t>
            </w:r>
            <w:bookmarkEnd w:id="45"/>
          </w:p>
        </w:tc>
      </w:tr>
      <w:tr w:rsidR="00AD1119" w:rsidRPr="009F0D7F" w14:paraId="3006A2A7" w14:textId="77777777" w:rsidTr="00E962EE">
        <w:trPr>
          <w:trHeight w:val="155"/>
        </w:trPr>
        <w:tc>
          <w:tcPr>
            <w:tcW w:w="1797" w:type="dxa"/>
            <w:tcMar>
              <w:left w:w="0" w:type="dxa"/>
            </w:tcMar>
          </w:tcPr>
          <w:p w14:paraId="31F11DD5" w14:textId="77777777" w:rsidR="00AD1119" w:rsidRPr="00B57D4E" w:rsidRDefault="00AD1119" w:rsidP="00E962EE">
            <w:pPr>
              <w:pStyle w:val="Marginlie"/>
              <w:spacing w:after="120"/>
              <w:rPr>
                <w:color w:val="EE0000"/>
                <w:spacing w:val="-4"/>
              </w:rPr>
            </w:pPr>
            <w:r>
              <w:rPr>
                <w:color w:val="0D0D0D" w:themeColor="text1" w:themeTint="F2"/>
                <w:spacing w:val="0"/>
              </w:rPr>
              <w:t>Z</w:t>
            </w:r>
            <w:r w:rsidRPr="00E56147">
              <w:rPr>
                <w:color w:val="0D0D0D" w:themeColor="text1" w:themeTint="F2"/>
                <w:spacing w:val="0"/>
              </w:rPr>
              <w:t>aměstnanost i</w:t>
            </w:r>
            <w:r>
              <w:rPr>
                <w:color w:val="0D0D0D" w:themeColor="text1" w:themeTint="F2"/>
                <w:spacing w:val="-4"/>
              </w:rPr>
              <w:t> </w:t>
            </w:r>
            <w:r w:rsidRPr="00E56147">
              <w:rPr>
                <w:color w:val="0D0D0D" w:themeColor="text1" w:themeTint="F2"/>
                <w:spacing w:val="0"/>
              </w:rPr>
              <w:t>nezaměstnanost</w:t>
            </w:r>
            <w:r>
              <w:rPr>
                <w:color w:val="0D0D0D" w:themeColor="text1" w:themeTint="F2"/>
                <w:spacing w:val="0"/>
              </w:rPr>
              <w:t xml:space="preserve"> se mírně zvyšovala. </w:t>
            </w:r>
            <w:r w:rsidRPr="00E56147">
              <w:rPr>
                <w:color w:val="0D0D0D" w:themeColor="text1" w:themeTint="F2"/>
                <w:spacing w:val="0"/>
              </w:rPr>
              <w:t xml:space="preserve">Mzdový růst si </w:t>
            </w:r>
            <w:r>
              <w:rPr>
                <w:color w:val="0D0D0D" w:themeColor="text1" w:themeTint="F2"/>
                <w:spacing w:val="0"/>
              </w:rPr>
              <w:t xml:space="preserve">vlivem výraznějších nerovnováh na trhu práce </w:t>
            </w:r>
            <w:r w:rsidRPr="00E56147">
              <w:rPr>
                <w:color w:val="0D0D0D" w:themeColor="text1" w:themeTint="F2"/>
                <w:spacing w:val="0"/>
              </w:rPr>
              <w:t>udržoval svižné tempo</w:t>
            </w:r>
            <w:r>
              <w:rPr>
                <w:color w:val="0D0D0D" w:themeColor="text1" w:themeTint="F2"/>
                <w:spacing w:val="0"/>
              </w:rPr>
              <w:t>. Kupní síla mezd se postupně blížila úrovni z roku 2021.</w:t>
            </w:r>
          </w:p>
        </w:tc>
        <w:tc>
          <w:tcPr>
            <w:tcW w:w="173" w:type="dxa"/>
            <w:tcMar>
              <w:left w:w="0" w:type="dxa"/>
            </w:tcMar>
          </w:tcPr>
          <w:p w14:paraId="0A124621" w14:textId="77777777" w:rsidR="00AD1119" w:rsidRPr="00B57D4E" w:rsidRDefault="00AD1119" w:rsidP="00E962EE">
            <w:pPr>
              <w:pStyle w:val="Textpoznpodarou"/>
              <w:spacing w:after="120"/>
              <w:jc w:val="both"/>
              <w:rPr>
                <w:color w:val="EE0000"/>
                <w:spacing w:val="-4"/>
              </w:rPr>
            </w:pPr>
          </w:p>
        </w:tc>
        <w:tc>
          <w:tcPr>
            <w:tcW w:w="7704" w:type="dxa"/>
            <w:tcMar>
              <w:left w:w="0" w:type="dxa"/>
            </w:tcMar>
          </w:tcPr>
          <w:p w14:paraId="7A1919FB" w14:textId="77777777" w:rsidR="00AD1119" w:rsidRPr="00874D1A" w:rsidRDefault="00AD1119" w:rsidP="00E962EE">
            <w:pPr>
              <w:rPr>
                <w:color w:val="0D0D0D" w:themeColor="text1" w:themeTint="F2"/>
                <w:spacing w:val="-2"/>
                <w:szCs w:val="20"/>
              </w:rPr>
            </w:pPr>
            <w:r>
              <w:rPr>
                <w:color w:val="0D0D0D" w:themeColor="text1" w:themeTint="F2"/>
                <w:spacing w:val="-2"/>
                <w:szCs w:val="20"/>
              </w:rPr>
              <w:t>Na</w:t>
            </w:r>
            <w:r w:rsidRPr="0061107F">
              <w:rPr>
                <w:color w:val="0D0D0D" w:themeColor="text1" w:themeTint="F2"/>
                <w:spacing w:val="-2"/>
                <w:szCs w:val="20"/>
              </w:rPr>
              <w:t> trhu práce se postupně promítal</w:t>
            </w:r>
            <w:r>
              <w:rPr>
                <w:color w:val="0D0D0D" w:themeColor="text1" w:themeTint="F2"/>
                <w:spacing w:val="-2"/>
                <w:szCs w:val="20"/>
              </w:rPr>
              <w:t>y dopady</w:t>
            </w:r>
            <w:r w:rsidRPr="0061107F">
              <w:rPr>
                <w:color w:val="0D0D0D" w:themeColor="text1" w:themeTint="F2"/>
                <w:spacing w:val="-2"/>
                <w:szCs w:val="20"/>
              </w:rPr>
              <w:t xml:space="preserve"> loňské</w:t>
            </w:r>
            <w:r>
              <w:rPr>
                <w:color w:val="0D0D0D" w:themeColor="text1" w:themeTint="F2"/>
                <w:spacing w:val="-2"/>
                <w:szCs w:val="20"/>
              </w:rPr>
              <w:t>ho</w:t>
            </w:r>
            <w:r w:rsidRPr="0061107F">
              <w:rPr>
                <w:color w:val="0D0D0D" w:themeColor="text1" w:themeTint="F2"/>
                <w:spacing w:val="-2"/>
                <w:szCs w:val="20"/>
              </w:rPr>
              <w:t xml:space="preserve"> zrychlení růstu ekonomiky. Přetrvával mírný růst počtu zaměstnanců i </w:t>
            </w:r>
            <w:proofErr w:type="spellStart"/>
            <w:r w:rsidRPr="0061107F">
              <w:rPr>
                <w:color w:val="0D0D0D" w:themeColor="text1" w:themeTint="F2"/>
                <w:spacing w:val="-2"/>
                <w:szCs w:val="20"/>
              </w:rPr>
              <w:t>sebezaměstnaných</w:t>
            </w:r>
            <w:proofErr w:type="spellEnd"/>
            <w:r w:rsidRPr="0061107F">
              <w:rPr>
                <w:color w:val="0D0D0D" w:themeColor="text1" w:themeTint="F2"/>
                <w:spacing w:val="-2"/>
                <w:szCs w:val="20"/>
              </w:rPr>
              <w:t>, jehož těžiště nadále spočívalo ve službách, k</w:t>
            </w:r>
            <w:r>
              <w:rPr>
                <w:color w:val="0D0D0D" w:themeColor="text1" w:themeTint="F2"/>
                <w:spacing w:val="-2"/>
                <w:szCs w:val="20"/>
              </w:rPr>
              <w:t>de se také více rozšiřovala nabídka zkrácených pracovních úvazků.</w:t>
            </w:r>
            <w:r w:rsidRPr="0061107F">
              <w:rPr>
                <w:color w:val="0D0D0D" w:themeColor="text1" w:themeTint="F2"/>
                <w:spacing w:val="-2"/>
                <w:szCs w:val="20"/>
              </w:rPr>
              <w:t xml:space="preserve"> </w:t>
            </w:r>
            <w:r>
              <w:rPr>
                <w:color w:val="0D0D0D" w:themeColor="text1" w:themeTint="F2"/>
                <w:spacing w:val="-2"/>
                <w:szCs w:val="20"/>
              </w:rPr>
              <w:t>Vyšší</w:t>
            </w:r>
            <w:r w:rsidRPr="0061107F">
              <w:rPr>
                <w:color w:val="0D0D0D" w:themeColor="text1" w:themeTint="F2"/>
                <w:spacing w:val="-2"/>
                <w:szCs w:val="20"/>
              </w:rPr>
              <w:t xml:space="preserve"> investiční aktivit</w:t>
            </w:r>
            <w:r>
              <w:rPr>
                <w:color w:val="0D0D0D" w:themeColor="text1" w:themeTint="F2"/>
                <w:spacing w:val="-2"/>
                <w:szCs w:val="20"/>
              </w:rPr>
              <w:t>a</w:t>
            </w:r>
            <w:r w:rsidRPr="0061107F">
              <w:rPr>
                <w:color w:val="0D0D0D" w:themeColor="text1" w:themeTint="F2"/>
                <w:spacing w:val="-2"/>
                <w:szCs w:val="20"/>
              </w:rPr>
              <w:t xml:space="preserve"> v ekonomice se promítl</w:t>
            </w:r>
            <w:r>
              <w:rPr>
                <w:color w:val="0D0D0D" w:themeColor="text1" w:themeTint="F2"/>
                <w:spacing w:val="-2"/>
                <w:szCs w:val="20"/>
              </w:rPr>
              <w:t>a</w:t>
            </w:r>
            <w:r w:rsidRPr="0061107F">
              <w:rPr>
                <w:color w:val="0D0D0D" w:themeColor="text1" w:themeTint="F2"/>
                <w:spacing w:val="-2"/>
                <w:szCs w:val="20"/>
              </w:rPr>
              <w:t xml:space="preserve"> do zaměstnanosti </w:t>
            </w:r>
            <w:r>
              <w:rPr>
                <w:color w:val="0D0D0D" w:themeColor="text1" w:themeTint="F2"/>
                <w:spacing w:val="-2"/>
                <w:szCs w:val="20"/>
              </w:rPr>
              <w:t xml:space="preserve">ve </w:t>
            </w:r>
            <w:r w:rsidRPr="0061107F">
              <w:rPr>
                <w:color w:val="0D0D0D" w:themeColor="text1" w:themeTint="F2"/>
                <w:spacing w:val="-2"/>
                <w:szCs w:val="20"/>
              </w:rPr>
              <w:t xml:space="preserve">stavebnictví. </w:t>
            </w:r>
            <w:r>
              <w:rPr>
                <w:color w:val="0D0D0D" w:themeColor="text1" w:themeTint="F2"/>
                <w:spacing w:val="-2"/>
                <w:szCs w:val="20"/>
              </w:rPr>
              <w:t>V průmyslu i primárním sektoru ekonomiky naopak pracovní místa ubývala</w:t>
            </w:r>
            <w:r w:rsidRPr="0061107F">
              <w:rPr>
                <w:color w:val="0D0D0D" w:themeColor="text1" w:themeTint="F2"/>
                <w:spacing w:val="-2"/>
                <w:szCs w:val="20"/>
              </w:rPr>
              <w:t>. Ve zvýšené intenzitě pokračoval příliv pracovníků ze zahraničí, vedle Ukrajiny i ze vzdálených asijských států. Očekávání firem v oblasti zaměstnanosti se během léta zlepšovala, dopad vnějších geopolitických turbulencí nebyl dosud v t</w:t>
            </w:r>
            <w:r>
              <w:rPr>
                <w:color w:val="0D0D0D" w:themeColor="text1" w:themeTint="F2"/>
                <w:spacing w:val="-2"/>
                <w:szCs w:val="20"/>
              </w:rPr>
              <w:t>é</w:t>
            </w:r>
            <w:r w:rsidRPr="0061107F">
              <w:rPr>
                <w:color w:val="0D0D0D" w:themeColor="text1" w:themeTint="F2"/>
                <w:spacing w:val="-2"/>
                <w:szCs w:val="20"/>
              </w:rPr>
              <w:t>to oblasti příliš patrný.</w:t>
            </w:r>
            <w:r w:rsidRPr="005C7AC5">
              <w:rPr>
                <w:color w:val="EE0000"/>
                <w:spacing w:val="-2"/>
                <w:szCs w:val="20"/>
              </w:rPr>
              <w:t xml:space="preserve"> </w:t>
            </w:r>
            <w:r w:rsidRPr="005A28BD">
              <w:rPr>
                <w:color w:val="0D0D0D" w:themeColor="text1" w:themeTint="F2"/>
                <w:spacing w:val="-2"/>
                <w:szCs w:val="20"/>
              </w:rPr>
              <w:t>Nezaměstnanost, vč. její dlouhodobé složky</w:t>
            </w:r>
            <w:r>
              <w:rPr>
                <w:color w:val="0D0D0D" w:themeColor="text1" w:themeTint="F2"/>
                <w:spacing w:val="-2"/>
                <w:szCs w:val="20"/>
              </w:rPr>
              <w:t>,</w:t>
            </w:r>
            <w:r w:rsidRPr="005A28BD">
              <w:rPr>
                <w:color w:val="0D0D0D" w:themeColor="text1" w:themeTint="F2"/>
                <w:spacing w:val="-2"/>
                <w:szCs w:val="20"/>
              </w:rPr>
              <w:t xml:space="preserve"> se </w:t>
            </w:r>
            <w:r>
              <w:rPr>
                <w:color w:val="0D0D0D" w:themeColor="text1" w:themeTint="F2"/>
                <w:spacing w:val="-2"/>
                <w:szCs w:val="20"/>
              </w:rPr>
              <w:t>dále lehce</w:t>
            </w:r>
            <w:r w:rsidRPr="005A28BD">
              <w:rPr>
                <w:color w:val="0D0D0D" w:themeColor="text1" w:themeTint="F2"/>
                <w:spacing w:val="-2"/>
                <w:szCs w:val="20"/>
              </w:rPr>
              <w:t xml:space="preserve"> zv</w:t>
            </w:r>
            <w:r>
              <w:rPr>
                <w:color w:val="0D0D0D" w:themeColor="text1" w:themeTint="F2"/>
                <w:spacing w:val="-2"/>
                <w:szCs w:val="20"/>
              </w:rPr>
              <w:t>y</w:t>
            </w:r>
            <w:r w:rsidRPr="005A28BD">
              <w:rPr>
                <w:color w:val="0D0D0D" w:themeColor="text1" w:themeTint="F2"/>
                <w:spacing w:val="-2"/>
                <w:szCs w:val="20"/>
              </w:rPr>
              <w:t>š</w:t>
            </w:r>
            <w:r>
              <w:rPr>
                <w:color w:val="0D0D0D" w:themeColor="text1" w:themeTint="F2"/>
                <w:spacing w:val="-2"/>
                <w:szCs w:val="20"/>
              </w:rPr>
              <w:t>ovala</w:t>
            </w:r>
            <w:r w:rsidRPr="005A28BD">
              <w:rPr>
                <w:color w:val="0D0D0D" w:themeColor="text1" w:themeTint="F2"/>
                <w:spacing w:val="-2"/>
                <w:szCs w:val="20"/>
              </w:rPr>
              <w:t xml:space="preserve">. Nabídka volných pracovních míst spíše stagnovala a přetrvával dlouhodobý </w:t>
            </w:r>
            <w:r>
              <w:rPr>
                <w:color w:val="0D0D0D" w:themeColor="text1" w:themeTint="F2"/>
                <w:spacing w:val="-2"/>
                <w:szCs w:val="20"/>
              </w:rPr>
              <w:t xml:space="preserve">citelný </w:t>
            </w:r>
            <w:r w:rsidRPr="005A28BD">
              <w:rPr>
                <w:color w:val="0D0D0D" w:themeColor="text1" w:themeTint="F2"/>
                <w:spacing w:val="-2"/>
                <w:szCs w:val="20"/>
              </w:rPr>
              <w:t xml:space="preserve">strukturální nesoulad nabídky a poptávky. </w:t>
            </w:r>
            <w:r>
              <w:rPr>
                <w:color w:val="0D0D0D" w:themeColor="text1" w:themeTint="F2"/>
                <w:spacing w:val="-2"/>
                <w:szCs w:val="20"/>
              </w:rPr>
              <w:t>N</w:t>
            </w:r>
            <w:r w:rsidRPr="00874D1A">
              <w:rPr>
                <w:color w:val="0D0D0D" w:themeColor="text1" w:themeTint="F2"/>
                <w:spacing w:val="-2"/>
                <w:szCs w:val="20"/>
              </w:rPr>
              <w:t>ominální m</w:t>
            </w:r>
            <w:r>
              <w:rPr>
                <w:color w:val="0D0D0D" w:themeColor="text1" w:themeTint="F2"/>
                <w:spacing w:val="-2"/>
                <w:szCs w:val="20"/>
              </w:rPr>
              <w:t>zdy stabilně</w:t>
            </w:r>
            <w:r w:rsidRPr="00874D1A">
              <w:rPr>
                <w:color w:val="0D0D0D" w:themeColor="text1" w:themeTint="F2"/>
                <w:spacing w:val="-2"/>
                <w:szCs w:val="20"/>
              </w:rPr>
              <w:t xml:space="preserve"> </w:t>
            </w:r>
            <w:r>
              <w:rPr>
                <w:color w:val="0D0D0D" w:themeColor="text1" w:themeTint="F2"/>
                <w:spacing w:val="-2"/>
                <w:szCs w:val="20"/>
              </w:rPr>
              <w:t>rostly</w:t>
            </w:r>
            <w:r w:rsidRPr="00874D1A">
              <w:rPr>
                <w:color w:val="0D0D0D" w:themeColor="text1" w:themeTint="F2"/>
                <w:spacing w:val="-2"/>
                <w:szCs w:val="20"/>
              </w:rPr>
              <w:t xml:space="preserve">, svižněji </w:t>
            </w:r>
            <w:r>
              <w:rPr>
                <w:color w:val="0D0D0D" w:themeColor="text1" w:themeTint="F2"/>
                <w:spacing w:val="-2"/>
                <w:szCs w:val="20"/>
              </w:rPr>
              <w:t xml:space="preserve">často </w:t>
            </w:r>
            <w:r w:rsidRPr="00874D1A">
              <w:rPr>
                <w:color w:val="0D0D0D" w:themeColor="text1" w:themeTint="F2"/>
                <w:spacing w:val="-2"/>
                <w:szCs w:val="20"/>
              </w:rPr>
              <w:t xml:space="preserve">i v mnoha </w:t>
            </w:r>
            <w:proofErr w:type="spellStart"/>
            <w:r w:rsidRPr="00874D1A">
              <w:rPr>
                <w:color w:val="0D0D0D" w:themeColor="text1" w:themeTint="F2"/>
                <w:spacing w:val="-2"/>
                <w:szCs w:val="20"/>
              </w:rPr>
              <w:t>nízkovýdělkových</w:t>
            </w:r>
            <w:proofErr w:type="spellEnd"/>
            <w:r w:rsidRPr="00874D1A">
              <w:rPr>
                <w:color w:val="0D0D0D" w:themeColor="text1" w:themeTint="F2"/>
                <w:spacing w:val="-2"/>
                <w:szCs w:val="20"/>
              </w:rPr>
              <w:t xml:space="preserve"> odvětvích. Stabilizace cenové hladiny v ekonomice vedla k rychlému růstu reálných mezd, jenž byl v 1. pololetí patrný ve všech hlavních odvětvích. Kupní síla hrubých zaměstnaneckých výdělků stále mírně zaostávala za úrovní z roku 2021.</w:t>
            </w:r>
          </w:p>
        </w:tc>
      </w:tr>
      <w:tr w:rsidR="00AD1119" w:rsidRPr="009F0D7F" w14:paraId="60CD6B3C" w14:textId="77777777" w:rsidTr="00E962EE">
        <w:trPr>
          <w:trHeight w:val="155"/>
        </w:trPr>
        <w:tc>
          <w:tcPr>
            <w:tcW w:w="1797" w:type="dxa"/>
            <w:tcMar>
              <w:left w:w="0" w:type="dxa"/>
            </w:tcMar>
          </w:tcPr>
          <w:p w14:paraId="099AACE0" w14:textId="77777777" w:rsidR="00AD1119" w:rsidRDefault="00AD1119" w:rsidP="00E962EE">
            <w:pPr>
              <w:pStyle w:val="Marginlie"/>
              <w:spacing w:after="120"/>
              <w:rPr>
                <w:color w:val="0D0D0D" w:themeColor="text1" w:themeTint="F2"/>
                <w:spacing w:val="-4"/>
              </w:rPr>
            </w:pPr>
            <w:r>
              <w:rPr>
                <w:color w:val="0D0D0D" w:themeColor="text1" w:themeTint="F2"/>
                <w:spacing w:val="-4"/>
              </w:rPr>
              <w:t xml:space="preserve">Mírný </w:t>
            </w:r>
            <w:proofErr w:type="spellStart"/>
            <w:r>
              <w:rPr>
                <w:color w:val="0D0D0D" w:themeColor="text1" w:themeTint="F2"/>
                <w:spacing w:val="-4"/>
              </w:rPr>
              <w:t>mezikvartální</w:t>
            </w:r>
            <w:proofErr w:type="spellEnd"/>
            <w:r>
              <w:rPr>
                <w:color w:val="0D0D0D" w:themeColor="text1" w:themeTint="F2"/>
                <w:spacing w:val="-4"/>
              </w:rPr>
              <w:t xml:space="preserve"> růst zaměstnanosti letos zrychlil. Počet pracujících v Česku se opět posunul na historické maximum.</w:t>
            </w:r>
          </w:p>
        </w:tc>
        <w:tc>
          <w:tcPr>
            <w:tcW w:w="173" w:type="dxa"/>
            <w:tcMar>
              <w:left w:w="0" w:type="dxa"/>
            </w:tcMar>
          </w:tcPr>
          <w:p w14:paraId="0DE6B670" w14:textId="77777777" w:rsidR="00AD1119" w:rsidRPr="009F0D7F" w:rsidRDefault="00AD1119" w:rsidP="00E962EE">
            <w:pPr>
              <w:pStyle w:val="Textpoznpodarou"/>
              <w:spacing w:after="120"/>
              <w:jc w:val="both"/>
              <w:rPr>
                <w:color w:val="0D0D0D" w:themeColor="text1" w:themeTint="F2"/>
                <w:spacing w:val="-4"/>
              </w:rPr>
            </w:pPr>
          </w:p>
        </w:tc>
        <w:tc>
          <w:tcPr>
            <w:tcW w:w="7704" w:type="dxa"/>
            <w:tcMar>
              <w:left w:w="0" w:type="dxa"/>
            </w:tcMar>
          </w:tcPr>
          <w:p w14:paraId="66F1AED7" w14:textId="77777777" w:rsidR="00AD1119" w:rsidRPr="00F15523" w:rsidRDefault="00AD1119" w:rsidP="00E962EE">
            <w:pPr>
              <w:rPr>
                <w:spacing w:val="-2"/>
              </w:rPr>
            </w:pPr>
            <w:r w:rsidRPr="00F15523">
              <w:rPr>
                <w:spacing w:val="-2"/>
              </w:rPr>
              <w:t>Mírný růst zaměstnanosti pokračoval rovněž na počátku letošního roku. Celkový počet pracovníků</w:t>
            </w:r>
            <w:r w:rsidRPr="00F15523">
              <w:rPr>
                <w:color w:val="0D0D0D" w:themeColor="text1" w:themeTint="F2"/>
                <w:spacing w:val="-2"/>
                <w:vertAlign w:val="superscript"/>
              </w:rPr>
              <w:footnoteReference w:id="74"/>
            </w:r>
            <w:r w:rsidRPr="00F15523">
              <w:rPr>
                <w:spacing w:val="-2"/>
              </w:rPr>
              <w:t xml:space="preserve"> se v 1. čtvrtletí 2026 mezikvartálně navýšil o 0,1 % a navázal na slabou dynamiku z loňského roku. Nicméně ve 2. čtvrtletí tempo zřetelně zrychlilo na 0,9 %, především vlivem zlepšené situace v průmyslu i rostoucí poptávky po vyspělých podnikových službách (soustředěných zejména v profesních, vědeckých, technických </w:t>
            </w:r>
            <w:r>
              <w:rPr>
                <w:spacing w:val="-2"/>
              </w:rPr>
              <w:br/>
            </w:r>
            <w:r w:rsidRPr="00F15523">
              <w:rPr>
                <w:spacing w:val="-2"/>
              </w:rPr>
              <w:t xml:space="preserve">a administrativních činnostech). Pracovníků však přibývalo téměř ve všech hlavních odvětvích. Zaměstnanost v celé ekonomice aktuálně dosahovala rekordních </w:t>
            </w:r>
            <w:r>
              <w:rPr>
                <w:spacing w:val="-2"/>
              </w:rPr>
              <w:br/>
            </w:r>
            <w:r w:rsidRPr="00F15523">
              <w:rPr>
                <w:spacing w:val="-2"/>
              </w:rPr>
              <w:t>5,60 mil. osob a proti maximální hodnotě z období poslední konjunktury (4. čtvrtletí 2018) byla vyšší již o 4,2 % (+224 tis.), což bylo spojeno mj. s rozvojem veřejných služeb</w:t>
            </w:r>
            <w:r w:rsidRPr="00F15523">
              <w:rPr>
                <w:rStyle w:val="Znakapoznpodarou"/>
                <w:spacing w:val="-2"/>
              </w:rPr>
              <w:footnoteReference w:id="75"/>
            </w:r>
            <w:r w:rsidRPr="00F15523">
              <w:rPr>
                <w:spacing w:val="-2"/>
              </w:rPr>
              <w:t>.</w:t>
            </w:r>
          </w:p>
        </w:tc>
      </w:tr>
      <w:tr w:rsidR="00AD1119" w:rsidRPr="009F0D7F" w14:paraId="31395A92" w14:textId="77777777" w:rsidTr="00E962EE">
        <w:trPr>
          <w:trHeight w:val="155"/>
        </w:trPr>
        <w:tc>
          <w:tcPr>
            <w:tcW w:w="1797" w:type="dxa"/>
            <w:tcMar>
              <w:left w:w="0" w:type="dxa"/>
            </w:tcMar>
          </w:tcPr>
          <w:p w14:paraId="4397C3AC" w14:textId="77777777" w:rsidR="00AD1119" w:rsidRDefault="00AD1119" w:rsidP="00E962EE">
            <w:pPr>
              <w:pStyle w:val="Marginlie"/>
              <w:rPr>
                <w:color w:val="0D0D0D" w:themeColor="text1" w:themeTint="F2"/>
                <w:spacing w:val="-4"/>
              </w:rPr>
            </w:pPr>
            <w:r>
              <w:rPr>
                <w:color w:val="0D0D0D" w:themeColor="text1" w:themeTint="F2"/>
                <w:spacing w:val="-4"/>
              </w:rPr>
              <w:t>Na mírném meziročním růstu počtu pracovníků se podíleli zaměstnanci, ale</w:t>
            </w:r>
            <w:r>
              <w:rPr>
                <w:color w:val="0D0D0D" w:themeColor="text1" w:themeTint="F2"/>
                <w:spacing w:val="-4"/>
              </w:rPr>
              <w:br/>
              <w:t>i drobní podnikatelé, jejichž role se zvyšovala v řadě odvětví tržních služeb.</w:t>
            </w:r>
          </w:p>
          <w:p w14:paraId="303A8663" w14:textId="77777777" w:rsidR="00AD1119" w:rsidRDefault="00AD1119" w:rsidP="00E962EE">
            <w:pPr>
              <w:pStyle w:val="Marginlie"/>
              <w:rPr>
                <w:color w:val="0D0D0D" w:themeColor="text1" w:themeTint="F2"/>
                <w:spacing w:val="-4"/>
              </w:rPr>
            </w:pPr>
          </w:p>
          <w:p w14:paraId="504242D4" w14:textId="77777777" w:rsidR="00AD1119" w:rsidRDefault="00AD1119" w:rsidP="00E962EE">
            <w:pPr>
              <w:pStyle w:val="Marginlie"/>
              <w:rPr>
                <w:color w:val="0D0D0D" w:themeColor="text1" w:themeTint="F2"/>
                <w:spacing w:val="-4"/>
              </w:rPr>
            </w:pPr>
          </w:p>
          <w:p w14:paraId="190AA811" w14:textId="77777777" w:rsidR="00AD1119" w:rsidRDefault="00AD1119" w:rsidP="00E962EE">
            <w:pPr>
              <w:pStyle w:val="Marginlie"/>
              <w:rPr>
                <w:color w:val="0D0D0D" w:themeColor="text1" w:themeTint="F2"/>
                <w:spacing w:val="-4"/>
              </w:rPr>
            </w:pPr>
          </w:p>
          <w:p w14:paraId="48DE60FA" w14:textId="77777777" w:rsidR="00AD1119" w:rsidRDefault="00AD1119" w:rsidP="00E962EE">
            <w:pPr>
              <w:pStyle w:val="Marginlie"/>
              <w:rPr>
                <w:color w:val="0D0D0D" w:themeColor="text1" w:themeTint="F2"/>
                <w:spacing w:val="-4"/>
              </w:rPr>
            </w:pPr>
          </w:p>
          <w:p w14:paraId="163B37A1" w14:textId="77777777" w:rsidR="00AD1119" w:rsidRDefault="00AD1119" w:rsidP="00E962EE">
            <w:pPr>
              <w:pStyle w:val="Marginlie"/>
              <w:rPr>
                <w:color w:val="0D0D0D" w:themeColor="text1" w:themeTint="F2"/>
                <w:spacing w:val="-4"/>
              </w:rPr>
            </w:pPr>
            <w:r>
              <w:rPr>
                <w:color w:val="0D0D0D" w:themeColor="text1" w:themeTint="F2"/>
                <w:spacing w:val="0"/>
              </w:rPr>
              <w:t>R</w:t>
            </w:r>
            <w:r w:rsidRPr="00630288">
              <w:rPr>
                <w:color w:val="0D0D0D" w:themeColor="text1" w:themeTint="F2"/>
                <w:spacing w:val="0"/>
              </w:rPr>
              <w:t>ůst zaměstnanosti ve</w:t>
            </w:r>
            <w:r>
              <w:rPr>
                <w:color w:val="0D0D0D" w:themeColor="text1" w:themeTint="F2"/>
                <w:spacing w:val="0"/>
              </w:rPr>
              <w:t xml:space="preserve"> ve</w:t>
            </w:r>
            <w:r w:rsidRPr="00630288">
              <w:rPr>
                <w:color w:val="0D0D0D" w:themeColor="text1" w:themeTint="F2"/>
                <w:spacing w:val="0"/>
              </w:rPr>
              <w:t>řejn</w:t>
            </w:r>
            <w:r>
              <w:rPr>
                <w:color w:val="0D0D0D" w:themeColor="text1" w:themeTint="F2"/>
                <w:spacing w:val="0"/>
              </w:rPr>
              <w:t>ých</w:t>
            </w:r>
            <w:r w:rsidRPr="00630288">
              <w:rPr>
                <w:color w:val="0D0D0D" w:themeColor="text1" w:themeTint="F2"/>
                <w:spacing w:val="0"/>
              </w:rPr>
              <w:t xml:space="preserve"> služb</w:t>
            </w:r>
            <w:r>
              <w:rPr>
                <w:color w:val="0D0D0D" w:themeColor="text1" w:themeTint="F2"/>
                <w:spacing w:val="0"/>
              </w:rPr>
              <w:t>ách byl nejvyšší za posledních 4,5 roku</w:t>
            </w:r>
            <w:r w:rsidRPr="00630288">
              <w:rPr>
                <w:color w:val="0D0D0D" w:themeColor="text1" w:themeTint="F2"/>
                <w:spacing w:val="0"/>
              </w:rPr>
              <w:t xml:space="preserve">. </w:t>
            </w:r>
            <w:r w:rsidRPr="008B66AB">
              <w:rPr>
                <w:color w:val="0D0D0D" w:themeColor="text1" w:themeTint="F2"/>
                <w:spacing w:val="0"/>
              </w:rPr>
              <w:t xml:space="preserve">Dařilo se </w:t>
            </w:r>
            <w:r>
              <w:rPr>
                <w:color w:val="0D0D0D" w:themeColor="text1" w:themeTint="F2"/>
                <w:spacing w:val="0"/>
              </w:rPr>
              <w:br/>
            </w:r>
            <w:r w:rsidRPr="008B66AB">
              <w:rPr>
                <w:color w:val="0D0D0D" w:themeColor="text1" w:themeTint="F2"/>
                <w:spacing w:val="0"/>
              </w:rPr>
              <w:t xml:space="preserve">i vyspělejším podnikovým službám, </w:t>
            </w:r>
            <w:r w:rsidRPr="008B66AB">
              <w:rPr>
                <w:color w:val="0D0D0D" w:themeColor="text1" w:themeTint="F2"/>
                <w:spacing w:val="0"/>
              </w:rPr>
              <w:lastRenderedPageBreak/>
              <w:t>nemovitostem</w:t>
            </w:r>
            <w:r>
              <w:rPr>
                <w:color w:val="0D0D0D" w:themeColor="text1" w:themeTint="F2"/>
                <w:spacing w:val="0"/>
              </w:rPr>
              <w:t xml:space="preserve"> či oborům s vazbou na </w:t>
            </w:r>
            <w:r w:rsidRPr="008B66AB">
              <w:rPr>
                <w:color w:val="0D0D0D" w:themeColor="text1" w:themeTint="F2"/>
                <w:spacing w:val="0"/>
              </w:rPr>
              <w:t>cestovní ruch.</w:t>
            </w:r>
            <w:r>
              <w:rPr>
                <w:color w:val="0D0D0D" w:themeColor="text1" w:themeTint="F2"/>
                <w:spacing w:val="-4"/>
              </w:rPr>
              <w:t xml:space="preserve"> </w:t>
            </w:r>
          </w:p>
          <w:p w14:paraId="78D1E909" w14:textId="77777777" w:rsidR="00AD1119" w:rsidRDefault="00AD1119" w:rsidP="00E962EE">
            <w:pPr>
              <w:pStyle w:val="Marginlie"/>
              <w:rPr>
                <w:color w:val="0D0D0D" w:themeColor="text1" w:themeTint="F2"/>
                <w:spacing w:val="-4"/>
              </w:rPr>
            </w:pPr>
          </w:p>
          <w:p w14:paraId="27E5FE66" w14:textId="77777777" w:rsidR="00AD1119" w:rsidRDefault="00AD1119" w:rsidP="00E962EE">
            <w:pPr>
              <w:pStyle w:val="Marginlie"/>
              <w:rPr>
                <w:color w:val="0D0D0D" w:themeColor="text1" w:themeTint="F2"/>
                <w:spacing w:val="-4"/>
              </w:rPr>
            </w:pPr>
          </w:p>
          <w:p w14:paraId="3D5D59E9" w14:textId="77777777" w:rsidR="00AD1119" w:rsidRDefault="00AD1119" w:rsidP="00E962EE">
            <w:pPr>
              <w:pStyle w:val="Marginlie"/>
              <w:rPr>
                <w:color w:val="0D0D0D" w:themeColor="text1" w:themeTint="F2"/>
                <w:spacing w:val="-4"/>
              </w:rPr>
            </w:pPr>
          </w:p>
          <w:p w14:paraId="414F04BB" w14:textId="77777777" w:rsidR="00AD1119" w:rsidRDefault="00AD1119" w:rsidP="00E962EE">
            <w:pPr>
              <w:pStyle w:val="Marginlie"/>
              <w:rPr>
                <w:color w:val="0D0D0D" w:themeColor="text1" w:themeTint="F2"/>
                <w:spacing w:val="-4"/>
              </w:rPr>
            </w:pPr>
          </w:p>
          <w:p w14:paraId="0F753F8C" w14:textId="77777777" w:rsidR="00AD1119" w:rsidRDefault="00AD1119" w:rsidP="00E962EE">
            <w:pPr>
              <w:pStyle w:val="Marginlie"/>
              <w:rPr>
                <w:color w:val="0D0D0D" w:themeColor="text1" w:themeTint="F2"/>
                <w:spacing w:val="-4"/>
              </w:rPr>
            </w:pPr>
          </w:p>
          <w:p w14:paraId="20138786" w14:textId="77777777" w:rsidR="00AD1119" w:rsidRDefault="00AD1119" w:rsidP="00E962EE">
            <w:pPr>
              <w:pStyle w:val="Marginlie"/>
              <w:rPr>
                <w:color w:val="0D0D0D" w:themeColor="text1" w:themeTint="F2"/>
                <w:spacing w:val="-4"/>
              </w:rPr>
            </w:pPr>
          </w:p>
          <w:p w14:paraId="2842D2DC" w14:textId="77777777" w:rsidR="00AD1119" w:rsidRPr="001133B5" w:rsidRDefault="00AD1119" w:rsidP="00E962EE">
            <w:pPr>
              <w:pStyle w:val="Marginlie"/>
              <w:rPr>
                <w:color w:val="0D0D0D" w:themeColor="text1" w:themeTint="F2"/>
                <w:spacing w:val="0"/>
              </w:rPr>
            </w:pPr>
            <w:r>
              <w:rPr>
                <w:color w:val="0D0D0D" w:themeColor="text1" w:themeTint="F2"/>
                <w:spacing w:val="0"/>
              </w:rPr>
              <w:t xml:space="preserve"> </w:t>
            </w:r>
          </w:p>
        </w:tc>
        <w:tc>
          <w:tcPr>
            <w:tcW w:w="173" w:type="dxa"/>
            <w:tcMar>
              <w:left w:w="0" w:type="dxa"/>
            </w:tcMar>
          </w:tcPr>
          <w:p w14:paraId="269FF7B9" w14:textId="77777777" w:rsidR="00AD1119" w:rsidRPr="009F0D7F" w:rsidRDefault="00AD1119" w:rsidP="00E962EE">
            <w:pPr>
              <w:pStyle w:val="Textpoznpodarou"/>
              <w:spacing w:after="120"/>
              <w:jc w:val="both"/>
              <w:rPr>
                <w:color w:val="0D0D0D" w:themeColor="text1" w:themeTint="F2"/>
                <w:spacing w:val="-4"/>
              </w:rPr>
            </w:pPr>
          </w:p>
        </w:tc>
        <w:tc>
          <w:tcPr>
            <w:tcW w:w="7704" w:type="dxa"/>
            <w:tcMar>
              <w:left w:w="0" w:type="dxa"/>
            </w:tcMar>
          </w:tcPr>
          <w:p w14:paraId="61EF37B7" w14:textId="34BFF8CB" w:rsidR="00AD1119" w:rsidRPr="00F15523" w:rsidRDefault="00AD1119" w:rsidP="00E962EE">
            <w:pPr>
              <w:rPr>
                <w:spacing w:val="-2"/>
              </w:rPr>
            </w:pPr>
            <w:r w:rsidRPr="00F15523">
              <w:rPr>
                <w:spacing w:val="-2"/>
              </w:rPr>
              <w:t>Za 1. pololetí 2026 celková zaměstnanost meziročně vzrostla o 1,3 %</w:t>
            </w:r>
            <w:r w:rsidRPr="00F15523">
              <w:rPr>
                <w:rStyle w:val="Znakapoznpodarou"/>
                <w:spacing w:val="-2"/>
              </w:rPr>
              <w:footnoteReference w:id="76"/>
            </w:r>
            <w:r w:rsidRPr="00F15523">
              <w:rPr>
                <w:spacing w:val="-2"/>
              </w:rPr>
              <w:t xml:space="preserve">, téměř identicky posilovala i po celý loňský rok. K nynějšímu růstu přispěli ze dvou třetin zaměstnanci (+49 tis., +1,0 %), relativně silnějším tempem se ale navyšovaly stavy </w:t>
            </w:r>
            <w:proofErr w:type="spellStart"/>
            <w:r w:rsidRPr="00F15523">
              <w:rPr>
                <w:spacing w:val="-2"/>
              </w:rPr>
              <w:t>sebezaměstnaných</w:t>
            </w:r>
            <w:proofErr w:type="spellEnd"/>
            <w:r w:rsidRPr="00F15523">
              <w:rPr>
                <w:spacing w:val="-2"/>
              </w:rPr>
              <w:t xml:space="preserve"> (+2,7 %), což platilo po většinu období po ústupu pandemie. Z pohledu odvětví měly pro celkovou dynamiku zaměstnanosti v ekonomice nadále zcela zásadní vliv veřejné služby</w:t>
            </w:r>
            <w:r w:rsidRPr="00F15523">
              <w:rPr>
                <w:rStyle w:val="Znakapoznpodarou"/>
                <w:spacing w:val="-2"/>
              </w:rPr>
              <w:footnoteReference w:id="77"/>
            </w:r>
            <w:r w:rsidRPr="00F15523">
              <w:rPr>
                <w:spacing w:val="-2"/>
              </w:rPr>
              <w:t>. V nich totiž pracovalo meziročně o 2,3 % osob více a na tomto nárůstu, nejvyšším za poslední čtyři a půl roku, se podílela všechna odvětví (nejvíce zdravotní a sociální péče spolu se vzděláváním). Shodným tempem se zvyšovala zaměstnanost i v dlouhodobě se rozvíjejících profesních, vědeckých, technických a administrativních činnostech, letos z drtivé části díky nebýval</w:t>
            </w:r>
            <w:r>
              <w:rPr>
                <w:spacing w:val="-2"/>
              </w:rPr>
              <w:t>e</w:t>
            </w:r>
            <w:r w:rsidRPr="00F15523">
              <w:rPr>
                <w:spacing w:val="-2"/>
              </w:rPr>
              <w:t xml:space="preserve"> silnému růstu </w:t>
            </w:r>
            <w:proofErr w:type="spellStart"/>
            <w:r w:rsidRPr="00F15523">
              <w:rPr>
                <w:spacing w:val="-2"/>
              </w:rPr>
              <w:t>sebezaměstnaných</w:t>
            </w:r>
            <w:proofErr w:type="spellEnd"/>
            <w:r w:rsidRPr="00F15523">
              <w:rPr>
                <w:rStyle w:val="Znakapoznpodarou"/>
                <w:spacing w:val="-2"/>
              </w:rPr>
              <w:footnoteReference w:id="78"/>
            </w:r>
            <w:r w:rsidRPr="00F15523">
              <w:rPr>
                <w:spacing w:val="-2"/>
              </w:rPr>
              <w:t>. Tento segment významně podpořil růst také v různorodém odvětví ostatních činností</w:t>
            </w:r>
            <w:r w:rsidRPr="00F15523">
              <w:rPr>
                <w:rStyle w:val="Znakapoznpodarou"/>
                <w:spacing w:val="-2"/>
              </w:rPr>
              <w:footnoteReference w:id="79"/>
            </w:r>
            <w:r w:rsidRPr="00F15523">
              <w:rPr>
                <w:spacing w:val="-2"/>
              </w:rPr>
              <w:t xml:space="preserve"> (+3,7 %) a přispěl rovněž</w:t>
            </w:r>
            <w:r w:rsidR="00966405">
              <w:rPr>
                <w:spacing w:val="-2"/>
              </w:rPr>
              <w:t xml:space="preserve"> </w:t>
            </w:r>
            <w:r w:rsidRPr="00F15523">
              <w:rPr>
                <w:spacing w:val="-2"/>
              </w:rPr>
              <w:t xml:space="preserve">i k mírnému oživení celkové zaměstnanosti v peněžnictví a pojišťovnictví (+2,6 %). Naopak fakticky pouze zaměstnanci se postarali o navýšení počtu pracovníků </w:t>
            </w:r>
            <w:r w:rsidRPr="00F15523">
              <w:rPr>
                <w:spacing w:val="-2"/>
              </w:rPr>
              <w:lastRenderedPageBreak/>
              <w:t>v relativně malém a specifickém odvětví činností v oblasti nemovitostí (+5,8 %)</w:t>
            </w:r>
            <w:r w:rsidRPr="00F15523">
              <w:rPr>
                <w:rStyle w:val="Znakapoznpodarou"/>
                <w:spacing w:val="-2"/>
              </w:rPr>
              <w:footnoteReference w:id="80"/>
            </w:r>
            <w:r w:rsidRPr="00F15523">
              <w:rPr>
                <w:spacing w:val="-2"/>
              </w:rPr>
              <w:t>. Ve zbývajících oblastech služeb přibývalo pracovníků velmi pozvolně. V uskupení obchod, doprava, ubytování a pohostinství letos růst zvolnil na 0,8 %, tedy nejnižší tempo za poslední tři</w:t>
            </w:r>
            <w:r w:rsidR="00966405">
              <w:rPr>
                <w:spacing w:val="-2"/>
              </w:rPr>
              <w:t xml:space="preserve"> </w:t>
            </w:r>
            <w:r w:rsidRPr="00F15523">
              <w:rPr>
                <w:spacing w:val="-2"/>
              </w:rPr>
              <w:t xml:space="preserve">a půl roku. Na jedné straně se zde dále rozvíjely aktivity navázané na cestovní ruch, současně však pracovních míst nepřibývalo ve váhově významnějších segmentech (obchod, doprava a skladování). Navíc růst byl v tomto uskupení nadále tažen jen zaměstnanci (počet </w:t>
            </w:r>
            <w:proofErr w:type="spellStart"/>
            <w:r w:rsidRPr="00F15523">
              <w:rPr>
                <w:spacing w:val="-2"/>
              </w:rPr>
              <w:t>sebezaměstnaných</w:t>
            </w:r>
            <w:proofErr w:type="spellEnd"/>
            <w:r w:rsidRPr="00F15523">
              <w:rPr>
                <w:spacing w:val="-2"/>
              </w:rPr>
              <w:t xml:space="preserve"> totiž stagnoval a stále zaostával za úrovní z roku 2019). V informačních a komunikačních činnostech se celková zaměstnanost zvýšila </w:t>
            </w:r>
            <w:r>
              <w:rPr>
                <w:spacing w:val="-2"/>
              </w:rPr>
              <w:br/>
            </w:r>
            <w:r w:rsidRPr="00F15523">
              <w:rPr>
                <w:spacing w:val="-2"/>
              </w:rPr>
              <w:t xml:space="preserve">o 1,3 %, avšak v rámci 1. pololetí šlo o nejnižší tempo </w:t>
            </w:r>
            <w:r>
              <w:rPr>
                <w:spacing w:val="-2"/>
              </w:rPr>
              <w:t>z</w:t>
            </w:r>
            <w:r w:rsidRPr="00F15523">
              <w:rPr>
                <w:spacing w:val="-2"/>
              </w:rPr>
              <w:t>a posledních jedenáct let</w:t>
            </w:r>
            <w:r w:rsidRPr="00F15523">
              <w:rPr>
                <w:rStyle w:val="Znakapoznpodarou"/>
                <w:spacing w:val="-2"/>
              </w:rPr>
              <w:footnoteReference w:id="81"/>
            </w:r>
            <w:r w:rsidRPr="00F15523">
              <w:rPr>
                <w:spacing w:val="-2"/>
              </w:rPr>
              <w:t>.</w:t>
            </w:r>
          </w:p>
        </w:tc>
      </w:tr>
      <w:tr w:rsidR="00AD1119" w:rsidRPr="009F0D7F" w14:paraId="16563262" w14:textId="77777777" w:rsidTr="00E962EE">
        <w:trPr>
          <w:trHeight w:val="155"/>
        </w:trPr>
        <w:tc>
          <w:tcPr>
            <w:tcW w:w="1797" w:type="dxa"/>
            <w:tcMar>
              <w:left w:w="0" w:type="dxa"/>
            </w:tcMar>
          </w:tcPr>
          <w:p w14:paraId="00546CE2" w14:textId="77777777" w:rsidR="00AD1119" w:rsidRPr="00D202F4" w:rsidRDefault="00AD1119" w:rsidP="00E962EE">
            <w:pPr>
              <w:pStyle w:val="Marginlie"/>
              <w:rPr>
                <w:color w:val="0D0D0D" w:themeColor="text1" w:themeTint="F2"/>
              </w:rPr>
            </w:pPr>
            <w:r>
              <w:rPr>
                <w:color w:val="0D0D0D" w:themeColor="text1" w:themeTint="F2"/>
              </w:rPr>
              <w:lastRenderedPageBreak/>
              <w:t xml:space="preserve">Ke svižnému růstu ve </w:t>
            </w:r>
            <w:r w:rsidRPr="007928AC">
              <w:rPr>
                <w:color w:val="0D0D0D" w:themeColor="text1" w:themeTint="F2"/>
              </w:rPr>
              <w:t xml:space="preserve">stavebnictví </w:t>
            </w:r>
            <w:r>
              <w:rPr>
                <w:color w:val="0D0D0D" w:themeColor="text1" w:themeTint="F2"/>
              </w:rPr>
              <w:t>letos přispívali zejména</w:t>
            </w:r>
            <w:r w:rsidRPr="007928AC">
              <w:rPr>
                <w:color w:val="0D0D0D" w:themeColor="text1" w:themeTint="F2"/>
              </w:rPr>
              <w:t xml:space="preserve"> zaměstnan</w:t>
            </w:r>
            <w:r>
              <w:rPr>
                <w:color w:val="0D0D0D" w:themeColor="text1" w:themeTint="F2"/>
              </w:rPr>
              <w:t xml:space="preserve">ci. </w:t>
            </w:r>
            <w:r>
              <w:rPr>
                <w:color w:val="0D0D0D" w:themeColor="text1" w:themeTint="F2"/>
                <w:spacing w:val="-4"/>
              </w:rPr>
              <w:t xml:space="preserve">Zaměstnanost ve zpracovatelském průmyslu i zemědělství nadále mírně klesala. </w:t>
            </w:r>
          </w:p>
        </w:tc>
        <w:tc>
          <w:tcPr>
            <w:tcW w:w="173" w:type="dxa"/>
            <w:tcMar>
              <w:left w:w="0" w:type="dxa"/>
            </w:tcMar>
          </w:tcPr>
          <w:p w14:paraId="41E1C569" w14:textId="77777777" w:rsidR="00AD1119" w:rsidRPr="009F0D7F" w:rsidRDefault="00AD1119" w:rsidP="00E962EE">
            <w:pPr>
              <w:pStyle w:val="Textpoznpodarou"/>
              <w:spacing w:after="120"/>
              <w:jc w:val="both"/>
              <w:rPr>
                <w:color w:val="0D0D0D" w:themeColor="text1" w:themeTint="F2"/>
                <w:spacing w:val="-4"/>
              </w:rPr>
            </w:pPr>
          </w:p>
        </w:tc>
        <w:tc>
          <w:tcPr>
            <w:tcW w:w="7704" w:type="dxa"/>
            <w:tcMar>
              <w:left w:w="0" w:type="dxa"/>
            </w:tcMar>
          </w:tcPr>
          <w:p w14:paraId="0D5F268A" w14:textId="77777777" w:rsidR="00AD1119" w:rsidRPr="00B85732" w:rsidRDefault="00AD1119" w:rsidP="00E962EE">
            <w:pPr>
              <w:rPr>
                <w:color w:val="0D0D0D" w:themeColor="text1" w:themeTint="F2"/>
              </w:rPr>
            </w:pPr>
            <w:r w:rsidRPr="00D862D9">
              <w:rPr>
                <w:color w:val="0D0D0D" w:themeColor="text1" w:themeTint="F2"/>
              </w:rPr>
              <w:t xml:space="preserve">Mimo sektor služeb přibylo </w:t>
            </w:r>
            <w:r>
              <w:rPr>
                <w:color w:val="0D0D0D" w:themeColor="text1" w:themeTint="F2"/>
              </w:rPr>
              <w:t>letos (obdobně jako v úhrnu za celý loňský rok)</w:t>
            </w:r>
            <w:r w:rsidRPr="00903591">
              <w:t xml:space="preserve"> pracovníků </w:t>
            </w:r>
            <w:r>
              <w:t>hlavně</w:t>
            </w:r>
            <w:r w:rsidRPr="00903591">
              <w:t xml:space="preserve"> ve stavebnictví (+2,</w:t>
            </w:r>
            <w:r>
              <w:t>4</w:t>
            </w:r>
            <w:r w:rsidRPr="00903591">
              <w:t xml:space="preserve"> %)</w:t>
            </w:r>
            <w:r w:rsidRPr="00903591">
              <w:rPr>
                <w:color w:val="0D0D0D" w:themeColor="text1" w:themeTint="F2"/>
              </w:rPr>
              <w:t xml:space="preserve">. </w:t>
            </w:r>
            <w:r>
              <w:rPr>
                <w:color w:val="0D0D0D" w:themeColor="text1" w:themeTint="F2"/>
              </w:rPr>
              <w:t xml:space="preserve">Zatímco k růstu v roce 2025 zde výrazně pomohli drobní podnikatelé, letos byl z drtivé části v režii samotných zaměstnanců, jejichž tempo růstu patřilo k nejvyšším v „post-pandemickém období“. Ve zpracovatelském průmyslu pokračoval mírný, avšak dlouhodobější pokles zaměstnanosti (v 1. pololetí meziročně </w:t>
            </w:r>
            <w:r>
              <w:rPr>
                <w:color w:val="0D0D0D" w:themeColor="text1" w:themeTint="F2"/>
              </w:rPr>
              <w:br/>
              <w:t>o 0,5 %). Ten se nevyhýbal ani většině tradičních exportních oborů. Náznak stabilizace či drobného oživení lze pozorovat v segmentu drobných podnikatelů</w:t>
            </w:r>
            <w:r>
              <w:rPr>
                <w:rStyle w:val="Znakapoznpodarou"/>
                <w:color w:val="0D0D0D" w:themeColor="text1" w:themeTint="F2"/>
              </w:rPr>
              <w:footnoteReference w:id="82"/>
            </w:r>
            <w:r>
              <w:rPr>
                <w:color w:val="0D0D0D" w:themeColor="text1" w:themeTint="F2"/>
              </w:rPr>
              <w:t xml:space="preserve">. </w:t>
            </w:r>
            <w:r w:rsidRPr="00903591">
              <w:t xml:space="preserve">V ostatním průmyslu se zaměstnanost </w:t>
            </w:r>
            <w:r>
              <w:t>mírně zvýšila (+2,5 %), neboť</w:t>
            </w:r>
            <w:r w:rsidRPr="00903591">
              <w:t xml:space="preserve"> </w:t>
            </w:r>
            <w:r>
              <w:t>d</w:t>
            </w:r>
            <w:r w:rsidRPr="00903591">
              <w:t>opad</w:t>
            </w:r>
            <w:r>
              <w:t>y</w:t>
            </w:r>
            <w:r w:rsidRPr="00903591">
              <w:t xml:space="preserve"> </w:t>
            </w:r>
            <w:r>
              <w:t xml:space="preserve">hlubokého </w:t>
            </w:r>
            <w:r w:rsidRPr="00903591">
              <w:t>útlumu v těžbě a dobývání</w:t>
            </w:r>
            <w:r>
              <w:t xml:space="preserve"> dokázala </w:t>
            </w:r>
            <w:r w:rsidRPr="00903591">
              <w:t>kompenzov</w:t>
            </w:r>
            <w:r>
              <w:t>at rostoucí</w:t>
            </w:r>
            <w:r w:rsidRPr="00903591">
              <w:t xml:space="preserve"> zaměstnanost</w:t>
            </w:r>
            <w:r>
              <w:t xml:space="preserve"> v energetice či</w:t>
            </w:r>
            <w:r w:rsidRPr="00903591">
              <w:t xml:space="preserve"> ve vodním a odpadovém hospodářství. V primárním sektoru zemědělství, lesnictví </w:t>
            </w:r>
            <w:r>
              <w:br/>
            </w:r>
            <w:r w:rsidRPr="00903591">
              <w:t xml:space="preserve">a </w:t>
            </w:r>
            <w:r w:rsidRPr="00947D72">
              <w:rPr>
                <w:spacing w:val="-2"/>
              </w:rPr>
              <w:t>rybářství se počet pracovníků snížil</w:t>
            </w:r>
            <w:r>
              <w:rPr>
                <w:spacing w:val="-2"/>
              </w:rPr>
              <w:t xml:space="preserve"> o rovná 2 %, podobně jako loni zejména vlivem citelnějšího úbytku významné kategorie </w:t>
            </w:r>
            <w:proofErr w:type="spellStart"/>
            <w:r>
              <w:rPr>
                <w:spacing w:val="-2"/>
              </w:rPr>
              <w:t>sebezaměstnaných</w:t>
            </w:r>
            <w:proofErr w:type="spellEnd"/>
            <w:r>
              <w:rPr>
                <w:spacing w:val="-2"/>
              </w:rPr>
              <w:t>.</w:t>
            </w:r>
            <w:r>
              <w:t xml:space="preserve"> Celé odvětví se nadále potýkalo se zvýšenými nákladovými tlaky i sílící dovozní konkurencí, což se negativně promítalo do rentability řady druhů zemědělských i rostlinných výrob. </w:t>
            </w:r>
          </w:p>
        </w:tc>
      </w:tr>
      <w:tr w:rsidR="00AD1119" w:rsidRPr="009F0D7F" w14:paraId="609811B6" w14:textId="77777777" w:rsidTr="00E962EE">
        <w:trPr>
          <w:trHeight w:val="155"/>
        </w:trPr>
        <w:tc>
          <w:tcPr>
            <w:tcW w:w="1797" w:type="dxa"/>
            <w:tcMar>
              <w:left w:w="0" w:type="dxa"/>
            </w:tcMar>
          </w:tcPr>
          <w:p w14:paraId="03D7A090" w14:textId="77777777" w:rsidR="00AD1119" w:rsidRPr="00947D72" w:rsidRDefault="00AD1119" w:rsidP="00E962EE">
            <w:pPr>
              <w:pStyle w:val="Marginlie"/>
              <w:spacing w:after="120"/>
              <w:rPr>
                <w:color w:val="0D0D0D" w:themeColor="text1" w:themeTint="F2"/>
                <w:spacing w:val="-4"/>
              </w:rPr>
            </w:pPr>
            <w:r>
              <w:rPr>
                <w:color w:val="0D0D0D" w:themeColor="text1" w:themeTint="F2"/>
                <w:spacing w:val="-4"/>
              </w:rPr>
              <w:t xml:space="preserve">Počet odpracovaných hodin rostl nadále ve většině odvětví svižněji než fyzický počet zaměstnanců. </w:t>
            </w:r>
          </w:p>
        </w:tc>
        <w:tc>
          <w:tcPr>
            <w:tcW w:w="173" w:type="dxa"/>
            <w:tcMar>
              <w:left w:w="0" w:type="dxa"/>
            </w:tcMar>
          </w:tcPr>
          <w:p w14:paraId="02376851" w14:textId="77777777" w:rsidR="00AD1119" w:rsidRPr="00947D72" w:rsidRDefault="00AD1119" w:rsidP="00E962EE">
            <w:pPr>
              <w:pStyle w:val="Textpoznpodarou"/>
              <w:spacing w:after="120"/>
              <w:jc w:val="both"/>
              <w:rPr>
                <w:color w:val="0D0D0D" w:themeColor="text1" w:themeTint="F2"/>
                <w:spacing w:val="-4"/>
              </w:rPr>
            </w:pPr>
          </w:p>
        </w:tc>
        <w:tc>
          <w:tcPr>
            <w:tcW w:w="7704" w:type="dxa"/>
            <w:tcMar>
              <w:left w:w="0" w:type="dxa"/>
            </w:tcMar>
          </w:tcPr>
          <w:p w14:paraId="22A9A127" w14:textId="77777777" w:rsidR="00AD1119" w:rsidRPr="00EF1E17" w:rsidRDefault="00AD1119" w:rsidP="00E962EE">
            <w:pPr>
              <w:rPr>
                <w:color w:val="0D0D0D" w:themeColor="text1" w:themeTint="F2"/>
                <w:spacing w:val="-4"/>
              </w:rPr>
            </w:pPr>
            <w:r w:rsidRPr="00985988">
              <w:rPr>
                <w:color w:val="0D0D0D" w:themeColor="text1" w:themeTint="F2"/>
              </w:rPr>
              <w:t>Meziroční růst celkového počtu odpracovaných hodin</w:t>
            </w:r>
            <w:r w:rsidRPr="00985988">
              <w:rPr>
                <w:rStyle w:val="Znakapoznpodarou"/>
                <w:color w:val="0D0D0D" w:themeColor="text1" w:themeTint="F2"/>
              </w:rPr>
              <w:footnoteReference w:id="83"/>
            </w:r>
            <w:r w:rsidRPr="00985988">
              <w:rPr>
                <w:color w:val="0D0D0D" w:themeColor="text1" w:themeTint="F2"/>
              </w:rPr>
              <w:t xml:space="preserve"> v ekonomice vystoupal letos v 1.pololetí nejvýše od konce roku 2022 (+2,7 %</w:t>
            </w:r>
            <w:r w:rsidRPr="00985988">
              <w:rPr>
                <w:rStyle w:val="Znakapoznpodarou"/>
                <w:color w:val="0D0D0D" w:themeColor="text1" w:themeTint="F2"/>
              </w:rPr>
              <w:footnoteReference w:id="84"/>
            </w:r>
            <w:r w:rsidRPr="00985988">
              <w:rPr>
                <w:color w:val="0D0D0D" w:themeColor="text1" w:themeTint="F2"/>
              </w:rPr>
              <w:t>). Obdobně jako v předchozích letech (od ústupu pandemie covid</w:t>
            </w:r>
            <w:r>
              <w:rPr>
                <w:color w:val="0D0D0D" w:themeColor="text1" w:themeTint="F2"/>
              </w:rPr>
              <w:t>u</w:t>
            </w:r>
            <w:r w:rsidRPr="00985988">
              <w:rPr>
                <w:color w:val="0D0D0D" w:themeColor="text1" w:themeTint="F2"/>
              </w:rPr>
              <w:t>-19) narůstal počet hodin rychleji než počet zaměstnaných (ve fyzických osobách). Z pohledu hlavních odvětví je letos tato disproporce zvlášť patrná ve stavebnictví (kde rostla odpracovaná doba oproti zaměstnanosti více než dvojnásobným tempem</w:t>
            </w:r>
            <w:r w:rsidRPr="00985988">
              <w:rPr>
                <w:rStyle w:val="Znakapoznpodarou"/>
                <w:color w:val="0D0D0D" w:themeColor="text1" w:themeTint="F2"/>
              </w:rPr>
              <w:footnoteReference w:id="85"/>
            </w:r>
            <w:r w:rsidRPr="00985988">
              <w:rPr>
                <w:color w:val="0D0D0D" w:themeColor="text1" w:themeTint="F2"/>
              </w:rPr>
              <w:t>), v menší míře platí i ve většině dalších oblastí ekonomiky, vyjma některých menších odvětví služeb (např. činnosti v oblasti</w:t>
            </w:r>
            <w:r w:rsidRPr="00985988">
              <w:rPr>
                <w:color w:val="0D0D0D" w:themeColor="text1" w:themeTint="F2"/>
                <w:sz w:val="16"/>
                <w:szCs w:val="16"/>
              </w:rPr>
              <w:t xml:space="preserve"> </w:t>
            </w:r>
            <w:r w:rsidRPr="00985988">
              <w:rPr>
                <w:color w:val="0D0D0D" w:themeColor="text1" w:themeTint="F2"/>
              </w:rPr>
              <w:t>nemovitostí). To může souviset s nedostatkem manuálních</w:t>
            </w:r>
            <w:r>
              <w:rPr>
                <w:color w:val="0D0D0D" w:themeColor="text1" w:themeTint="F2"/>
              </w:rPr>
              <w:t xml:space="preserve"> pracovníků</w:t>
            </w:r>
            <w:r w:rsidRPr="00985988">
              <w:rPr>
                <w:color w:val="0D0D0D" w:themeColor="text1" w:themeTint="F2"/>
              </w:rPr>
              <w:t xml:space="preserve"> (bez ohledu na kvalifikaci)</w:t>
            </w:r>
            <w:r>
              <w:rPr>
                <w:color w:val="0D0D0D" w:themeColor="text1" w:themeTint="F2"/>
              </w:rPr>
              <w:t xml:space="preserve">, </w:t>
            </w:r>
            <w:r w:rsidRPr="00985988">
              <w:rPr>
                <w:color w:val="0D0D0D" w:themeColor="text1" w:themeTint="F2"/>
              </w:rPr>
              <w:t xml:space="preserve">ale </w:t>
            </w:r>
            <w:r>
              <w:rPr>
                <w:color w:val="0D0D0D" w:themeColor="text1" w:themeTint="F2"/>
              </w:rPr>
              <w:t>také</w:t>
            </w:r>
            <w:r w:rsidRPr="00985988">
              <w:rPr>
                <w:color w:val="0D0D0D" w:themeColor="text1" w:themeTint="F2"/>
              </w:rPr>
              <w:t xml:space="preserve"> specialistů na trhu</w:t>
            </w:r>
            <w:r w:rsidRPr="00EF1E17">
              <w:rPr>
                <w:color w:val="0D0D0D" w:themeColor="text1" w:themeTint="F2"/>
                <w:spacing w:val="-4"/>
              </w:rPr>
              <w:t>.</w:t>
            </w:r>
          </w:p>
        </w:tc>
      </w:tr>
      <w:tr w:rsidR="00AD1119" w:rsidRPr="009F0D7F" w14:paraId="04DEF90F" w14:textId="77777777" w:rsidTr="00E962EE">
        <w:trPr>
          <w:trHeight w:val="155"/>
        </w:trPr>
        <w:tc>
          <w:tcPr>
            <w:tcW w:w="1797" w:type="dxa"/>
            <w:tcMar>
              <w:left w:w="0" w:type="dxa"/>
            </w:tcMar>
          </w:tcPr>
          <w:p w14:paraId="44EC5AF8" w14:textId="77777777" w:rsidR="00AD1119" w:rsidRDefault="00AD1119" w:rsidP="00E962EE">
            <w:pPr>
              <w:pStyle w:val="Marginlie"/>
              <w:spacing w:after="120"/>
              <w:rPr>
                <w:color w:val="0D0D0D" w:themeColor="text1" w:themeTint="F2"/>
              </w:rPr>
            </w:pPr>
            <w:r>
              <w:rPr>
                <w:color w:val="0D0D0D" w:themeColor="text1" w:themeTint="F2"/>
              </w:rPr>
              <w:t>Meziroční posilování hodinové produktivity práce se letos zastavilo. Příznivý vývoj ale pokračoval ve zpracovatelském</w:t>
            </w:r>
            <w:r>
              <w:rPr>
                <w:color w:val="0D0D0D" w:themeColor="text1" w:themeTint="F2"/>
              </w:rPr>
              <w:br/>
              <w:t>průmyslu.</w:t>
            </w:r>
          </w:p>
          <w:p w14:paraId="3A6AAC7E" w14:textId="77777777" w:rsidR="00AD1119" w:rsidRDefault="00AD1119" w:rsidP="00E962EE">
            <w:pPr>
              <w:pStyle w:val="Marginlie"/>
              <w:spacing w:after="120"/>
              <w:rPr>
                <w:color w:val="0D0D0D" w:themeColor="text1" w:themeTint="F2"/>
              </w:rPr>
            </w:pPr>
          </w:p>
          <w:p w14:paraId="296833CB" w14:textId="77777777" w:rsidR="00AD1119" w:rsidRDefault="00AD1119" w:rsidP="00E962EE">
            <w:pPr>
              <w:pStyle w:val="Marginlie"/>
              <w:spacing w:after="120"/>
              <w:rPr>
                <w:color w:val="0D0D0D" w:themeColor="text1" w:themeTint="F2"/>
              </w:rPr>
            </w:pPr>
          </w:p>
          <w:p w14:paraId="1D97BA4E" w14:textId="77777777" w:rsidR="00AD1119" w:rsidRPr="007928AC" w:rsidRDefault="00AD1119" w:rsidP="00E962EE">
            <w:pPr>
              <w:pStyle w:val="Marginlie"/>
              <w:spacing w:after="120"/>
              <w:rPr>
                <w:color w:val="0D0D0D" w:themeColor="text1" w:themeTint="F2"/>
              </w:rPr>
            </w:pPr>
            <w:r>
              <w:rPr>
                <w:color w:val="0D0D0D" w:themeColor="text1" w:themeTint="F2"/>
              </w:rPr>
              <w:lastRenderedPageBreak/>
              <w:t xml:space="preserve">Produktivita práce vztažená na pracovníka nadále velmi mírně rostla. </w:t>
            </w:r>
          </w:p>
        </w:tc>
        <w:tc>
          <w:tcPr>
            <w:tcW w:w="173" w:type="dxa"/>
            <w:tcMar>
              <w:left w:w="0" w:type="dxa"/>
            </w:tcMar>
          </w:tcPr>
          <w:p w14:paraId="60D307B8" w14:textId="77777777" w:rsidR="00AD1119" w:rsidRPr="009F0D7F" w:rsidRDefault="00AD1119" w:rsidP="00E962EE">
            <w:pPr>
              <w:pStyle w:val="Textpoznpodarou"/>
              <w:spacing w:after="120"/>
              <w:jc w:val="both"/>
              <w:rPr>
                <w:color w:val="0D0D0D" w:themeColor="text1" w:themeTint="F2"/>
                <w:spacing w:val="-4"/>
              </w:rPr>
            </w:pPr>
          </w:p>
        </w:tc>
        <w:tc>
          <w:tcPr>
            <w:tcW w:w="7704" w:type="dxa"/>
            <w:tcMar>
              <w:left w:w="0" w:type="dxa"/>
            </w:tcMar>
          </w:tcPr>
          <w:p w14:paraId="1ADBFF54" w14:textId="77777777" w:rsidR="00AD1119" w:rsidRPr="00EF1E17" w:rsidRDefault="00AD1119" w:rsidP="00E962EE">
            <w:pPr>
              <w:rPr>
                <w:color w:val="0D0D0D" w:themeColor="text1" w:themeTint="F2"/>
                <w:spacing w:val="-4"/>
              </w:rPr>
            </w:pPr>
            <w:r w:rsidRPr="00EF1E17">
              <w:rPr>
                <w:color w:val="0D0D0D" w:themeColor="text1" w:themeTint="F2"/>
                <w:spacing w:val="-4"/>
              </w:rPr>
              <w:t>Mírný meziroční růst hodinové produktivity práce</w:t>
            </w:r>
            <w:r w:rsidRPr="00EF1E17">
              <w:rPr>
                <w:rStyle w:val="Znakapoznpodarou"/>
                <w:color w:val="0D0D0D" w:themeColor="text1" w:themeTint="F2"/>
                <w:spacing w:val="-4"/>
              </w:rPr>
              <w:footnoteReference w:id="86"/>
            </w:r>
            <w:r w:rsidRPr="00EF1E17">
              <w:rPr>
                <w:color w:val="0D0D0D" w:themeColor="text1" w:themeTint="F2"/>
                <w:spacing w:val="-4"/>
              </w:rPr>
              <w:t xml:space="preserve"> v tuzemské ekonomice, jenž se loni po tříleté odmlce obnovil, v 1. pololetí 2026 nepokračoval (</w:t>
            </w:r>
            <w:r w:rsidRPr="00EF1E17">
              <w:rPr>
                <w:color w:val="0D0D0D" w:themeColor="text1" w:themeTint="F2"/>
                <w:spacing w:val="-4"/>
                <w:szCs w:val="20"/>
              </w:rPr>
              <w:t>–</w:t>
            </w:r>
            <w:r w:rsidRPr="00EF1E17">
              <w:rPr>
                <w:color w:val="0D0D0D" w:themeColor="text1" w:themeTint="F2"/>
                <w:spacing w:val="-4"/>
              </w:rPr>
              <w:t>0,8 %). Proti posilování produktivity působily z tržních odvětví nej</w:t>
            </w:r>
            <w:r>
              <w:rPr>
                <w:color w:val="0D0D0D" w:themeColor="text1" w:themeTint="F2"/>
                <w:spacing w:val="-4"/>
              </w:rPr>
              <w:t>významněji</w:t>
            </w:r>
            <w:r w:rsidRPr="00EF1E17">
              <w:rPr>
                <w:color w:val="0D0D0D" w:themeColor="text1" w:themeTint="F2"/>
                <w:spacing w:val="-4"/>
              </w:rPr>
              <w:t xml:space="preserve"> vyspělé podnikové služby a stavebnictví. Opačný vliv měly zejména informační komunikační činnosti. V růstu produktivity pokračoval také zpracovatelský průmysl (+0,5 %), obchod, doprava, ubytování a pohostinství (+0,4 %) </w:t>
            </w:r>
            <w:r>
              <w:rPr>
                <w:color w:val="0D0D0D" w:themeColor="text1" w:themeTint="F2"/>
                <w:spacing w:val="-4"/>
              </w:rPr>
              <w:br/>
            </w:r>
            <w:r w:rsidRPr="00EF1E17">
              <w:rPr>
                <w:color w:val="0D0D0D" w:themeColor="text1" w:themeTint="F2"/>
                <w:spacing w:val="-4"/>
              </w:rPr>
              <w:t xml:space="preserve">a primární sektor ekonomiky (+1,8 %). Ve srovnání s předkrizovým rokem 2019 se aktuální úroveň produktivity práce v celé ekonomice nacházela o 2,4 % výše. Přispěly k tomu zejména zpracovatelský průmysl (s nárůstem o 11 %) a informační a komunikační činnosti </w:t>
            </w:r>
            <w:r w:rsidRPr="00EF1E17">
              <w:rPr>
                <w:color w:val="0D0D0D" w:themeColor="text1" w:themeTint="F2"/>
                <w:spacing w:val="-4"/>
              </w:rPr>
              <w:lastRenderedPageBreak/>
              <w:t xml:space="preserve">(+26 %), s odstupem dále peněžnictví a pojišťovnictví či primární sektor ekonomiky. </w:t>
            </w:r>
            <w:r>
              <w:rPr>
                <w:color w:val="0D0D0D" w:themeColor="text1" w:themeTint="F2"/>
                <w:spacing w:val="-4"/>
              </w:rPr>
              <w:t xml:space="preserve">Produktivita práce vztažená na pracovníka (ve fyzických osobách) se v 1. pololetí v celé </w:t>
            </w:r>
            <w:r w:rsidRPr="00340C8C">
              <w:rPr>
                <w:color w:val="0D0D0D" w:themeColor="text1" w:themeTint="F2"/>
                <w:spacing w:val="-5"/>
              </w:rPr>
              <w:t xml:space="preserve">ekonomice meziročně zvýšila o 0,6 %. Pokračoval tak její růst, byť mírnějšími tempy než </w:t>
            </w:r>
            <w:r>
              <w:rPr>
                <w:color w:val="0D0D0D" w:themeColor="text1" w:themeTint="F2"/>
                <w:spacing w:val="-5"/>
              </w:rPr>
              <w:t>po celý loňský rok</w:t>
            </w:r>
            <w:r w:rsidRPr="00340C8C">
              <w:rPr>
                <w:color w:val="0D0D0D" w:themeColor="text1" w:themeTint="F2"/>
                <w:spacing w:val="-5"/>
              </w:rPr>
              <w:t>.</w:t>
            </w:r>
          </w:p>
        </w:tc>
      </w:tr>
      <w:tr w:rsidR="00AD1119" w:rsidRPr="009F0D7F" w14:paraId="5A6DEE1C" w14:textId="77777777" w:rsidTr="00E962EE">
        <w:trPr>
          <w:trHeight w:val="155"/>
        </w:trPr>
        <w:tc>
          <w:tcPr>
            <w:tcW w:w="1797" w:type="dxa"/>
            <w:tcMar>
              <w:left w:w="0" w:type="dxa"/>
            </w:tcMar>
          </w:tcPr>
          <w:p w14:paraId="7905691F" w14:textId="77777777" w:rsidR="00AD1119" w:rsidRDefault="00AD1119" w:rsidP="00E962EE">
            <w:pPr>
              <w:pStyle w:val="Marginlie"/>
              <w:spacing w:after="120"/>
              <w:rPr>
                <w:color w:val="0D0D0D" w:themeColor="text1" w:themeTint="F2"/>
                <w:spacing w:val="-4"/>
              </w:rPr>
            </w:pPr>
            <w:r>
              <w:rPr>
                <w:color w:val="0D0D0D" w:themeColor="text1" w:themeTint="F2"/>
                <w:spacing w:val="-4"/>
              </w:rPr>
              <w:lastRenderedPageBreak/>
              <w:t>Svižný růst počtu pracujících cizinců v Česku pokračoval</w:t>
            </w:r>
            <w:r w:rsidRPr="005609A1">
              <w:rPr>
                <w:color w:val="0D0D0D" w:themeColor="text1" w:themeTint="F2"/>
                <w:spacing w:val="-4"/>
              </w:rPr>
              <w:t xml:space="preserve">. Jejich přírůstek </w:t>
            </w:r>
            <w:r>
              <w:rPr>
                <w:color w:val="0D0D0D" w:themeColor="text1" w:themeTint="F2"/>
                <w:spacing w:val="-4"/>
              </w:rPr>
              <w:t xml:space="preserve">byl stále tažen hlavně občany Ukrajiny, přibylo i Slováků </w:t>
            </w:r>
            <w:r>
              <w:rPr>
                <w:color w:val="0D0D0D" w:themeColor="text1" w:themeTint="F2"/>
                <w:spacing w:val="-4"/>
              </w:rPr>
              <w:br/>
              <w:t>a Filipínců.</w:t>
            </w:r>
          </w:p>
          <w:p w14:paraId="5F9EBEB3" w14:textId="77777777" w:rsidR="00AD1119" w:rsidRDefault="00AD1119" w:rsidP="00E962EE">
            <w:pPr>
              <w:pStyle w:val="Marginlie"/>
              <w:spacing w:after="120"/>
              <w:rPr>
                <w:color w:val="0D0D0D" w:themeColor="text1" w:themeTint="F2"/>
                <w:spacing w:val="-4"/>
              </w:rPr>
            </w:pPr>
          </w:p>
          <w:p w14:paraId="6806BD5B" w14:textId="77777777" w:rsidR="00AD1119" w:rsidRDefault="00AD1119" w:rsidP="00E962EE">
            <w:pPr>
              <w:pStyle w:val="Marginlie"/>
              <w:spacing w:after="120"/>
              <w:rPr>
                <w:color w:val="0D0D0D" w:themeColor="text1" w:themeTint="F2"/>
                <w:spacing w:val="-4"/>
              </w:rPr>
            </w:pPr>
            <w:r w:rsidRPr="005609A1">
              <w:rPr>
                <w:color w:val="0D0D0D" w:themeColor="text1" w:themeTint="F2"/>
                <w:spacing w:val="-4"/>
              </w:rPr>
              <w:t>Zrychlil příliv osob z některých asijských států</w:t>
            </w:r>
            <w:r>
              <w:rPr>
                <w:color w:val="0D0D0D" w:themeColor="text1" w:themeTint="F2"/>
                <w:spacing w:val="-4"/>
              </w:rPr>
              <w:t>. Počty p</w:t>
            </w:r>
            <w:r w:rsidRPr="005609A1">
              <w:rPr>
                <w:color w:val="0D0D0D" w:themeColor="text1" w:themeTint="F2"/>
                <w:spacing w:val="-4"/>
              </w:rPr>
              <w:t xml:space="preserve">racovníků ze střední </w:t>
            </w:r>
            <w:r>
              <w:rPr>
                <w:color w:val="0D0D0D" w:themeColor="text1" w:themeTint="F2"/>
                <w:spacing w:val="-4"/>
              </w:rPr>
              <w:t xml:space="preserve">a východní </w:t>
            </w:r>
            <w:r w:rsidRPr="005609A1">
              <w:rPr>
                <w:color w:val="0D0D0D" w:themeColor="text1" w:themeTint="F2"/>
                <w:spacing w:val="-4"/>
              </w:rPr>
              <w:t>Evropy</w:t>
            </w:r>
            <w:r>
              <w:rPr>
                <w:color w:val="0D0D0D" w:themeColor="text1" w:themeTint="F2"/>
                <w:spacing w:val="-4"/>
              </w:rPr>
              <w:t xml:space="preserve"> se zvyšovaly spíše jen mírně, či dokonce klesaly.</w:t>
            </w:r>
          </w:p>
          <w:p w14:paraId="659B2E36" w14:textId="77777777" w:rsidR="00AD1119" w:rsidRDefault="00AD1119" w:rsidP="00E962EE">
            <w:pPr>
              <w:pStyle w:val="Marginlie"/>
              <w:rPr>
                <w:color w:val="0D0D0D" w:themeColor="text1" w:themeTint="F2"/>
                <w:spacing w:val="-4"/>
              </w:rPr>
            </w:pPr>
          </w:p>
          <w:p w14:paraId="0D48CBE0" w14:textId="77777777" w:rsidR="00AD1119" w:rsidRDefault="00AD1119" w:rsidP="00E962EE">
            <w:pPr>
              <w:pStyle w:val="Marginlie"/>
              <w:rPr>
                <w:color w:val="0D0D0D" w:themeColor="text1" w:themeTint="F2"/>
                <w:spacing w:val="-4"/>
              </w:rPr>
            </w:pPr>
          </w:p>
          <w:p w14:paraId="3CC20653" w14:textId="77777777" w:rsidR="00AD1119" w:rsidRDefault="00AD1119" w:rsidP="00E962EE">
            <w:pPr>
              <w:pStyle w:val="Marginlie"/>
              <w:rPr>
                <w:color w:val="0D0D0D" w:themeColor="text1" w:themeTint="F2"/>
                <w:spacing w:val="-4"/>
              </w:rPr>
            </w:pPr>
          </w:p>
          <w:p w14:paraId="7A796F99" w14:textId="77777777" w:rsidR="00AD1119" w:rsidRDefault="00AD1119" w:rsidP="00E962EE">
            <w:pPr>
              <w:pStyle w:val="Marginlie"/>
              <w:rPr>
                <w:color w:val="0D0D0D" w:themeColor="text1" w:themeTint="F2"/>
                <w:spacing w:val="-4"/>
              </w:rPr>
            </w:pPr>
          </w:p>
          <w:p w14:paraId="1FBB2B6F" w14:textId="77777777" w:rsidR="00AD1119" w:rsidRDefault="00AD1119" w:rsidP="00E962EE">
            <w:pPr>
              <w:pStyle w:val="Marginlie"/>
              <w:spacing w:after="120"/>
              <w:rPr>
                <w:color w:val="0D0D0D" w:themeColor="text1" w:themeTint="F2"/>
                <w:spacing w:val="-4"/>
              </w:rPr>
            </w:pPr>
            <w:r w:rsidRPr="00F42283">
              <w:rPr>
                <w:color w:val="0D0D0D" w:themeColor="text1" w:themeTint="F2"/>
                <w:spacing w:val="-8"/>
              </w:rPr>
              <w:t>Cizinců v zaměstnaneckém</w:t>
            </w:r>
            <w:r>
              <w:rPr>
                <w:color w:val="0D0D0D" w:themeColor="text1" w:themeTint="F2"/>
                <w:spacing w:val="-4"/>
              </w:rPr>
              <w:t xml:space="preserve"> postavení zřetelně přibylo ve všech krajích.</w:t>
            </w:r>
          </w:p>
          <w:p w14:paraId="6A7DF5B2" w14:textId="77777777" w:rsidR="00AD1119" w:rsidRDefault="00AD1119" w:rsidP="00E962EE">
            <w:pPr>
              <w:pStyle w:val="Marginlie"/>
              <w:spacing w:after="120"/>
              <w:rPr>
                <w:color w:val="0D0D0D" w:themeColor="text1" w:themeTint="F2"/>
                <w:spacing w:val="-4"/>
              </w:rPr>
            </w:pPr>
          </w:p>
        </w:tc>
        <w:tc>
          <w:tcPr>
            <w:tcW w:w="173" w:type="dxa"/>
            <w:tcMar>
              <w:left w:w="0" w:type="dxa"/>
            </w:tcMar>
          </w:tcPr>
          <w:p w14:paraId="7D47AC97" w14:textId="77777777" w:rsidR="00AD1119" w:rsidRPr="009F0D7F" w:rsidRDefault="00AD1119" w:rsidP="00E962EE">
            <w:pPr>
              <w:pStyle w:val="Textpoznpodarou"/>
              <w:spacing w:after="120"/>
              <w:jc w:val="both"/>
              <w:rPr>
                <w:color w:val="0D0D0D" w:themeColor="text1" w:themeTint="F2"/>
                <w:spacing w:val="-4"/>
              </w:rPr>
            </w:pPr>
          </w:p>
        </w:tc>
        <w:tc>
          <w:tcPr>
            <w:tcW w:w="7704" w:type="dxa"/>
            <w:tcMar>
              <w:left w:w="0" w:type="dxa"/>
            </w:tcMar>
          </w:tcPr>
          <w:p w14:paraId="41B51185" w14:textId="77777777" w:rsidR="00AD1119" w:rsidRPr="00B57D4E" w:rsidRDefault="00AD1119" w:rsidP="00E962EE">
            <w:pPr>
              <w:spacing w:after="200"/>
              <w:rPr>
                <w:color w:val="0D0D0D" w:themeColor="text1" w:themeTint="F2"/>
                <w:spacing w:val="-5"/>
              </w:rPr>
            </w:pPr>
            <w:r w:rsidRPr="00B57D4E">
              <w:rPr>
                <w:color w:val="0D0D0D" w:themeColor="text1" w:themeTint="F2"/>
                <w:spacing w:val="-5"/>
              </w:rPr>
              <w:t>Vlivem demografického stárnutí i dlouhodobě přetrvávající nízké porodnosti se tuzemský trh práce potýká s nízkou zásobou volných pracovních sil</w:t>
            </w:r>
            <w:r w:rsidRPr="00B57D4E">
              <w:rPr>
                <w:rStyle w:val="Znakapoznpodarou"/>
                <w:color w:val="0D0D0D" w:themeColor="text1" w:themeTint="F2"/>
                <w:spacing w:val="-5"/>
              </w:rPr>
              <w:footnoteReference w:id="87"/>
            </w:r>
            <w:r w:rsidRPr="00B57D4E">
              <w:rPr>
                <w:color w:val="0D0D0D" w:themeColor="text1" w:themeTint="F2"/>
                <w:spacing w:val="-5"/>
              </w:rPr>
              <w:t>. To spolu se sílícím tlakem firem na optimalizaci výrobních nákladů podněcuje poptávku tuzemských zaměstnavatelů po pracovnících ze zahraničí. V posledním období napomáhají snadnějšímu zaměstnávání cizinců legislativní změny snižující administrativní náročnost v této oblasti. Dlouhodobý příliv zahraničních pracovníků do Česka proto pokračoval. V dominantní skupině zaměstnanců jich dle aktuálních kvalifikovaných odhadů MPSV bylo letos v březnu na úřadech práce registrováno rekordních 957 tis. To bylo meziročně o 11,5 % více</w:t>
            </w:r>
            <w:r w:rsidRPr="00B57D4E">
              <w:rPr>
                <w:rStyle w:val="Znakapoznpodarou"/>
                <w:color w:val="0D0D0D" w:themeColor="text1" w:themeTint="F2"/>
                <w:spacing w:val="-5"/>
              </w:rPr>
              <w:footnoteReference w:id="88"/>
            </w:r>
            <w:r w:rsidRPr="00B57D4E">
              <w:rPr>
                <w:color w:val="0D0D0D" w:themeColor="text1" w:themeTint="F2"/>
                <w:spacing w:val="-5"/>
              </w:rPr>
              <w:t xml:space="preserve"> a tempo růstu mírně zrychlilo. Nejvíce meziročně přibylo již tradičně občanů Ukrajiny (+62 tis. na 374 tis., z toho ženy +30 tis., na 199 tis.), dále Slovenska (+14 tis., na 230 tis.), Filipín (+4,4 tis., na 14,9 tis.) a Vietnamu (+2,3 tis., na 23,5 tis.). Z významnějších skupin cizinců rostl svižně počet občanů Indie, Číny a Kazachstánu, Uzbekistánu a Ázerbájdžánu (mezi 11 a 17 %). Naopak u řady početných skupin pracovníků z relativně chudších států střední a východní Evropy – především z Polska, Bulharska, Rumunska – jejich počet rostl minimálně (do 3 %), nebo se dokonce lehce snižoval</w:t>
            </w:r>
            <w:r w:rsidRPr="00B57D4E">
              <w:rPr>
                <w:rStyle w:val="Znakapoznpodarou"/>
                <w:color w:val="0D0D0D" w:themeColor="text1" w:themeTint="F2"/>
                <w:spacing w:val="-5"/>
              </w:rPr>
              <w:footnoteReference w:id="89"/>
            </w:r>
            <w:r w:rsidRPr="00B57D4E">
              <w:rPr>
                <w:color w:val="0D0D0D" w:themeColor="text1" w:themeTint="F2"/>
                <w:spacing w:val="-5"/>
              </w:rPr>
              <w:t xml:space="preserve">. To souvisí s postupným vyrovnáváním mzdové úrovně v tomto regionu. Třetina všech cizinců v zaměstnaneckém postavení v Česku byla letos v březnu registrována v Praze (spolu se Středočeským krajem polovina). Meziročně přibylo cizinců ve všech krajích – nejvíce v Olomouckém (+18 %), </w:t>
            </w:r>
            <w:r>
              <w:rPr>
                <w:color w:val="0D0D0D" w:themeColor="text1" w:themeTint="F2"/>
                <w:spacing w:val="-5"/>
              </w:rPr>
              <w:t xml:space="preserve">v </w:t>
            </w:r>
            <w:r w:rsidRPr="00B57D4E">
              <w:rPr>
                <w:color w:val="0D0D0D" w:themeColor="text1" w:themeTint="F2"/>
                <w:spacing w:val="-5"/>
              </w:rPr>
              <w:t>Praze (+14 %), nejméně v Libereckém (+8 %), Plzeňském a Středočeském (shodně + 9 %). Pouze v Karlovarském kraji nepřevažovali mezi zaměstnanci s cizím státním občanstvím muži.</w:t>
            </w:r>
          </w:p>
        </w:tc>
      </w:tr>
      <w:tr w:rsidR="00AD1119" w:rsidRPr="009F0D7F" w14:paraId="08D4B9D6" w14:textId="77777777" w:rsidTr="00E962EE">
        <w:trPr>
          <w:trHeight w:val="155"/>
        </w:trPr>
        <w:tc>
          <w:tcPr>
            <w:tcW w:w="1797" w:type="dxa"/>
            <w:tcMar>
              <w:left w:w="0" w:type="dxa"/>
            </w:tcMar>
          </w:tcPr>
          <w:p w14:paraId="46549D5C" w14:textId="77777777" w:rsidR="00AD1119" w:rsidRDefault="00AD1119" w:rsidP="00E962EE">
            <w:pPr>
              <w:pStyle w:val="Marginlie"/>
              <w:spacing w:after="120"/>
              <w:rPr>
                <w:color w:val="0D0D0D" w:themeColor="text1" w:themeTint="F2"/>
                <w:spacing w:val="-4"/>
              </w:rPr>
            </w:pPr>
            <w:r>
              <w:rPr>
                <w:color w:val="0D0D0D" w:themeColor="text1" w:themeTint="F2"/>
                <w:spacing w:val="-4"/>
              </w:rPr>
              <w:t xml:space="preserve">Míra zaměstnanosti se lehce zvýšila. Projevil se dopad zlepšeného výkonu ekonomiky i rychlejšího rozšiřování zkrácených úvazků. </w:t>
            </w:r>
          </w:p>
          <w:p w14:paraId="3725AF8F" w14:textId="77777777" w:rsidR="00AD1119" w:rsidRDefault="00AD1119" w:rsidP="00E962EE">
            <w:pPr>
              <w:pStyle w:val="Marginlie"/>
              <w:spacing w:after="120"/>
              <w:rPr>
                <w:color w:val="0D0D0D" w:themeColor="text1" w:themeTint="F2"/>
                <w:spacing w:val="-4"/>
              </w:rPr>
            </w:pPr>
          </w:p>
        </w:tc>
        <w:tc>
          <w:tcPr>
            <w:tcW w:w="173" w:type="dxa"/>
            <w:tcMar>
              <w:left w:w="0" w:type="dxa"/>
            </w:tcMar>
          </w:tcPr>
          <w:p w14:paraId="3BCCD252" w14:textId="77777777" w:rsidR="00AD1119" w:rsidRPr="009F0D7F" w:rsidRDefault="00AD1119" w:rsidP="00E962EE">
            <w:pPr>
              <w:pStyle w:val="Textpoznpodarou"/>
              <w:spacing w:after="120"/>
              <w:jc w:val="both"/>
              <w:rPr>
                <w:color w:val="0D0D0D" w:themeColor="text1" w:themeTint="F2"/>
                <w:spacing w:val="-4"/>
              </w:rPr>
            </w:pPr>
          </w:p>
        </w:tc>
        <w:tc>
          <w:tcPr>
            <w:tcW w:w="7704" w:type="dxa"/>
            <w:tcMar>
              <w:left w:w="0" w:type="dxa"/>
            </w:tcMar>
          </w:tcPr>
          <w:p w14:paraId="3BAD77AB" w14:textId="77777777" w:rsidR="00AD1119" w:rsidRPr="00B57D4E" w:rsidRDefault="00AD1119" w:rsidP="00E962EE">
            <w:pPr>
              <w:spacing w:after="200"/>
              <w:rPr>
                <w:color w:val="0D0D0D" w:themeColor="text1" w:themeTint="F2"/>
                <w:spacing w:val="-5"/>
              </w:rPr>
            </w:pPr>
            <w:r w:rsidRPr="00FF570F">
              <w:rPr>
                <w:color w:val="0D0D0D" w:themeColor="text1" w:themeTint="F2"/>
                <w:spacing w:val="-2"/>
              </w:rPr>
              <w:t xml:space="preserve">Míra zaměstnanosti 15 až </w:t>
            </w:r>
            <w:r w:rsidRPr="00FF570F">
              <w:rPr>
                <w:spacing w:val="-2"/>
              </w:rPr>
              <w:t xml:space="preserve">64letých vystoupala letos dle údajů v VŠPS ve 2. čtvrtletí na 76,1 %. Meziročně se mírně zvýšila o 0,4 p. b. </w:t>
            </w:r>
            <w:r w:rsidRPr="00FF570F">
              <w:rPr>
                <w:rStyle w:val="normaltextrun"/>
                <w:rFonts w:eastAsiaTheme="majorEastAsia" w:cs="Arial"/>
                <w:spacing w:val="-2"/>
                <w:szCs w:val="20"/>
              </w:rPr>
              <w:t>(srovnatelně rostla v průměru za oba předchozí roky), a</w:t>
            </w:r>
            <w:r w:rsidRPr="00FF570F">
              <w:rPr>
                <w:rStyle w:val="normaltextrun"/>
                <w:rFonts w:eastAsiaTheme="majorEastAsia" w:cs="Arial"/>
                <w:spacing w:val="-2"/>
              </w:rPr>
              <w:t xml:space="preserve"> to </w:t>
            </w:r>
            <w:r w:rsidRPr="00FF570F">
              <w:rPr>
                <w:rStyle w:val="normaltextrun"/>
                <w:rFonts w:eastAsiaTheme="majorEastAsia" w:cs="Arial"/>
                <w:spacing w:val="-2"/>
                <w:szCs w:val="20"/>
              </w:rPr>
              <w:t>bez významnějšího rozdílu v dynamice mezi muži a ženami, jejichž zaměstnanost dosáhla 80,4 %, resp. 71,7 %</w:t>
            </w:r>
            <w:r>
              <w:rPr>
                <w:rStyle w:val="Znakapoznpodarou"/>
                <w:rFonts w:eastAsiaTheme="majorEastAsia"/>
                <w:spacing w:val="-2"/>
                <w:szCs w:val="20"/>
              </w:rPr>
              <w:footnoteReference w:id="90"/>
            </w:r>
            <w:r w:rsidRPr="00FF570F">
              <w:rPr>
                <w:rStyle w:val="normaltextrun"/>
                <w:rFonts w:eastAsiaTheme="majorEastAsia" w:cs="Arial"/>
                <w:spacing w:val="-2"/>
                <w:szCs w:val="20"/>
              </w:rPr>
              <w:t>. Míra zaměstnanosti vzrostla v drtivé většině regionů soudržnosti</w:t>
            </w:r>
            <w:r w:rsidRPr="00FF570F">
              <w:rPr>
                <w:rStyle w:val="Znakapoznpodarou"/>
                <w:rFonts w:eastAsiaTheme="majorEastAsia"/>
                <w:spacing w:val="-2"/>
                <w:szCs w:val="20"/>
              </w:rPr>
              <w:footnoteReference w:id="91"/>
            </w:r>
            <w:r w:rsidRPr="00FF570F">
              <w:rPr>
                <w:rStyle w:val="normaltextrun"/>
                <w:rFonts w:eastAsiaTheme="majorEastAsia" w:cs="Arial"/>
                <w:spacing w:val="-2"/>
                <w:szCs w:val="20"/>
              </w:rPr>
              <w:t xml:space="preserve">, vyjma oblasti Severozápad, kde současně dosahuje nejnižší úrovně (72,7 %, nejvyšší hladinu má naopak dlouhodobě Praha: 79,9 %). Do jejího aktuálního vývoje na národní úrovni promlouvá mírně zrychlující růst ekonomiky, plynule se prodlužující věk odchodů do důchodu a také rozšiřující se nabídka zkrácených pracovních úvazků, </w:t>
            </w:r>
            <w:r w:rsidRPr="00FF570F">
              <w:rPr>
                <w:rStyle w:val="normaltextrun"/>
                <w:rFonts w:eastAsiaTheme="majorEastAsia" w:cs="Arial"/>
                <w:spacing w:val="-2"/>
              </w:rPr>
              <w:t>jichž v Česku téměř ze tří čtvrtin využívají ženy. Ve 2. čtvrtletí využívalo tuto formu práce již 16,0 % zaměstnaných žen (a 5,4 % mužů) a meziroční růst počtu osob s těmito úvazky zrychlil na 9,9 % (dvakrát více než v průměru za loňský rok)</w:t>
            </w:r>
            <w:r w:rsidRPr="00FF570F">
              <w:rPr>
                <w:rStyle w:val="Znakapoznpodarou"/>
                <w:rFonts w:eastAsiaTheme="majorEastAsia"/>
                <w:spacing w:val="-2"/>
              </w:rPr>
              <w:footnoteReference w:id="92"/>
            </w:r>
            <w:r w:rsidRPr="00FF570F">
              <w:rPr>
                <w:rStyle w:val="normaltextrun"/>
                <w:rFonts w:eastAsiaTheme="majorEastAsia" w:cs="Arial"/>
                <w:spacing w:val="-2"/>
              </w:rPr>
              <w:t xml:space="preserve">. </w:t>
            </w:r>
          </w:p>
        </w:tc>
      </w:tr>
      <w:tr w:rsidR="00AD1119" w:rsidRPr="009F0D7F" w14:paraId="23C09F23" w14:textId="77777777" w:rsidTr="00E962EE">
        <w:trPr>
          <w:trHeight w:val="155"/>
        </w:trPr>
        <w:tc>
          <w:tcPr>
            <w:tcW w:w="1797" w:type="dxa"/>
            <w:tcMar>
              <w:left w:w="0" w:type="dxa"/>
            </w:tcMar>
          </w:tcPr>
          <w:p w14:paraId="63E9EAA2" w14:textId="77777777" w:rsidR="00AD1119" w:rsidRDefault="00AD1119" w:rsidP="00E962EE">
            <w:pPr>
              <w:pStyle w:val="Marginlie"/>
              <w:rPr>
                <w:color w:val="0D0D0D" w:themeColor="text1" w:themeTint="F2"/>
                <w:spacing w:val="-4"/>
              </w:rPr>
            </w:pPr>
            <w:r>
              <w:rPr>
                <w:color w:val="0D0D0D" w:themeColor="text1" w:themeTint="F2"/>
                <w:spacing w:val="-4"/>
              </w:rPr>
              <w:lastRenderedPageBreak/>
              <w:t>K</w:t>
            </w:r>
            <w:r w:rsidRPr="00294CC7">
              <w:rPr>
                <w:color w:val="0D0D0D" w:themeColor="text1" w:themeTint="F2"/>
                <w:spacing w:val="-4"/>
              </w:rPr>
              <w:t>rátkodobá očekávání podniků v oblasti zaměstnanosti</w:t>
            </w:r>
            <w:r>
              <w:rPr>
                <w:color w:val="0D0D0D" w:themeColor="text1" w:themeTint="F2"/>
                <w:spacing w:val="-4"/>
              </w:rPr>
              <w:t xml:space="preserve"> se během letošního léta zvýšila. Nejpříznivější byla stále ve stavebnictví a obchodu. </w:t>
            </w:r>
          </w:p>
          <w:p w14:paraId="1FDB22EB" w14:textId="77777777" w:rsidR="00AD1119" w:rsidRDefault="00AD1119" w:rsidP="00E962EE">
            <w:pPr>
              <w:pStyle w:val="Marginlie"/>
              <w:rPr>
                <w:color w:val="0D0D0D" w:themeColor="text1" w:themeTint="F2"/>
                <w:spacing w:val="-5"/>
              </w:rPr>
            </w:pPr>
          </w:p>
          <w:p w14:paraId="34D75196" w14:textId="77777777" w:rsidR="00AD1119" w:rsidRDefault="00AD1119" w:rsidP="00E962EE">
            <w:pPr>
              <w:pStyle w:val="Marginlie"/>
              <w:rPr>
                <w:color w:val="0D0D0D" w:themeColor="text1" w:themeTint="F2"/>
                <w:spacing w:val="-5"/>
              </w:rPr>
            </w:pPr>
          </w:p>
          <w:p w14:paraId="4361B485" w14:textId="77777777" w:rsidR="00AD1119" w:rsidRDefault="00AD1119" w:rsidP="00E962EE">
            <w:pPr>
              <w:pStyle w:val="Marginlie"/>
              <w:rPr>
                <w:color w:val="0D0D0D" w:themeColor="text1" w:themeTint="F2"/>
                <w:spacing w:val="-5"/>
              </w:rPr>
            </w:pPr>
          </w:p>
          <w:p w14:paraId="165721AB" w14:textId="77777777" w:rsidR="00AD1119" w:rsidRDefault="00AD1119" w:rsidP="00E962EE">
            <w:pPr>
              <w:pStyle w:val="Marginlie"/>
              <w:rPr>
                <w:color w:val="0D0D0D" w:themeColor="text1" w:themeTint="F2"/>
                <w:spacing w:val="-5"/>
              </w:rPr>
            </w:pPr>
          </w:p>
          <w:p w14:paraId="27B35E4F" w14:textId="77777777" w:rsidR="00AD1119" w:rsidRDefault="00AD1119" w:rsidP="00E962EE">
            <w:pPr>
              <w:pStyle w:val="Marginlie"/>
              <w:rPr>
                <w:color w:val="0D0D0D" w:themeColor="text1" w:themeTint="F2"/>
                <w:spacing w:val="-5"/>
              </w:rPr>
            </w:pPr>
          </w:p>
          <w:p w14:paraId="2735D797" w14:textId="77777777" w:rsidR="00AD1119" w:rsidRDefault="00AD1119" w:rsidP="00E962EE">
            <w:pPr>
              <w:pStyle w:val="Marginlie"/>
              <w:spacing w:after="120"/>
              <w:rPr>
                <w:color w:val="0D0D0D" w:themeColor="text1" w:themeTint="F2"/>
                <w:spacing w:val="-4"/>
              </w:rPr>
            </w:pPr>
            <w:r>
              <w:rPr>
                <w:color w:val="0D0D0D" w:themeColor="text1" w:themeTint="F2"/>
                <w:spacing w:val="-5"/>
              </w:rPr>
              <w:t xml:space="preserve">Nedostatek volné pracovní síly významně limituje rozvoj stavebnictví, </w:t>
            </w:r>
            <w:r w:rsidRPr="002B292A">
              <w:rPr>
                <w:color w:val="0D0D0D" w:themeColor="text1" w:themeTint="F2"/>
                <w:spacing w:val="-4"/>
              </w:rPr>
              <w:t xml:space="preserve">projevuje se </w:t>
            </w:r>
            <w:r>
              <w:rPr>
                <w:color w:val="0D0D0D" w:themeColor="text1" w:themeTint="F2"/>
                <w:spacing w:val="-4"/>
              </w:rPr>
              <w:t>ovšem</w:t>
            </w:r>
            <w:r w:rsidRPr="002B292A">
              <w:rPr>
                <w:color w:val="0D0D0D" w:themeColor="text1" w:themeTint="F2"/>
                <w:spacing w:val="-4"/>
              </w:rPr>
              <w:t xml:space="preserve"> </w:t>
            </w:r>
            <w:r>
              <w:rPr>
                <w:color w:val="0D0D0D" w:themeColor="text1" w:themeTint="F2"/>
                <w:spacing w:val="-4"/>
              </w:rPr>
              <w:t>též</w:t>
            </w:r>
            <w:r w:rsidRPr="002B292A">
              <w:rPr>
                <w:color w:val="0D0D0D" w:themeColor="text1" w:themeTint="F2"/>
                <w:spacing w:val="-4"/>
              </w:rPr>
              <w:t xml:space="preserve"> v některých</w:t>
            </w:r>
            <w:r>
              <w:rPr>
                <w:color w:val="0D0D0D" w:themeColor="text1" w:themeTint="F2"/>
                <w:spacing w:val="-5"/>
              </w:rPr>
              <w:t xml:space="preserve"> oblastech služeb.</w:t>
            </w:r>
          </w:p>
        </w:tc>
        <w:tc>
          <w:tcPr>
            <w:tcW w:w="173" w:type="dxa"/>
            <w:tcMar>
              <w:left w:w="0" w:type="dxa"/>
            </w:tcMar>
          </w:tcPr>
          <w:p w14:paraId="579C7BFE" w14:textId="77777777" w:rsidR="00AD1119" w:rsidRPr="009F0D7F" w:rsidRDefault="00AD1119" w:rsidP="00E962EE">
            <w:pPr>
              <w:pStyle w:val="Textpoznpodarou"/>
              <w:spacing w:after="120"/>
              <w:jc w:val="both"/>
              <w:rPr>
                <w:color w:val="0D0D0D" w:themeColor="text1" w:themeTint="F2"/>
                <w:spacing w:val="-4"/>
              </w:rPr>
            </w:pPr>
          </w:p>
        </w:tc>
        <w:tc>
          <w:tcPr>
            <w:tcW w:w="7704" w:type="dxa"/>
            <w:tcMar>
              <w:left w:w="0" w:type="dxa"/>
            </w:tcMar>
          </w:tcPr>
          <w:p w14:paraId="294DABB2" w14:textId="77777777" w:rsidR="00AD1119" w:rsidRPr="00B57D4E" w:rsidRDefault="00AD1119" w:rsidP="00E962EE">
            <w:pPr>
              <w:spacing w:after="200"/>
              <w:rPr>
                <w:color w:val="0D0D0D" w:themeColor="text1" w:themeTint="F2"/>
                <w:spacing w:val="-5"/>
              </w:rPr>
            </w:pPr>
            <w:r w:rsidRPr="008E7721">
              <w:rPr>
                <w:color w:val="0D0D0D" w:themeColor="text1" w:themeTint="F2"/>
              </w:rPr>
              <w:t xml:space="preserve">Krátkodobá </w:t>
            </w:r>
            <w:r w:rsidRPr="001963C9">
              <w:rPr>
                <w:color w:val="0D0D0D" w:themeColor="text1" w:themeTint="F2"/>
              </w:rPr>
              <w:t>očekávání tuzemských podniků v oblasti vlastní zaměstnanosti</w:t>
            </w:r>
            <w:r w:rsidRPr="001963C9">
              <w:rPr>
                <w:rStyle w:val="Znakapoznpodarou"/>
                <w:color w:val="0D0D0D" w:themeColor="text1" w:themeTint="F2"/>
              </w:rPr>
              <w:footnoteReference w:id="93"/>
            </w:r>
            <w:r w:rsidRPr="001963C9">
              <w:rPr>
                <w:color w:val="0D0D0D" w:themeColor="text1" w:themeTint="F2"/>
              </w:rPr>
              <w:t xml:space="preserve"> se na samém počátku letošního roku zlepšovala a v březnu dosáhla nejvýše </w:t>
            </w:r>
            <w:r>
              <w:rPr>
                <w:color w:val="0D0D0D" w:themeColor="text1" w:themeTint="F2"/>
              </w:rPr>
              <w:t xml:space="preserve">za poslední tři </w:t>
            </w:r>
            <w:r>
              <w:rPr>
                <w:color w:val="0D0D0D" w:themeColor="text1" w:themeTint="F2"/>
              </w:rPr>
              <w:br/>
              <w:t xml:space="preserve">a půl roku </w:t>
            </w:r>
            <w:r w:rsidRPr="00903591">
              <w:rPr>
                <w:color w:val="0D0D0D" w:themeColor="text1" w:themeTint="F2"/>
              </w:rPr>
              <w:t>(a je</w:t>
            </w:r>
            <w:r>
              <w:rPr>
                <w:color w:val="0D0D0D" w:themeColor="text1" w:themeTint="F2"/>
              </w:rPr>
              <w:t>jich</w:t>
            </w:r>
            <w:r w:rsidRPr="00903591">
              <w:rPr>
                <w:color w:val="0D0D0D" w:themeColor="text1" w:themeTint="F2"/>
              </w:rPr>
              <w:t xml:space="preserve"> úroveň odpovídala dlouhodobému průměru).</w:t>
            </w:r>
            <w:r>
              <w:rPr>
                <w:color w:val="0D0D0D" w:themeColor="text1" w:themeTint="F2"/>
              </w:rPr>
              <w:t xml:space="preserve"> Vlivem vnějších šoků souvisejících se zhoršenou geopolitickou situací se následně očekávání mírně zhoršila (k většímu pohybu došlo u podniků ve službách), avšak během letních prázdnin došlo k návratu na úroveň z počátku letošního roku. Ve 3. čtvrtletí se největší optimismus v oblasti zaměstnanosti udržel ve stavebnictví, což kontrastovalo s podstatně opatrnějšími výhledy v řadě oborů služeb</w:t>
            </w:r>
            <w:r w:rsidRPr="00903591">
              <w:rPr>
                <w:rStyle w:val="Znakapoznpodarou"/>
                <w:color w:val="0D0D0D" w:themeColor="text1" w:themeTint="F2"/>
              </w:rPr>
              <w:footnoteReference w:id="94"/>
            </w:r>
            <w:r>
              <w:rPr>
                <w:color w:val="0D0D0D" w:themeColor="text1" w:themeTint="F2"/>
              </w:rPr>
              <w:t xml:space="preserve">. V průmyslu se očekávání od počátku roku plynule zlepšovala. </w:t>
            </w:r>
            <w:r w:rsidRPr="00903591">
              <w:rPr>
                <w:color w:val="0D0D0D" w:themeColor="text1" w:themeTint="F2"/>
              </w:rPr>
              <w:t>V rámci dílčích odvětví přetrvávaly přirozeně významné rozdíly</w:t>
            </w:r>
            <w:r w:rsidRPr="00903591">
              <w:rPr>
                <w:rStyle w:val="Znakapoznpodarou"/>
                <w:color w:val="0D0D0D" w:themeColor="text1" w:themeTint="F2"/>
              </w:rPr>
              <w:footnoteReference w:id="95"/>
            </w:r>
            <w:r w:rsidRPr="00903591">
              <w:rPr>
                <w:color w:val="0D0D0D" w:themeColor="text1" w:themeTint="F2"/>
              </w:rPr>
              <w:t xml:space="preserve">. </w:t>
            </w:r>
            <w:r w:rsidRPr="00057DE4">
              <w:rPr>
                <w:rStyle w:val="eop"/>
                <w:rFonts w:eastAsia="MS Gothic" w:cs="Arial"/>
                <w:color w:val="0D0D0D" w:themeColor="text1" w:themeTint="F2"/>
                <w:szCs w:val="20"/>
              </w:rPr>
              <w:t xml:space="preserve">Podíl podniků, pro </w:t>
            </w:r>
            <w:r w:rsidRPr="00903591">
              <w:rPr>
                <w:rStyle w:val="eop"/>
                <w:rFonts w:eastAsia="MS Gothic" w:cs="Arial"/>
                <w:color w:val="0D0D0D" w:themeColor="text1" w:themeTint="F2"/>
                <w:szCs w:val="20"/>
              </w:rPr>
              <w:t xml:space="preserve">něž </w:t>
            </w:r>
            <w:r w:rsidRPr="00903591">
              <w:rPr>
                <w:color w:val="0D0D0D" w:themeColor="text1" w:themeTint="F2"/>
              </w:rPr>
              <w:t>představuje nedostatek pracovní síly jednu z významných růstových bariér</w:t>
            </w:r>
            <w:r w:rsidRPr="00903591">
              <w:rPr>
                <w:rStyle w:val="Znakapoznpodarou"/>
                <w:color w:val="0D0D0D" w:themeColor="text1" w:themeTint="F2"/>
              </w:rPr>
              <w:footnoteReference w:id="96"/>
            </w:r>
            <w:r w:rsidRPr="00903591">
              <w:rPr>
                <w:color w:val="0D0D0D" w:themeColor="text1" w:themeTint="F2"/>
              </w:rPr>
              <w:t xml:space="preserve">, </w:t>
            </w:r>
            <w:r>
              <w:rPr>
                <w:color w:val="0D0D0D" w:themeColor="text1" w:themeTint="F2"/>
              </w:rPr>
              <w:t xml:space="preserve">byl i </w:t>
            </w:r>
            <w:r w:rsidRPr="00903591">
              <w:rPr>
                <w:color w:val="0D0D0D" w:themeColor="text1" w:themeTint="F2"/>
              </w:rPr>
              <w:t xml:space="preserve">na počátku </w:t>
            </w:r>
            <w:r>
              <w:rPr>
                <w:color w:val="0D0D0D" w:themeColor="text1" w:themeTint="F2"/>
              </w:rPr>
              <w:t>3</w:t>
            </w:r>
            <w:r w:rsidRPr="00903591">
              <w:rPr>
                <w:color w:val="0D0D0D" w:themeColor="text1" w:themeTint="F2"/>
              </w:rPr>
              <w:t>.</w:t>
            </w:r>
            <w:r>
              <w:rPr>
                <w:color w:val="0D0D0D" w:themeColor="text1" w:themeTint="F2"/>
              </w:rPr>
              <w:t> </w:t>
            </w:r>
            <w:r w:rsidRPr="00903591">
              <w:rPr>
                <w:color w:val="0D0D0D" w:themeColor="text1" w:themeTint="F2"/>
              </w:rPr>
              <w:t>čtvrtletí 2026 nejvyšší ve stavebnictví (</w:t>
            </w:r>
            <w:r>
              <w:rPr>
                <w:color w:val="0D0D0D" w:themeColor="text1" w:themeTint="F2"/>
              </w:rPr>
              <w:t>41</w:t>
            </w:r>
            <w:r w:rsidRPr="00903591">
              <w:rPr>
                <w:color w:val="0D0D0D" w:themeColor="text1" w:themeTint="F2"/>
              </w:rPr>
              <w:t> %). Opačn</w:t>
            </w:r>
            <w:r>
              <w:rPr>
                <w:color w:val="0D0D0D" w:themeColor="text1" w:themeTint="F2"/>
              </w:rPr>
              <w:t>ě</w:t>
            </w:r>
            <w:r w:rsidRPr="00903591">
              <w:rPr>
                <w:color w:val="0D0D0D" w:themeColor="text1" w:themeTint="F2"/>
              </w:rPr>
              <w:t xml:space="preserve"> tomu bylo ve službách (1</w:t>
            </w:r>
            <w:r>
              <w:rPr>
                <w:color w:val="0D0D0D" w:themeColor="text1" w:themeTint="F2"/>
              </w:rPr>
              <w:t>2</w:t>
            </w:r>
            <w:r w:rsidRPr="00903591">
              <w:rPr>
                <w:color w:val="0D0D0D" w:themeColor="text1" w:themeTint="F2"/>
              </w:rPr>
              <w:t xml:space="preserve"> %) a </w:t>
            </w:r>
            <w:r>
              <w:rPr>
                <w:color w:val="0D0D0D" w:themeColor="text1" w:themeTint="F2"/>
              </w:rPr>
              <w:t xml:space="preserve">v </w:t>
            </w:r>
            <w:r w:rsidRPr="00903591">
              <w:rPr>
                <w:color w:val="0D0D0D" w:themeColor="text1" w:themeTint="F2"/>
              </w:rPr>
              <w:t>průmyslu (1</w:t>
            </w:r>
            <w:r>
              <w:rPr>
                <w:color w:val="0D0D0D" w:themeColor="text1" w:themeTint="F2"/>
              </w:rPr>
              <w:t>3</w:t>
            </w:r>
            <w:r w:rsidRPr="00903591">
              <w:rPr>
                <w:color w:val="0D0D0D" w:themeColor="text1" w:themeTint="F2"/>
              </w:rPr>
              <w:t xml:space="preserve"> %), </w:t>
            </w:r>
            <w:r>
              <w:rPr>
                <w:color w:val="0D0D0D" w:themeColor="text1" w:themeTint="F2"/>
              </w:rPr>
              <w:t>v nichž</w:t>
            </w:r>
            <w:r w:rsidRPr="00903591">
              <w:rPr>
                <w:color w:val="0D0D0D" w:themeColor="text1" w:themeTint="F2"/>
              </w:rPr>
              <w:t xml:space="preserve"> se role této bariéry meziročně </w:t>
            </w:r>
            <w:r>
              <w:rPr>
                <w:color w:val="0D0D0D" w:themeColor="text1" w:themeTint="F2"/>
              </w:rPr>
              <w:t xml:space="preserve">velmi </w:t>
            </w:r>
            <w:r w:rsidRPr="00903591">
              <w:rPr>
                <w:color w:val="0D0D0D" w:themeColor="text1" w:themeTint="F2"/>
              </w:rPr>
              <w:t xml:space="preserve">mírně </w:t>
            </w:r>
            <w:r>
              <w:rPr>
                <w:color w:val="0D0D0D" w:themeColor="text1" w:themeTint="F2"/>
              </w:rPr>
              <w:t>zvýšila</w:t>
            </w:r>
            <w:r w:rsidRPr="00903591">
              <w:rPr>
                <w:color w:val="0D0D0D" w:themeColor="text1" w:themeTint="F2"/>
              </w:rPr>
              <w:t xml:space="preserve">, ve stavebnictví </w:t>
            </w:r>
            <w:r>
              <w:rPr>
                <w:color w:val="0D0D0D" w:themeColor="text1" w:themeTint="F2"/>
              </w:rPr>
              <w:t>tomu bylo naopak. Přesto existovalo několik vesměs menších oborů průmyslu a služeb, v nichž nedostatek pracovní síly představoval hlavní růstovou bariéru</w:t>
            </w:r>
            <w:r>
              <w:rPr>
                <w:rStyle w:val="Znakapoznpodarou"/>
                <w:color w:val="0D0D0D" w:themeColor="text1" w:themeTint="F2"/>
              </w:rPr>
              <w:footnoteReference w:id="97"/>
            </w:r>
            <w:r>
              <w:rPr>
                <w:color w:val="0D0D0D" w:themeColor="text1" w:themeTint="F2"/>
              </w:rPr>
              <w:t>.</w:t>
            </w:r>
          </w:p>
        </w:tc>
      </w:tr>
      <w:tr w:rsidR="00AD1119" w:rsidRPr="009F0D7F" w14:paraId="286AD1A7" w14:textId="77777777" w:rsidTr="00E962EE">
        <w:trPr>
          <w:trHeight w:val="155"/>
        </w:trPr>
        <w:tc>
          <w:tcPr>
            <w:tcW w:w="1797" w:type="dxa"/>
            <w:tcMar>
              <w:left w:w="0" w:type="dxa"/>
            </w:tcMar>
          </w:tcPr>
          <w:p w14:paraId="2FA5C287" w14:textId="77777777" w:rsidR="00AD1119" w:rsidRPr="007C71EB" w:rsidRDefault="00AD1119" w:rsidP="00E962EE">
            <w:pPr>
              <w:pStyle w:val="Marginlie"/>
              <w:spacing w:after="120"/>
              <w:rPr>
                <w:color w:val="0D0D0D" w:themeColor="text1" w:themeTint="F2"/>
                <w:spacing w:val="-4"/>
              </w:rPr>
            </w:pPr>
          </w:p>
        </w:tc>
        <w:tc>
          <w:tcPr>
            <w:tcW w:w="173" w:type="dxa"/>
            <w:tcMar>
              <w:left w:w="0" w:type="dxa"/>
            </w:tcMar>
          </w:tcPr>
          <w:p w14:paraId="05249375" w14:textId="77777777" w:rsidR="00AD1119" w:rsidRPr="007C71EB" w:rsidRDefault="00AD1119" w:rsidP="00E962EE">
            <w:pPr>
              <w:pStyle w:val="Textpoznpodarou"/>
              <w:spacing w:after="120"/>
              <w:jc w:val="both"/>
              <w:rPr>
                <w:color w:val="0D0D0D" w:themeColor="text1" w:themeTint="F2"/>
                <w:spacing w:val="-4"/>
              </w:rPr>
            </w:pPr>
          </w:p>
        </w:tc>
        <w:tc>
          <w:tcPr>
            <w:tcW w:w="7704" w:type="dxa"/>
            <w:tcMar>
              <w:left w:w="0" w:type="dxa"/>
            </w:tcMar>
          </w:tcPr>
          <w:p w14:paraId="67399DE2" w14:textId="77777777" w:rsidR="00AD1119" w:rsidRPr="00B85F94" w:rsidRDefault="00AD1119" w:rsidP="00E962EE">
            <w:pPr>
              <w:spacing w:after="40"/>
              <w:rPr>
                <w:color w:val="0D0D0D" w:themeColor="text1" w:themeTint="F2"/>
              </w:rPr>
            </w:pPr>
            <w:r w:rsidRPr="00B85F94">
              <w:rPr>
                <w:rFonts w:cs="Arial"/>
                <w:b/>
                <w:bCs/>
                <w:color w:val="0D0D0D" w:themeColor="text1" w:themeTint="F2"/>
                <w:szCs w:val="20"/>
              </w:rPr>
              <w:t>Graf č. 14</w:t>
            </w:r>
            <w:r w:rsidRPr="00B85F94">
              <w:rPr>
                <w:rFonts w:cs="Arial"/>
                <w:b/>
                <w:bCs/>
                <w:color w:val="0D0D0D" w:themeColor="text1" w:themeTint="F2"/>
                <w:sz w:val="18"/>
                <w:szCs w:val="18"/>
              </w:rPr>
              <w:t xml:space="preserve"> </w:t>
            </w:r>
            <w:r w:rsidRPr="00B85F94">
              <w:rPr>
                <w:b/>
                <w:bCs/>
                <w:color w:val="0D0D0D" w:themeColor="text1" w:themeTint="F2"/>
                <w:lang w:eastAsia="en-US"/>
              </w:rPr>
              <w:t xml:space="preserve">Celková zaměstnanost </w:t>
            </w:r>
            <w:r w:rsidRPr="00B85F94">
              <w:rPr>
                <w:color w:val="0D0D0D" w:themeColor="text1" w:themeTint="F2"/>
                <w:lang w:eastAsia="en-US"/>
              </w:rPr>
              <w:t>(</w:t>
            </w:r>
            <w:r w:rsidRPr="00B85F94">
              <w:rPr>
                <w:color w:val="0D0D0D" w:themeColor="text1" w:themeTint="F2"/>
              </w:rPr>
              <w:t>meziročně v %)</w:t>
            </w:r>
            <w:r w:rsidRPr="00B85F94">
              <w:rPr>
                <w:b/>
                <w:bCs/>
                <w:color w:val="0D0D0D" w:themeColor="text1" w:themeTint="F2"/>
              </w:rPr>
              <w:t xml:space="preserve">, příspěvky odvětví k meziroční změně zaměstnanosti </w:t>
            </w:r>
            <w:r w:rsidRPr="00B85F94">
              <w:rPr>
                <w:color w:val="0D0D0D" w:themeColor="text1" w:themeTint="F2"/>
              </w:rPr>
              <w:t>(v p. b.)</w:t>
            </w:r>
            <w:r w:rsidRPr="00B85F94">
              <w:rPr>
                <w:b/>
                <w:bCs/>
                <w:color w:val="0D0D0D" w:themeColor="text1" w:themeTint="F2"/>
              </w:rPr>
              <w:t xml:space="preserve"> a očekávání vývoje zaměstnanosti </w:t>
            </w:r>
            <w:r w:rsidRPr="00B85F94">
              <w:rPr>
                <w:color w:val="0D0D0D" w:themeColor="text1" w:themeTint="F2"/>
              </w:rPr>
              <w:t>(saldo v p. b.)</w:t>
            </w:r>
          </w:p>
        </w:tc>
      </w:tr>
      <w:tr w:rsidR="00AD1119" w:rsidRPr="009F0D7F" w14:paraId="5B4C1239" w14:textId="77777777" w:rsidTr="00E962EE">
        <w:tblPrEx>
          <w:tblCellMar>
            <w:left w:w="70" w:type="dxa"/>
            <w:right w:w="70" w:type="dxa"/>
          </w:tblCellMar>
        </w:tblPrEx>
        <w:trPr>
          <w:trHeight w:val="155"/>
        </w:trPr>
        <w:tc>
          <w:tcPr>
            <w:tcW w:w="1797" w:type="dxa"/>
          </w:tcPr>
          <w:p w14:paraId="24F9B263" w14:textId="77777777" w:rsidR="00AD1119" w:rsidRPr="007C71EB" w:rsidRDefault="00AD1119" w:rsidP="00E962EE">
            <w:pPr>
              <w:pStyle w:val="Marginlie"/>
              <w:spacing w:after="120"/>
              <w:rPr>
                <w:color w:val="0D0D0D" w:themeColor="text1" w:themeTint="F2"/>
                <w:spacing w:val="-4"/>
              </w:rPr>
            </w:pPr>
          </w:p>
        </w:tc>
        <w:tc>
          <w:tcPr>
            <w:tcW w:w="173" w:type="dxa"/>
          </w:tcPr>
          <w:p w14:paraId="1A3D34B8" w14:textId="77777777" w:rsidR="00AD1119" w:rsidRPr="007C71EB" w:rsidRDefault="00AD1119" w:rsidP="00E962EE">
            <w:pPr>
              <w:pStyle w:val="Textpoznpodarou"/>
              <w:spacing w:after="120"/>
              <w:jc w:val="both"/>
              <w:rPr>
                <w:color w:val="0D0D0D" w:themeColor="text1" w:themeTint="F2"/>
                <w:spacing w:val="-4"/>
              </w:rPr>
            </w:pPr>
          </w:p>
        </w:tc>
        <w:tc>
          <w:tcPr>
            <w:tcW w:w="7704" w:type="dxa"/>
          </w:tcPr>
          <w:p w14:paraId="391C2586" w14:textId="77777777" w:rsidR="00AD1119" w:rsidRPr="00B57D4E" w:rsidRDefault="00AD1119" w:rsidP="00E962EE">
            <w:pPr>
              <w:spacing w:before="20" w:after="0" w:line="240" w:lineRule="auto"/>
              <w:rPr>
                <w:rFonts w:cs="Arial"/>
                <w:spacing w:val="-2"/>
                <w:sz w:val="14"/>
                <w:szCs w:val="14"/>
              </w:rPr>
            </w:pPr>
            <w:r>
              <w:rPr>
                <w:noProof/>
              </w:rPr>
              <w:drawing>
                <wp:inline distT="0" distB="0" distL="0" distR="0" wp14:anchorId="63657A85" wp14:editId="5CB9620A">
                  <wp:extent cx="4681855" cy="3564000"/>
                  <wp:effectExtent l="0" t="0" r="4445" b="0"/>
                  <wp:docPr id="1744189741" name="Graf 1">
                    <a:extLst xmlns:a="http://schemas.openxmlformats.org/drawingml/2006/main">
                      <a:ext uri="{FF2B5EF4-FFF2-40B4-BE49-F238E27FC236}">
                        <a16:creationId xmlns:a16="http://schemas.microsoft.com/office/drawing/2014/main" id="{00000000-0008-0000-1A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903591">
              <w:rPr>
                <w:rFonts w:cs="Arial"/>
                <w:color w:val="0D0D0D" w:themeColor="text1" w:themeTint="F2"/>
                <w:sz w:val="14"/>
                <w:szCs w:val="14"/>
              </w:rPr>
              <w:t xml:space="preserve"> *</w:t>
            </w:r>
            <w:r w:rsidRPr="00903591">
              <w:rPr>
                <w:rFonts w:cs="Arial"/>
                <w:sz w:val="14"/>
                <w:szCs w:val="14"/>
              </w:rPr>
              <w:t xml:space="preserve"> </w:t>
            </w:r>
            <w:r>
              <w:rPr>
                <w:rFonts w:cs="Arial"/>
                <w:sz w:val="14"/>
                <w:szCs w:val="14"/>
              </w:rPr>
              <w:t>*</w:t>
            </w:r>
            <w:r w:rsidRPr="00B57D4E">
              <w:rPr>
                <w:rFonts w:cs="Arial"/>
                <w:spacing w:val="-2"/>
                <w:sz w:val="14"/>
                <w:szCs w:val="14"/>
              </w:rPr>
              <w:t>Těžba a energetika; Peněžnictví a pojišťovnictví; Činnosti v oblasti nemovitostí; Kulturní, zábavní a</w:t>
            </w:r>
            <w:r w:rsidRPr="00B57D4E">
              <w:rPr>
                <w:spacing w:val="-2"/>
                <w:sz w:val="14"/>
                <w:szCs w:val="14"/>
              </w:rPr>
              <w:t> </w:t>
            </w:r>
            <w:r w:rsidRPr="00B57D4E">
              <w:rPr>
                <w:rFonts w:cs="Arial"/>
                <w:spacing w:val="-2"/>
                <w:sz w:val="14"/>
                <w:szCs w:val="14"/>
              </w:rPr>
              <w:t>rekreační činnosti.</w:t>
            </w:r>
          </w:p>
          <w:p w14:paraId="07D865BE" w14:textId="77777777" w:rsidR="00AD1119" w:rsidRPr="00A866D1" w:rsidRDefault="00AD1119" w:rsidP="00E962EE">
            <w:pPr>
              <w:spacing w:after="0" w:line="240" w:lineRule="auto"/>
              <w:rPr>
                <w:rFonts w:cs="Arial"/>
                <w:color w:val="0D0D0D" w:themeColor="text1" w:themeTint="F2"/>
                <w:spacing w:val="-6"/>
                <w:sz w:val="14"/>
                <w:szCs w:val="14"/>
              </w:rPr>
            </w:pPr>
            <w:r w:rsidRPr="00A866D1">
              <w:rPr>
                <w:rFonts w:cs="Arial"/>
                <w:spacing w:val="-6"/>
                <w:sz w:val="14"/>
                <w:szCs w:val="14"/>
              </w:rPr>
              <w:t xml:space="preserve">Poznámka: Saldo </w:t>
            </w:r>
            <w:r w:rsidRPr="00A866D1">
              <w:rPr>
                <w:rFonts w:cs="Arial"/>
                <w:color w:val="0D0D0D" w:themeColor="text1" w:themeTint="F2"/>
                <w:spacing w:val="-6"/>
                <w:sz w:val="14"/>
                <w:szCs w:val="14"/>
              </w:rPr>
              <w:t>očekávání u podnikatelů vyjadřuje rozdíl v p. b. mezi kategoriemi růst vs. pokles vlastní zaměstnanosti v nejbližších třech měsících. Údaje jsou sezónně očištěny a vyjadřují průměr za celý kvartál, u posledního období průměr za první dva měsíce.</w:t>
            </w:r>
          </w:p>
          <w:p w14:paraId="13C3D842" w14:textId="77777777" w:rsidR="00AD1119" w:rsidRPr="00A866D1" w:rsidRDefault="00AD1119" w:rsidP="00E962EE">
            <w:pPr>
              <w:spacing w:after="0" w:line="240" w:lineRule="auto"/>
              <w:rPr>
                <w:rFonts w:cs="Arial"/>
                <w:sz w:val="14"/>
                <w:szCs w:val="14"/>
              </w:rPr>
            </w:pPr>
            <w:r w:rsidRPr="00903591">
              <w:rPr>
                <w:rFonts w:cs="Arial"/>
                <w:sz w:val="14"/>
                <w:szCs w:val="14"/>
              </w:rPr>
              <w:t>Zdroj: ČSÚ (národní účty), Eurostat (konjunkturální průzkumy).</w:t>
            </w:r>
          </w:p>
        </w:tc>
      </w:tr>
      <w:tr w:rsidR="00AD1119" w:rsidRPr="00D82DBD" w14:paraId="4163B90E" w14:textId="77777777" w:rsidTr="00E962EE">
        <w:trPr>
          <w:trHeight w:val="145"/>
        </w:trPr>
        <w:tc>
          <w:tcPr>
            <w:tcW w:w="1797" w:type="dxa"/>
            <w:tcMar>
              <w:left w:w="0" w:type="dxa"/>
            </w:tcMar>
          </w:tcPr>
          <w:p w14:paraId="10640208" w14:textId="77777777" w:rsidR="00AD1119" w:rsidRPr="00640FE3" w:rsidRDefault="00AD1119" w:rsidP="00E962EE">
            <w:pPr>
              <w:pStyle w:val="Marginlie"/>
              <w:rPr>
                <w:color w:val="0D0D0D" w:themeColor="text1" w:themeTint="F2"/>
                <w:spacing w:val="-7"/>
              </w:rPr>
            </w:pPr>
            <w:r w:rsidRPr="00AE5540">
              <w:rPr>
                <w:color w:val="0D0D0D" w:themeColor="text1" w:themeTint="F2"/>
                <w:spacing w:val="-5"/>
              </w:rPr>
              <w:lastRenderedPageBreak/>
              <w:t xml:space="preserve">Obecná míra nezaměstnanosti </w:t>
            </w:r>
            <w:r>
              <w:rPr>
                <w:color w:val="0D0D0D" w:themeColor="text1" w:themeTint="F2"/>
                <w:spacing w:val="-5"/>
              </w:rPr>
              <w:t>pokračovala v mírném růstu.</w:t>
            </w:r>
            <w:r w:rsidRPr="00AE5540">
              <w:rPr>
                <w:color w:val="0D0D0D" w:themeColor="text1" w:themeTint="F2"/>
                <w:spacing w:val="-5"/>
              </w:rPr>
              <w:t xml:space="preserve"> </w:t>
            </w:r>
            <w:r>
              <w:rPr>
                <w:color w:val="0D0D0D" w:themeColor="text1" w:themeTint="F2"/>
                <w:spacing w:val="-5"/>
              </w:rPr>
              <w:t>Přibylo i dlouhodobě nezaměstnaných.</w:t>
            </w:r>
            <w:r w:rsidRPr="00F00B16">
              <w:rPr>
                <w:color w:val="0D0D0D" w:themeColor="text1" w:themeTint="F2"/>
                <w:spacing w:val="-7"/>
              </w:rPr>
              <w:t xml:space="preserve"> </w:t>
            </w:r>
          </w:p>
        </w:tc>
        <w:tc>
          <w:tcPr>
            <w:tcW w:w="173" w:type="dxa"/>
            <w:tcMar>
              <w:left w:w="0" w:type="dxa"/>
            </w:tcMar>
          </w:tcPr>
          <w:p w14:paraId="67AEA0E8" w14:textId="77777777" w:rsidR="00AD1119" w:rsidRPr="008659E6" w:rsidRDefault="00AD1119" w:rsidP="00E962EE">
            <w:pPr>
              <w:pStyle w:val="Textpoznpodarou"/>
              <w:spacing w:after="120"/>
              <w:jc w:val="both"/>
              <w:rPr>
                <w:color w:val="0D0D0D" w:themeColor="text1" w:themeTint="F2"/>
                <w:spacing w:val="-4"/>
              </w:rPr>
            </w:pPr>
          </w:p>
        </w:tc>
        <w:tc>
          <w:tcPr>
            <w:tcW w:w="7704" w:type="dxa"/>
            <w:tcMar>
              <w:left w:w="0" w:type="dxa"/>
            </w:tcMar>
          </w:tcPr>
          <w:p w14:paraId="315FC05F" w14:textId="77777777" w:rsidR="00AD1119" w:rsidRPr="00903591" w:rsidRDefault="00AD1119" w:rsidP="00E962EE">
            <w:pPr>
              <w:spacing w:after="220"/>
              <w:rPr>
                <w:color w:val="0D0D0D" w:themeColor="text1" w:themeTint="F2"/>
              </w:rPr>
            </w:pPr>
            <w:r w:rsidRPr="00E42614">
              <w:rPr>
                <w:rFonts w:cs="Arial"/>
                <w:color w:val="0D0D0D" w:themeColor="text1" w:themeTint="F2"/>
                <w:szCs w:val="20"/>
              </w:rPr>
              <w:t>Obecná míra nezaměstnanosti</w:t>
            </w:r>
            <w:r w:rsidRPr="00E42614">
              <w:rPr>
                <w:rFonts w:cs="Arial"/>
                <w:color w:val="0D0D0D" w:themeColor="text1" w:themeTint="F2"/>
                <w:szCs w:val="20"/>
                <w:vertAlign w:val="superscript"/>
              </w:rPr>
              <w:footnoteReference w:id="98"/>
            </w:r>
            <w:r w:rsidRPr="00E42614">
              <w:rPr>
                <w:rFonts w:cs="Arial"/>
                <w:color w:val="0D0D0D" w:themeColor="text1" w:themeTint="F2"/>
                <w:szCs w:val="20"/>
              </w:rPr>
              <w:t xml:space="preserve"> se po stagnaci </w:t>
            </w:r>
            <w:r w:rsidRPr="00903591">
              <w:rPr>
                <w:rFonts w:cs="Arial"/>
                <w:szCs w:val="20"/>
              </w:rPr>
              <w:t>v roce 2024 začala od loňského jara mírně zvyšovat. Nezaměstnanost 15–64letých tak letos v</w:t>
            </w:r>
            <w:r>
              <w:rPr>
                <w:rFonts w:cs="Arial"/>
                <w:szCs w:val="20"/>
              </w:rPr>
              <w:t xml:space="preserve"> červenci</w:t>
            </w:r>
            <w:r w:rsidRPr="00903591">
              <w:rPr>
                <w:rFonts w:cs="Arial"/>
                <w:szCs w:val="20"/>
              </w:rPr>
              <w:t xml:space="preserve"> činila 3,</w:t>
            </w:r>
            <w:r>
              <w:rPr>
                <w:rFonts w:cs="Arial"/>
                <w:szCs w:val="20"/>
              </w:rPr>
              <w:t>4</w:t>
            </w:r>
            <w:r w:rsidRPr="00903591">
              <w:rPr>
                <w:rFonts w:cs="Arial"/>
                <w:szCs w:val="20"/>
              </w:rPr>
              <w:t xml:space="preserve"> % (muži: 2,8</w:t>
            </w:r>
            <w:r>
              <w:rPr>
                <w:rFonts w:cs="Arial"/>
                <w:szCs w:val="20"/>
              </w:rPr>
              <w:t> </w:t>
            </w:r>
            <w:r w:rsidRPr="00903591">
              <w:rPr>
                <w:rFonts w:cs="Arial"/>
                <w:szCs w:val="20"/>
              </w:rPr>
              <w:t xml:space="preserve">%, ženy: </w:t>
            </w:r>
            <w:r>
              <w:rPr>
                <w:rFonts w:cs="Arial"/>
                <w:szCs w:val="20"/>
              </w:rPr>
              <w:t>4,0</w:t>
            </w:r>
            <w:r w:rsidRPr="00903591">
              <w:rPr>
                <w:rFonts w:cs="Arial"/>
                <w:szCs w:val="20"/>
              </w:rPr>
              <w:t xml:space="preserve"> %). Celková nezaměstnanost tak je srovnatelná jako za vrcholu pandemie (březen 2021) a vyšší byla předtím naposledy na počátku roku 2017. Nezaměstnanost se meziročně zvýšila o 0,</w:t>
            </w:r>
            <w:r>
              <w:rPr>
                <w:rFonts w:cs="Arial"/>
                <w:szCs w:val="20"/>
              </w:rPr>
              <w:t>3</w:t>
            </w:r>
            <w:r w:rsidRPr="00903591">
              <w:rPr>
                <w:rFonts w:cs="Arial"/>
                <w:szCs w:val="20"/>
              </w:rPr>
              <w:t xml:space="preserve"> p. b., </w:t>
            </w:r>
            <w:r>
              <w:rPr>
                <w:rFonts w:cs="Arial"/>
                <w:szCs w:val="20"/>
              </w:rPr>
              <w:t xml:space="preserve">mírně vyšším tempem rostla u </w:t>
            </w:r>
            <w:r w:rsidRPr="00903591">
              <w:rPr>
                <w:rFonts w:cs="Arial"/>
                <w:szCs w:val="20"/>
              </w:rPr>
              <w:t xml:space="preserve">žen. </w:t>
            </w:r>
            <w:r>
              <w:rPr>
                <w:rFonts w:cs="Arial"/>
                <w:szCs w:val="20"/>
              </w:rPr>
              <w:t>Rychleji narůstal počet dlouhodobě nezaměstnaných (meziročně v 1. pololetí o 14 tis., na 53 tis.), ti však stále tvořili pouze necelou třetinu všech nezaměstnaných (což se nevymyká dlouhodobému i mezinárodnímu kontextu). Pozitivní je, že v</w:t>
            </w:r>
            <w:r w:rsidRPr="00903591">
              <w:rPr>
                <w:rFonts w:cs="Arial"/>
                <w:szCs w:val="20"/>
              </w:rPr>
              <w:t>ýznamně nenarůstá skrytá nezaměstnanost (ve formě dočasného „úniku“ do ekonomické neaktivity)</w:t>
            </w:r>
            <w:r>
              <w:rPr>
                <w:rStyle w:val="Znakapoznpodarou"/>
                <w:szCs w:val="20"/>
              </w:rPr>
              <w:footnoteReference w:id="99"/>
            </w:r>
            <w:r w:rsidRPr="00903591">
              <w:rPr>
                <w:rFonts w:cs="Arial"/>
                <w:szCs w:val="20"/>
              </w:rPr>
              <w:t xml:space="preserve">. </w:t>
            </w:r>
          </w:p>
        </w:tc>
      </w:tr>
      <w:tr w:rsidR="00AD1119" w:rsidRPr="00D82DBD" w14:paraId="76AB92E5" w14:textId="77777777" w:rsidTr="00E962EE">
        <w:trPr>
          <w:trHeight w:val="145"/>
        </w:trPr>
        <w:tc>
          <w:tcPr>
            <w:tcW w:w="1797" w:type="dxa"/>
            <w:tcMar>
              <w:left w:w="0" w:type="dxa"/>
            </w:tcMar>
          </w:tcPr>
          <w:p w14:paraId="29BF1EEF" w14:textId="77777777" w:rsidR="00AD1119" w:rsidRDefault="00AD1119" w:rsidP="00E962EE">
            <w:pPr>
              <w:pStyle w:val="Marginlie"/>
              <w:rPr>
                <w:color w:val="0D0D0D" w:themeColor="text1" w:themeTint="F2"/>
                <w:spacing w:val="-5"/>
              </w:rPr>
            </w:pPr>
            <w:r>
              <w:rPr>
                <w:color w:val="0D0D0D" w:themeColor="text1" w:themeTint="F2"/>
                <w:spacing w:val="-5"/>
              </w:rPr>
              <w:t>Nezaměstnanost v EU meziročně stagnovala. Mezi členskými státy dosahovala minima v Česku a maxima ve Finsku.</w:t>
            </w:r>
          </w:p>
        </w:tc>
        <w:tc>
          <w:tcPr>
            <w:tcW w:w="173" w:type="dxa"/>
            <w:tcMar>
              <w:left w:w="0" w:type="dxa"/>
            </w:tcMar>
          </w:tcPr>
          <w:p w14:paraId="2412904A" w14:textId="77777777" w:rsidR="00AD1119" w:rsidRPr="008659E6" w:rsidRDefault="00AD1119" w:rsidP="00E962EE">
            <w:pPr>
              <w:pStyle w:val="Textpoznpodarou"/>
              <w:spacing w:after="120"/>
              <w:jc w:val="both"/>
              <w:rPr>
                <w:color w:val="0D0D0D" w:themeColor="text1" w:themeTint="F2"/>
                <w:spacing w:val="-4"/>
              </w:rPr>
            </w:pPr>
          </w:p>
        </w:tc>
        <w:tc>
          <w:tcPr>
            <w:tcW w:w="7704" w:type="dxa"/>
            <w:tcMar>
              <w:left w:w="0" w:type="dxa"/>
            </w:tcMar>
          </w:tcPr>
          <w:p w14:paraId="77363C13" w14:textId="77777777" w:rsidR="00AD1119" w:rsidRPr="005F6035" w:rsidRDefault="00AD1119" w:rsidP="00E962EE">
            <w:pPr>
              <w:spacing w:after="220"/>
              <w:rPr>
                <w:rFonts w:cs="Arial"/>
                <w:color w:val="0D0D0D" w:themeColor="text1" w:themeTint="F2"/>
                <w:spacing w:val="-4"/>
                <w:szCs w:val="20"/>
              </w:rPr>
            </w:pPr>
            <w:r>
              <w:rPr>
                <w:rFonts w:cs="Arial"/>
                <w:color w:val="0D0D0D" w:themeColor="text1" w:themeTint="F2"/>
                <w:spacing w:val="-4"/>
                <w:szCs w:val="20"/>
              </w:rPr>
              <w:t>Ne</w:t>
            </w:r>
            <w:r w:rsidRPr="005F6035">
              <w:rPr>
                <w:rFonts w:cs="Arial"/>
                <w:color w:val="0D0D0D" w:themeColor="text1" w:themeTint="F2"/>
                <w:spacing w:val="-4"/>
                <w:szCs w:val="20"/>
              </w:rPr>
              <w:t xml:space="preserve">zaměstnanost v Česku zůstává přes svůj mírný růst </w:t>
            </w:r>
            <w:r w:rsidRPr="005F6035">
              <w:rPr>
                <w:color w:val="0D0D0D" w:themeColor="text1" w:themeTint="F2"/>
                <w:spacing w:val="-4"/>
              </w:rPr>
              <w:t xml:space="preserve">z historického i mezinárodního hlediska nízká. Míra nezaměstnanosti 15 až 74letých dosáhla v červenci EU </w:t>
            </w:r>
            <w:r w:rsidRPr="005F6035">
              <w:rPr>
                <w:spacing w:val="-4"/>
              </w:rPr>
              <w:t>6,1 % (muži 5,9 %, ženy 6,3 %) a meziročně dále stagnovala. Celková nezaměstnanost v Česku (3,3 %) dosahovala mezi členskými státy minima, u žen ovšem mělo lepší postavení hned sedm zemí (v čele s Bulharskem a Polskem, kde byla nezaměstnanost oproti tuzemsku nižší o</w:t>
            </w:r>
            <w:r w:rsidRPr="005F6035">
              <w:rPr>
                <w:rFonts w:cs="Arial"/>
                <w:color w:val="0D0D0D" w:themeColor="text1" w:themeTint="F2"/>
                <w:spacing w:val="-4"/>
                <w:szCs w:val="20"/>
              </w:rPr>
              <w:t> </w:t>
            </w:r>
            <w:r w:rsidRPr="005F6035">
              <w:rPr>
                <w:spacing w:val="-4"/>
              </w:rPr>
              <w:t>0,7</w:t>
            </w:r>
            <w:r w:rsidRPr="005F6035">
              <w:rPr>
                <w:rFonts w:cs="Arial"/>
                <w:color w:val="0D0D0D" w:themeColor="text1" w:themeTint="F2"/>
                <w:spacing w:val="-4"/>
                <w:szCs w:val="20"/>
              </w:rPr>
              <w:t> </w:t>
            </w:r>
            <w:r w:rsidRPr="005F6035">
              <w:rPr>
                <w:spacing w:val="-4"/>
              </w:rPr>
              <w:t xml:space="preserve">p. b.). </w:t>
            </w:r>
            <w:r w:rsidRPr="005F6035">
              <w:rPr>
                <w:rStyle w:val="eop"/>
                <w:rFonts w:cs="Arial"/>
                <w:spacing w:val="-4"/>
                <w:szCs w:val="20"/>
              </w:rPr>
              <w:t>V Německu dosahovala c</w:t>
            </w:r>
            <w:r w:rsidRPr="005F6035">
              <w:rPr>
                <w:rStyle w:val="eop"/>
                <w:rFonts w:cs="Arial"/>
                <w:spacing w:val="-4"/>
              </w:rPr>
              <w:t xml:space="preserve">elkově </w:t>
            </w:r>
            <w:r w:rsidRPr="005F6035">
              <w:rPr>
                <w:rStyle w:val="eop"/>
                <w:rFonts w:cs="Arial"/>
                <w:spacing w:val="-4"/>
                <w:szCs w:val="20"/>
              </w:rPr>
              <w:t>4</w:t>
            </w:r>
            <w:r>
              <w:rPr>
                <w:rStyle w:val="eop"/>
                <w:rFonts w:cs="Arial"/>
                <w:spacing w:val="-4"/>
                <w:szCs w:val="20"/>
              </w:rPr>
              <w:t>,0</w:t>
            </w:r>
            <w:r w:rsidRPr="005F6035">
              <w:rPr>
                <w:rStyle w:val="eop"/>
                <w:rFonts w:cs="Arial"/>
                <w:spacing w:val="-4"/>
                <w:szCs w:val="20"/>
              </w:rPr>
              <w:t xml:space="preserve"> % a na Slovensku 5,7 % a meziročně se v obou případech lehce zvýšila (+0,2 p. b.). Nezaměstnanost dosahovala maxima ve Finsku s 10,5 % (+0,6 p. b.) a silně zasaženo bylo také Španělsko (10,0 %), kde ale </w:t>
            </w:r>
            <w:r>
              <w:rPr>
                <w:rStyle w:val="eop"/>
                <w:rFonts w:cs="Arial"/>
                <w:spacing w:val="-4"/>
                <w:szCs w:val="20"/>
              </w:rPr>
              <w:t>i</w:t>
            </w:r>
            <w:r>
              <w:rPr>
                <w:rStyle w:val="eop"/>
                <w:rFonts w:cs="Arial"/>
                <w:spacing w:val="-4"/>
              </w:rPr>
              <w:t xml:space="preserve"> díky slušnému hospodářskému růstu </w:t>
            </w:r>
            <w:r w:rsidRPr="005F6035">
              <w:rPr>
                <w:rStyle w:val="eop"/>
                <w:rFonts w:cs="Arial"/>
                <w:spacing w:val="-4"/>
                <w:szCs w:val="20"/>
              </w:rPr>
              <w:t>došlo k mírnému zlepšení (</w:t>
            </w:r>
            <w:r w:rsidRPr="005F6035">
              <w:rPr>
                <w:color w:val="0D0D0D" w:themeColor="text1" w:themeTint="F2"/>
                <w:spacing w:val="-4"/>
              </w:rPr>
              <w:t>–</w:t>
            </w:r>
            <w:r w:rsidRPr="005F6035">
              <w:rPr>
                <w:rStyle w:val="eop"/>
                <w:rFonts w:cs="Arial"/>
                <w:spacing w:val="-4"/>
                <w:szCs w:val="20"/>
              </w:rPr>
              <w:t>0,6 p. b.). Relativně obtížná situace nadále přetrvávala ve Švédsku (8,6 %) a Francii (8,3 %).</w:t>
            </w:r>
          </w:p>
        </w:tc>
      </w:tr>
      <w:tr w:rsidR="00AD1119" w:rsidRPr="00D82DBD" w14:paraId="6E5DF1F7" w14:textId="77777777" w:rsidTr="00E962EE">
        <w:trPr>
          <w:trHeight w:val="145"/>
        </w:trPr>
        <w:tc>
          <w:tcPr>
            <w:tcW w:w="1797" w:type="dxa"/>
            <w:tcMar>
              <w:left w:w="0" w:type="dxa"/>
            </w:tcMar>
          </w:tcPr>
          <w:p w14:paraId="2F2F4DE8" w14:textId="77777777" w:rsidR="00AD1119" w:rsidRDefault="00AD1119" w:rsidP="00E962EE">
            <w:pPr>
              <w:pStyle w:val="Marginlie"/>
              <w:rPr>
                <w:color w:val="0D0D0D" w:themeColor="text1" w:themeTint="F2"/>
                <w:spacing w:val="-5"/>
              </w:rPr>
            </w:pPr>
          </w:p>
        </w:tc>
        <w:tc>
          <w:tcPr>
            <w:tcW w:w="173" w:type="dxa"/>
            <w:tcMar>
              <w:left w:w="0" w:type="dxa"/>
            </w:tcMar>
          </w:tcPr>
          <w:p w14:paraId="44CC9AB8" w14:textId="77777777" w:rsidR="00AD1119" w:rsidRPr="008659E6" w:rsidRDefault="00AD1119" w:rsidP="00E962EE">
            <w:pPr>
              <w:pStyle w:val="Textpoznpodarou"/>
              <w:spacing w:after="120"/>
              <w:jc w:val="both"/>
              <w:rPr>
                <w:color w:val="0D0D0D" w:themeColor="text1" w:themeTint="F2"/>
                <w:spacing w:val="-4"/>
              </w:rPr>
            </w:pPr>
          </w:p>
        </w:tc>
        <w:tc>
          <w:tcPr>
            <w:tcW w:w="7704" w:type="dxa"/>
            <w:tcMar>
              <w:left w:w="0" w:type="dxa"/>
            </w:tcMar>
          </w:tcPr>
          <w:p w14:paraId="78584BB9" w14:textId="77777777" w:rsidR="00AD1119" w:rsidRPr="00903591" w:rsidRDefault="00AD1119" w:rsidP="00E962EE">
            <w:pPr>
              <w:spacing w:after="40"/>
              <w:rPr>
                <w:rFonts w:cs="Arial"/>
                <w:szCs w:val="20"/>
              </w:rPr>
            </w:pPr>
            <w:r w:rsidRPr="00903591">
              <w:rPr>
                <w:b/>
              </w:rPr>
              <w:t>Graf č. 1</w:t>
            </w:r>
            <w:r>
              <w:rPr>
                <w:b/>
              </w:rPr>
              <w:t>5</w:t>
            </w:r>
            <w:r w:rsidRPr="00903591">
              <w:rPr>
                <w:b/>
              </w:rPr>
              <w:t xml:space="preserve"> </w:t>
            </w:r>
            <w:r w:rsidRPr="00903591">
              <w:rPr>
                <w:rFonts w:cs="Arial"/>
                <w:b/>
              </w:rPr>
              <w:t xml:space="preserve">Obecná míra nezaměstnanosti </w:t>
            </w:r>
            <w:r w:rsidRPr="00903591">
              <w:rPr>
                <w:rFonts w:cs="Arial"/>
                <w:bCs/>
              </w:rPr>
              <w:t>(v %, věk 15 až 64 let)</w:t>
            </w:r>
            <w:r w:rsidRPr="00903591">
              <w:rPr>
                <w:rFonts w:cs="Arial"/>
                <w:b/>
              </w:rPr>
              <w:t>,</w:t>
            </w:r>
            <w:r w:rsidRPr="00903591">
              <w:rPr>
                <w:rFonts w:cs="Arial"/>
                <w:bCs/>
              </w:rPr>
              <w:t xml:space="preserve"> </w:t>
            </w:r>
            <w:r w:rsidRPr="00903591">
              <w:rPr>
                <w:rFonts w:cs="Arial"/>
                <w:b/>
                <w:bCs/>
              </w:rPr>
              <w:t>očekávání vývoje nezaměstnanosti ze strany domácností*</w:t>
            </w:r>
            <w:r w:rsidRPr="00903591">
              <w:rPr>
                <w:rFonts w:cs="Arial"/>
                <w:bCs/>
              </w:rPr>
              <w:t xml:space="preserve"> (v p. b.)</w:t>
            </w:r>
            <w:r>
              <w:rPr>
                <w:rFonts w:cs="Arial"/>
                <w:bCs/>
              </w:rPr>
              <w:t xml:space="preserve"> </w:t>
            </w:r>
            <w:r w:rsidRPr="00040608">
              <w:rPr>
                <w:rFonts w:cs="Arial"/>
                <w:b/>
              </w:rPr>
              <w:t>a</w:t>
            </w:r>
            <w:r w:rsidRPr="00903591">
              <w:rPr>
                <w:rFonts w:cs="Arial"/>
                <w:bCs/>
              </w:rPr>
              <w:t xml:space="preserve"> </w:t>
            </w:r>
            <w:r w:rsidRPr="00903591">
              <w:rPr>
                <w:rFonts w:cs="Arial"/>
                <w:b/>
                <w:bCs/>
              </w:rPr>
              <w:t xml:space="preserve">volná pracovní místa </w:t>
            </w:r>
            <w:r w:rsidRPr="00BB6FA5">
              <w:rPr>
                <w:rFonts w:cs="Arial"/>
              </w:rPr>
              <w:t>(</w:t>
            </w:r>
            <w:r w:rsidRPr="00903591">
              <w:rPr>
                <w:rFonts w:cs="Arial"/>
                <w:bCs/>
              </w:rPr>
              <w:t>v tis.)</w:t>
            </w:r>
          </w:p>
        </w:tc>
      </w:tr>
      <w:tr w:rsidR="00AD1119" w:rsidRPr="00D82DBD" w14:paraId="44B8B7D4" w14:textId="77777777" w:rsidTr="00E962EE">
        <w:tblPrEx>
          <w:tblCellMar>
            <w:left w:w="70" w:type="dxa"/>
            <w:right w:w="70" w:type="dxa"/>
          </w:tblCellMar>
        </w:tblPrEx>
        <w:trPr>
          <w:trHeight w:val="145"/>
        </w:trPr>
        <w:tc>
          <w:tcPr>
            <w:tcW w:w="1797" w:type="dxa"/>
          </w:tcPr>
          <w:p w14:paraId="25187104" w14:textId="77777777" w:rsidR="00AD1119" w:rsidRPr="008659E6" w:rsidRDefault="00AD1119" w:rsidP="00E962EE">
            <w:pPr>
              <w:pStyle w:val="Marginlie"/>
              <w:rPr>
                <w:color w:val="0D0D0D" w:themeColor="text1" w:themeTint="F2"/>
                <w:spacing w:val="-5"/>
              </w:rPr>
            </w:pPr>
          </w:p>
        </w:tc>
        <w:tc>
          <w:tcPr>
            <w:tcW w:w="173" w:type="dxa"/>
          </w:tcPr>
          <w:p w14:paraId="35B469AA" w14:textId="77777777" w:rsidR="00AD1119" w:rsidRPr="00B43216" w:rsidRDefault="00AD1119" w:rsidP="00E962EE">
            <w:pPr>
              <w:pStyle w:val="Textpoznpodarou"/>
              <w:spacing w:after="120"/>
              <w:jc w:val="both"/>
              <w:rPr>
                <w:spacing w:val="-4"/>
              </w:rPr>
            </w:pPr>
          </w:p>
          <w:p w14:paraId="654675F9" w14:textId="77777777" w:rsidR="00AD1119" w:rsidRPr="008659E6" w:rsidRDefault="00AD1119" w:rsidP="00E962EE">
            <w:pPr>
              <w:pStyle w:val="Textpoznpodarou"/>
              <w:spacing w:after="120"/>
              <w:jc w:val="both"/>
              <w:rPr>
                <w:color w:val="0D0D0D" w:themeColor="text1" w:themeTint="F2"/>
                <w:spacing w:val="-4"/>
              </w:rPr>
            </w:pPr>
          </w:p>
        </w:tc>
        <w:tc>
          <w:tcPr>
            <w:tcW w:w="7704" w:type="dxa"/>
          </w:tcPr>
          <w:p w14:paraId="5B28BBC7" w14:textId="77777777" w:rsidR="00AD1119" w:rsidRPr="00903591" w:rsidRDefault="00AD1119" w:rsidP="00E962EE">
            <w:pPr>
              <w:spacing w:before="20" w:after="20"/>
              <w:rPr>
                <w:rFonts w:cs="Arial"/>
                <w:szCs w:val="20"/>
              </w:rPr>
            </w:pPr>
            <w:r>
              <w:rPr>
                <w:noProof/>
              </w:rPr>
              <w:drawing>
                <wp:inline distT="0" distB="0" distL="0" distR="0" wp14:anchorId="513ECD1F" wp14:editId="71500A75">
                  <wp:extent cx="4746929" cy="3376930"/>
                  <wp:effectExtent l="0" t="0" r="0" b="0"/>
                  <wp:docPr id="1946752378" name="Graf 1">
                    <a:extLst xmlns:a="http://schemas.openxmlformats.org/drawingml/2006/main">
                      <a:ext uri="{FF2B5EF4-FFF2-40B4-BE49-F238E27FC236}">
                        <a16:creationId xmlns:a16="http://schemas.microsoft.com/office/drawing/2014/main" id="{FB39EAA8-F86F-4B53-8CA9-A47A592377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r>
      <w:tr w:rsidR="00AD1119" w:rsidRPr="00D82DBD" w14:paraId="6F7A889D" w14:textId="77777777" w:rsidTr="00E962EE">
        <w:trPr>
          <w:trHeight w:val="145"/>
        </w:trPr>
        <w:tc>
          <w:tcPr>
            <w:tcW w:w="1797" w:type="dxa"/>
            <w:tcMar>
              <w:left w:w="0" w:type="dxa"/>
            </w:tcMar>
          </w:tcPr>
          <w:p w14:paraId="7D71277D" w14:textId="77777777" w:rsidR="00AD1119" w:rsidRPr="00B43216" w:rsidRDefault="00AD1119" w:rsidP="00E962EE">
            <w:pPr>
              <w:pStyle w:val="Marginlie"/>
              <w:spacing w:after="120"/>
              <w:rPr>
                <w:spacing w:val="-4"/>
              </w:rPr>
            </w:pPr>
          </w:p>
        </w:tc>
        <w:tc>
          <w:tcPr>
            <w:tcW w:w="173" w:type="dxa"/>
            <w:tcMar>
              <w:left w:w="0" w:type="dxa"/>
            </w:tcMar>
          </w:tcPr>
          <w:p w14:paraId="7904E0B1" w14:textId="77777777" w:rsidR="00AD1119" w:rsidRPr="00B43216" w:rsidRDefault="00AD1119" w:rsidP="00E962EE">
            <w:pPr>
              <w:pStyle w:val="Textpoznpodarou"/>
              <w:spacing w:after="120"/>
              <w:jc w:val="both"/>
              <w:rPr>
                <w:spacing w:val="-4"/>
              </w:rPr>
            </w:pPr>
          </w:p>
        </w:tc>
        <w:tc>
          <w:tcPr>
            <w:tcW w:w="7704" w:type="dxa"/>
            <w:tcMar>
              <w:left w:w="0" w:type="dxa"/>
            </w:tcMar>
          </w:tcPr>
          <w:p w14:paraId="4B2CD0EC" w14:textId="77777777" w:rsidR="00AD1119" w:rsidRPr="00903591" w:rsidRDefault="00AD1119" w:rsidP="00E962EE">
            <w:pPr>
              <w:spacing w:before="60" w:after="0" w:line="240" w:lineRule="auto"/>
              <w:rPr>
                <w:rFonts w:cs="Arial"/>
                <w:color w:val="0D0D0D" w:themeColor="text1" w:themeTint="F2"/>
                <w:sz w:val="14"/>
                <w:szCs w:val="14"/>
              </w:rPr>
            </w:pPr>
            <w:r w:rsidRPr="00903591">
              <w:rPr>
                <w:rFonts w:cs="Arial"/>
                <w:color w:val="0D0D0D" w:themeColor="text1" w:themeTint="F2"/>
                <w:sz w:val="14"/>
                <w:szCs w:val="14"/>
              </w:rPr>
              <w:t>Pozn.: Míry nezaměstnanosti jsou očištěny pomocí trendcyklu.</w:t>
            </w:r>
          </w:p>
          <w:p w14:paraId="1157D9DC" w14:textId="77777777" w:rsidR="00AD1119" w:rsidRPr="00903591" w:rsidRDefault="00AD1119" w:rsidP="00E962EE">
            <w:pPr>
              <w:spacing w:after="0" w:line="240" w:lineRule="auto"/>
              <w:rPr>
                <w:rFonts w:cs="Arial"/>
                <w:color w:val="0D0D0D" w:themeColor="text1" w:themeTint="F2"/>
                <w:sz w:val="14"/>
                <w:szCs w:val="14"/>
              </w:rPr>
            </w:pPr>
            <w:r w:rsidRPr="00903591">
              <w:rPr>
                <w:rFonts w:cs="Arial"/>
                <w:color w:val="0D0D0D" w:themeColor="text1" w:themeTint="F2"/>
                <w:sz w:val="14"/>
                <w:szCs w:val="14"/>
              </w:rPr>
              <w:t>VPM = pouze volná pracovní místa s délkou evidence do šesti měsíců. (stav na konci čtvrtletí)</w:t>
            </w:r>
            <w:r>
              <w:rPr>
                <w:rFonts w:cs="Arial"/>
                <w:color w:val="0D0D0D" w:themeColor="text1" w:themeTint="F2"/>
                <w:sz w:val="14"/>
                <w:szCs w:val="14"/>
              </w:rPr>
              <w:t>.</w:t>
            </w:r>
          </w:p>
          <w:p w14:paraId="724D8484" w14:textId="77777777" w:rsidR="00AD1119" w:rsidRPr="00903591" w:rsidRDefault="00AD1119" w:rsidP="00E962EE">
            <w:pPr>
              <w:spacing w:after="0" w:line="240" w:lineRule="auto"/>
              <w:rPr>
                <w:rFonts w:cs="Arial"/>
                <w:color w:val="0D0D0D" w:themeColor="text1" w:themeTint="F2"/>
                <w:sz w:val="14"/>
                <w:szCs w:val="14"/>
              </w:rPr>
            </w:pPr>
            <w:r w:rsidRPr="00903591">
              <w:rPr>
                <w:rFonts w:cs="Arial"/>
                <w:color w:val="0D0D0D" w:themeColor="text1" w:themeTint="F2"/>
                <w:sz w:val="14"/>
                <w:szCs w:val="14"/>
              </w:rPr>
              <w:t xml:space="preserve">*Sezónně očištěné saldo očekávání nezaměstnanosti v nejbližších 12 měsících (rozdíl mezi procentuální četností odpovědí domácností, růst a pokles vyjádřený v procentních bodech). </w:t>
            </w:r>
            <w:r>
              <w:rPr>
                <w:rFonts w:cs="Arial"/>
                <w:color w:val="0D0D0D" w:themeColor="text1" w:themeTint="F2"/>
                <w:sz w:val="14"/>
                <w:szCs w:val="14"/>
              </w:rPr>
              <w:t xml:space="preserve">Vyjadřuje měsíční </w:t>
            </w:r>
            <w:r w:rsidRPr="001C6832">
              <w:rPr>
                <w:rFonts w:cs="Arial"/>
                <w:color w:val="0D0D0D" w:themeColor="text1" w:themeTint="F2"/>
                <w:sz w:val="14"/>
                <w:szCs w:val="14"/>
              </w:rPr>
              <w:t xml:space="preserve">průměr za celý kvartál, u posledního období </w:t>
            </w:r>
            <w:r>
              <w:rPr>
                <w:rFonts w:cs="Arial"/>
                <w:color w:val="0D0D0D" w:themeColor="text1" w:themeTint="F2"/>
                <w:sz w:val="14"/>
                <w:szCs w:val="14"/>
              </w:rPr>
              <w:t xml:space="preserve">potom </w:t>
            </w:r>
            <w:r w:rsidRPr="001C6832">
              <w:rPr>
                <w:rFonts w:cs="Arial"/>
                <w:color w:val="0D0D0D" w:themeColor="text1" w:themeTint="F2"/>
                <w:sz w:val="14"/>
                <w:szCs w:val="14"/>
              </w:rPr>
              <w:t>průměr za první dva měsíce.</w:t>
            </w:r>
          </w:p>
          <w:p w14:paraId="22E1B39E" w14:textId="77777777" w:rsidR="00AD1119" w:rsidRDefault="00AD1119" w:rsidP="00E962EE">
            <w:pPr>
              <w:spacing w:after="0" w:line="240" w:lineRule="auto"/>
              <w:rPr>
                <w:rFonts w:cs="Arial"/>
                <w:color w:val="0D0D0D" w:themeColor="text1" w:themeTint="F2"/>
                <w:sz w:val="14"/>
                <w:szCs w:val="14"/>
              </w:rPr>
            </w:pPr>
            <w:r w:rsidRPr="00903591">
              <w:rPr>
                <w:rFonts w:cs="Arial"/>
                <w:color w:val="0D0D0D" w:themeColor="text1" w:themeTint="F2"/>
                <w:sz w:val="14"/>
                <w:szCs w:val="14"/>
              </w:rPr>
              <w:t>Zdroj: ČSÚ (VŠPS, konjunkturální průzkum), MPSV (VPM registrovaná na úřadech prác</w:t>
            </w:r>
            <w:r>
              <w:rPr>
                <w:rFonts w:cs="Arial"/>
                <w:color w:val="0D0D0D" w:themeColor="text1" w:themeTint="F2"/>
                <w:sz w:val="14"/>
                <w:szCs w:val="14"/>
              </w:rPr>
              <w:t>e</w:t>
            </w:r>
            <w:r w:rsidRPr="00903591">
              <w:rPr>
                <w:rFonts w:cs="Arial"/>
                <w:color w:val="0D0D0D" w:themeColor="text1" w:themeTint="F2"/>
                <w:sz w:val="14"/>
                <w:szCs w:val="14"/>
              </w:rPr>
              <w:t>)</w:t>
            </w:r>
          </w:p>
          <w:p w14:paraId="47B46B05" w14:textId="77777777" w:rsidR="00AD1119" w:rsidRDefault="00AD1119" w:rsidP="00E962EE">
            <w:pPr>
              <w:spacing w:after="0" w:line="240" w:lineRule="auto"/>
              <w:rPr>
                <w:noProof/>
              </w:rPr>
            </w:pPr>
          </w:p>
        </w:tc>
      </w:tr>
      <w:tr w:rsidR="00AD1119" w:rsidRPr="00016778" w14:paraId="0EFE08EC" w14:textId="77777777" w:rsidTr="00E962EE">
        <w:trPr>
          <w:trHeight w:val="132"/>
        </w:trPr>
        <w:tc>
          <w:tcPr>
            <w:tcW w:w="1797" w:type="dxa"/>
            <w:tcMar>
              <w:left w:w="0" w:type="dxa"/>
            </w:tcMar>
          </w:tcPr>
          <w:p w14:paraId="4AD7DB28" w14:textId="77777777" w:rsidR="00AD1119" w:rsidRPr="00461673" w:rsidRDefault="00AD1119" w:rsidP="00E962EE">
            <w:pPr>
              <w:pStyle w:val="Marginlie"/>
              <w:rPr>
                <w:color w:val="0D0D0D" w:themeColor="text1" w:themeTint="F2"/>
              </w:rPr>
            </w:pPr>
            <w:r>
              <w:rPr>
                <w:color w:val="0D0D0D" w:themeColor="text1" w:themeTint="F2"/>
              </w:rPr>
              <w:t>Meziroční růst počtu r</w:t>
            </w:r>
            <w:r w:rsidRPr="002F4E55">
              <w:rPr>
                <w:color w:val="0D0D0D" w:themeColor="text1" w:themeTint="F2"/>
              </w:rPr>
              <w:t xml:space="preserve">egistrovaných </w:t>
            </w:r>
            <w:r>
              <w:rPr>
                <w:color w:val="0D0D0D" w:themeColor="text1" w:themeTint="F2"/>
              </w:rPr>
              <w:t xml:space="preserve">uchazečů </w:t>
            </w:r>
            <w:r>
              <w:rPr>
                <w:color w:val="0D0D0D" w:themeColor="text1" w:themeTint="F2"/>
              </w:rPr>
              <w:lastRenderedPageBreak/>
              <w:t>o práci letos zvolňoval. Nezaměstnanost se zvýšila ve všech okresech.</w:t>
            </w:r>
          </w:p>
          <w:p w14:paraId="55FF6B91" w14:textId="77777777" w:rsidR="00AD1119" w:rsidRDefault="00AD1119" w:rsidP="00E962EE">
            <w:pPr>
              <w:pStyle w:val="Marginlie"/>
              <w:spacing w:after="120"/>
              <w:rPr>
                <w:spacing w:val="0"/>
              </w:rPr>
            </w:pPr>
          </w:p>
        </w:tc>
        <w:tc>
          <w:tcPr>
            <w:tcW w:w="173" w:type="dxa"/>
            <w:tcMar>
              <w:left w:w="0" w:type="dxa"/>
            </w:tcMar>
          </w:tcPr>
          <w:p w14:paraId="42CE71F1" w14:textId="77777777" w:rsidR="00AD1119" w:rsidRPr="00016778" w:rsidRDefault="00AD1119" w:rsidP="00E962EE">
            <w:pPr>
              <w:pStyle w:val="Textpoznpodarou"/>
              <w:jc w:val="both"/>
              <w:rPr>
                <w:color w:val="0D0D0D" w:themeColor="text1" w:themeTint="F2"/>
                <w:spacing w:val="-4"/>
              </w:rPr>
            </w:pPr>
          </w:p>
        </w:tc>
        <w:tc>
          <w:tcPr>
            <w:tcW w:w="7704" w:type="dxa"/>
            <w:tcMar>
              <w:left w:w="0" w:type="dxa"/>
            </w:tcMar>
          </w:tcPr>
          <w:p w14:paraId="04F60358" w14:textId="5BF90AD0" w:rsidR="00AD1119" w:rsidRPr="005A3525" w:rsidRDefault="00AD1119" w:rsidP="00E962EE">
            <w:pPr>
              <w:pStyle w:val="paragraph"/>
              <w:spacing w:before="0" w:beforeAutospacing="0" w:after="0" w:afterAutospacing="0" w:line="276" w:lineRule="auto"/>
              <w:jc w:val="both"/>
              <w:textAlignment w:val="baseline"/>
              <w:rPr>
                <w:rStyle w:val="normaltextrun"/>
                <w:rFonts w:ascii="Arial" w:hAnsi="Arial" w:cs="Arial"/>
                <w:color w:val="0D0D0D" w:themeColor="text1" w:themeTint="F2"/>
                <w:spacing w:val="-2"/>
                <w:sz w:val="20"/>
                <w:szCs w:val="20"/>
              </w:rPr>
            </w:pPr>
            <w:r w:rsidRPr="005A3525">
              <w:rPr>
                <w:rFonts w:ascii="Arial" w:hAnsi="Arial" w:cs="Arial"/>
                <w:color w:val="0D0D0D" w:themeColor="text1" w:themeTint="F2"/>
                <w:spacing w:val="-2"/>
                <w:sz w:val="20"/>
                <w:szCs w:val="20"/>
              </w:rPr>
              <w:t>Významnější ochlazení tuzemského pracovního trhu dosud nenaznačují ani údaje z úřadů práce.</w:t>
            </w:r>
            <w:r w:rsidRPr="005A3525">
              <w:rPr>
                <w:spacing w:val="-2"/>
              </w:rPr>
              <w:t xml:space="preserve"> </w:t>
            </w:r>
            <w:r w:rsidRPr="005A3525">
              <w:rPr>
                <w:rFonts w:ascii="Arial" w:hAnsi="Arial" w:cs="Arial"/>
                <w:color w:val="0D0D0D" w:themeColor="text1" w:themeTint="F2"/>
                <w:spacing w:val="-2"/>
                <w:sz w:val="20"/>
                <w:szCs w:val="20"/>
              </w:rPr>
              <w:t xml:space="preserve">Sezonně neočištěný podíl registrovaných uchazečů o práci na celkové populaci </w:t>
            </w:r>
            <w:r>
              <w:rPr>
                <w:rFonts w:ascii="Arial" w:hAnsi="Arial" w:cs="Arial"/>
                <w:color w:val="0D0D0D" w:themeColor="text1" w:themeTint="F2"/>
                <w:spacing w:val="-2"/>
                <w:sz w:val="20"/>
                <w:szCs w:val="20"/>
              </w:rPr>
              <w:br/>
            </w:r>
            <w:r w:rsidRPr="005A3525">
              <w:rPr>
                <w:rFonts w:ascii="Arial" w:hAnsi="Arial" w:cs="Arial"/>
                <w:color w:val="0D0D0D" w:themeColor="text1" w:themeTint="F2"/>
                <w:spacing w:val="-2"/>
                <w:sz w:val="20"/>
                <w:szCs w:val="20"/>
              </w:rPr>
              <w:lastRenderedPageBreak/>
              <w:t xml:space="preserve">15 až 64letých dosáhl na konci letošního července 5,0 % (muži: 4,4 %, ženy: 5,5 %). </w:t>
            </w:r>
            <w:r w:rsidRPr="005A3525">
              <w:rPr>
                <w:rStyle w:val="normaltextrun"/>
                <w:rFonts w:ascii="Arial" w:eastAsiaTheme="majorEastAsia" w:hAnsi="Arial" w:cs="Arial"/>
                <w:spacing w:val="-2"/>
                <w:sz w:val="20"/>
                <w:szCs w:val="20"/>
              </w:rPr>
              <w:t xml:space="preserve">Tento podíl se meziročně zvyšuje již více než dva a půl </w:t>
            </w:r>
            <w:r>
              <w:rPr>
                <w:rStyle w:val="normaltextrun"/>
                <w:rFonts w:ascii="Arial" w:eastAsiaTheme="majorEastAsia" w:hAnsi="Arial" w:cs="Arial"/>
                <w:spacing w:val="-2"/>
                <w:sz w:val="20"/>
                <w:szCs w:val="20"/>
              </w:rPr>
              <w:t>r</w:t>
            </w:r>
            <w:r w:rsidRPr="005A3525">
              <w:rPr>
                <w:rStyle w:val="normaltextrun"/>
                <w:rFonts w:ascii="Arial" w:eastAsiaTheme="majorEastAsia" w:hAnsi="Arial" w:cs="Arial"/>
                <w:spacing w:val="-2"/>
                <w:sz w:val="20"/>
                <w:szCs w:val="20"/>
              </w:rPr>
              <w:t>oku, letos však růst nezaměstnanosti šestý měsíc v řadě zvolnil (na +0,5 p. b.)</w:t>
            </w:r>
            <w:r w:rsidRPr="005A3525">
              <w:rPr>
                <w:rStyle w:val="Znakapoznpodarou"/>
                <w:rFonts w:ascii="Arial" w:eastAsiaTheme="majorEastAsia" w:hAnsi="Arial" w:cs="Arial"/>
                <w:spacing w:val="-2"/>
                <w:sz w:val="20"/>
                <w:szCs w:val="20"/>
              </w:rPr>
              <w:footnoteReference w:id="100"/>
            </w:r>
            <w:r w:rsidRPr="005A3525">
              <w:rPr>
                <w:rStyle w:val="normaltextrun"/>
                <w:rFonts w:ascii="Arial" w:eastAsiaTheme="majorEastAsia" w:hAnsi="Arial" w:cs="Arial"/>
                <w:spacing w:val="-2"/>
                <w:sz w:val="20"/>
                <w:szCs w:val="20"/>
              </w:rPr>
              <w:t xml:space="preserve">. </w:t>
            </w:r>
            <w:r w:rsidRPr="005A3525">
              <w:rPr>
                <w:rFonts w:ascii="Arial" w:hAnsi="Arial" w:cs="Arial"/>
                <w:spacing w:val="-2"/>
                <w:sz w:val="20"/>
                <w:szCs w:val="20"/>
              </w:rPr>
              <w:t xml:space="preserve">Nezaměstnanost je tradičně </w:t>
            </w:r>
            <w:r w:rsidRPr="005A3525">
              <w:rPr>
                <w:rFonts w:ascii="Arial" w:hAnsi="Arial" w:cs="Arial"/>
                <w:color w:val="0D0D0D" w:themeColor="text1" w:themeTint="F2"/>
                <w:spacing w:val="-2"/>
                <w:sz w:val="20"/>
                <w:szCs w:val="20"/>
              </w:rPr>
              <w:t>výrazně regionálně diferencovaná</w:t>
            </w:r>
            <w:r w:rsidRPr="005A3525">
              <w:rPr>
                <w:rStyle w:val="Znakapoznpodarou"/>
                <w:rFonts w:ascii="Arial" w:hAnsi="Arial" w:cs="Arial"/>
                <w:color w:val="0D0D0D" w:themeColor="text1" w:themeTint="F2"/>
                <w:spacing w:val="-2"/>
                <w:sz w:val="20"/>
                <w:szCs w:val="20"/>
              </w:rPr>
              <w:footnoteReference w:id="101"/>
            </w:r>
            <w:r w:rsidRPr="005A3525">
              <w:rPr>
                <w:rFonts w:ascii="Arial" w:hAnsi="Arial" w:cs="Arial"/>
                <w:color w:val="0D0D0D" w:themeColor="text1" w:themeTint="F2"/>
                <w:spacing w:val="-2"/>
                <w:sz w:val="20"/>
                <w:szCs w:val="20"/>
              </w:rPr>
              <w:t xml:space="preserve">. </w:t>
            </w:r>
            <w:r w:rsidRPr="005A3525">
              <w:rPr>
                <w:rStyle w:val="normaltextrun"/>
                <w:rFonts w:ascii="Arial" w:eastAsiaTheme="majorEastAsia" w:hAnsi="Arial" w:cs="Arial"/>
                <w:color w:val="0D0D0D" w:themeColor="text1" w:themeTint="F2"/>
                <w:spacing w:val="-2"/>
                <w:sz w:val="20"/>
                <w:szCs w:val="20"/>
              </w:rPr>
              <w:t>Nynější nárůst registrovaných uchazečů o práci může (kromě běžné sezónnosti) a probíhajících strukturálních změn v ekonomice souviset</w:t>
            </w:r>
            <w:r w:rsidRPr="005A3525">
              <w:rPr>
                <w:rStyle w:val="normaltextrun"/>
                <w:rFonts w:ascii="Arial" w:eastAsiaTheme="majorEastAsia" w:hAnsi="Arial" w:cs="Arial"/>
                <w:spacing w:val="-2"/>
                <w:sz w:val="20"/>
                <w:szCs w:val="20"/>
              </w:rPr>
              <w:t xml:space="preserve"> s</w:t>
            </w:r>
            <w:r>
              <w:rPr>
                <w:rStyle w:val="normaltextrun"/>
                <w:rFonts w:ascii="Arial" w:eastAsiaTheme="majorEastAsia" w:hAnsi="Arial" w:cs="Arial"/>
                <w:spacing w:val="-2"/>
                <w:sz w:val="20"/>
                <w:szCs w:val="20"/>
              </w:rPr>
              <w:t> </w:t>
            </w:r>
            <w:r w:rsidRPr="005A3525">
              <w:rPr>
                <w:rStyle w:val="normaltextrun"/>
                <w:rFonts w:ascii="Arial" w:eastAsiaTheme="majorEastAsia" w:hAnsi="Arial" w:cs="Arial"/>
                <w:spacing w:val="-2"/>
                <w:sz w:val="20"/>
                <w:szCs w:val="20"/>
              </w:rPr>
              <w:t xml:space="preserve">vyšší aktivitou úřadů práce v oblasti poradenství a rekvalifikací a také s flexibilnějšími možnostmi jejich kontaktu (digitálně na dálku). </w:t>
            </w:r>
            <w:r>
              <w:rPr>
                <w:rStyle w:val="normaltextrun"/>
                <w:rFonts w:ascii="Arial" w:eastAsiaTheme="majorEastAsia" w:hAnsi="Arial" w:cs="Arial"/>
                <w:spacing w:val="-2"/>
                <w:sz w:val="20"/>
                <w:szCs w:val="20"/>
              </w:rPr>
              <w:t>Nelze vyloučit</w:t>
            </w:r>
            <w:r w:rsidRPr="005A3525">
              <w:rPr>
                <w:rStyle w:val="normaltextrun"/>
                <w:rFonts w:ascii="Arial" w:eastAsiaTheme="majorEastAsia" w:hAnsi="Arial" w:cs="Arial"/>
                <w:spacing w:val="-2"/>
                <w:sz w:val="20"/>
                <w:szCs w:val="20"/>
              </w:rPr>
              <w:t>, že se již m</w:t>
            </w:r>
            <w:r>
              <w:rPr>
                <w:rStyle w:val="normaltextrun"/>
                <w:rFonts w:ascii="Arial" w:eastAsiaTheme="majorEastAsia" w:hAnsi="Arial" w:cs="Arial"/>
                <w:spacing w:val="-2"/>
                <w:sz w:val="20"/>
                <w:szCs w:val="20"/>
              </w:rPr>
              <w:t>ohla</w:t>
            </w:r>
            <w:r w:rsidRPr="005A3525">
              <w:rPr>
                <w:rStyle w:val="normaltextrun"/>
                <w:rFonts w:ascii="Arial" w:eastAsiaTheme="majorEastAsia" w:hAnsi="Arial" w:cs="Arial"/>
                <w:spacing w:val="-2"/>
                <w:sz w:val="20"/>
                <w:szCs w:val="20"/>
              </w:rPr>
              <w:t xml:space="preserve"> projevovat i</w:t>
            </w:r>
            <w:r>
              <w:rPr>
                <w:rStyle w:val="normaltextrun"/>
                <w:rFonts w:ascii="Arial" w:eastAsiaTheme="majorEastAsia" w:hAnsi="Arial" w:cs="Arial"/>
                <w:spacing w:val="-2"/>
                <w:sz w:val="20"/>
                <w:szCs w:val="20"/>
              </w:rPr>
              <w:t> </w:t>
            </w:r>
            <w:r w:rsidRPr="005A3525">
              <w:rPr>
                <w:rStyle w:val="normaltextrun"/>
                <w:rFonts w:ascii="Arial" w:eastAsiaTheme="majorEastAsia" w:hAnsi="Arial" w:cs="Arial"/>
                <w:spacing w:val="-2"/>
                <w:sz w:val="20"/>
                <w:szCs w:val="20"/>
              </w:rPr>
              <w:t>větší odvaha lidí měnit nevyhovující pracovní místa (např. s motivací k vyššímu výdělku či zvýšenou podporou v prvních měsících nezaměstnanosti, jež platí od ledna 2026)</w:t>
            </w:r>
            <w:r w:rsidRPr="005A3525">
              <w:rPr>
                <w:rFonts w:eastAsiaTheme="majorEastAsia"/>
                <w:spacing w:val="-2"/>
                <w:sz w:val="20"/>
                <w:szCs w:val="20"/>
              </w:rPr>
              <w:t>.</w:t>
            </w:r>
            <w:r w:rsidRPr="005A3525">
              <w:rPr>
                <w:rStyle w:val="normaltextrun"/>
                <w:rFonts w:ascii="Arial" w:eastAsiaTheme="majorEastAsia" w:hAnsi="Arial" w:cs="Arial"/>
                <w:spacing w:val="-2"/>
                <w:sz w:val="20"/>
                <w:szCs w:val="20"/>
              </w:rPr>
              <w:t xml:space="preserve"> </w:t>
            </w:r>
          </w:p>
          <w:p w14:paraId="6CEB03CF" w14:textId="77777777" w:rsidR="00AD1119" w:rsidRPr="000B2FD2" w:rsidRDefault="00AD1119" w:rsidP="00E962EE">
            <w:pPr>
              <w:pStyle w:val="paragraph"/>
              <w:spacing w:before="0" w:beforeAutospacing="0" w:after="0" w:afterAutospacing="0" w:line="276" w:lineRule="auto"/>
              <w:jc w:val="both"/>
              <w:textAlignment w:val="baseline"/>
              <w:rPr>
                <w:rStyle w:val="normaltextrun"/>
                <w:rFonts w:ascii="Arial" w:eastAsiaTheme="majorEastAsia" w:hAnsi="Arial" w:cs="Arial"/>
                <w:sz w:val="20"/>
                <w:szCs w:val="20"/>
              </w:rPr>
            </w:pPr>
          </w:p>
        </w:tc>
      </w:tr>
      <w:tr w:rsidR="00AD1119" w:rsidRPr="00016778" w14:paraId="4F3EC80E" w14:textId="77777777" w:rsidTr="00E962EE">
        <w:trPr>
          <w:trHeight w:val="132"/>
        </w:trPr>
        <w:tc>
          <w:tcPr>
            <w:tcW w:w="1797" w:type="dxa"/>
            <w:tcMar>
              <w:left w:w="0" w:type="dxa"/>
            </w:tcMar>
          </w:tcPr>
          <w:p w14:paraId="42A90ECA" w14:textId="77777777" w:rsidR="00AD1119" w:rsidRPr="00994497" w:rsidRDefault="00AD1119" w:rsidP="00E962EE">
            <w:pPr>
              <w:pStyle w:val="Marginlie"/>
              <w:spacing w:after="120"/>
              <w:rPr>
                <w:spacing w:val="-4"/>
              </w:rPr>
            </w:pPr>
            <w:r>
              <w:rPr>
                <w:spacing w:val="0"/>
              </w:rPr>
              <w:lastRenderedPageBreak/>
              <w:t>N</w:t>
            </w:r>
            <w:r w:rsidRPr="00F96464">
              <w:rPr>
                <w:spacing w:val="0"/>
              </w:rPr>
              <w:t>abídk</w:t>
            </w:r>
            <w:r>
              <w:rPr>
                <w:spacing w:val="0"/>
              </w:rPr>
              <w:t>a</w:t>
            </w:r>
            <w:r w:rsidRPr="00F96464">
              <w:rPr>
                <w:spacing w:val="0"/>
              </w:rPr>
              <w:t xml:space="preserve"> volných míst prostřednictvím </w:t>
            </w:r>
            <w:r>
              <w:rPr>
                <w:spacing w:val="0"/>
              </w:rPr>
              <w:t>úřadů práce meziročně m</w:t>
            </w:r>
            <w:r>
              <w:t>írně vzrostla. Tlak uchazečů na místa se však lehce zvýšil.</w:t>
            </w:r>
          </w:p>
        </w:tc>
        <w:tc>
          <w:tcPr>
            <w:tcW w:w="173" w:type="dxa"/>
            <w:tcMar>
              <w:left w:w="0" w:type="dxa"/>
            </w:tcMar>
          </w:tcPr>
          <w:p w14:paraId="6AA9390A" w14:textId="77777777" w:rsidR="00AD1119" w:rsidRPr="00016778" w:rsidRDefault="00AD1119" w:rsidP="00E962EE">
            <w:pPr>
              <w:pStyle w:val="Textpoznpodarou"/>
              <w:jc w:val="both"/>
              <w:rPr>
                <w:color w:val="0D0D0D" w:themeColor="text1" w:themeTint="F2"/>
                <w:spacing w:val="-4"/>
              </w:rPr>
            </w:pPr>
          </w:p>
        </w:tc>
        <w:tc>
          <w:tcPr>
            <w:tcW w:w="7704" w:type="dxa"/>
            <w:tcMar>
              <w:left w:w="0" w:type="dxa"/>
            </w:tcMar>
          </w:tcPr>
          <w:p w14:paraId="78FE36C8" w14:textId="77777777" w:rsidR="00AD1119" w:rsidRPr="00874D1A" w:rsidRDefault="00AD1119" w:rsidP="00E962EE">
            <w:pPr>
              <w:pStyle w:val="paragraph"/>
              <w:spacing w:before="0" w:beforeAutospacing="0" w:after="0" w:afterAutospacing="0" w:line="276" w:lineRule="auto"/>
              <w:jc w:val="both"/>
              <w:textAlignment w:val="baseline"/>
              <w:rPr>
                <w:rStyle w:val="normaltextrun"/>
                <w:rFonts w:ascii="Arial" w:hAnsi="Arial" w:cs="Arial"/>
                <w:sz w:val="20"/>
                <w:szCs w:val="20"/>
              </w:rPr>
            </w:pPr>
            <w:r w:rsidRPr="00874D1A">
              <w:rPr>
                <w:rStyle w:val="normaltextrun"/>
                <w:rFonts w:ascii="Arial" w:eastAsiaTheme="majorEastAsia" w:hAnsi="Arial" w:cs="Arial"/>
                <w:sz w:val="20"/>
                <w:szCs w:val="20"/>
              </w:rPr>
              <w:t>Úřady práce evidovaly letos na konci dubna 100,9 tis. volných míst (</w:t>
            </w:r>
            <w:r w:rsidRPr="00874D1A">
              <w:rPr>
                <w:rStyle w:val="normaltextrun"/>
                <w:rFonts w:ascii="Arial" w:eastAsiaTheme="majorEastAsia" w:hAnsi="Arial" w:cs="Arial"/>
                <w:color w:val="0D0D0D" w:themeColor="text1" w:themeTint="F2"/>
                <w:sz w:val="20"/>
                <w:szCs w:val="20"/>
              </w:rPr>
              <w:t xml:space="preserve">v </w:t>
            </w:r>
            <w:r w:rsidRPr="00874D1A">
              <w:rPr>
                <w:rStyle w:val="normaltextrun"/>
                <w:rFonts w:ascii="Arial" w:eastAsiaTheme="majorEastAsia" w:hAnsi="Arial" w:cs="Arial"/>
                <w:sz w:val="20"/>
                <w:szCs w:val="20"/>
              </w:rPr>
              <w:t xml:space="preserve">zásadě jen místa s dobou evidence kratší než šest měsíců) a jejich počet se druhý měsíc v řadě meziročně zvýšil (naposledy o 5,4 tis.). Na 1 volné místo připadalo aktuálně v Česku </w:t>
            </w:r>
            <w:r>
              <w:rPr>
                <w:rStyle w:val="normaltextrun"/>
                <w:rFonts w:ascii="Arial" w:eastAsiaTheme="majorEastAsia" w:hAnsi="Arial" w:cs="Arial"/>
                <w:sz w:val="20"/>
                <w:szCs w:val="20"/>
              </w:rPr>
              <w:br/>
            </w:r>
            <w:r w:rsidRPr="00874D1A">
              <w:rPr>
                <w:rStyle w:val="normaltextrun"/>
                <w:rFonts w:ascii="Arial" w:eastAsiaTheme="majorEastAsia" w:hAnsi="Arial" w:cs="Arial"/>
                <w:sz w:val="20"/>
                <w:szCs w:val="20"/>
              </w:rPr>
              <w:t>3,6 uchazeče (vč. osob dočasně nedosažitelných). To sice bylo stále lehce více než ve stejném období loni (3,4), avšak zároveň (spolu s letošním červnem</w:t>
            </w:r>
            <w:r>
              <w:rPr>
                <w:rStyle w:val="normaltextrun"/>
                <w:rFonts w:ascii="Arial" w:eastAsiaTheme="majorEastAsia" w:hAnsi="Arial" w:cs="Arial"/>
                <w:sz w:val="20"/>
                <w:szCs w:val="20"/>
              </w:rPr>
              <w:t>)</w:t>
            </w:r>
            <w:r w:rsidRPr="00874D1A">
              <w:rPr>
                <w:rStyle w:val="normaltextrun"/>
                <w:rFonts w:ascii="Arial" w:eastAsiaTheme="majorEastAsia" w:hAnsi="Arial" w:cs="Arial"/>
                <w:sz w:val="20"/>
                <w:szCs w:val="20"/>
              </w:rPr>
              <w:t xml:space="preserve"> nejméně za posledních devět měsíců.</w:t>
            </w:r>
            <w:r w:rsidRPr="00874D1A">
              <w:rPr>
                <w:rStyle w:val="normaltextrun"/>
                <w:rFonts w:ascii="Arial" w:hAnsi="Arial" w:cs="Arial"/>
                <w:sz w:val="20"/>
                <w:szCs w:val="20"/>
              </w:rPr>
              <w:t xml:space="preserve"> </w:t>
            </w:r>
            <w:r w:rsidRPr="00874D1A">
              <w:rPr>
                <w:rStyle w:val="normaltextrun"/>
                <w:rFonts w:ascii="Arial" w:eastAsiaTheme="majorEastAsia" w:hAnsi="Arial" w:cs="Arial"/>
                <w:sz w:val="20"/>
                <w:szCs w:val="20"/>
              </w:rPr>
              <w:t xml:space="preserve">Přetrvával významný strukturální nesoulad nabídky </w:t>
            </w:r>
            <w:r>
              <w:rPr>
                <w:rStyle w:val="normaltextrun"/>
                <w:rFonts w:ascii="Arial" w:eastAsiaTheme="majorEastAsia" w:hAnsi="Arial" w:cs="Arial"/>
                <w:sz w:val="20"/>
                <w:szCs w:val="20"/>
              </w:rPr>
              <w:br/>
            </w:r>
            <w:r w:rsidRPr="00874D1A">
              <w:rPr>
                <w:rStyle w:val="normaltextrun"/>
                <w:rFonts w:ascii="Arial" w:eastAsiaTheme="majorEastAsia" w:hAnsi="Arial" w:cs="Arial"/>
                <w:sz w:val="20"/>
                <w:szCs w:val="20"/>
              </w:rPr>
              <w:t>a poptávky z kvalifikačního</w:t>
            </w:r>
            <w:r w:rsidRPr="00874D1A">
              <w:rPr>
                <w:rFonts w:ascii="Arial" w:hAnsi="Arial" w:cs="Arial"/>
                <w:color w:val="0D0D0D" w:themeColor="text1" w:themeTint="F2"/>
                <w:sz w:val="20"/>
                <w:szCs w:val="20"/>
                <w:vertAlign w:val="superscript"/>
              </w:rPr>
              <w:footnoteReference w:id="102"/>
            </w:r>
            <w:r w:rsidRPr="00874D1A">
              <w:rPr>
                <w:rStyle w:val="normaltextrun"/>
                <w:rFonts w:ascii="Arial" w:eastAsiaTheme="majorEastAsia" w:hAnsi="Arial" w:cs="Arial"/>
                <w:sz w:val="20"/>
                <w:szCs w:val="20"/>
              </w:rPr>
              <w:t xml:space="preserve"> i regionálního pohledu</w:t>
            </w:r>
            <w:r w:rsidRPr="00874D1A">
              <w:rPr>
                <w:rStyle w:val="Znakapoznpodarou"/>
                <w:rFonts w:ascii="Arial" w:eastAsiaTheme="majorEastAsia" w:hAnsi="Arial" w:cs="Arial"/>
                <w:sz w:val="20"/>
                <w:szCs w:val="20"/>
              </w:rPr>
              <w:footnoteReference w:id="103"/>
            </w:r>
            <w:r w:rsidRPr="00874D1A">
              <w:rPr>
                <w:rStyle w:val="normaltextrun"/>
                <w:rFonts w:ascii="Arial" w:eastAsiaTheme="majorEastAsia" w:hAnsi="Arial" w:cs="Arial"/>
                <w:sz w:val="20"/>
                <w:szCs w:val="20"/>
              </w:rPr>
              <w:t>. Obavy lidí z růstu nezaměstnanosti (vyjádřené v ročním výhledu</w:t>
            </w:r>
            <w:r w:rsidRPr="00874D1A">
              <w:rPr>
                <w:rStyle w:val="normaltextrun"/>
                <w:rFonts w:ascii="Arial" w:eastAsiaTheme="majorEastAsia" w:hAnsi="Arial" w:cs="Arial"/>
              </w:rPr>
              <w:t xml:space="preserve"> </w:t>
            </w:r>
            <w:r w:rsidRPr="00874D1A">
              <w:rPr>
                <w:rStyle w:val="normaltextrun"/>
                <w:rFonts w:ascii="Arial" w:eastAsiaTheme="majorEastAsia" w:hAnsi="Arial" w:cs="Arial"/>
                <w:sz w:val="20"/>
                <w:szCs w:val="20"/>
              </w:rPr>
              <w:t xml:space="preserve">v rámci konjunkturálních průzkumů) letos od března velmi mírně narůstaly, ovšem meziročně byly stále nižší a jejich úroveň ani </w:t>
            </w:r>
            <w:r>
              <w:rPr>
                <w:rStyle w:val="normaltextrun"/>
                <w:rFonts w:ascii="Arial" w:eastAsiaTheme="majorEastAsia" w:hAnsi="Arial" w:cs="Arial"/>
                <w:sz w:val="20"/>
                <w:szCs w:val="20"/>
              </w:rPr>
              <w:br/>
              <w:t>v</w:t>
            </w:r>
            <w:r>
              <w:rPr>
                <w:rStyle w:val="normaltextrun"/>
                <w:rFonts w:eastAsiaTheme="majorEastAsia"/>
                <w:sz w:val="20"/>
                <w:szCs w:val="20"/>
              </w:rPr>
              <w:t xml:space="preserve"> </w:t>
            </w:r>
            <w:r w:rsidRPr="00874D1A">
              <w:rPr>
                <w:rStyle w:val="normaltextrun"/>
                <w:rFonts w:ascii="Arial" w:eastAsiaTheme="majorEastAsia" w:hAnsi="Arial" w:cs="Arial"/>
                <w:sz w:val="20"/>
                <w:szCs w:val="20"/>
              </w:rPr>
              <w:t xml:space="preserve">srpnu </w:t>
            </w:r>
            <w:r w:rsidRPr="00874D1A">
              <w:rPr>
                <w:rFonts w:ascii="Arial" w:hAnsi="Arial" w:cs="Arial"/>
                <w:sz w:val="20"/>
                <w:szCs w:val="20"/>
              </w:rPr>
              <w:t>nepřekračovala dlouhodobý průměr.</w:t>
            </w:r>
          </w:p>
          <w:p w14:paraId="4B88840D" w14:textId="77777777" w:rsidR="00AD1119" w:rsidRPr="00F80861" w:rsidRDefault="00AD1119" w:rsidP="00E962EE">
            <w:pPr>
              <w:pStyle w:val="paragraph"/>
              <w:spacing w:before="0" w:beforeAutospacing="0" w:after="0" w:afterAutospacing="0" w:line="276" w:lineRule="auto"/>
              <w:jc w:val="both"/>
              <w:textAlignment w:val="baseline"/>
              <w:rPr>
                <w:rStyle w:val="normaltextrun"/>
                <w:rFonts w:ascii="Arial" w:eastAsiaTheme="majorEastAsia" w:hAnsi="Arial" w:cs="Arial"/>
                <w:color w:val="000000"/>
                <w:sz w:val="20"/>
                <w:szCs w:val="20"/>
              </w:rPr>
            </w:pPr>
          </w:p>
        </w:tc>
      </w:tr>
      <w:tr w:rsidR="00AD1119" w:rsidRPr="00016778" w14:paraId="71356B00" w14:textId="77777777" w:rsidTr="00E962EE">
        <w:trPr>
          <w:trHeight w:val="132"/>
        </w:trPr>
        <w:tc>
          <w:tcPr>
            <w:tcW w:w="9674" w:type="dxa"/>
            <w:gridSpan w:val="3"/>
            <w:tcMar>
              <w:left w:w="0" w:type="dxa"/>
            </w:tcMar>
          </w:tcPr>
          <w:p w14:paraId="368D990D" w14:textId="77777777" w:rsidR="00AD1119" w:rsidRPr="00A03CE4" w:rsidRDefault="00AD1119" w:rsidP="0036073B">
            <w:pPr>
              <w:pStyle w:val="Nadpis3"/>
              <w:rPr>
                <w:rStyle w:val="normaltextrun"/>
                <w:rFonts w:eastAsiaTheme="majorEastAsia" w:cs="Arial"/>
                <w:spacing w:val="-4"/>
                <w:szCs w:val="20"/>
              </w:rPr>
            </w:pPr>
            <w:bookmarkStart w:id="46" w:name="_Toc240366905"/>
            <w:r>
              <w:rPr>
                <w:lang w:eastAsia="en-US"/>
              </w:rPr>
              <w:t>6</w:t>
            </w:r>
            <w:r w:rsidRPr="006B2C72">
              <w:rPr>
                <w:lang w:eastAsia="en-US"/>
              </w:rPr>
              <w:t>.</w:t>
            </w:r>
            <w:r w:rsidRPr="004A2AF4">
              <w:rPr>
                <w:lang w:eastAsia="en-US"/>
              </w:rPr>
              <w:t>2</w:t>
            </w:r>
            <w:r w:rsidRPr="006B2C72">
              <w:rPr>
                <w:lang w:eastAsia="en-US"/>
              </w:rPr>
              <w:t xml:space="preserve"> </w:t>
            </w:r>
            <w:r w:rsidRPr="004A2AF4">
              <w:rPr>
                <w:lang w:eastAsia="en-US"/>
              </w:rPr>
              <w:t>Mzdy</w:t>
            </w:r>
            <w:bookmarkEnd w:id="46"/>
          </w:p>
        </w:tc>
      </w:tr>
      <w:tr w:rsidR="00AD1119" w:rsidRPr="00016778" w14:paraId="5B4CA92C" w14:textId="77777777" w:rsidTr="00E962EE">
        <w:trPr>
          <w:trHeight w:val="132"/>
        </w:trPr>
        <w:tc>
          <w:tcPr>
            <w:tcW w:w="1797" w:type="dxa"/>
            <w:tcMar>
              <w:left w:w="0" w:type="dxa"/>
            </w:tcMar>
          </w:tcPr>
          <w:p w14:paraId="2956D2B1" w14:textId="77777777" w:rsidR="00AD1119" w:rsidRDefault="00AD1119" w:rsidP="00E962EE">
            <w:pPr>
              <w:pStyle w:val="Marginlie"/>
              <w:rPr>
                <w:color w:val="0D0D0D" w:themeColor="text1" w:themeTint="F2"/>
              </w:rPr>
            </w:pPr>
            <w:r>
              <w:rPr>
                <w:color w:val="0D0D0D" w:themeColor="text1" w:themeTint="F2"/>
                <w:spacing w:val="0"/>
              </w:rPr>
              <w:t>Přetrvával relativně stabilní a svižný růst nominálních mezd</w:t>
            </w:r>
            <w:r>
              <w:rPr>
                <w:color w:val="0D0D0D" w:themeColor="text1" w:themeTint="F2"/>
              </w:rPr>
              <w:t>.</w:t>
            </w:r>
          </w:p>
          <w:p w14:paraId="02DD952A" w14:textId="77777777" w:rsidR="00AD1119" w:rsidRDefault="00AD1119" w:rsidP="00E962EE">
            <w:pPr>
              <w:pStyle w:val="Marginlie"/>
              <w:rPr>
                <w:color w:val="0D0D0D" w:themeColor="text1" w:themeTint="F2"/>
              </w:rPr>
            </w:pPr>
          </w:p>
          <w:p w14:paraId="09B01CF7" w14:textId="77777777" w:rsidR="00AD1119" w:rsidRDefault="00AD1119" w:rsidP="00E962EE">
            <w:pPr>
              <w:pStyle w:val="Marginlie"/>
              <w:rPr>
                <w:color w:val="0D0D0D" w:themeColor="text1" w:themeTint="F2"/>
              </w:rPr>
            </w:pPr>
          </w:p>
          <w:p w14:paraId="4453E5C2" w14:textId="77777777" w:rsidR="00AD1119" w:rsidRDefault="00AD1119" w:rsidP="00E962EE">
            <w:pPr>
              <w:pStyle w:val="Marginlie"/>
              <w:rPr>
                <w:color w:val="0D0D0D" w:themeColor="text1" w:themeTint="F2"/>
              </w:rPr>
            </w:pPr>
          </w:p>
          <w:p w14:paraId="61A20C85" w14:textId="77777777" w:rsidR="00AD1119" w:rsidRDefault="00AD1119" w:rsidP="00E962EE">
            <w:pPr>
              <w:pStyle w:val="Marginlie"/>
              <w:rPr>
                <w:color w:val="0D0D0D" w:themeColor="text1" w:themeTint="F2"/>
              </w:rPr>
            </w:pPr>
          </w:p>
          <w:p w14:paraId="20C73F0F" w14:textId="77777777" w:rsidR="00AD1119" w:rsidRDefault="00AD1119" w:rsidP="00E962EE">
            <w:pPr>
              <w:pStyle w:val="Marginlie"/>
              <w:rPr>
                <w:color w:val="0D0D0D" w:themeColor="text1" w:themeTint="F2"/>
                <w:spacing w:val="0"/>
              </w:rPr>
            </w:pPr>
            <w:r>
              <w:rPr>
                <w:color w:val="0D0D0D" w:themeColor="text1" w:themeTint="F2"/>
              </w:rPr>
              <w:t>Příznivý vývoj spotřebitelských cen vedl k dalšímu významnému navýšení kupní síly mezd. Ta i přesto úroveň z roku 2021 ještě nepřekonala.</w:t>
            </w:r>
          </w:p>
        </w:tc>
        <w:tc>
          <w:tcPr>
            <w:tcW w:w="173" w:type="dxa"/>
            <w:tcMar>
              <w:left w:w="0" w:type="dxa"/>
            </w:tcMar>
          </w:tcPr>
          <w:p w14:paraId="16CAD5C7" w14:textId="77777777" w:rsidR="00AD1119" w:rsidRPr="00016778" w:rsidRDefault="00AD1119" w:rsidP="00E962EE">
            <w:pPr>
              <w:pStyle w:val="Textpoznpodarou"/>
              <w:jc w:val="both"/>
              <w:rPr>
                <w:color w:val="0D0D0D" w:themeColor="text1" w:themeTint="F2"/>
                <w:spacing w:val="-4"/>
              </w:rPr>
            </w:pPr>
          </w:p>
        </w:tc>
        <w:tc>
          <w:tcPr>
            <w:tcW w:w="7704" w:type="dxa"/>
            <w:tcMar>
              <w:left w:w="0" w:type="dxa"/>
            </w:tcMar>
          </w:tcPr>
          <w:p w14:paraId="7E77F706" w14:textId="77777777" w:rsidR="00AD1119" w:rsidRPr="00874D1A" w:rsidRDefault="00AD1119" w:rsidP="00E962EE">
            <w:pPr>
              <w:pStyle w:val="paragraph"/>
              <w:spacing w:before="0" w:beforeAutospacing="0" w:after="240" w:afterAutospacing="0" w:line="276" w:lineRule="auto"/>
              <w:jc w:val="both"/>
              <w:textAlignment w:val="baseline"/>
              <w:rPr>
                <w:rStyle w:val="normaltextrun"/>
                <w:rFonts w:ascii="Arial" w:eastAsiaTheme="majorEastAsia" w:hAnsi="Arial"/>
                <w:spacing w:val="-4"/>
                <w:sz w:val="20"/>
              </w:rPr>
            </w:pPr>
            <w:r w:rsidRPr="00A03CE4">
              <w:rPr>
                <w:rStyle w:val="normaltextrun"/>
                <w:rFonts w:ascii="Arial" w:eastAsiaTheme="majorEastAsia" w:hAnsi="Arial" w:cs="Arial"/>
                <w:spacing w:val="-4"/>
                <w:sz w:val="20"/>
                <w:szCs w:val="20"/>
              </w:rPr>
              <w:t>V</w:t>
            </w:r>
            <w:r>
              <w:rPr>
                <w:rStyle w:val="normaltextrun"/>
                <w:rFonts w:ascii="Arial" w:eastAsiaTheme="majorEastAsia" w:hAnsi="Arial" w:cs="Arial"/>
                <w:spacing w:val="-4"/>
                <w:sz w:val="20"/>
                <w:szCs w:val="20"/>
              </w:rPr>
              <w:t>e</w:t>
            </w:r>
            <w:r w:rsidRPr="00A03CE4">
              <w:rPr>
                <w:rStyle w:val="normaltextrun"/>
                <w:rFonts w:ascii="Arial" w:eastAsiaTheme="majorEastAsia" w:hAnsi="Arial" w:cs="Arial"/>
                <w:spacing w:val="-4"/>
                <w:sz w:val="20"/>
                <w:szCs w:val="20"/>
              </w:rPr>
              <w:t xml:space="preserve"> </w:t>
            </w:r>
            <w:r>
              <w:rPr>
                <w:rStyle w:val="normaltextrun"/>
                <w:rFonts w:ascii="Arial" w:eastAsiaTheme="majorEastAsia" w:hAnsi="Arial" w:cs="Arial"/>
                <w:spacing w:val="-4"/>
                <w:sz w:val="20"/>
                <w:szCs w:val="20"/>
              </w:rPr>
              <w:t>2</w:t>
            </w:r>
            <w:r w:rsidRPr="00A03CE4">
              <w:rPr>
                <w:rStyle w:val="normaltextrun"/>
                <w:rFonts w:ascii="Arial" w:eastAsiaTheme="majorEastAsia" w:hAnsi="Arial" w:cs="Arial"/>
                <w:spacing w:val="-4"/>
                <w:sz w:val="20"/>
                <w:szCs w:val="20"/>
              </w:rPr>
              <w:t xml:space="preserve">. čtvrtletí 2026 </w:t>
            </w:r>
            <w:r w:rsidRPr="00516818">
              <w:rPr>
                <w:rStyle w:val="normaltextrun"/>
                <w:rFonts w:ascii="Arial" w:eastAsiaTheme="majorEastAsia" w:hAnsi="Arial" w:cs="Arial"/>
                <w:spacing w:val="-4"/>
                <w:sz w:val="20"/>
                <w:szCs w:val="20"/>
              </w:rPr>
              <w:t xml:space="preserve">dosáhla průměrná hrubá měsíční nominální mzda </w:t>
            </w:r>
            <w:r w:rsidRPr="00A03CE4">
              <w:rPr>
                <w:rStyle w:val="normaltextrun"/>
                <w:rFonts w:ascii="Arial" w:eastAsiaTheme="majorEastAsia" w:hAnsi="Arial" w:cs="Arial"/>
                <w:spacing w:val="-4"/>
                <w:sz w:val="20"/>
                <w:szCs w:val="20"/>
              </w:rPr>
              <w:t xml:space="preserve">zaměstnance </w:t>
            </w:r>
            <w:r>
              <w:rPr>
                <w:rStyle w:val="normaltextrun"/>
                <w:rFonts w:ascii="Arial" w:eastAsiaTheme="majorEastAsia" w:hAnsi="Arial" w:cs="Arial"/>
                <w:spacing w:val="-4"/>
                <w:sz w:val="20"/>
                <w:szCs w:val="20"/>
              </w:rPr>
              <w:br/>
            </w:r>
            <w:r w:rsidRPr="00A03CE4">
              <w:rPr>
                <w:rStyle w:val="normaltextrun"/>
                <w:rFonts w:ascii="Arial" w:eastAsiaTheme="majorEastAsia" w:hAnsi="Arial" w:cs="Arial"/>
                <w:spacing w:val="-4"/>
                <w:sz w:val="20"/>
                <w:szCs w:val="20"/>
              </w:rPr>
              <w:t xml:space="preserve">v národním hospodářství </w:t>
            </w:r>
            <w:r w:rsidRPr="00B509DA">
              <w:rPr>
                <w:rStyle w:val="normaltextrun"/>
                <w:rFonts w:ascii="Arial" w:eastAsiaTheme="majorEastAsia" w:hAnsi="Arial" w:cs="Arial"/>
                <w:spacing w:val="-4"/>
                <w:sz w:val="20"/>
                <w:szCs w:val="20"/>
              </w:rPr>
              <w:t>51 966</w:t>
            </w:r>
            <w:r w:rsidRPr="00A03CE4">
              <w:rPr>
                <w:rStyle w:val="normaltextrun"/>
                <w:rFonts w:ascii="Arial" w:eastAsiaTheme="majorEastAsia" w:hAnsi="Arial" w:cs="Arial"/>
                <w:spacing w:val="-4"/>
                <w:sz w:val="20"/>
                <w:szCs w:val="20"/>
              </w:rPr>
              <w:t xml:space="preserve"> korun. Meziročně vzrostla o </w:t>
            </w:r>
            <w:r>
              <w:rPr>
                <w:rStyle w:val="normaltextrun"/>
                <w:rFonts w:ascii="Arial" w:eastAsiaTheme="majorEastAsia" w:hAnsi="Arial" w:cs="Arial"/>
                <w:spacing w:val="-4"/>
                <w:sz w:val="20"/>
                <w:szCs w:val="20"/>
              </w:rPr>
              <w:t>6,4</w:t>
            </w:r>
            <w:r w:rsidRPr="00A03CE4">
              <w:rPr>
                <w:rStyle w:val="normaltextrun"/>
                <w:rFonts w:ascii="Arial" w:eastAsiaTheme="majorEastAsia" w:hAnsi="Arial" w:cs="Arial"/>
                <w:spacing w:val="-4"/>
                <w:sz w:val="20"/>
                <w:szCs w:val="20"/>
              </w:rPr>
              <w:t xml:space="preserve"> %</w:t>
            </w:r>
            <w:r>
              <w:rPr>
                <w:rStyle w:val="normaltextrun"/>
                <w:rFonts w:ascii="Arial" w:eastAsiaTheme="majorEastAsia" w:hAnsi="Arial" w:cs="Arial"/>
                <w:spacing w:val="-4"/>
                <w:sz w:val="20"/>
                <w:szCs w:val="20"/>
              </w:rPr>
              <w:t xml:space="preserve">, což bylo nepatrně více než v 1. </w:t>
            </w:r>
            <w:r w:rsidRPr="00A03CE4">
              <w:rPr>
                <w:rStyle w:val="normaltextrun"/>
                <w:rFonts w:ascii="Arial" w:eastAsiaTheme="majorEastAsia" w:hAnsi="Arial" w:cs="Arial"/>
                <w:spacing w:val="-4"/>
                <w:sz w:val="20"/>
                <w:szCs w:val="20"/>
              </w:rPr>
              <w:t>čtvrtlet</w:t>
            </w:r>
            <w:r>
              <w:rPr>
                <w:rStyle w:val="normaltextrun"/>
                <w:rFonts w:ascii="Arial" w:eastAsiaTheme="majorEastAsia" w:hAnsi="Arial" w:cs="Arial"/>
                <w:spacing w:val="-4"/>
                <w:sz w:val="20"/>
                <w:szCs w:val="20"/>
              </w:rPr>
              <w:t>í</w:t>
            </w:r>
            <w:r w:rsidRPr="00516818">
              <w:rPr>
                <w:rStyle w:val="normaltextrun"/>
                <w:rFonts w:ascii="Arial" w:eastAsiaTheme="majorEastAsia" w:hAnsi="Arial" w:cs="Arial"/>
                <w:spacing w:val="-4"/>
                <w:sz w:val="20"/>
                <w:szCs w:val="20"/>
              </w:rPr>
              <w:t xml:space="preserve"> 2026 (kdy </w:t>
            </w:r>
            <w:r>
              <w:rPr>
                <w:rStyle w:val="normaltextrun"/>
                <w:rFonts w:ascii="Arial" w:eastAsiaTheme="majorEastAsia" w:hAnsi="Arial" w:cs="Arial"/>
                <w:spacing w:val="-4"/>
                <w:sz w:val="20"/>
                <w:szCs w:val="20"/>
              </w:rPr>
              <w:t xml:space="preserve">po zpřesnění tempo </w:t>
            </w:r>
            <w:r w:rsidRPr="00516818">
              <w:rPr>
                <w:rStyle w:val="normaltextrun"/>
                <w:rFonts w:ascii="Arial" w:eastAsiaTheme="majorEastAsia" w:hAnsi="Arial" w:cs="Arial"/>
                <w:spacing w:val="-4"/>
                <w:sz w:val="20"/>
                <w:szCs w:val="20"/>
              </w:rPr>
              <w:t>činil</w:t>
            </w:r>
            <w:r>
              <w:rPr>
                <w:rStyle w:val="normaltextrun"/>
                <w:rFonts w:ascii="Arial" w:eastAsiaTheme="majorEastAsia" w:hAnsi="Arial" w:cs="Arial"/>
                <w:spacing w:val="-4"/>
                <w:sz w:val="20"/>
                <w:szCs w:val="20"/>
              </w:rPr>
              <w:t>o</w:t>
            </w:r>
            <w:r w:rsidRPr="00516818">
              <w:rPr>
                <w:rStyle w:val="normaltextrun"/>
                <w:rFonts w:ascii="Arial" w:eastAsiaTheme="majorEastAsia" w:hAnsi="Arial" w:cs="Arial"/>
                <w:spacing w:val="-4"/>
                <w:sz w:val="20"/>
                <w:szCs w:val="20"/>
              </w:rPr>
              <w:t xml:space="preserve"> 6,1 %</w:t>
            </w:r>
            <w:r>
              <w:rPr>
                <w:rStyle w:val="normaltextrun"/>
                <w:rFonts w:ascii="Arial" w:eastAsiaTheme="majorEastAsia" w:hAnsi="Arial" w:cs="Arial"/>
                <w:spacing w:val="-4"/>
                <w:sz w:val="20"/>
                <w:szCs w:val="20"/>
              </w:rPr>
              <w:t xml:space="preserve"> a výše mezd 49 328 korun</w:t>
            </w:r>
            <w:r w:rsidRPr="00516818">
              <w:rPr>
                <w:rStyle w:val="normaltextrun"/>
                <w:rFonts w:ascii="Arial" w:eastAsiaTheme="majorEastAsia" w:hAnsi="Arial" w:cs="Arial"/>
                <w:spacing w:val="-4"/>
                <w:sz w:val="20"/>
                <w:szCs w:val="20"/>
              </w:rPr>
              <w:t xml:space="preserve">), ale současně </w:t>
            </w:r>
            <w:r>
              <w:rPr>
                <w:rStyle w:val="normaltextrun"/>
                <w:rFonts w:ascii="Arial" w:eastAsiaTheme="majorEastAsia" w:hAnsi="Arial" w:cs="Arial"/>
                <w:spacing w:val="-4"/>
                <w:sz w:val="20"/>
                <w:szCs w:val="20"/>
              </w:rPr>
              <w:t>méně</w:t>
            </w:r>
            <w:r w:rsidRPr="00516818">
              <w:rPr>
                <w:rStyle w:val="normaltextrun"/>
                <w:rFonts w:ascii="Arial" w:eastAsiaTheme="majorEastAsia" w:hAnsi="Arial" w:cs="Arial"/>
                <w:spacing w:val="-4"/>
                <w:sz w:val="20"/>
                <w:szCs w:val="20"/>
              </w:rPr>
              <w:t xml:space="preserve"> než </w:t>
            </w:r>
            <w:r>
              <w:rPr>
                <w:rStyle w:val="normaltextrun"/>
                <w:rFonts w:ascii="Arial" w:eastAsiaTheme="majorEastAsia" w:hAnsi="Arial" w:cs="Arial"/>
                <w:spacing w:val="-4"/>
                <w:sz w:val="20"/>
                <w:szCs w:val="20"/>
              </w:rPr>
              <w:t>v</w:t>
            </w:r>
            <w:r>
              <w:rPr>
                <w:rStyle w:val="normaltextrun"/>
                <w:rFonts w:eastAsiaTheme="majorEastAsia"/>
                <w:spacing w:val="-4"/>
                <w:sz w:val="20"/>
                <w:szCs w:val="20"/>
              </w:rPr>
              <w:t xml:space="preserve"> </w:t>
            </w:r>
            <w:r w:rsidRPr="00516818">
              <w:rPr>
                <w:rStyle w:val="normaltextrun"/>
                <w:rFonts w:ascii="Arial" w:eastAsiaTheme="majorEastAsia" w:hAnsi="Arial" w:cs="Arial"/>
                <w:spacing w:val="-4"/>
                <w:sz w:val="20"/>
                <w:szCs w:val="20"/>
              </w:rPr>
              <w:t>průměru za roky 2024 i 2025 (shodně +6,6 %).</w:t>
            </w:r>
            <w:r>
              <w:rPr>
                <w:rStyle w:val="normaltextrun"/>
                <w:rFonts w:ascii="Arial" w:eastAsiaTheme="majorEastAsia" w:hAnsi="Arial" w:cs="Arial"/>
                <w:spacing w:val="-4"/>
                <w:sz w:val="20"/>
                <w:szCs w:val="20"/>
              </w:rPr>
              <w:t xml:space="preserve"> </w:t>
            </w:r>
            <w:r w:rsidRPr="00AF38A2">
              <w:rPr>
                <w:rStyle w:val="normaltextrun"/>
                <w:rFonts w:ascii="Arial" w:eastAsiaTheme="majorEastAsia" w:hAnsi="Arial"/>
                <w:spacing w:val="-4"/>
                <w:sz w:val="20"/>
              </w:rPr>
              <w:t xml:space="preserve">Sezónně očištěná mzda posílila </w:t>
            </w:r>
            <w:r>
              <w:rPr>
                <w:rStyle w:val="normaltextrun"/>
                <w:rFonts w:ascii="Arial" w:eastAsiaTheme="majorEastAsia" w:hAnsi="Arial"/>
                <w:spacing w:val="-4"/>
                <w:sz w:val="20"/>
              </w:rPr>
              <w:t>l</w:t>
            </w:r>
            <w:r w:rsidRPr="00674526">
              <w:rPr>
                <w:rStyle w:val="normaltextrun"/>
                <w:rFonts w:ascii="Arial" w:eastAsiaTheme="majorEastAsia" w:hAnsi="Arial"/>
                <w:spacing w:val="-4"/>
                <w:sz w:val="20"/>
              </w:rPr>
              <w:t xml:space="preserve">etos </w:t>
            </w:r>
            <w:r w:rsidRPr="00AF38A2">
              <w:rPr>
                <w:rStyle w:val="normaltextrun"/>
                <w:rFonts w:ascii="Arial" w:eastAsiaTheme="majorEastAsia" w:hAnsi="Arial"/>
                <w:spacing w:val="-4"/>
                <w:sz w:val="20"/>
              </w:rPr>
              <w:t>ve 2. čtvrtletí mezikvartálně o 1,6 % a zvyšovala se podobným tempem jako v předchozích obdobích (vč. roku 2025).</w:t>
            </w:r>
            <w:r>
              <w:rPr>
                <w:rStyle w:val="normaltextrun"/>
                <w:rFonts w:ascii="Arial" w:eastAsiaTheme="majorEastAsia" w:hAnsi="Arial"/>
                <w:spacing w:val="-4"/>
                <w:sz w:val="20"/>
              </w:rPr>
              <w:t xml:space="preserve"> </w:t>
            </w:r>
            <w:r w:rsidRPr="00AF38A2">
              <w:rPr>
                <w:rStyle w:val="normaltextrun"/>
                <w:rFonts w:ascii="Arial" w:eastAsiaTheme="majorEastAsia" w:hAnsi="Arial"/>
                <w:spacing w:val="-4"/>
                <w:sz w:val="20"/>
              </w:rPr>
              <w:t xml:space="preserve">Relativně mírný růst spotřebitelských cen </w:t>
            </w:r>
            <w:r>
              <w:rPr>
                <w:rStyle w:val="normaltextrun"/>
                <w:rFonts w:ascii="Arial" w:eastAsiaTheme="majorEastAsia" w:hAnsi="Arial"/>
                <w:spacing w:val="-4"/>
                <w:sz w:val="20"/>
              </w:rPr>
              <w:t>vytvořil prostor k</w:t>
            </w:r>
            <w:r w:rsidRPr="00AF38A2">
              <w:rPr>
                <w:rStyle w:val="normaltextrun"/>
                <w:rFonts w:ascii="Arial" w:eastAsiaTheme="majorEastAsia" w:hAnsi="Arial"/>
                <w:spacing w:val="-4"/>
                <w:sz w:val="20"/>
              </w:rPr>
              <w:t xml:space="preserve"> další</w:t>
            </w:r>
            <w:r>
              <w:rPr>
                <w:rStyle w:val="normaltextrun"/>
                <w:rFonts w:ascii="Arial" w:eastAsiaTheme="majorEastAsia" w:hAnsi="Arial"/>
                <w:spacing w:val="-4"/>
                <w:sz w:val="20"/>
              </w:rPr>
              <w:t>mu</w:t>
            </w:r>
            <w:r w:rsidRPr="00AF38A2">
              <w:rPr>
                <w:rStyle w:val="normaltextrun"/>
                <w:rFonts w:ascii="Arial" w:eastAsiaTheme="majorEastAsia" w:hAnsi="Arial"/>
                <w:spacing w:val="-4"/>
                <w:sz w:val="20"/>
              </w:rPr>
              <w:t xml:space="preserve"> svižné</w:t>
            </w:r>
            <w:r>
              <w:rPr>
                <w:rStyle w:val="normaltextrun"/>
                <w:rFonts w:ascii="Arial" w:eastAsiaTheme="majorEastAsia" w:hAnsi="Arial"/>
                <w:spacing w:val="-4"/>
                <w:sz w:val="20"/>
              </w:rPr>
              <w:t>mu</w:t>
            </w:r>
            <w:r w:rsidRPr="00AF38A2">
              <w:rPr>
                <w:rStyle w:val="normaltextrun"/>
                <w:rFonts w:ascii="Arial" w:eastAsiaTheme="majorEastAsia" w:hAnsi="Arial"/>
                <w:spacing w:val="-4"/>
                <w:sz w:val="20"/>
              </w:rPr>
              <w:t xml:space="preserve"> posílení kupní síly zaměstnaneckých výdělků.</w:t>
            </w:r>
            <w:r>
              <w:rPr>
                <w:rStyle w:val="normaltextrun"/>
                <w:rFonts w:ascii="Arial" w:eastAsiaTheme="majorEastAsia" w:hAnsi="Arial"/>
                <w:spacing w:val="-4"/>
                <w:sz w:val="20"/>
              </w:rPr>
              <w:t xml:space="preserve"> P</w:t>
            </w:r>
            <w:r w:rsidRPr="00674526">
              <w:rPr>
                <w:rStyle w:val="normaltextrun"/>
                <w:rFonts w:ascii="Arial" w:eastAsiaTheme="majorEastAsia" w:hAnsi="Arial"/>
                <w:spacing w:val="-4"/>
                <w:sz w:val="20"/>
              </w:rPr>
              <w:t>růměrné mzdy</w:t>
            </w:r>
            <w:r>
              <w:rPr>
                <w:rStyle w:val="normaltextrun"/>
                <w:rFonts w:ascii="Arial" w:eastAsiaTheme="majorEastAsia" w:hAnsi="Arial"/>
                <w:spacing w:val="-4"/>
                <w:sz w:val="20"/>
              </w:rPr>
              <w:t xml:space="preserve"> se </w:t>
            </w:r>
            <w:r w:rsidRPr="00674526">
              <w:rPr>
                <w:rStyle w:val="normaltextrun"/>
                <w:rFonts w:ascii="Arial" w:eastAsiaTheme="majorEastAsia" w:hAnsi="Arial"/>
                <w:spacing w:val="-4"/>
                <w:sz w:val="20"/>
              </w:rPr>
              <w:t xml:space="preserve">tak reálně </w:t>
            </w:r>
            <w:r>
              <w:rPr>
                <w:rStyle w:val="normaltextrun"/>
                <w:rFonts w:ascii="Arial" w:eastAsiaTheme="majorEastAsia" w:hAnsi="Arial"/>
                <w:spacing w:val="-4"/>
                <w:sz w:val="20"/>
              </w:rPr>
              <w:t>navýšily</w:t>
            </w:r>
            <w:r w:rsidRPr="00674526">
              <w:rPr>
                <w:rStyle w:val="normaltextrun"/>
                <w:rFonts w:ascii="Arial" w:eastAsiaTheme="majorEastAsia" w:hAnsi="Arial"/>
                <w:spacing w:val="-4"/>
                <w:sz w:val="20"/>
              </w:rPr>
              <w:t xml:space="preserve"> meziročně o 4,3 % a rostly desátý kvartál v řadě a současně dosáhly mírně vyššího tempa než v průměru za roky 2024 i 2025.</w:t>
            </w:r>
            <w:r>
              <w:rPr>
                <w:rStyle w:val="normaltextrun"/>
                <w:rFonts w:ascii="Arial" w:eastAsiaTheme="majorEastAsia" w:hAnsi="Arial"/>
                <w:spacing w:val="-4"/>
                <w:sz w:val="20"/>
              </w:rPr>
              <w:t xml:space="preserve"> K</w:t>
            </w:r>
            <w:r w:rsidRPr="00674526">
              <w:rPr>
                <w:rStyle w:val="normaltextrun"/>
                <w:rFonts w:ascii="Arial" w:eastAsiaTheme="majorEastAsia" w:hAnsi="Arial"/>
                <w:spacing w:val="-4"/>
                <w:sz w:val="20"/>
              </w:rPr>
              <w:t xml:space="preserve">upní síla hrubých mezd </w:t>
            </w:r>
            <w:r>
              <w:rPr>
                <w:rStyle w:val="normaltextrun"/>
                <w:rFonts w:ascii="Arial" w:eastAsiaTheme="majorEastAsia" w:hAnsi="Arial"/>
                <w:spacing w:val="-4"/>
                <w:sz w:val="20"/>
              </w:rPr>
              <w:t>s</w:t>
            </w:r>
            <w:r>
              <w:rPr>
                <w:rStyle w:val="normaltextrun"/>
                <w:rFonts w:eastAsiaTheme="majorEastAsia"/>
                <w:spacing w:val="-4"/>
                <w:sz w:val="20"/>
              </w:rPr>
              <w:t xml:space="preserve">e </w:t>
            </w:r>
            <w:r w:rsidRPr="00674526">
              <w:rPr>
                <w:rStyle w:val="normaltextrun"/>
                <w:rFonts w:ascii="Arial" w:eastAsiaTheme="majorEastAsia" w:hAnsi="Arial"/>
                <w:spacing w:val="-4"/>
                <w:sz w:val="20"/>
              </w:rPr>
              <w:t>již nacházela</w:t>
            </w:r>
            <w:r>
              <w:rPr>
                <w:rStyle w:val="normaltextrun"/>
                <w:rFonts w:ascii="Arial" w:eastAsiaTheme="majorEastAsia" w:hAnsi="Arial"/>
                <w:spacing w:val="-4"/>
                <w:sz w:val="20"/>
              </w:rPr>
              <w:t xml:space="preserve"> mírně</w:t>
            </w:r>
            <w:r w:rsidRPr="00674526">
              <w:rPr>
                <w:rStyle w:val="normaltextrun"/>
                <w:rFonts w:ascii="Arial" w:eastAsiaTheme="majorEastAsia" w:hAnsi="Arial"/>
                <w:spacing w:val="-4"/>
                <w:sz w:val="20"/>
              </w:rPr>
              <w:t xml:space="preserve"> nad úrovní konjunkturního r</w:t>
            </w:r>
            <w:r>
              <w:rPr>
                <w:rStyle w:val="normaltextrun"/>
                <w:rFonts w:ascii="Arial" w:eastAsiaTheme="majorEastAsia" w:hAnsi="Arial"/>
                <w:spacing w:val="-4"/>
                <w:sz w:val="20"/>
              </w:rPr>
              <w:t>o</w:t>
            </w:r>
            <w:r w:rsidRPr="00674526">
              <w:rPr>
                <w:rStyle w:val="normaltextrun"/>
                <w:rFonts w:ascii="Arial" w:eastAsiaTheme="majorEastAsia" w:hAnsi="Arial"/>
                <w:spacing w:val="-4"/>
                <w:sz w:val="20"/>
              </w:rPr>
              <w:t>ku 2019</w:t>
            </w:r>
            <w:r>
              <w:rPr>
                <w:rStyle w:val="normaltextrun"/>
                <w:rFonts w:ascii="Arial" w:eastAsiaTheme="majorEastAsia" w:hAnsi="Arial"/>
                <w:spacing w:val="-4"/>
                <w:sz w:val="20"/>
              </w:rPr>
              <w:t xml:space="preserve">, avšak ve srovnání </w:t>
            </w:r>
            <w:r>
              <w:rPr>
                <w:rStyle w:val="normaltextrun"/>
                <w:rFonts w:ascii="Arial" w:eastAsiaTheme="majorEastAsia" w:hAnsi="Arial"/>
                <w:spacing w:val="-4"/>
                <w:sz w:val="20"/>
              </w:rPr>
              <w:br/>
              <w:t>s 2. čtvrtletím 2021</w:t>
            </w:r>
            <w:r w:rsidRPr="00674526">
              <w:rPr>
                <w:rStyle w:val="normaltextrun"/>
                <w:rFonts w:ascii="Arial" w:eastAsiaTheme="majorEastAsia" w:hAnsi="Arial"/>
                <w:spacing w:val="-4"/>
                <w:sz w:val="20"/>
              </w:rPr>
              <w:t xml:space="preserve"> </w:t>
            </w:r>
            <w:r>
              <w:rPr>
                <w:rStyle w:val="normaltextrun"/>
                <w:rFonts w:ascii="Arial" w:eastAsiaTheme="majorEastAsia" w:hAnsi="Arial"/>
                <w:spacing w:val="-4"/>
                <w:sz w:val="20"/>
              </w:rPr>
              <w:t>(</w:t>
            </w:r>
            <w:r w:rsidRPr="00F06B4E">
              <w:rPr>
                <w:rStyle w:val="normaltextrun"/>
                <w:rFonts w:ascii="Arial" w:eastAsiaTheme="majorEastAsia" w:hAnsi="Arial"/>
                <w:spacing w:val="-4"/>
                <w:sz w:val="20"/>
              </w:rPr>
              <w:t xml:space="preserve">jež stálo na pokraji silné inflační vlny) </w:t>
            </w:r>
            <w:r>
              <w:rPr>
                <w:rStyle w:val="normaltextrun"/>
                <w:rFonts w:ascii="Arial" w:eastAsiaTheme="majorEastAsia" w:hAnsi="Arial"/>
                <w:spacing w:val="-4"/>
                <w:sz w:val="20"/>
              </w:rPr>
              <w:t>stále lehce zaostávala (o 2,5 %). V případě</w:t>
            </w:r>
            <w:r w:rsidRPr="00674526">
              <w:rPr>
                <w:rStyle w:val="normaltextrun"/>
                <w:rFonts w:ascii="Arial" w:eastAsiaTheme="majorEastAsia" w:hAnsi="Arial"/>
                <w:spacing w:val="-4"/>
                <w:sz w:val="20"/>
              </w:rPr>
              <w:t xml:space="preserve"> čistých výdělků </w:t>
            </w:r>
            <w:r>
              <w:rPr>
                <w:rStyle w:val="normaltextrun"/>
                <w:rFonts w:ascii="Arial" w:eastAsiaTheme="majorEastAsia" w:hAnsi="Arial"/>
                <w:spacing w:val="-4"/>
                <w:sz w:val="20"/>
              </w:rPr>
              <w:t xml:space="preserve">ovšem již i </w:t>
            </w:r>
            <w:r w:rsidRPr="00674526">
              <w:rPr>
                <w:rStyle w:val="normaltextrun"/>
                <w:rFonts w:ascii="Arial" w:eastAsiaTheme="majorEastAsia" w:hAnsi="Arial"/>
                <w:spacing w:val="-4"/>
                <w:sz w:val="20"/>
              </w:rPr>
              <w:t>tuto úroveň patrně mírně překročila</w:t>
            </w:r>
            <w:r w:rsidRPr="002654D8">
              <w:rPr>
                <w:rStyle w:val="normaltextrun"/>
                <w:rFonts w:ascii="Arial" w:eastAsiaTheme="majorEastAsia" w:hAnsi="Arial"/>
                <w:sz w:val="20"/>
                <w:vertAlign w:val="superscript"/>
              </w:rPr>
              <w:footnoteReference w:id="104"/>
            </w:r>
            <w:r w:rsidRPr="00674526">
              <w:rPr>
                <w:rStyle w:val="normaltextrun"/>
                <w:rFonts w:ascii="Arial" w:eastAsiaTheme="majorEastAsia" w:hAnsi="Arial"/>
                <w:spacing w:val="-4"/>
                <w:sz w:val="20"/>
              </w:rPr>
              <w:t>.</w:t>
            </w:r>
          </w:p>
        </w:tc>
      </w:tr>
      <w:tr w:rsidR="00AD1119" w:rsidRPr="00016778" w14:paraId="2C995A5F" w14:textId="77777777" w:rsidTr="00E962EE">
        <w:trPr>
          <w:trHeight w:val="132"/>
        </w:trPr>
        <w:tc>
          <w:tcPr>
            <w:tcW w:w="1797" w:type="dxa"/>
            <w:tcMar>
              <w:left w:w="0" w:type="dxa"/>
            </w:tcMar>
          </w:tcPr>
          <w:p w14:paraId="2702F0E6" w14:textId="77777777" w:rsidR="00AD1119" w:rsidRDefault="00AD1119" w:rsidP="00E962EE">
            <w:pPr>
              <w:pStyle w:val="Marginlie"/>
              <w:rPr>
                <w:color w:val="0D0D0D" w:themeColor="text1" w:themeTint="F2"/>
                <w:spacing w:val="0"/>
              </w:rPr>
            </w:pPr>
            <w:r>
              <w:rPr>
                <w:color w:val="0D0D0D" w:themeColor="text1" w:themeTint="F2"/>
                <w:spacing w:val="0"/>
              </w:rPr>
              <w:t>K</w:t>
            </w:r>
            <w:r>
              <w:rPr>
                <w:color w:val="0D0D0D" w:themeColor="text1" w:themeTint="F2"/>
              </w:rPr>
              <w:t>e m</w:t>
            </w:r>
            <w:r>
              <w:rPr>
                <w:color w:val="0D0D0D" w:themeColor="text1" w:themeTint="F2"/>
                <w:spacing w:val="0"/>
              </w:rPr>
              <w:t xml:space="preserve">zdovému růstu nadále přispíval citelný nedostatek volné </w:t>
            </w:r>
            <w:r>
              <w:rPr>
                <w:color w:val="0D0D0D" w:themeColor="text1" w:themeTint="F2"/>
                <w:spacing w:val="0"/>
              </w:rPr>
              <w:lastRenderedPageBreak/>
              <w:t xml:space="preserve">pracovní síly v řadě oborů. Významnou roli měla i opatření státu prostřednictvím institutu minimální mzdy </w:t>
            </w:r>
            <w:r>
              <w:rPr>
                <w:color w:val="0D0D0D" w:themeColor="text1" w:themeTint="F2"/>
                <w:spacing w:val="0"/>
              </w:rPr>
              <w:br/>
              <w:t>i stanovení platových tabulek zaměstnanců placených z veřejných rozpočtů.</w:t>
            </w:r>
          </w:p>
        </w:tc>
        <w:tc>
          <w:tcPr>
            <w:tcW w:w="173" w:type="dxa"/>
            <w:tcMar>
              <w:left w:w="0" w:type="dxa"/>
            </w:tcMar>
          </w:tcPr>
          <w:p w14:paraId="36E08152" w14:textId="77777777" w:rsidR="00AD1119" w:rsidRPr="00016778" w:rsidRDefault="00AD1119" w:rsidP="00E962EE">
            <w:pPr>
              <w:pStyle w:val="Textpoznpodarou"/>
              <w:jc w:val="both"/>
              <w:rPr>
                <w:color w:val="0D0D0D" w:themeColor="text1" w:themeTint="F2"/>
                <w:spacing w:val="-4"/>
              </w:rPr>
            </w:pPr>
          </w:p>
        </w:tc>
        <w:tc>
          <w:tcPr>
            <w:tcW w:w="7704" w:type="dxa"/>
            <w:tcMar>
              <w:left w:w="0" w:type="dxa"/>
            </w:tcMar>
          </w:tcPr>
          <w:p w14:paraId="5DCDF17E" w14:textId="77777777" w:rsidR="00AD1119" w:rsidRPr="00F650C8" w:rsidRDefault="00AD1119" w:rsidP="00E962EE">
            <w:pPr>
              <w:pStyle w:val="paragraph"/>
              <w:spacing w:before="0" w:beforeAutospacing="0" w:after="0" w:afterAutospacing="0" w:line="276" w:lineRule="auto"/>
              <w:jc w:val="both"/>
              <w:textAlignment w:val="baseline"/>
              <w:rPr>
                <w:rFonts w:ascii="Arial" w:eastAsiaTheme="majorEastAsia" w:hAnsi="Arial" w:cs="Arial"/>
                <w:color w:val="000000"/>
                <w:sz w:val="20"/>
                <w:szCs w:val="20"/>
              </w:rPr>
            </w:pPr>
            <w:r>
              <w:rPr>
                <w:rStyle w:val="normaltextrun"/>
                <w:rFonts w:ascii="Arial" w:eastAsiaTheme="majorEastAsia" w:hAnsi="Arial" w:cs="Arial"/>
                <w:color w:val="0D0D0D" w:themeColor="text1" w:themeTint="F2"/>
                <w:sz w:val="20"/>
                <w:szCs w:val="20"/>
              </w:rPr>
              <w:t>Letošní</w:t>
            </w:r>
            <w:r w:rsidRPr="001F7396">
              <w:rPr>
                <w:rStyle w:val="normaltextrun"/>
                <w:rFonts w:ascii="Arial" w:eastAsiaTheme="majorEastAsia" w:hAnsi="Arial" w:cs="Arial"/>
                <w:color w:val="0D0D0D" w:themeColor="text1" w:themeTint="F2"/>
                <w:sz w:val="20"/>
                <w:szCs w:val="20"/>
              </w:rPr>
              <w:t xml:space="preserve"> svižný mzdový růst probíhal v prostředí mírného růstu tuzemské ekonomiky doprovázeného pouze slabým pos</w:t>
            </w:r>
            <w:r>
              <w:rPr>
                <w:rStyle w:val="normaltextrun"/>
                <w:rFonts w:ascii="Arial" w:eastAsiaTheme="majorEastAsia" w:hAnsi="Arial" w:cs="Arial"/>
                <w:color w:val="0D0D0D" w:themeColor="text1" w:themeTint="F2"/>
                <w:sz w:val="20"/>
                <w:szCs w:val="20"/>
              </w:rPr>
              <w:t>i</w:t>
            </w:r>
            <w:r w:rsidRPr="001F7396">
              <w:rPr>
                <w:rStyle w:val="normaltextrun"/>
                <w:rFonts w:ascii="Arial" w:eastAsiaTheme="majorEastAsia" w:hAnsi="Arial" w:cs="Arial"/>
                <w:color w:val="0D0D0D" w:themeColor="text1" w:themeTint="F2"/>
                <w:sz w:val="20"/>
                <w:szCs w:val="20"/>
              </w:rPr>
              <w:t>l</w:t>
            </w:r>
            <w:r>
              <w:rPr>
                <w:rStyle w:val="normaltextrun"/>
                <w:rFonts w:ascii="Arial" w:eastAsiaTheme="majorEastAsia" w:hAnsi="Arial" w:cs="Arial"/>
                <w:color w:val="0D0D0D" w:themeColor="text1" w:themeTint="F2"/>
                <w:sz w:val="20"/>
                <w:szCs w:val="20"/>
              </w:rPr>
              <w:t>ováním</w:t>
            </w:r>
            <w:r w:rsidRPr="001F7396">
              <w:rPr>
                <w:rStyle w:val="normaltextrun"/>
                <w:rFonts w:ascii="Arial" w:eastAsiaTheme="majorEastAsia" w:hAnsi="Arial" w:cs="Arial"/>
                <w:color w:val="0D0D0D" w:themeColor="text1" w:themeTint="F2"/>
                <w:sz w:val="20"/>
                <w:szCs w:val="20"/>
              </w:rPr>
              <w:t xml:space="preserve"> produktivity práce</w:t>
            </w:r>
            <w:r>
              <w:rPr>
                <w:rStyle w:val="normaltextrun"/>
                <w:rFonts w:ascii="Arial" w:eastAsiaTheme="majorEastAsia" w:hAnsi="Arial" w:cs="Arial"/>
                <w:color w:val="0D0D0D" w:themeColor="text1" w:themeTint="F2"/>
                <w:sz w:val="20"/>
                <w:szCs w:val="20"/>
              </w:rPr>
              <w:t xml:space="preserve"> (vztažené na pracovníka)</w:t>
            </w:r>
            <w:r w:rsidRPr="00903591">
              <w:rPr>
                <w:rStyle w:val="normaltextrun"/>
                <w:rFonts w:ascii="Arial" w:eastAsiaTheme="majorEastAsia" w:hAnsi="Arial" w:cs="Arial"/>
                <w:color w:val="000000"/>
                <w:sz w:val="20"/>
                <w:szCs w:val="20"/>
              </w:rPr>
              <w:t>.</w:t>
            </w:r>
            <w:r>
              <w:rPr>
                <w:rStyle w:val="normaltextrun"/>
                <w:rFonts w:ascii="Arial" w:eastAsiaTheme="majorEastAsia" w:hAnsi="Arial" w:cs="Arial"/>
                <w:color w:val="000000"/>
                <w:sz w:val="20"/>
                <w:szCs w:val="20"/>
              </w:rPr>
              <w:t xml:space="preserve">    </w:t>
            </w:r>
            <w:r w:rsidRPr="00903591">
              <w:rPr>
                <w:rStyle w:val="normaltextrun"/>
                <w:rFonts w:ascii="Arial" w:eastAsiaTheme="majorEastAsia" w:hAnsi="Arial" w:cs="Arial"/>
                <w:color w:val="000000"/>
                <w:sz w:val="20"/>
                <w:szCs w:val="20"/>
              </w:rPr>
              <w:t xml:space="preserve"> </w:t>
            </w:r>
            <w:r>
              <w:rPr>
                <w:rStyle w:val="normaltextrun"/>
                <w:rFonts w:ascii="Arial" w:eastAsiaTheme="majorEastAsia" w:hAnsi="Arial" w:cs="Arial"/>
                <w:color w:val="000000"/>
                <w:sz w:val="20"/>
                <w:szCs w:val="20"/>
              </w:rPr>
              <w:lastRenderedPageBreak/>
              <w:t xml:space="preserve">Důležitou roli hrály přetrvávající nerovnováhy na trhu práce spočívající zejména </w:t>
            </w:r>
            <w:r>
              <w:rPr>
                <w:rStyle w:val="normaltextrun"/>
                <w:rFonts w:ascii="Arial" w:eastAsiaTheme="majorEastAsia" w:hAnsi="Arial" w:cs="Arial"/>
                <w:color w:val="000000"/>
                <w:sz w:val="20"/>
                <w:szCs w:val="20"/>
              </w:rPr>
              <w:br/>
              <w:t>v</w:t>
            </w:r>
            <w:r w:rsidRPr="00903591">
              <w:rPr>
                <w:rStyle w:val="normaltextrun"/>
                <w:rFonts w:ascii="Arial" w:eastAsiaTheme="majorEastAsia" w:hAnsi="Arial" w:cs="Arial"/>
                <w:color w:val="000000"/>
                <w:sz w:val="20"/>
                <w:szCs w:val="20"/>
              </w:rPr>
              <w:t xml:space="preserve"> </w:t>
            </w:r>
            <w:r>
              <w:rPr>
                <w:rStyle w:val="normaltextrun"/>
                <w:rFonts w:ascii="Arial" w:eastAsiaTheme="majorEastAsia" w:hAnsi="Arial" w:cs="Arial"/>
                <w:color w:val="000000"/>
                <w:sz w:val="20"/>
                <w:szCs w:val="20"/>
              </w:rPr>
              <w:t>dlouhodobějším</w:t>
            </w:r>
            <w:r w:rsidRPr="00903591">
              <w:rPr>
                <w:rStyle w:val="normaltextrun"/>
                <w:rFonts w:ascii="Arial" w:eastAsiaTheme="majorEastAsia" w:hAnsi="Arial" w:cs="Arial"/>
                <w:color w:val="000000"/>
                <w:sz w:val="20"/>
                <w:szCs w:val="20"/>
              </w:rPr>
              <w:t xml:space="preserve"> nedostatk</w:t>
            </w:r>
            <w:r>
              <w:rPr>
                <w:rStyle w:val="normaltextrun"/>
                <w:rFonts w:ascii="Arial" w:eastAsiaTheme="majorEastAsia" w:hAnsi="Arial" w:cs="Arial"/>
                <w:color w:val="000000"/>
                <w:sz w:val="20"/>
                <w:szCs w:val="20"/>
              </w:rPr>
              <w:t>u</w:t>
            </w:r>
            <w:r w:rsidRPr="00903591">
              <w:rPr>
                <w:rStyle w:val="normaltextrun"/>
                <w:rFonts w:ascii="Arial" w:eastAsiaTheme="majorEastAsia" w:hAnsi="Arial" w:cs="Arial"/>
                <w:color w:val="000000"/>
                <w:sz w:val="20"/>
                <w:szCs w:val="20"/>
              </w:rPr>
              <w:t xml:space="preserve"> volné pracovní síly, </w:t>
            </w:r>
            <w:r>
              <w:rPr>
                <w:rStyle w:val="normaltextrun"/>
                <w:rFonts w:ascii="Arial" w:eastAsiaTheme="majorEastAsia" w:hAnsi="Arial" w:cs="Arial"/>
                <w:color w:val="000000"/>
                <w:sz w:val="20"/>
                <w:szCs w:val="20"/>
              </w:rPr>
              <w:t xml:space="preserve">jenž je </w:t>
            </w:r>
            <w:r w:rsidRPr="00903591">
              <w:rPr>
                <w:rStyle w:val="normaltextrun"/>
                <w:rFonts w:ascii="Arial" w:eastAsiaTheme="majorEastAsia" w:hAnsi="Arial" w:cs="Arial"/>
                <w:color w:val="000000"/>
                <w:sz w:val="20"/>
                <w:szCs w:val="20"/>
              </w:rPr>
              <w:t>nejvíce viditeln</w:t>
            </w:r>
            <w:r>
              <w:rPr>
                <w:rStyle w:val="normaltextrun"/>
                <w:rFonts w:ascii="Arial" w:eastAsiaTheme="majorEastAsia" w:hAnsi="Arial" w:cs="Arial"/>
                <w:color w:val="000000"/>
                <w:sz w:val="20"/>
                <w:szCs w:val="20"/>
              </w:rPr>
              <w:t>ý</w:t>
            </w:r>
            <w:r w:rsidRPr="00903591">
              <w:rPr>
                <w:rStyle w:val="normaltextrun"/>
                <w:rFonts w:ascii="Arial" w:eastAsiaTheme="majorEastAsia" w:hAnsi="Arial" w:cs="Arial"/>
                <w:color w:val="000000"/>
                <w:sz w:val="20"/>
                <w:szCs w:val="20"/>
              </w:rPr>
              <w:t xml:space="preserve"> ve stavebnictví, ale i </w:t>
            </w:r>
            <w:r>
              <w:rPr>
                <w:rStyle w:val="normaltextrun"/>
                <w:rFonts w:ascii="Arial" w:eastAsiaTheme="majorEastAsia" w:hAnsi="Arial" w:cs="Arial"/>
                <w:color w:val="000000"/>
                <w:sz w:val="20"/>
                <w:szCs w:val="20"/>
              </w:rPr>
              <w:t>v řadě oblastí</w:t>
            </w:r>
            <w:r w:rsidRPr="00903591">
              <w:rPr>
                <w:rStyle w:val="normaltextrun"/>
                <w:rFonts w:ascii="Arial" w:eastAsiaTheme="majorEastAsia" w:hAnsi="Arial" w:cs="Arial"/>
                <w:color w:val="000000"/>
                <w:sz w:val="20"/>
                <w:szCs w:val="20"/>
              </w:rPr>
              <w:t xml:space="preserve"> služ</w:t>
            </w:r>
            <w:r>
              <w:rPr>
                <w:rStyle w:val="normaltextrun"/>
                <w:rFonts w:ascii="Arial" w:eastAsiaTheme="majorEastAsia" w:hAnsi="Arial" w:cs="Arial"/>
                <w:color w:val="000000"/>
                <w:sz w:val="20"/>
                <w:szCs w:val="20"/>
              </w:rPr>
              <w:t>eb</w:t>
            </w:r>
            <w:r w:rsidRPr="00903591">
              <w:rPr>
                <w:rStyle w:val="normaltextrun"/>
                <w:rFonts w:ascii="Arial" w:eastAsiaTheme="majorEastAsia" w:hAnsi="Arial" w:cs="Arial"/>
                <w:color w:val="000000"/>
                <w:sz w:val="20"/>
                <w:szCs w:val="20"/>
              </w:rPr>
              <w:t xml:space="preserve"> (např. v</w:t>
            </w:r>
            <w:r>
              <w:rPr>
                <w:rStyle w:val="normaltextrun"/>
                <w:rFonts w:ascii="Arial" w:eastAsiaTheme="majorEastAsia" w:hAnsi="Arial" w:cs="Arial"/>
                <w:color w:val="000000"/>
                <w:sz w:val="20"/>
                <w:szCs w:val="20"/>
              </w:rPr>
              <w:t> </w:t>
            </w:r>
            <w:r w:rsidRPr="00903591">
              <w:rPr>
                <w:rStyle w:val="normaltextrun"/>
                <w:rFonts w:ascii="Arial" w:eastAsiaTheme="majorEastAsia" w:hAnsi="Arial" w:cs="Arial"/>
                <w:color w:val="000000"/>
                <w:sz w:val="20"/>
                <w:szCs w:val="20"/>
              </w:rPr>
              <w:t>dopravě</w:t>
            </w:r>
            <w:r>
              <w:rPr>
                <w:rStyle w:val="normaltextrun"/>
                <w:rFonts w:ascii="Arial" w:eastAsiaTheme="majorEastAsia" w:hAnsi="Arial" w:cs="Arial"/>
                <w:color w:val="000000"/>
                <w:sz w:val="20"/>
                <w:szCs w:val="20"/>
              </w:rPr>
              <w:t xml:space="preserve"> či pohostinství</w:t>
            </w:r>
            <w:r w:rsidRPr="00903591">
              <w:rPr>
                <w:rStyle w:val="normaltextrun"/>
                <w:rFonts w:ascii="Arial" w:eastAsiaTheme="majorEastAsia" w:hAnsi="Arial" w:cs="Arial"/>
                <w:color w:val="000000"/>
                <w:sz w:val="20"/>
                <w:szCs w:val="20"/>
              </w:rPr>
              <w:t>)</w:t>
            </w:r>
            <w:r>
              <w:rPr>
                <w:rStyle w:val="normaltextrun"/>
                <w:rFonts w:ascii="Arial" w:eastAsiaTheme="majorEastAsia" w:hAnsi="Arial" w:cs="Arial"/>
                <w:color w:val="000000"/>
                <w:sz w:val="20"/>
                <w:szCs w:val="20"/>
              </w:rPr>
              <w:t>, což stimuluje další růst nominálních výdělků. Podobně působí i doznívající vliv silného růstu spotřebitelských cen i ziskovosti firem v období l</w:t>
            </w:r>
            <w:r>
              <w:rPr>
                <w:rStyle w:val="normaltextrun"/>
                <w:rFonts w:eastAsiaTheme="majorEastAsia"/>
                <w:color w:val="000000"/>
                <w:sz w:val="20"/>
                <w:szCs w:val="20"/>
              </w:rPr>
              <w:t xml:space="preserve">et </w:t>
            </w:r>
            <w:r>
              <w:rPr>
                <w:rStyle w:val="normaltextrun"/>
                <w:rFonts w:ascii="Arial" w:eastAsiaTheme="majorEastAsia" w:hAnsi="Arial" w:cs="Arial"/>
                <w:color w:val="000000"/>
                <w:sz w:val="20"/>
                <w:szCs w:val="20"/>
              </w:rPr>
              <w:t xml:space="preserve">2022 až 2023, jenž se promítá do zvýšených mzdových požadavků zaměstnanců. </w:t>
            </w:r>
            <w:r w:rsidRPr="00903591">
              <w:rPr>
                <w:rStyle w:val="normaltextrun"/>
                <w:rFonts w:ascii="Arial" w:eastAsiaTheme="majorEastAsia" w:hAnsi="Arial" w:cs="Arial"/>
                <w:color w:val="000000"/>
                <w:sz w:val="20"/>
                <w:szCs w:val="20"/>
              </w:rPr>
              <w:t>Vzhledem k</w:t>
            </w:r>
            <w:r>
              <w:rPr>
                <w:rStyle w:val="normaltextrun"/>
                <w:rFonts w:ascii="Arial" w:eastAsiaTheme="majorEastAsia" w:hAnsi="Arial" w:cs="Arial"/>
                <w:color w:val="000000"/>
                <w:sz w:val="20"/>
                <w:szCs w:val="20"/>
              </w:rPr>
              <w:t> </w:t>
            </w:r>
            <w:r w:rsidRPr="00903591">
              <w:rPr>
                <w:rStyle w:val="normaltextrun"/>
                <w:rFonts w:ascii="Arial" w:eastAsiaTheme="majorEastAsia" w:hAnsi="Arial" w:cs="Arial"/>
                <w:color w:val="000000"/>
                <w:sz w:val="20"/>
                <w:szCs w:val="20"/>
              </w:rPr>
              <w:t>přetrvávající</w:t>
            </w:r>
            <w:r>
              <w:rPr>
                <w:rStyle w:val="normaltextrun"/>
                <w:rFonts w:ascii="Arial" w:eastAsiaTheme="majorEastAsia" w:hAnsi="Arial" w:cs="Arial"/>
                <w:color w:val="000000"/>
                <w:sz w:val="20"/>
                <w:szCs w:val="20"/>
              </w:rPr>
              <w:t xml:space="preserve"> relativně</w:t>
            </w:r>
            <w:r w:rsidRPr="00903591">
              <w:rPr>
                <w:rStyle w:val="normaltextrun"/>
                <w:rFonts w:ascii="Arial" w:eastAsiaTheme="majorEastAsia" w:hAnsi="Arial" w:cs="Arial"/>
                <w:color w:val="000000"/>
                <w:sz w:val="20"/>
                <w:szCs w:val="20"/>
              </w:rPr>
              <w:t xml:space="preserve"> nízké nezaměstnanosti (i </w:t>
            </w:r>
            <w:r>
              <w:rPr>
                <w:rStyle w:val="normaltextrun"/>
                <w:rFonts w:ascii="Arial" w:eastAsiaTheme="majorEastAsia" w:hAnsi="Arial" w:cs="Arial"/>
                <w:color w:val="000000"/>
                <w:sz w:val="20"/>
                <w:szCs w:val="20"/>
              </w:rPr>
              <w:t xml:space="preserve">k </w:t>
            </w:r>
            <w:r w:rsidRPr="00903591">
              <w:rPr>
                <w:rStyle w:val="normaltextrun"/>
                <w:rFonts w:ascii="Arial" w:eastAsiaTheme="majorEastAsia" w:hAnsi="Arial" w:cs="Arial"/>
                <w:color w:val="000000"/>
                <w:sz w:val="20"/>
                <w:szCs w:val="20"/>
              </w:rPr>
              <w:t>jej</w:t>
            </w:r>
            <w:r>
              <w:rPr>
                <w:rStyle w:val="normaltextrun"/>
                <w:rFonts w:ascii="Arial" w:eastAsiaTheme="majorEastAsia" w:hAnsi="Arial" w:cs="Arial"/>
                <w:color w:val="000000"/>
                <w:sz w:val="20"/>
                <w:szCs w:val="20"/>
              </w:rPr>
              <w:t>ímu</w:t>
            </w:r>
            <w:r w:rsidRPr="00903591">
              <w:rPr>
                <w:rStyle w:val="normaltextrun"/>
                <w:rFonts w:ascii="Arial" w:eastAsiaTheme="majorEastAsia" w:hAnsi="Arial" w:cs="Arial"/>
                <w:color w:val="000000"/>
                <w:sz w:val="20"/>
                <w:szCs w:val="20"/>
              </w:rPr>
              <w:t xml:space="preserve"> </w:t>
            </w:r>
            <w:r>
              <w:rPr>
                <w:rStyle w:val="normaltextrun"/>
                <w:rFonts w:ascii="Arial" w:eastAsiaTheme="majorEastAsia" w:hAnsi="Arial" w:cs="Arial"/>
                <w:color w:val="000000"/>
                <w:sz w:val="20"/>
                <w:szCs w:val="20"/>
              </w:rPr>
              <w:t xml:space="preserve">vcelku </w:t>
            </w:r>
            <w:r w:rsidRPr="00903591">
              <w:rPr>
                <w:rStyle w:val="normaltextrun"/>
                <w:rFonts w:ascii="Arial" w:eastAsiaTheme="majorEastAsia" w:hAnsi="Arial" w:cs="Arial"/>
                <w:color w:val="000000"/>
                <w:sz w:val="20"/>
                <w:szCs w:val="20"/>
              </w:rPr>
              <w:t>stabilní</w:t>
            </w:r>
            <w:r>
              <w:rPr>
                <w:rStyle w:val="normaltextrun"/>
                <w:rFonts w:ascii="Arial" w:eastAsiaTheme="majorEastAsia" w:hAnsi="Arial" w:cs="Arial"/>
                <w:color w:val="000000"/>
                <w:sz w:val="20"/>
                <w:szCs w:val="20"/>
              </w:rPr>
              <w:t>mu</w:t>
            </w:r>
            <w:r w:rsidRPr="00903591">
              <w:rPr>
                <w:rStyle w:val="normaltextrun"/>
                <w:rFonts w:ascii="Arial" w:eastAsiaTheme="majorEastAsia" w:hAnsi="Arial" w:cs="Arial"/>
                <w:color w:val="000000"/>
                <w:sz w:val="20"/>
                <w:szCs w:val="20"/>
              </w:rPr>
              <w:t xml:space="preserve"> výhled</w:t>
            </w:r>
            <w:r>
              <w:rPr>
                <w:rStyle w:val="normaltextrun"/>
                <w:rFonts w:ascii="Arial" w:eastAsiaTheme="majorEastAsia" w:hAnsi="Arial" w:cs="Arial"/>
                <w:color w:val="000000"/>
                <w:sz w:val="20"/>
                <w:szCs w:val="20"/>
              </w:rPr>
              <w:t>u</w:t>
            </w:r>
            <w:r w:rsidRPr="00903591">
              <w:rPr>
                <w:rStyle w:val="normaltextrun"/>
                <w:rFonts w:ascii="Arial" w:eastAsiaTheme="majorEastAsia" w:hAnsi="Arial" w:cs="Arial"/>
                <w:color w:val="000000"/>
                <w:sz w:val="20"/>
                <w:szCs w:val="20"/>
              </w:rPr>
              <w:t xml:space="preserve"> na nejbližší období) </w:t>
            </w:r>
            <w:r>
              <w:rPr>
                <w:rStyle w:val="normaltextrun"/>
                <w:rFonts w:ascii="Arial" w:eastAsiaTheme="majorEastAsia" w:hAnsi="Arial" w:cs="Arial"/>
                <w:color w:val="000000"/>
                <w:sz w:val="20"/>
                <w:szCs w:val="20"/>
              </w:rPr>
              <w:br/>
            </w:r>
            <w:r w:rsidRPr="00903591">
              <w:rPr>
                <w:rStyle w:val="normaltextrun"/>
                <w:rFonts w:ascii="Arial" w:eastAsiaTheme="majorEastAsia" w:hAnsi="Arial" w:cs="Arial"/>
                <w:color w:val="000000"/>
                <w:sz w:val="20"/>
                <w:szCs w:val="20"/>
              </w:rPr>
              <w:t>a</w:t>
            </w:r>
            <w:r>
              <w:rPr>
                <w:rStyle w:val="normaltextrun"/>
                <w:rFonts w:ascii="Arial" w:eastAsiaTheme="majorEastAsia" w:hAnsi="Arial" w:cs="Arial"/>
                <w:color w:val="000000"/>
                <w:sz w:val="20"/>
                <w:szCs w:val="20"/>
              </w:rPr>
              <w:t xml:space="preserve"> absenci výrazněji akcentovaných </w:t>
            </w:r>
            <w:r w:rsidRPr="00903591">
              <w:rPr>
                <w:rStyle w:val="normaltextrun"/>
                <w:rFonts w:ascii="Arial" w:eastAsiaTheme="majorEastAsia" w:hAnsi="Arial" w:cs="Arial"/>
                <w:color w:val="000000"/>
                <w:sz w:val="20"/>
                <w:szCs w:val="20"/>
              </w:rPr>
              <w:t>obav domácností z jejího růstu m</w:t>
            </w:r>
            <w:r>
              <w:rPr>
                <w:rStyle w:val="normaltextrun"/>
                <w:rFonts w:ascii="Arial" w:eastAsiaTheme="majorEastAsia" w:hAnsi="Arial" w:cs="Arial"/>
                <w:color w:val="000000"/>
                <w:sz w:val="20"/>
                <w:szCs w:val="20"/>
              </w:rPr>
              <w:t>ohlo</w:t>
            </w:r>
            <w:r w:rsidRPr="00903591">
              <w:rPr>
                <w:rStyle w:val="normaltextrun"/>
                <w:rFonts w:ascii="Arial" w:eastAsiaTheme="majorEastAsia" w:hAnsi="Arial" w:cs="Arial"/>
                <w:color w:val="000000"/>
                <w:sz w:val="20"/>
                <w:szCs w:val="20"/>
              </w:rPr>
              <w:t xml:space="preserve"> docházet k větší fluktuaci pracovníků</w:t>
            </w:r>
            <w:r>
              <w:rPr>
                <w:rStyle w:val="normaltextrun"/>
                <w:rFonts w:ascii="Arial" w:eastAsiaTheme="majorEastAsia" w:hAnsi="Arial" w:cs="Arial"/>
                <w:color w:val="000000"/>
                <w:sz w:val="20"/>
                <w:szCs w:val="20"/>
              </w:rPr>
              <w:t xml:space="preserve"> (vlivem zvýšené</w:t>
            </w:r>
            <w:r w:rsidRPr="00903591">
              <w:rPr>
                <w:rStyle w:val="normaltextrun"/>
                <w:rFonts w:ascii="Arial" w:eastAsiaTheme="majorEastAsia" w:hAnsi="Arial" w:cs="Arial"/>
                <w:color w:val="000000"/>
                <w:sz w:val="20"/>
                <w:szCs w:val="20"/>
              </w:rPr>
              <w:t xml:space="preserve"> motiv</w:t>
            </w:r>
            <w:r>
              <w:rPr>
                <w:rStyle w:val="normaltextrun"/>
                <w:rFonts w:ascii="Arial" w:eastAsiaTheme="majorEastAsia" w:hAnsi="Arial" w:cs="Arial"/>
                <w:color w:val="000000"/>
                <w:sz w:val="20"/>
                <w:szCs w:val="20"/>
              </w:rPr>
              <w:t>ace</w:t>
            </w:r>
            <w:r w:rsidRPr="00903591">
              <w:rPr>
                <w:rStyle w:val="normaltextrun"/>
                <w:rFonts w:ascii="Arial" w:eastAsiaTheme="majorEastAsia" w:hAnsi="Arial" w:cs="Arial"/>
                <w:color w:val="000000"/>
                <w:sz w:val="20"/>
                <w:szCs w:val="20"/>
              </w:rPr>
              <w:t xml:space="preserve"> ke změně pracovního místa s vidinou vyššího výdělku</w:t>
            </w:r>
            <w:r>
              <w:rPr>
                <w:rStyle w:val="normaltextrun"/>
                <w:rFonts w:ascii="Arial" w:eastAsiaTheme="majorEastAsia" w:hAnsi="Arial" w:cs="Arial"/>
                <w:color w:val="000000"/>
                <w:sz w:val="20"/>
                <w:szCs w:val="20"/>
              </w:rPr>
              <w:t>).</w:t>
            </w:r>
            <w:r w:rsidRPr="00903591">
              <w:rPr>
                <w:rStyle w:val="normaltextrun"/>
                <w:rFonts w:ascii="Arial" w:eastAsiaTheme="majorEastAsia" w:hAnsi="Arial" w:cs="Arial"/>
                <w:color w:val="000000"/>
                <w:sz w:val="20"/>
                <w:szCs w:val="20"/>
              </w:rPr>
              <w:t xml:space="preserve"> </w:t>
            </w:r>
            <w:r w:rsidRPr="00F650C8">
              <w:rPr>
                <w:rStyle w:val="normaltextrun"/>
                <w:rFonts w:ascii="Arial" w:eastAsiaTheme="majorEastAsia" w:hAnsi="Arial" w:cs="Arial"/>
                <w:color w:val="000000"/>
                <w:sz w:val="20"/>
                <w:szCs w:val="20"/>
              </w:rPr>
              <w:t xml:space="preserve">Na mzdový vývoj působila také aktivita státu </w:t>
            </w:r>
            <w:r w:rsidRPr="00F650C8">
              <w:rPr>
                <w:rFonts w:ascii="Arial" w:hAnsi="Arial" w:cs="Arial"/>
                <w:color w:val="0D0D0D" w:themeColor="text1" w:themeTint="F2"/>
                <w:spacing w:val="-4"/>
                <w:sz w:val="20"/>
                <w:szCs w:val="20"/>
              </w:rPr>
              <w:t>–</w:t>
            </w:r>
            <w:r w:rsidRPr="00F650C8">
              <w:rPr>
                <w:rStyle w:val="normaltextrun"/>
                <w:rFonts w:ascii="Arial" w:eastAsiaTheme="majorEastAsia" w:hAnsi="Arial" w:cs="Arial"/>
                <w:color w:val="000000"/>
                <w:sz w:val="20"/>
                <w:szCs w:val="20"/>
              </w:rPr>
              <w:t xml:space="preserve"> jednak prostřednictvím poměrně svižného plynulého navyšování </w:t>
            </w:r>
            <w:r w:rsidRPr="004B7534">
              <w:rPr>
                <w:rStyle w:val="normaltextrun"/>
                <w:rFonts w:ascii="Arial" w:eastAsiaTheme="majorEastAsia" w:hAnsi="Arial" w:cs="Arial"/>
                <w:color w:val="000000"/>
                <w:sz w:val="20"/>
                <w:szCs w:val="20"/>
              </w:rPr>
              <w:t>minimální mzdy</w:t>
            </w:r>
            <w:r w:rsidRPr="004B7534">
              <w:rPr>
                <w:rStyle w:val="normaltextrun"/>
                <w:rFonts w:ascii="Arial" w:eastAsiaTheme="majorEastAsia" w:hAnsi="Arial" w:cs="Arial"/>
                <w:sz w:val="20"/>
                <w:szCs w:val="20"/>
                <w:vertAlign w:val="superscript"/>
              </w:rPr>
              <w:footnoteReference w:id="105"/>
            </w:r>
            <w:r w:rsidRPr="004B7534">
              <w:rPr>
                <w:rStyle w:val="normaltextrun"/>
                <w:rFonts w:ascii="Arial" w:eastAsiaTheme="majorEastAsia" w:hAnsi="Arial" w:cs="Arial"/>
                <w:color w:val="000000"/>
                <w:sz w:val="20"/>
                <w:szCs w:val="20"/>
              </w:rPr>
              <w:t xml:space="preserve"> a</w:t>
            </w:r>
            <w:r w:rsidRPr="00F650C8">
              <w:rPr>
                <w:rStyle w:val="normaltextrun"/>
                <w:rFonts w:ascii="Arial" w:eastAsiaTheme="majorEastAsia" w:hAnsi="Arial" w:cs="Arial"/>
                <w:color w:val="000000"/>
                <w:sz w:val="20"/>
                <w:szCs w:val="20"/>
              </w:rPr>
              <w:t xml:space="preserve"> dále zejména </w:t>
            </w:r>
            <w:r>
              <w:rPr>
                <w:rStyle w:val="normaltextrun"/>
                <w:rFonts w:ascii="Arial" w:eastAsiaTheme="majorEastAsia" w:hAnsi="Arial" w:cs="Arial"/>
                <w:color w:val="000000"/>
                <w:sz w:val="20"/>
                <w:szCs w:val="20"/>
              </w:rPr>
              <w:t>r</w:t>
            </w:r>
            <w:r w:rsidRPr="004B7534">
              <w:rPr>
                <w:rStyle w:val="normaltextrun"/>
                <w:rFonts w:ascii="Arial" w:eastAsiaTheme="majorEastAsia" w:hAnsi="Arial" w:cs="Arial"/>
                <w:color w:val="000000"/>
                <w:sz w:val="20"/>
                <w:szCs w:val="20"/>
              </w:rPr>
              <w:t>ůstem platů ve veřejném sektoru</w:t>
            </w:r>
            <w:r>
              <w:rPr>
                <w:rStyle w:val="normaltextrun"/>
                <w:rFonts w:ascii="Arial" w:eastAsiaTheme="majorEastAsia" w:hAnsi="Arial" w:cs="Arial"/>
                <w:color w:val="000000"/>
                <w:sz w:val="20"/>
                <w:szCs w:val="20"/>
              </w:rPr>
              <w:t xml:space="preserve"> (ten bývá v posledních letech zpravidla výrazněji diferencovaný z hlediska různých oblastí veřejných služeb a také různého načasování v rámci roku</w:t>
            </w:r>
            <w:r>
              <w:rPr>
                <w:rStyle w:val="Znakapoznpodarou"/>
                <w:rFonts w:ascii="Arial" w:eastAsiaTheme="majorEastAsia" w:hAnsi="Arial"/>
                <w:color w:val="000000"/>
                <w:sz w:val="20"/>
                <w:szCs w:val="20"/>
              </w:rPr>
              <w:footnoteReference w:id="106"/>
            </w:r>
            <w:r>
              <w:rPr>
                <w:rStyle w:val="normaltextrun"/>
                <w:rFonts w:ascii="Arial" w:eastAsiaTheme="majorEastAsia" w:hAnsi="Arial" w:cs="Arial"/>
                <w:color w:val="000000"/>
                <w:sz w:val="20"/>
                <w:szCs w:val="20"/>
              </w:rPr>
              <w:t>).</w:t>
            </w:r>
          </w:p>
          <w:p w14:paraId="40B64C49" w14:textId="77777777" w:rsidR="00AD1119" w:rsidRPr="00903591" w:rsidRDefault="00AD1119" w:rsidP="00E962EE">
            <w:pPr>
              <w:pStyle w:val="paragraph"/>
              <w:spacing w:before="0" w:beforeAutospacing="0" w:after="0" w:afterAutospacing="0" w:line="276" w:lineRule="auto"/>
              <w:jc w:val="both"/>
              <w:textAlignment w:val="baseline"/>
              <w:rPr>
                <w:rStyle w:val="normaltextrun"/>
                <w:rFonts w:ascii="Arial" w:eastAsiaTheme="majorEastAsia" w:hAnsi="Arial" w:cs="Arial"/>
                <w:color w:val="000000"/>
                <w:sz w:val="20"/>
                <w:szCs w:val="20"/>
              </w:rPr>
            </w:pPr>
          </w:p>
        </w:tc>
      </w:tr>
      <w:tr w:rsidR="00AD1119" w:rsidRPr="00016778" w14:paraId="2EE6A2DC" w14:textId="77777777" w:rsidTr="00E962EE">
        <w:trPr>
          <w:trHeight w:val="132"/>
        </w:trPr>
        <w:tc>
          <w:tcPr>
            <w:tcW w:w="1797" w:type="dxa"/>
            <w:tcMar>
              <w:left w:w="0" w:type="dxa"/>
            </w:tcMar>
          </w:tcPr>
          <w:p w14:paraId="122CBDCA" w14:textId="77777777" w:rsidR="00AD1119" w:rsidRDefault="00AD1119" w:rsidP="00E962EE">
            <w:pPr>
              <w:pStyle w:val="Marginlie"/>
              <w:rPr>
                <w:color w:val="0D0D0D" w:themeColor="text1" w:themeTint="F2"/>
                <w:spacing w:val="0"/>
              </w:rPr>
            </w:pPr>
            <w:r>
              <w:rPr>
                <w:color w:val="0D0D0D" w:themeColor="text1" w:themeTint="F2"/>
                <w:spacing w:val="0"/>
              </w:rPr>
              <w:lastRenderedPageBreak/>
              <w:t xml:space="preserve">Vysoký mzdový růst v administrativních </w:t>
            </w:r>
            <w:r>
              <w:rPr>
                <w:color w:val="0D0D0D" w:themeColor="text1" w:themeTint="F2"/>
                <w:spacing w:val="0"/>
              </w:rPr>
              <w:br/>
              <w:t xml:space="preserve">a podpůrných činnostech pokračoval druhým rokem v řadě. Svižný růst byl patrný i v řadě </w:t>
            </w:r>
            <w:r w:rsidRPr="000603B7">
              <w:rPr>
                <w:color w:val="0D0D0D" w:themeColor="text1" w:themeTint="F2"/>
                <w:spacing w:val="-4"/>
              </w:rPr>
              <w:t xml:space="preserve">dalších </w:t>
            </w:r>
            <w:proofErr w:type="spellStart"/>
            <w:r w:rsidRPr="000603B7">
              <w:rPr>
                <w:color w:val="0D0D0D" w:themeColor="text1" w:themeTint="F2"/>
                <w:spacing w:val="-4"/>
              </w:rPr>
              <w:t>nízkovýdělečných</w:t>
            </w:r>
            <w:proofErr w:type="spellEnd"/>
            <w:r>
              <w:rPr>
                <w:color w:val="0D0D0D" w:themeColor="text1" w:themeTint="F2"/>
                <w:spacing w:val="0"/>
              </w:rPr>
              <w:t xml:space="preserve"> odvětví.</w:t>
            </w:r>
          </w:p>
          <w:p w14:paraId="5979A89A" w14:textId="77777777" w:rsidR="00AD1119" w:rsidRDefault="00AD1119" w:rsidP="00E962EE">
            <w:pPr>
              <w:pStyle w:val="Marginlie"/>
              <w:rPr>
                <w:color w:val="0D0D0D" w:themeColor="text1" w:themeTint="F2"/>
                <w:spacing w:val="0"/>
              </w:rPr>
            </w:pPr>
          </w:p>
          <w:p w14:paraId="2B45FAF5" w14:textId="77777777" w:rsidR="00AD1119" w:rsidRDefault="00AD1119" w:rsidP="00E962EE">
            <w:pPr>
              <w:pStyle w:val="Marginlie"/>
              <w:rPr>
                <w:color w:val="0D0D0D" w:themeColor="text1" w:themeTint="F2"/>
                <w:spacing w:val="0"/>
              </w:rPr>
            </w:pPr>
          </w:p>
          <w:p w14:paraId="36B948C5" w14:textId="77777777" w:rsidR="00AD1119" w:rsidRDefault="00AD1119" w:rsidP="00E962EE">
            <w:pPr>
              <w:pStyle w:val="Marginlie"/>
              <w:rPr>
                <w:color w:val="0D0D0D" w:themeColor="text1" w:themeTint="F2"/>
                <w:spacing w:val="0"/>
              </w:rPr>
            </w:pPr>
          </w:p>
          <w:p w14:paraId="7D297725" w14:textId="77777777" w:rsidR="00AD1119" w:rsidRDefault="00AD1119" w:rsidP="00E962EE">
            <w:pPr>
              <w:pStyle w:val="Marginlie"/>
              <w:rPr>
                <w:color w:val="0D0D0D" w:themeColor="text1" w:themeTint="F2"/>
                <w:spacing w:val="0"/>
              </w:rPr>
            </w:pPr>
          </w:p>
          <w:p w14:paraId="3ACCAE84" w14:textId="77777777" w:rsidR="00AD1119" w:rsidRDefault="00AD1119" w:rsidP="00E962EE">
            <w:pPr>
              <w:pStyle w:val="Marginlie"/>
              <w:rPr>
                <w:color w:val="0D0D0D" w:themeColor="text1" w:themeTint="F2"/>
                <w:spacing w:val="0"/>
              </w:rPr>
            </w:pPr>
          </w:p>
          <w:p w14:paraId="594FE354" w14:textId="77777777" w:rsidR="00AD1119" w:rsidRDefault="00AD1119" w:rsidP="00E962EE">
            <w:pPr>
              <w:pStyle w:val="Marginlie"/>
              <w:rPr>
                <w:color w:val="0D0D0D" w:themeColor="text1" w:themeTint="F2"/>
                <w:spacing w:val="0"/>
              </w:rPr>
            </w:pPr>
          </w:p>
          <w:p w14:paraId="68D10480" w14:textId="77777777" w:rsidR="00AD1119" w:rsidRDefault="00AD1119" w:rsidP="00E962EE">
            <w:pPr>
              <w:pStyle w:val="Marginlie"/>
              <w:rPr>
                <w:color w:val="0D0D0D" w:themeColor="text1" w:themeTint="F2"/>
                <w:spacing w:val="0"/>
              </w:rPr>
            </w:pPr>
          </w:p>
          <w:p w14:paraId="35A68D6C" w14:textId="77777777" w:rsidR="00AD1119" w:rsidRDefault="00AD1119" w:rsidP="00E962EE">
            <w:pPr>
              <w:pStyle w:val="Marginlie"/>
              <w:rPr>
                <w:color w:val="0D0D0D" w:themeColor="text1" w:themeTint="F2"/>
                <w:spacing w:val="0"/>
              </w:rPr>
            </w:pPr>
            <w:r>
              <w:rPr>
                <w:color w:val="0D0D0D" w:themeColor="text1" w:themeTint="F2"/>
                <w:spacing w:val="0"/>
              </w:rPr>
              <w:t xml:space="preserve">Nejvyšší mzdovou úroveň mezi odvětvími si i přes pokles zaměstnanosti udržely informační </w:t>
            </w:r>
            <w:r>
              <w:rPr>
                <w:color w:val="0D0D0D" w:themeColor="text1" w:themeTint="F2"/>
                <w:spacing w:val="0"/>
              </w:rPr>
              <w:br/>
              <w:t xml:space="preserve">a komunikační činnosti. </w:t>
            </w:r>
          </w:p>
        </w:tc>
        <w:tc>
          <w:tcPr>
            <w:tcW w:w="173" w:type="dxa"/>
            <w:tcMar>
              <w:left w:w="0" w:type="dxa"/>
            </w:tcMar>
          </w:tcPr>
          <w:p w14:paraId="518C49CA" w14:textId="77777777" w:rsidR="00AD1119" w:rsidRPr="00016778" w:rsidRDefault="00AD1119" w:rsidP="00E962EE">
            <w:pPr>
              <w:pStyle w:val="Textpoznpodarou"/>
              <w:jc w:val="both"/>
              <w:rPr>
                <w:color w:val="0D0D0D" w:themeColor="text1" w:themeTint="F2"/>
                <w:spacing w:val="-4"/>
              </w:rPr>
            </w:pPr>
          </w:p>
        </w:tc>
        <w:tc>
          <w:tcPr>
            <w:tcW w:w="7704" w:type="dxa"/>
            <w:tcMar>
              <w:left w:w="0" w:type="dxa"/>
            </w:tcMar>
          </w:tcPr>
          <w:p w14:paraId="0DF7B742" w14:textId="77777777" w:rsidR="00AD1119" w:rsidRPr="00412B36" w:rsidRDefault="00AD1119" w:rsidP="00E962EE">
            <w:pPr>
              <w:pStyle w:val="paragraph"/>
              <w:spacing w:before="0" w:beforeAutospacing="0" w:after="0" w:afterAutospacing="0" w:line="276" w:lineRule="auto"/>
              <w:jc w:val="both"/>
              <w:textAlignment w:val="baseline"/>
              <w:rPr>
                <w:rStyle w:val="normaltextrun"/>
                <w:rFonts w:ascii="Arial" w:eastAsiaTheme="majorEastAsia" w:hAnsi="Arial" w:cs="Arial"/>
                <w:color w:val="000000"/>
                <w:spacing w:val="-2"/>
                <w:sz w:val="20"/>
                <w:szCs w:val="20"/>
              </w:rPr>
            </w:pPr>
            <w:r w:rsidRPr="00412B36">
              <w:rPr>
                <w:rStyle w:val="normaltextrun"/>
                <w:rFonts w:ascii="Arial" w:eastAsiaTheme="majorEastAsia" w:hAnsi="Arial" w:cs="Arial"/>
                <w:color w:val="000000"/>
                <w:spacing w:val="-2"/>
                <w:sz w:val="20"/>
                <w:szCs w:val="20"/>
              </w:rPr>
              <w:t>Mezi hlavními odvětvími vybočovaly v 1. pololet</w:t>
            </w:r>
            <w:r>
              <w:rPr>
                <w:rStyle w:val="normaltextrun"/>
                <w:rFonts w:ascii="Arial" w:eastAsiaTheme="majorEastAsia" w:hAnsi="Arial" w:cs="Arial"/>
                <w:color w:val="000000"/>
                <w:spacing w:val="-2"/>
                <w:sz w:val="20"/>
                <w:szCs w:val="20"/>
              </w:rPr>
              <w:t>í</w:t>
            </w:r>
            <w:r w:rsidRPr="00412B36">
              <w:rPr>
                <w:rStyle w:val="normaltextrun"/>
                <w:rFonts w:ascii="Arial" w:eastAsiaTheme="majorEastAsia" w:hAnsi="Arial" w:cs="Arial"/>
                <w:color w:val="000000"/>
                <w:spacing w:val="-2"/>
                <w:sz w:val="20"/>
                <w:szCs w:val="20"/>
              </w:rPr>
              <w:t xml:space="preserve"> 2026 (stejně jako po celý loňský rok) silnou mzdovou dynamikou administrativní a podpůrné činnosti, kde se průměrné hrubé výdělky meziročně zvýšily o 14,4 % a přiblížily se hranici 40 tis. korun měsíčně. Růst zde </w:t>
            </w:r>
            <w:r>
              <w:rPr>
                <w:rStyle w:val="normaltextrun"/>
                <w:rFonts w:ascii="Arial" w:eastAsiaTheme="majorEastAsia" w:hAnsi="Arial" w:cs="Arial"/>
                <w:color w:val="000000"/>
                <w:spacing w:val="-2"/>
                <w:sz w:val="20"/>
                <w:szCs w:val="20"/>
              </w:rPr>
              <w:t xml:space="preserve">byl </w:t>
            </w:r>
            <w:r w:rsidRPr="00412B36">
              <w:rPr>
                <w:rStyle w:val="normaltextrun"/>
                <w:rFonts w:ascii="Arial" w:eastAsiaTheme="majorEastAsia" w:hAnsi="Arial" w:cs="Arial"/>
                <w:color w:val="000000"/>
                <w:spacing w:val="-2"/>
                <w:sz w:val="20"/>
                <w:szCs w:val="20"/>
              </w:rPr>
              <w:t xml:space="preserve">koncentrován do segmentu pracovních agentur, relativně významně si polepšili např. i zaměstnanci v úklidových službách.  Mírně nadprůměrně (v pásmu od 6,6 % do 7,4 %) vzrostly výdělky v dalších odvětvích s nižší mzdovou úrovní – zemědělství, lesnictví </w:t>
            </w:r>
            <w:r>
              <w:rPr>
                <w:rStyle w:val="normaltextrun"/>
                <w:rFonts w:ascii="Arial" w:eastAsiaTheme="majorEastAsia" w:hAnsi="Arial" w:cs="Arial"/>
                <w:color w:val="000000"/>
                <w:spacing w:val="-2"/>
                <w:sz w:val="20"/>
                <w:szCs w:val="20"/>
              </w:rPr>
              <w:br/>
            </w:r>
            <w:r w:rsidRPr="00412B36">
              <w:rPr>
                <w:rStyle w:val="normaltextrun"/>
                <w:rFonts w:ascii="Arial" w:eastAsiaTheme="majorEastAsia" w:hAnsi="Arial" w:cs="Arial"/>
                <w:color w:val="000000"/>
                <w:spacing w:val="-2"/>
                <w:sz w:val="20"/>
                <w:szCs w:val="20"/>
              </w:rPr>
              <w:t xml:space="preserve">a rybářství, </w:t>
            </w:r>
            <w:r>
              <w:rPr>
                <w:rStyle w:val="normaltextrun"/>
                <w:rFonts w:ascii="Arial" w:eastAsiaTheme="majorEastAsia" w:hAnsi="Arial" w:cs="Arial"/>
                <w:color w:val="000000"/>
                <w:spacing w:val="-2"/>
                <w:sz w:val="20"/>
                <w:szCs w:val="20"/>
              </w:rPr>
              <w:t>v</w:t>
            </w:r>
            <w:r>
              <w:rPr>
                <w:rStyle w:val="normaltextrun"/>
                <w:rFonts w:eastAsiaTheme="majorEastAsia"/>
                <w:color w:val="000000"/>
                <w:spacing w:val="-2"/>
                <w:sz w:val="20"/>
                <w:szCs w:val="20"/>
              </w:rPr>
              <w:t xml:space="preserve">e </w:t>
            </w:r>
            <w:r w:rsidRPr="00412B36">
              <w:rPr>
                <w:rStyle w:val="normaltextrun"/>
                <w:rFonts w:ascii="Arial" w:eastAsiaTheme="majorEastAsia" w:hAnsi="Arial" w:cs="Arial"/>
                <w:color w:val="000000"/>
                <w:spacing w:val="-2"/>
                <w:sz w:val="20"/>
                <w:szCs w:val="20"/>
              </w:rPr>
              <w:t xml:space="preserve">vodním a odpadovém hospodářství, stavebnictví, činnostech v oblasti nemovitostí a také </w:t>
            </w:r>
            <w:r>
              <w:rPr>
                <w:rStyle w:val="normaltextrun"/>
                <w:rFonts w:ascii="Arial" w:eastAsiaTheme="majorEastAsia" w:hAnsi="Arial" w:cs="Arial"/>
                <w:color w:val="000000"/>
                <w:spacing w:val="-2"/>
                <w:sz w:val="20"/>
                <w:szCs w:val="20"/>
              </w:rPr>
              <w:t>v</w:t>
            </w:r>
            <w:r>
              <w:rPr>
                <w:rStyle w:val="normaltextrun"/>
                <w:rFonts w:eastAsiaTheme="majorEastAsia"/>
                <w:color w:val="000000"/>
                <w:spacing w:val="-2"/>
                <w:sz w:val="20"/>
                <w:szCs w:val="20"/>
              </w:rPr>
              <w:t xml:space="preserve"> </w:t>
            </w:r>
            <w:r w:rsidRPr="00412B36">
              <w:rPr>
                <w:rStyle w:val="normaltextrun"/>
                <w:rFonts w:ascii="Arial" w:eastAsiaTheme="majorEastAsia" w:hAnsi="Arial" w:cs="Arial"/>
                <w:color w:val="000000"/>
                <w:spacing w:val="-2"/>
                <w:sz w:val="20"/>
                <w:szCs w:val="20"/>
              </w:rPr>
              <w:t xml:space="preserve">kulturních, zábavních a rekreačních činnostech. Dařilo se ovšem </w:t>
            </w:r>
            <w:r>
              <w:rPr>
                <w:rStyle w:val="normaltextrun"/>
                <w:rFonts w:ascii="Arial" w:eastAsiaTheme="majorEastAsia" w:hAnsi="Arial" w:cs="Arial"/>
                <w:color w:val="000000"/>
                <w:spacing w:val="-2"/>
                <w:sz w:val="20"/>
                <w:szCs w:val="20"/>
              </w:rPr>
              <w:br/>
            </w:r>
            <w:r w:rsidRPr="00412B36">
              <w:rPr>
                <w:rStyle w:val="normaltextrun"/>
                <w:rFonts w:ascii="Arial" w:eastAsiaTheme="majorEastAsia" w:hAnsi="Arial" w:cs="Arial"/>
                <w:color w:val="000000"/>
                <w:spacing w:val="-2"/>
                <w:sz w:val="20"/>
                <w:szCs w:val="20"/>
              </w:rPr>
              <w:t>i vyspělým podnikovým službám soustředěný</w:t>
            </w:r>
            <w:r>
              <w:rPr>
                <w:rStyle w:val="normaltextrun"/>
                <w:rFonts w:ascii="Arial" w:eastAsiaTheme="majorEastAsia" w:hAnsi="Arial" w:cs="Arial"/>
                <w:color w:val="000000"/>
                <w:spacing w:val="-2"/>
                <w:sz w:val="20"/>
                <w:szCs w:val="20"/>
              </w:rPr>
              <w:t>m</w:t>
            </w:r>
            <w:r w:rsidRPr="00412B36">
              <w:rPr>
                <w:rStyle w:val="normaltextrun"/>
                <w:rFonts w:ascii="Arial" w:eastAsiaTheme="majorEastAsia" w:hAnsi="Arial" w:cs="Arial"/>
                <w:color w:val="000000"/>
                <w:spacing w:val="-2"/>
                <w:sz w:val="20"/>
                <w:szCs w:val="20"/>
              </w:rPr>
              <w:t xml:space="preserve"> zejména v odvětví profesních</w:t>
            </w:r>
            <w:r>
              <w:rPr>
                <w:rStyle w:val="normaltextrun"/>
                <w:rFonts w:ascii="Arial" w:eastAsiaTheme="majorEastAsia" w:hAnsi="Arial" w:cs="Arial"/>
                <w:color w:val="000000"/>
                <w:spacing w:val="-2"/>
                <w:sz w:val="20"/>
                <w:szCs w:val="20"/>
              </w:rPr>
              <w:t>,</w:t>
            </w:r>
            <w:r w:rsidRPr="00412B36">
              <w:rPr>
                <w:rStyle w:val="normaltextrun"/>
                <w:rFonts w:ascii="Arial" w:eastAsiaTheme="majorEastAsia" w:hAnsi="Arial" w:cs="Arial"/>
                <w:color w:val="000000"/>
                <w:spacing w:val="-2"/>
                <w:sz w:val="20"/>
                <w:szCs w:val="20"/>
              </w:rPr>
              <w:t xml:space="preserve"> vědeckých a technických činnost</w:t>
            </w:r>
            <w:r>
              <w:rPr>
                <w:rStyle w:val="normaltextrun"/>
                <w:rFonts w:ascii="Arial" w:eastAsiaTheme="majorEastAsia" w:hAnsi="Arial" w:cs="Arial"/>
                <w:color w:val="000000"/>
                <w:spacing w:val="-2"/>
                <w:sz w:val="20"/>
                <w:szCs w:val="20"/>
              </w:rPr>
              <w:t>í</w:t>
            </w:r>
            <w:r w:rsidRPr="00412B36">
              <w:rPr>
                <w:rStyle w:val="normaltextrun"/>
                <w:rFonts w:ascii="Arial" w:eastAsiaTheme="majorEastAsia" w:hAnsi="Arial" w:cs="Arial"/>
                <w:color w:val="000000"/>
                <w:spacing w:val="-2"/>
                <w:sz w:val="20"/>
                <w:szCs w:val="20"/>
              </w:rPr>
              <w:t>, kde se mzdy zvyšovaly nadprůměrně i v letech 2024 a 2025 a letos vzrostly o 7,1 % (na 63,8 tis. korun).  Podobn</w:t>
            </w:r>
            <w:r>
              <w:rPr>
                <w:rStyle w:val="normaltextrun"/>
                <w:rFonts w:ascii="Arial" w:eastAsiaTheme="majorEastAsia" w:hAnsi="Arial" w:cs="Arial"/>
                <w:color w:val="000000"/>
                <w:spacing w:val="-2"/>
                <w:sz w:val="20"/>
                <w:szCs w:val="20"/>
              </w:rPr>
              <w:t>é</w:t>
            </w:r>
            <w:r w:rsidRPr="00412B36">
              <w:rPr>
                <w:rStyle w:val="normaltextrun"/>
                <w:rFonts w:ascii="Arial" w:eastAsiaTheme="majorEastAsia" w:hAnsi="Arial" w:cs="Arial"/>
                <w:color w:val="000000"/>
                <w:spacing w:val="-2"/>
                <w:sz w:val="20"/>
                <w:szCs w:val="20"/>
              </w:rPr>
              <w:t xml:space="preserve"> navýšení zaznamenalo i peněžnictví </w:t>
            </w:r>
            <w:r>
              <w:rPr>
                <w:rStyle w:val="normaltextrun"/>
                <w:rFonts w:ascii="Arial" w:eastAsiaTheme="majorEastAsia" w:hAnsi="Arial" w:cs="Arial"/>
                <w:color w:val="000000"/>
                <w:spacing w:val="-2"/>
                <w:sz w:val="20"/>
                <w:szCs w:val="20"/>
              </w:rPr>
              <w:br/>
            </w:r>
            <w:r w:rsidRPr="00412B36">
              <w:rPr>
                <w:rStyle w:val="normaltextrun"/>
                <w:rFonts w:ascii="Arial" w:eastAsiaTheme="majorEastAsia" w:hAnsi="Arial" w:cs="Arial"/>
                <w:color w:val="000000"/>
                <w:spacing w:val="-2"/>
                <w:sz w:val="20"/>
                <w:szCs w:val="20"/>
              </w:rPr>
              <w:t>a pojišťovnictví (v absolutním vyjádření šlo o 5,9 tis. – nejvíce ze všech odvětví). V informačních a komunikačních činnostech</w:t>
            </w:r>
            <w:r>
              <w:rPr>
                <w:rStyle w:val="normaltextrun"/>
                <w:rFonts w:ascii="Arial" w:eastAsiaTheme="majorEastAsia" w:hAnsi="Arial" w:cs="Arial"/>
                <w:color w:val="000000"/>
                <w:spacing w:val="-2"/>
                <w:sz w:val="20"/>
                <w:szCs w:val="20"/>
              </w:rPr>
              <w:t xml:space="preserve"> mzdový růst ve srovnání s loňským tempem zvolnil na 6,4 %, i tak zde zaměstnanci pobírali vůbec nejvíce (94,3 tis. korun). Obě výše uvedená „</w:t>
            </w:r>
            <w:proofErr w:type="spellStart"/>
            <w:r>
              <w:rPr>
                <w:rStyle w:val="normaltextrun"/>
                <w:rFonts w:ascii="Arial" w:eastAsiaTheme="majorEastAsia" w:hAnsi="Arial" w:cs="Arial"/>
                <w:color w:val="000000"/>
                <w:spacing w:val="-2"/>
                <w:sz w:val="20"/>
                <w:szCs w:val="20"/>
              </w:rPr>
              <w:t>vysokovýdělková</w:t>
            </w:r>
            <w:proofErr w:type="spellEnd"/>
            <w:r>
              <w:rPr>
                <w:rStyle w:val="normaltextrun"/>
                <w:rFonts w:ascii="Arial" w:eastAsiaTheme="majorEastAsia" w:hAnsi="Arial" w:cs="Arial"/>
                <w:color w:val="000000"/>
                <w:spacing w:val="-2"/>
                <w:sz w:val="20"/>
                <w:szCs w:val="20"/>
              </w:rPr>
              <w:t xml:space="preserve">“ odvětví spojuje i mírný pokles evidenčního počtu pracovníků, jenž zde přetrvával druhým rokem. Z odvětví s významnou rolí veřejných služeb se letos mzdy zvyšovaly nejvíce ve veřejné správě, obraně a sociálním zabezpečení (+7,5 %), nejvyšší úroveň výdělků si ovšem podrželi zaměstnanci ve zdravotní a sociální péči </w:t>
            </w:r>
            <w:r>
              <w:rPr>
                <w:rStyle w:val="normaltextrun"/>
                <w:rFonts w:ascii="Arial" w:eastAsiaTheme="majorEastAsia" w:hAnsi="Arial" w:cs="Arial"/>
                <w:color w:val="000000"/>
                <w:spacing w:val="-2"/>
                <w:sz w:val="20"/>
                <w:szCs w:val="20"/>
              </w:rPr>
              <w:br/>
              <w:t xml:space="preserve">(54,1 tis. korun), a to přes pokračující skromnější mzdový růst (+4,6 %). Ve významném odvětví obchodu, soustřeďujícím bezmála pětinu zaměstnanců z celého sektoru služeb, mzdový růst po slabším loňském roce mírně zrychlil na 6,3 %.  </w:t>
            </w:r>
          </w:p>
          <w:p w14:paraId="733E0F87" w14:textId="77777777" w:rsidR="00AD1119" w:rsidRPr="00F80861" w:rsidRDefault="00AD1119" w:rsidP="00E962EE">
            <w:pPr>
              <w:pStyle w:val="paragraph"/>
              <w:spacing w:before="0" w:beforeAutospacing="0" w:after="0" w:afterAutospacing="0" w:line="276" w:lineRule="auto"/>
              <w:jc w:val="both"/>
              <w:textAlignment w:val="baseline"/>
              <w:rPr>
                <w:rStyle w:val="normaltextrun"/>
                <w:rFonts w:ascii="Arial" w:eastAsiaTheme="majorEastAsia" w:hAnsi="Arial" w:cs="Arial"/>
                <w:color w:val="000000"/>
                <w:sz w:val="20"/>
                <w:szCs w:val="20"/>
              </w:rPr>
            </w:pPr>
            <w:r>
              <w:rPr>
                <w:rStyle w:val="normaltextrun"/>
                <w:rFonts w:ascii="Arial" w:eastAsiaTheme="majorEastAsia" w:hAnsi="Arial" w:cs="Arial"/>
                <w:color w:val="000000"/>
                <w:sz w:val="20"/>
                <w:szCs w:val="20"/>
              </w:rPr>
              <w:t xml:space="preserve">  </w:t>
            </w:r>
          </w:p>
        </w:tc>
      </w:tr>
      <w:tr w:rsidR="00AD1119" w:rsidRPr="00016778" w14:paraId="0D074EFB" w14:textId="77777777" w:rsidTr="00E962EE">
        <w:trPr>
          <w:trHeight w:val="132"/>
        </w:trPr>
        <w:tc>
          <w:tcPr>
            <w:tcW w:w="1797" w:type="dxa"/>
            <w:tcMar>
              <w:left w:w="0" w:type="dxa"/>
            </w:tcMar>
          </w:tcPr>
          <w:p w14:paraId="61028C4A" w14:textId="77777777" w:rsidR="00AD1119" w:rsidRDefault="00AD1119" w:rsidP="00E962EE">
            <w:pPr>
              <w:pStyle w:val="Marginlie"/>
              <w:rPr>
                <w:color w:val="0D0D0D" w:themeColor="text1" w:themeTint="F2"/>
              </w:rPr>
            </w:pPr>
            <w:r>
              <w:rPr>
                <w:color w:val="0D0D0D" w:themeColor="text1" w:themeTint="F2"/>
              </w:rPr>
              <w:t>Mzdové tempo v průmyslu třetím rokem v řadě oslabilo. Řada významných exportních oborů redukovala zaměstnanecká místa.</w:t>
            </w:r>
          </w:p>
          <w:p w14:paraId="39CCDFD4" w14:textId="77777777" w:rsidR="00AD1119" w:rsidRDefault="00AD1119" w:rsidP="00E962EE">
            <w:pPr>
              <w:pStyle w:val="Marginlie"/>
              <w:rPr>
                <w:color w:val="0D0D0D" w:themeColor="text1" w:themeTint="F2"/>
              </w:rPr>
            </w:pPr>
          </w:p>
          <w:p w14:paraId="03B3A5E8" w14:textId="77777777" w:rsidR="00AD1119" w:rsidRDefault="00AD1119" w:rsidP="00E962EE">
            <w:pPr>
              <w:pStyle w:val="Marginlie"/>
              <w:rPr>
                <w:color w:val="0D0D0D" w:themeColor="text1" w:themeTint="F2"/>
              </w:rPr>
            </w:pPr>
          </w:p>
          <w:p w14:paraId="1DF05940" w14:textId="77777777" w:rsidR="00AD1119" w:rsidRDefault="00AD1119" w:rsidP="00E962EE">
            <w:pPr>
              <w:pStyle w:val="Marginlie"/>
              <w:rPr>
                <w:color w:val="0D0D0D" w:themeColor="text1" w:themeTint="F2"/>
              </w:rPr>
            </w:pPr>
          </w:p>
          <w:p w14:paraId="289CA6EC" w14:textId="77777777" w:rsidR="00AD1119" w:rsidRDefault="00AD1119" w:rsidP="00E962EE">
            <w:pPr>
              <w:pStyle w:val="Marginlie"/>
              <w:rPr>
                <w:color w:val="0D0D0D" w:themeColor="text1" w:themeTint="F2"/>
              </w:rPr>
            </w:pPr>
          </w:p>
          <w:p w14:paraId="1CBC67D4" w14:textId="77777777" w:rsidR="00AD1119" w:rsidRDefault="00AD1119" w:rsidP="00E962EE">
            <w:pPr>
              <w:pStyle w:val="Marginlie"/>
              <w:rPr>
                <w:color w:val="0D0D0D" w:themeColor="text1" w:themeTint="F2"/>
              </w:rPr>
            </w:pPr>
            <w:r>
              <w:rPr>
                <w:color w:val="0D0D0D" w:themeColor="text1" w:themeTint="F2"/>
              </w:rPr>
              <w:t>Relativně nízký mzdový růst v energetice souvisí s loňskou vysokou výplatou mimořádných odměn.</w:t>
            </w:r>
          </w:p>
        </w:tc>
        <w:tc>
          <w:tcPr>
            <w:tcW w:w="173" w:type="dxa"/>
            <w:tcMar>
              <w:left w:w="0" w:type="dxa"/>
            </w:tcMar>
          </w:tcPr>
          <w:p w14:paraId="02E7FD6C" w14:textId="77777777" w:rsidR="00AD1119" w:rsidRPr="00016778" w:rsidRDefault="00AD1119" w:rsidP="00E962EE">
            <w:pPr>
              <w:pStyle w:val="Textpoznpodarou"/>
              <w:jc w:val="both"/>
              <w:rPr>
                <w:color w:val="0D0D0D" w:themeColor="text1" w:themeTint="F2"/>
                <w:spacing w:val="-4"/>
              </w:rPr>
            </w:pPr>
          </w:p>
        </w:tc>
        <w:tc>
          <w:tcPr>
            <w:tcW w:w="7704" w:type="dxa"/>
            <w:tcMar>
              <w:left w:w="0" w:type="dxa"/>
            </w:tcMar>
          </w:tcPr>
          <w:p w14:paraId="18F1BDB4" w14:textId="77777777" w:rsidR="00AD1119" w:rsidRPr="00C86893" w:rsidRDefault="00AD1119" w:rsidP="00E962EE">
            <w:pPr>
              <w:pStyle w:val="paragraph"/>
              <w:spacing w:before="0" w:beforeAutospacing="0" w:after="240" w:afterAutospacing="0" w:line="276" w:lineRule="auto"/>
              <w:jc w:val="both"/>
              <w:textAlignment w:val="baseline"/>
              <w:rPr>
                <w:rStyle w:val="normaltextrun"/>
                <w:rFonts w:ascii="Arial" w:eastAsiaTheme="majorEastAsia" w:hAnsi="Arial" w:cs="Arial"/>
                <w:color w:val="000000"/>
                <w:spacing w:val="-3"/>
                <w:sz w:val="20"/>
                <w:szCs w:val="20"/>
              </w:rPr>
            </w:pPr>
            <w:r w:rsidRPr="00C86893">
              <w:rPr>
                <w:rStyle w:val="normaltextrun"/>
                <w:rFonts w:ascii="Arial" w:eastAsiaTheme="majorEastAsia" w:hAnsi="Arial" w:cs="Arial"/>
                <w:color w:val="000000"/>
                <w:spacing w:val="-3"/>
                <w:sz w:val="20"/>
                <w:szCs w:val="20"/>
              </w:rPr>
              <w:t>Mzdový růst v průmyslu letos dosáhl 5,6 %, jeho tempo třetí</w:t>
            </w:r>
            <w:r>
              <w:rPr>
                <w:rStyle w:val="normaltextrun"/>
                <w:rFonts w:ascii="Arial" w:eastAsiaTheme="majorEastAsia" w:hAnsi="Arial" w:cs="Arial"/>
                <w:color w:val="000000"/>
                <w:spacing w:val="-3"/>
                <w:sz w:val="20"/>
                <w:szCs w:val="20"/>
              </w:rPr>
              <w:t>m</w:t>
            </w:r>
            <w:r w:rsidRPr="00C86893">
              <w:rPr>
                <w:rStyle w:val="normaltextrun"/>
                <w:rFonts w:ascii="Arial" w:eastAsiaTheme="majorEastAsia" w:hAnsi="Arial" w:cs="Arial"/>
                <w:color w:val="000000"/>
                <w:spacing w:val="-3"/>
                <w:sz w:val="20"/>
                <w:szCs w:val="20"/>
              </w:rPr>
              <w:t xml:space="preserve"> rok</w:t>
            </w:r>
            <w:r>
              <w:rPr>
                <w:rStyle w:val="normaltextrun"/>
                <w:rFonts w:ascii="Arial" w:eastAsiaTheme="majorEastAsia" w:hAnsi="Arial" w:cs="Arial"/>
                <w:color w:val="000000"/>
                <w:spacing w:val="-3"/>
                <w:sz w:val="20"/>
                <w:szCs w:val="20"/>
              </w:rPr>
              <w:t>e</w:t>
            </w:r>
            <w:r w:rsidRPr="00115193">
              <w:rPr>
                <w:rStyle w:val="normaltextrun"/>
                <w:rFonts w:ascii="Arial" w:eastAsiaTheme="majorEastAsia" w:hAnsi="Arial" w:cs="Arial"/>
                <w:color w:val="000000"/>
                <w:spacing w:val="-3"/>
                <w:sz w:val="20"/>
                <w:szCs w:val="20"/>
              </w:rPr>
              <w:t>m</w:t>
            </w:r>
            <w:r w:rsidRPr="00C86893">
              <w:rPr>
                <w:rStyle w:val="normaltextrun"/>
                <w:rFonts w:ascii="Arial" w:eastAsiaTheme="majorEastAsia" w:hAnsi="Arial" w:cs="Arial"/>
                <w:color w:val="000000"/>
                <w:spacing w:val="-3"/>
                <w:sz w:val="20"/>
                <w:szCs w:val="20"/>
              </w:rPr>
              <w:t xml:space="preserve"> v řadě kleslo </w:t>
            </w:r>
            <w:r>
              <w:rPr>
                <w:rStyle w:val="normaltextrun"/>
                <w:rFonts w:ascii="Arial" w:eastAsiaTheme="majorEastAsia" w:hAnsi="Arial" w:cs="Arial"/>
                <w:color w:val="000000"/>
                <w:spacing w:val="-3"/>
                <w:sz w:val="20"/>
                <w:szCs w:val="20"/>
              </w:rPr>
              <w:br/>
            </w:r>
            <w:r w:rsidRPr="00C86893">
              <w:rPr>
                <w:rStyle w:val="normaltextrun"/>
                <w:rFonts w:ascii="Arial" w:eastAsiaTheme="majorEastAsia" w:hAnsi="Arial" w:cs="Arial"/>
                <w:color w:val="000000"/>
                <w:spacing w:val="-3"/>
                <w:sz w:val="20"/>
                <w:szCs w:val="20"/>
              </w:rPr>
              <w:t xml:space="preserve">a zaměstnanců zde ubývalo fakticky nepřetržitě od roku 2019. Projevuje se zde řízený útlum významné části těžebního průmyslu, který je doprovázen pokračujícím slabý růstem průměrných mezd (aktuálně +3,6 %). V rámci zpracovatelského průmyslu si nejvíce polepšili zaměstnanci v potravinářství (+6,9 %) a výrobě elektrických zařízení (+6,6 %), nejméně ve výrobě stavebních materiálů, strojírenství a kovodělném průmyslu (shodně +5,1 %). To v zásadě odpovídá současným hospodářským výsledkům těchto oborů. Ty se projevují i v energetice, kde letos mzdový růst ovlivněný i vysokou loňskou výplatou odměn razantně zvolnil (na 2,8 %, nejméně mezi všemi odvětvími). V rámci služeb citelně zpomalilo mzdové tempo v dopravě a skladování (na +4,4 %). V ubytování, stravování </w:t>
            </w:r>
            <w:r>
              <w:rPr>
                <w:rStyle w:val="normaltextrun"/>
                <w:rFonts w:ascii="Arial" w:eastAsiaTheme="majorEastAsia" w:hAnsi="Arial" w:cs="Arial"/>
                <w:color w:val="000000"/>
                <w:spacing w:val="-3"/>
                <w:sz w:val="20"/>
                <w:szCs w:val="20"/>
              </w:rPr>
              <w:br/>
            </w:r>
            <w:r w:rsidRPr="00C86893">
              <w:rPr>
                <w:rStyle w:val="normaltextrun"/>
                <w:rFonts w:ascii="Arial" w:eastAsiaTheme="majorEastAsia" w:hAnsi="Arial" w:cs="Arial"/>
                <w:color w:val="000000"/>
                <w:spacing w:val="-3"/>
                <w:sz w:val="20"/>
                <w:szCs w:val="20"/>
              </w:rPr>
              <w:t>a pohostinství, typickém svou velmi nízkou mzdovou úrovní, se dopad zákonného navýšení minimální mzdy příliš neprojevil. Slabší mzdové tempo (+5,8 %) zde kontrastovalo s</w:t>
            </w:r>
            <w:r>
              <w:rPr>
                <w:rStyle w:val="normaltextrun"/>
                <w:rFonts w:ascii="Arial" w:eastAsiaTheme="majorEastAsia" w:hAnsi="Arial" w:cs="Arial"/>
                <w:color w:val="000000"/>
                <w:spacing w:val="-3"/>
                <w:sz w:val="20"/>
                <w:szCs w:val="20"/>
              </w:rPr>
              <w:t>e</w:t>
            </w:r>
            <w:r w:rsidRPr="00C86893">
              <w:rPr>
                <w:rStyle w:val="normaltextrun"/>
                <w:rFonts w:ascii="Arial" w:eastAsiaTheme="majorEastAsia" w:hAnsi="Arial" w:cs="Arial"/>
                <w:color w:val="000000"/>
                <w:spacing w:val="-3"/>
                <w:sz w:val="20"/>
                <w:szCs w:val="20"/>
              </w:rPr>
              <w:t xml:space="preserve"> </w:t>
            </w:r>
            <w:r w:rsidRPr="00C86893">
              <w:rPr>
                <w:rStyle w:val="normaltextrun"/>
                <w:rFonts w:ascii="Arial" w:eastAsiaTheme="majorEastAsia" w:hAnsi="Arial" w:cs="Arial"/>
                <w:color w:val="000000"/>
                <w:spacing w:val="-3"/>
                <w:sz w:val="20"/>
                <w:szCs w:val="20"/>
              </w:rPr>
              <w:lastRenderedPageBreak/>
              <w:t xml:space="preserve">svižným růstem </w:t>
            </w:r>
            <w:r w:rsidRPr="003A4185">
              <w:rPr>
                <w:rStyle w:val="normaltextrun"/>
                <w:rFonts w:ascii="Arial" w:eastAsiaTheme="majorEastAsia" w:hAnsi="Arial" w:cs="Arial"/>
                <w:color w:val="000000"/>
                <w:spacing w:val="-3"/>
                <w:sz w:val="20"/>
                <w:szCs w:val="20"/>
              </w:rPr>
              <w:t>zaměstnanosti. Podobně na tom byly také ostatní činnosti služeb</w:t>
            </w:r>
            <w:r w:rsidRPr="003A4185">
              <w:rPr>
                <w:rStyle w:val="Znakapoznpodarou"/>
                <w:rFonts w:ascii="Arial" w:eastAsiaTheme="majorEastAsia" w:hAnsi="Arial"/>
                <w:color w:val="000000"/>
                <w:spacing w:val="-3"/>
                <w:sz w:val="20"/>
                <w:szCs w:val="20"/>
              </w:rPr>
              <w:footnoteReference w:id="107"/>
            </w:r>
            <w:r w:rsidRPr="003A4185">
              <w:rPr>
                <w:rStyle w:val="normaltextrun"/>
                <w:rFonts w:ascii="Arial" w:eastAsiaTheme="majorEastAsia" w:hAnsi="Arial" w:cs="Arial"/>
                <w:color w:val="000000"/>
                <w:spacing w:val="-3"/>
                <w:sz w:val="20"/>
                <w:szCs w:val="20"/>
              </w:rPr>
              <w:t>, kde mzdový růst ve srovnání s loňským tempem citelně oslabil (na 3,0 %)</w:t>
            </w:r>
            <w:r>
              <w:rPr>
                <w:rStyle w:val="normaltextrun"/>
                <w:rFonts w:ascii="Arial" w:eastAsiaTheme="majorEastAsia" w:hAnsi="Arial" w:cs="Arial"/>
                <w:color w:val="000000"/>
                <w:spacing w:val="-3"/>
                <w:sz w:val="20"/>
                <w:szCs w:val="20"/>
              </w:rPr>
              <w:t xml:space="preserve"> a průměrné výdělky nedosahovaly ani tří čtvrtin úrovně národního hospodářství.</w:t>
            </w:r>
          </w:p>
        </w:tc>
      </w:tr>
      <w:tr w:rsidR="00AD1119" w:rsidRPr="00016778" w14:paraId="4EB2DF09" w14:textId="77777777" w:rsidTr="00E962EE">
        <w:trPr>
          <w:trHeight w:val="132"/>
        </w:trPr>
        <w:tc>
          <w:tcPr>
            <w:tcW w:w="1797" w:type="dxa"/>
            <w:tcMar>
              <w:left w:w="0" w:type="dxa"/>
            </w:tcMar>
          </w:tcPr>
          <w:p w14:paraId="6C6D9A38" w14:textId="77777777" w:rsidR="00AD1119" w:rsidRDefault="00AD1119" w:rsidP="00E962EE">
            <w:pPr>
              <w:pStyle w:val="Marginlie"/>
              <w:rPr>
                <w:color w:val="0D0D0D" w:themeColor="text1" w:themeTint="F2"/>
                <w:spacing w:val="0"/>
              </w:rPr>
            </w:pPr>
            <w:r>
              <w:rPr>
                <w:color w:val="0D0D0D" w:themeColor="text1" w:themeTint="F2"/>
                <w:spacing w:val="0"/>
              </w:rPr>
              <w:lastRenderedPageBreak/>
              <w:t>Procentní mzdový růst v Praze se významně neodlišoval od ostatních regionů.</w:t>
            </w:r>
          </w:p>
          <w:p w14:paraId="43C24889" w14:textId="77777777" w:rsidR="00AD1119" w:rsidRDefault="00AD1119" w:rsidP="00E962EE">
            <w:pPr>
              <w:pStyle w:val="Marginlie"/>
              <w:rPr>
                <w:color w:val="0D0D0D" w:themeColor="text1" w:themeTint="F2"/>
                <w:spacing w:val="0"/>
              </w:rPr>
            </w:pPr>
          </w:p>
          <w:p w14:paraId="0F6582B8" w14:textId="77777777" w:rsidR="00AD1119" w:rsidRDefault="00AD1119" w:rsidP="00E962EE">
            <w:pPr>
              <w:pStyle w:val="Marginlie"/>
              <w:rPr>
                <w:color w:val="0D0D0D" w:themeColor="text1" w:themeTint="F2"/>
                <w:spacing w:val="0"/>
              </w:rPr>
            </w:pPr>
          </w:p>
          <w:p w14:paraId="4454833E" w14:textId="77777777" w:rsidR="00AD1119" w:rsidRPr="008C292F" w:rsidRDefault="00AD1119" w:rsidP="00E962EE">
            <w:pPr>
              <w:pStyle w:val="Marginlie"/>
              <w:rPr>
                <w:color w:val="0D0D0D" w:themeColor="text1" w:themeTint="F2"/>
              </w:rPr>
            </w:pPr>
            <w:r w:rsidRPr="008C292F">
              <w:rPr>
                <w:color w:val="0D0D0D" w:themeColor="text1" w:themeTint="F2"/>
              </w:rPr>
              <w:t xml:space="preserve">Problémy těžebního průmyslu se odrazily v poklesu počtu zaměstnanců na úrovni celého Moravskoslezského kraje. </w:t>
            </w:r>
          </w:p>
        </w:tc>
        <w:tc>
          <w:tcPr>
            <w:tcW w:w="173" w:type="dxa"/>
            <w:tcMar>
              <w:left w:w="0" w:type="dxa"/>
            </w:tcMar>
          </w:tcPr>
          <w:p w14:paraId="793BB66A" w14:textId="77777777" w:rsidR="00AD1119" w:rsidRPr="00016778" w:rsidRDefault="00AD1119" w:rsidP="00E962EE">
            <w:pPr>
              <w:pStyle w:val="Textpoznpodarou"/>
              <w:jc w:val="both"/>
              <w:rPr>
                <w:color w:val="0D0D0D" w:themeColor="text1" w:themeTint="F2"/>
                <w:spacing w:val="-4"/>
              </w:rPr>
            </w:pPr>
          </w:p>
        </w:tc>
        <w:tc>
          <w:tcPr>
            <w:tcW w:w="7704" w:type="dxa"/>
            <w:tcMar>
              <w:left w:w="0" w:type="dxa"/>
            </w:tcMar>
          </w:tcPr>
          <w:p w14:paraId="02D1F8FF" w14:textId="77777777" w:rsidR="00AD1119" w:rsidRDefault="00AD1119" w:rsidP="00E962EE">
            <w:pPr>
              <w:pStyle w:val="paragraph"/>
              <w:spacing w:before="0" w:beforeAutospacing="0" w:after="0" w:afterAutospacing="0" w:line="276" w:lineRule="auto"/>
              <w:jc w:val="both"/>
              <w:textAlignment w:val="baseline"/>
              <w:rPr>
                <w:rStyle w:val="normaltextrun"/>
                <w:rFonts w:ascii="Arial" w:eastAsiaTheme="majorEastAsia" w:hAnsi="Arial" w:cs="Arial"/>
                <w:color w:val="000000"/>
                <w:sz w:val="20"/>
                <w:szCs w:val="20"/>
              </w:rPr>
            </w:pPr>
            <w:r w:rsidRPr="009A2DB7">
              <w:rPr>
                <w:rStyle w:val="normaltextrun"/>
                <w:rFonts w:ascii="Arial" w:eastAsiaTheme="majorEastAsia" w:hAnsi="Arial" w:cs="Arial"/>
                <w:color w:val="000000"/>
                <w:sz w:val="20"/>
                <w:szCs w:val="20"/>
              </w:rPr>
              <w:t xml:space="preserve">Mezi </w:t>
            </w:r>
            <w:r w:rsidRPr="008C292F">
              <w:rPr>
                <w:rStyle w:val="normaltextrun"/>
                <w:rFonts w:ascii="Arial" w:eastAsiaTheme="majorEastAsia" w:hAnsi="Arial" w:cs="Arial"/>
                <w:color w:val="0D0D0D" w:themeColor="text1" w:themeTint="F2"/>
                <w:sz w:val="20"/>
                <w:szCs w:val="20"/>
              </w:rPr>
              <w:t xml:space="preserve">regiony rostly letos </w:t>
            </w:r>
            <w:r w:rsidRPr="009A2DB7">
              <w:rPr>
                <w:rStyle w:val="normaltextrun"/>
                <w:rFonts w:ascii="Arial" w:eastAsiaTheme="majorEastAsia" w:hAnsi="Arial" w:cs="Arial"/>
                <w:color w:val="000000"/>
                <w:sz w:val="20"/>
                <w:szCs w:val="20"/>
              </w:rPr>
              <w:t xml:space="preserve">v </w:t>
            </w:r>
            <w:r>
              <w:rPr>
                <w:rStyle w:val="normaltextrun"/>
                <w:rFonts w:ascii="Arial" w:eastAsiaTheme="majorEastAsia" w:hAnsi="Arial" w:cs="Arial"/>
                <w:color w:val="000000"/>
                <w:sz w:val="20"/>
                <w:szCs w:val="20"/>
              </w:rPr>
              <w:t>1</w:t>
            </w:r>
            <w:r w:rsidRPr="009A2DB7">
              <w:rPr>
                <w:rStyle w:val="normaltextrun"/>
                <w:rFonts w:ascii="Arial" w:eastAsiaTheme="majorEastAsia" w:hAnsi="Arial" w:cs="Arial"/>
                <w:color w:val="000000"/>
                <w:sz w:val="20"/>
                <w:szCs w:val="20"/>
              </w:rPr>
              <w:t xml:space="preserve">. </w:t>
            </w:r>
            <w:r>
              <w:rPr>
                <w:rStyle w:val="normaltextrun"/>
                <w:rFonts w:ascii="Arial" w:eastAsiaTheme="majorEastAsia" w:hAnsi="Arial" w:cs="Arial"/>
                <w:color w:val="000000"/>
                <w:sz w:val="20"/>
                <w:szCs w:val="20"/>
              </w:rPr>
              <w:t>pololetí</w:t>
            </w:r>
            <w:r w:rsidRPr="009A2DB7">
              <w:rPr>
                <w:rStyle w:val="normaltextrun"/>
                <w:rFonts w:ascii="Arial" w:eastAsiaTheme="majorEastAsia" w:hAnsi="Arial" w:cs="Arial"/>
                <w:color w:val="000000"/>
                <w:sz w:val="20"/>
                <w:szCs w:val="20"/>
              </w:rPr>
              <w:t xml:space="preserve"> průměrné nominální mzdy meziročně nejvíce </w:t>
            </w:r>
            <w:r>
              <w:rPr>
                <w:rStyle w:val="normaltextrun"/>
                <w:rFonts w:ascii="Arial" w:eastAsiaTheme="majorEastAsia" w:hAnsi="Arial" w:cs="Arial"/>
                <w:color w:val="000000"/>
                <w:sz w:val="20"/>
                <w:szCs w:val="20"/>
              </w:rPr>
              <w:t>v Plzeňském kraji (+7,0 %), nejméně v kraji Ústeckém (+5,3 %). Mzdová dynamika v Praze kopírovala celostátní tempo, ovšem evidenční počet zaměstnanců zde spolu s Pardubickým krajem rostl nejvíce ze všech regionů (+1,5 %). Nepatrné snížení počtu zaměstnanců postihlo pouze Moravskoslezský kraj (</w:t>
            </w:r>
            <w:r w:rsidRPr="00903591">
              <w:rPr>
                <w:rStyle w:val="normaltextrun"/>
                <w:rFonts w:ascii="Arial" w:eastAsiaTheme="majorEastAsia" w:hAnsi="Arial" w:cs="Arial"/>
                <w:color w:val="000000"/>
                <w:sz w:val="20"/>
                <w:szCs w:val="20"/>
              </w:rPr>
              <w:t>–</w:t>
            </w:r>
            <w:r>
              <w:rPr>
                <w:rStyle w:val="normaltextrun"/>
                <w:rFonts w:ascii="Arial" w:eastAsiaTheme="majorEastAsia" w:hAnsi="Arial" w:cs="Arial"/>
                <w:color w:val="000000"/>
                <w:sz w:val="20"/>
                <w:szCs w:val="20"/>
              </w:rPr>
              <w:t xml:space="preserve">0,2 %), kde se promítl dopad razantního útlumu těžeb uhlí). </w:t>
            </w:r>
            <w:r w:rsidRPr="00D27E97">
              <w:rPr>
                <w:rStyle w:val="normaltextrun"/>
                <w:rFonts w:ascii="Arial" w:eastAsiaTheme="majorEastAsia" w:hAnsi="Arial" w:cs="Arial"/>
                <w:color w:val="000000"/>
                <w:sz w:val="20"/>
                <w:szCs w:val="20"/>
              </w:rPr>
              <w:t xml:space="preserve">Mzdová hladina </w:t>
            </w:r>
            <w:r>
              <w:rPr>
                <w:rStyle w:val="normaltextrun"/>
                <w:rFonts w:ascii="Arial" w:eastAsiaTheme="majorEastAsia" w:hAnsi="Arial" w:cs="Arial"/>
                <w:color w:val="000000"/>
                <w:sz w:val="20"/>
                <w:szCs w:val="20"/>
              </w:rPr>
              <w:t xml:space="preserve">v Praze (66,5 tis. korun/měsíc) převyšovala národní úroveň skoro o třetinu, řádově méně pak ve středních Čechách </w:t>
            </w:r>
            <w:r>
              <w:rPr>
                <w:rStyle w:val="normaltextrun"/>
                <w:rFonts w:ascii="Arial" w:eastAsiaTheme="majorEastAsia" w:hAnsi="Arial" w:cs="Arial"/>
                <w:color w:val="000000"/>
                <w:sz w:val="20"/>
                <w:szCs w:val="20"/>
              </w:rPr>
              <w:br/>
              <w:t>(s 51,8 tis.). Nejnižší mzdovou úroveň vykazují dlouhodobě podniky v Karlovarském kraji</w:t>
            </w:r>
            <w:r>
              <w:rPr>
                <w:rStyle w:val="Znakapoznpodarou"/>
                <w:rFonts w:ascii="Arial" w:eastAsiaTheme="majorEastAsia" w:hAnsi="Arial"/>
                <w:color w:val="000000"/>
                <w:sz w:val="20"/>
                <w:szCs w:val="20"/>
              </w:rPr>
              <w:footnoteReference w:id="108"/>
            </w:r>
            <w:r>
              <w:rPr>
                <w:rStyle w:val="normaltextrun"/>
                <w:rFonts w:ascii="Arial" w:eastAsiaTheme="majorEastAsia" w:hAnsi="Arial" w:cs="Arial"/>
                <w:color w:val="000000"/>
                <w:sz w:val="20"/>
                <w:szCs w:val="20"/>
              </w:rPr>
              <w:t xml:space="preserve"> (letos na 85 % celorepublikové hladiny) s drobným odstupem následně v kraji Zlínském, Olomouckém a Pardubickém. </w:t>
            </w:r>
          </w:p>
          <w:p w14:paraId="4C4A051C" w14:textId="77777777" w:rsidR="00AD1119" w:rsidRPr="00B82257" w:rsidRDefault="00AD1119" w:rsidP="00E962EE">
            <w:pPr>
              <w:pStyle w:val="paragraph"/>
              <w:spacing w:before="0" w:beforeAutospacing="0" w:after="0" w:afterAutospacing="0" w:line="276" w:lineRule="auto"/>
              <w:jc w:val="both"/>
              <w:textAlignment w:val="baseline"/>
              <w:rPr>
                <w:rStyle w:val="normaltextrun"/>
                <w:rFonts w:ascii="Arial" w:eastAsiaTheme="majorEastAsia" w:hAnsi="Arial"/>
                <w:sz w:val="20"/>
              </w:rPr>
            </w:pPr>
          </w:p>
        </w:tc>
      </w:tr>
      <w:tr w:rsidR="00AD1119" w:rsidRPr="00016778" w14:paraId="68A1D85B" w14:textId="77777777" w:rsidTr="00E962EE">
        <w:trPr>
          <w:trHeight w:val="132"/>
        </w:trPr>
        <w:tc>
          <w:tcPr>
            <w:tcW w:w="1797" w:type="dxa"/>
            <w:tcMar>
              <w:left w:w="0" w:type="dxa"/>
            </w:tcMar>
          </w:tcPr>
          <w:p w14:paraId="3F234146" w14:textId="77777777" w:rsidR="00AD1119" w:rsidRDefault="00AD1119" w:rsidP="00E962EE">
            <w:pPr>
              <w:pStyle w:val="Marginlie"/>
              <w:rPr>
                <w:color w:val="0D0D0D" w:themeColor="text1" w:themeTint="F2"/>
                <w:spacing w:val="-4"/>
              </w:rPr>
            </w:pPr>
          </w:p>
        </w:tc>
        <w:tc>
          <w:tcPr>
            <w:tcW w:w="173" w:type="dxa"/>
            <w:tcMar>
              <w:left w:w="0" w:type="dxa"/>
            </w:tcMar>
          </w:tcPr>
          <w:p w14:paraId="468BEE93" w14:textId="77777777" w:rsidR="00AD1119" w:rsidRPr="00016778" w:rsidRDefault="00AD1119" w:rsidP="00E962EE">
            <w:pPr>
              <w:pStyle w:val="Textpoznpodarou"/>
              <w:jc w:val="both"/>
              <w:rPr>
                <w:color w:val="0D0D0D" w:themeColor="text1" w:themeTint="F2"/>
                <w:spacing w:val="-4"/>
              </w:rPr>
            </w:pPr>
          </w:p>
        </w:tc>
        <w:tc>
          <w:tcPr>
            <w:tcW w:w="7704" w:type="dxa"/>
            <w:tcMar>
              <w:left w:w="0" w:type="dxa"/>
            </w:tcMar>
          </w:tcPr>
          <w:p w14:paraId="014C5692" w14:textId="77777777" w:rsidR="00AD1119" w:rsidRPr="004A2AF4" w:rsidRDefault="00AD1119" w:rsidP="00E962EE">
            <w:pPr>
              <w:spacing w:after="0"/>
              <w:jc w:val="left"/>
              <w:rPr>
                <w:rFonts w:cs="Arial"/>
                <w:b/>
                <w:color w:val="0D0D0D" w:themeColor="text1" w:themeTint="F2"/>
                <w:spacing w:val="-4"/>
                <w:szCs w:val="20"/>
              </w:rPr>
            </w:pPr>
            <w:r w:rsidRPr="00BE517C">
              <w:rPr>
                <w:rFonts w:cs="Arial"/>
                <w:b/>
                <w:color w:val="0D0D0D" w:themeColor="text1" w:themeTint="F2"/>
                <w:spacing w:val="-6"/>
                <w:szCs w:val="20"/>
              </w:rPr>
              <w:t>Graf č. 1</w:t>
            </w:r>
            <w:r>
              <w:rPr>
                <w:rFonts w:cs="Arial"/>
                <w:b/>
                <w:color w:val="0D0D0D" w:themeColor="text1" w:themeTint="F2"/>
                <w:spacing w:val="-6"/>
                <w:szCs w:val="20"/>
              </w:rPr>
              <w:t>6</w:t>
            </w:r>
            <w:r w:rsidRPr="00BE517C">
              <w:rPr>
                <w:rFonts w:cs="Arial"/>
                <w:b/>
                <w:color w:val="0D0D0D" w:themeColor="text1" w:themeTint="F2"/>
                <w:spacing w:val="-6"/>
                <w:szCs w:val="20"/>
              </w:rPr>
              <w:t xml:space="preserve"> </w:t>
            </w:r>
            <w:r w:rsidRPr="00A90A79">
              <w:rPr>
                <w:rFonts w:cs="Arial"/>
                <w:b/>
                <w:color w:val="0D0D0D" w:themeColor="text1" w:themeTint="F2"/>
                <w:spacing w:val="-4"/>
                <w:szCs w:val="20"/>
              </w:rPr>
              <w:t xml:space="preserve">Průměrná nominální </w:t>
            </w:r>
            <w:r>
              <w:rPr>
                <w:rFonts w:cs="Arial"/>
                <w:b/>
                <w:color w:val="0D0D0D" w:themeColor="text1" w:themeTint="F2"/>
                <w:spacing w:val="-4"/>
                <w:szCs w:val="20"/>
              </w:rPr>
              <w:t>a</w:t>
            </w:r>
            <w:r w:rsidRPr="00A90A79">
              <w:rPr>
                <w:rFonts w:cs="Arial"/>
                <w:b/>
                <w:color w:val="0D0D0D" w:themeColor="text1" w:themeTint="F2"/>
                <w:spacing w:val="-4"/>
                <w:szCs w:val="20"/>
              </w:rPr>
              <w:t xml:space="preserve"> reálná mzda </w:t>
            </w:r>
            <w:r>
              <w:rPr>
                <w:rFonts w:cs="Arial"/>
                <w:b/>
                <w:color w:val="0D0D0D" w:themeColor="text1" w:themeTint="F2"/>
                <w:spacing w:val="-4"/>
                <w:szCs w:val="20"/>
              </w:rPr>
              <w:t xml:space="preserve">v národním hospodářství a vybraných odvětvích </w:t>
            </w:r>
            <w:r w:rsidRPr="00BE517C">
              <w:rPr>
                <w:rFonts w:cs="Arial"/>
                <w:color w:val="0D0D0D" w:themeColor="text1" w:themeTint="F2"/>
                <w:spacing w:val="-6"/>
                <w:szCs w:val="20"/>
              </w:rPr>
              <w:t>(meziroční změna, v %</w:t>
            </w:r>
            <w:r>
              <w:rPr>
                <w:rFonts w:cs="Arial"/>
                <w:color w:val="0D0D0D" w:themeColor="text1" w:themeTint="F2"/>
                <w:spacing w:val="-6"/>
                <w:szCs w:val="20"/>
              </w:rPr>
              <w:t>)</w:t>
            </w:r>
          </w:p>
        </w:tc>
      </w:tr>
      <w:tr w:rsidR="00AD1119" w:rsidRPr="00016778" w14:paraId="33411AEF" w14:textId="77777777" w:rsidTr="00E962EE">
        <w:tblPrEx>
          <w:tblCellMar>
            <w:left w:w="70" w:type="dxa"/>
            <w:right w:w="70" w:type="dxa"/>
          </w:tblCellMar>
        </w:tblPrEx>
        <w:trPr>
          <w:trHeight w:val="132"/>
        </w:trPr>
        <w:tc>
          <w:tcPr>
            <w:tcW w:w="1797" w:type="dxa"/>
          </w:tcPr>
          <w:p w14:paraId="23F6198A" w14:textId="77777777" w:rsidR="00AD1119" w:rsidRPr="009C466F" w:rsidRDefault="00AD1119" w:rsidP="00E962EE">
            <w:pPr>
              <w:pStyle w:val="Marginlie"/>
              <w:rPr>
                <w:color w:val="0D0D0D" w:themeColor="text1" w:themeTint="F2"/>
                <w:spacing w:val="0"/>
              </w:rPr>
            </w:pPr>
          </w:p>
        </w:tc>
        <w:tc>
          <w:tcPr>
            <w:tcW w:w="173" w:type="dxa"/>
          </w:tcPr>
          <w:p w14:paraId="333E9974" w14:textId="77777777" w:rsidR="00AD1119" w:rsidRPr="00B43216" w:rsidRDefault="00AD1119" w:rsidP="00E962EE">
            <w:pPr>
              <w:pStyle w:val="Textpoznpodarou"/>
              <w:jc w:val="both"/>
              <w:rPr>
                <w:spacing w:val="-4"/>
              </w:rPr>
            </w:pPr>
          </w:p>
          <w:p w14:paraId="0391B436" w14:textId="77777777" w:rsidR="00AD1119" w:rsidRPr="00016778" w:rsidRDefault="00AD1119" w:rsidP="00E962EE">
            <w:pPr>
              <w:pStyle w:val="Textpoznpodarou"/>
              <w:jc w:val="both"/>
              <w:rPr>
                <w:color w:val="0D0D0D" w:themeColor="text1" w:themeTint="F2"/>
                <w:spacing w:val="-4"/>
              </w:rPr>
            </w:pPr>
          </w:p>
        </w:tc>
        <w:tc>
          <w:tcPr>
            <w:tcW w:w="7704" w:type="dxa"/>
          </w:tcPr>
          <w:p w14:paraId="07BB3085" w14:textId="77777777" w:rsidR="00AD1119" w:rsidRPr="00903591" w:rsidRDefault="00AD1119" w:rsidP="00E962EE">
            <w:pPr>
              <w:spacing w:before="20" w:after="40"/>
              <w:rPr>
                <w:rFonts w:eastAsiaTheme="majorEastAsia" w:cs="Arial"/>
                <w:color w:val="000000"/>
                <w:szCs w:val="20"/>
              </w:rPr>
            </w:pPr>
            <w:r>
              <w:rPr>
                <w:noProof/>
              </w:rPr>
              <w:drawing>
                <wp:inline distT="0" distB="0" distL="0" distR="0" wp14:anchorId="26AE0F6F" wp14:editId="7E92E292">
                  <wp:extent cx="4746625" cy="3768918"/>
                  <wp:effectExtent l="0" t="0" r="0" b="3175"/>
                  <wp:docPr id="1766517674" name="Graf 1">
                    <a:extLst xmlns:a="http://schemas.openxmlformats.org/drawingml/2006/main">
                      <a:ext uri="{FF2B5EF4-FFF2-40B4-BE49-F238E27FC236}">
                        <a16:creationId xmlns:a16="http://schemas.microsoft.com/office/drawing/2014/main" id="{CC3326E5-DA2F-6CAD-023A-6648DAE8FB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r>
      <w:tr w:rsidR="00AD1119" w:rsidRPr="00016778" w14:paraId="360027DC" w14:textId="77777777" w:rsidTr="00E962EE">
        <w:trPr>
          <w:trHeight w:val="132"/>
        </w:trPr>
        <w:tc>
          <w:tcPr>
            <w:tcW w:w="1797" w:type="dxa"/>
            <w:tcMar>
              <w:left w:w="0" w:type="dxa"/>
            </w:tcMar>
          </w:tcPr>
          <w:p w14:paraId="63B31AA3" w14:textId="77777777" w:rsidR="00AD1119" w:rsidRDefault="00AD1119" w:rsidP="00E962EE">
            <w:pPr>
              <w:pStyle w:val="Marginlie"/>
              <w:rPr>
                <w:color w:val="0D0D0D" w:themeColor="text1" w:themeTint="F2"/>
                <w:spacing w:val="0"/>
              </w:rPr>
            </w:pPr>
          </w:p>
        </w:tc>
        <w:tc>
          <w:tcPr>
            <w:tcW w:w="173" w:type="dxa"/>
            <w:tcMar>
              <w:left w:w="0" w:type="dxa"/>
            </w:tcMar>
          </w:tcPr>
          <w:p w14:paraId="6911DAEB" w14:textId="77777777" w:rsidR="00AD1119" w:rsidRPr="00016778" w:rsidRDefault="00AD1119" w:rsidP="00E962EE">
            <w:pPr>
              <w:pStyle w:val="Textpoznpodarou"/>
              <w:jc w:val="both"/>
              <w:rPr>
                <w:color w:val="0D0D0D" w:themeColor="text1" w:themeTint="F2"/>
                <w:spacing w:val="-4"/>
              </w:rPr>
            </w:pPr>
          </w:p>
        </w:tc>
        <w:tc>
          <w:tcPr>
            <w:tcW w:w="7704" w:type="dxa"/>
            <w:tcMar>
              <w:left w:w="0" w:type="dxa"/>
            </w:tcMar>
          </w:tcPr>
          <w:p w14:paraId="6D08654D" w14:textId="77777777" w:rsidR="00AD1119" w:rsidRDefault="00AD1119" w:rsidP="00E962EE">
            <w:pPr>
              <w:spacing w:after="0" w:line="240" w:lineRule="auto"/>
              <w:rPr>
                <w:rFonts w:cs="Arial"/>
                <w:color w:val="0D0D0D" w:themeColor="text1" w:themeTint="F2"/>
                <w:spacing w:val="-4"/>
                <w:sz w:val="14"/>
                <w:szCs w:val="14"/>
              </w:rPr>
            </w:pPr>
            <w:r>
              <w:rPr>
                <w:rFonts w:cs="Arial"/>
                <w:color w:val="0D0D0D" w:themeColor="text1" w:themeTint="F2"/>
                <w:spacing w:val="-4"/>
                <w:sz w:val="14"/>
                <w:szCs w:val="14"/>
              </w:rPr>
              <w:t>*</w:t>
            </w:r>
            <w:r w:rsidRPr="00A90A79">
              <w:rPr>
                <w:rFonts w:cs="Arial"/>
                <w:color w:val="0D0D0D" w:themeColor="text1" w:themeTint="F2"/>
                <w:spacing w:val="-4"/>
                <w:sz w:val="14"/>
                <w:szCs w:val="14"/>
              </w:rPr>
              <w:t>Zahrnuj</w:t>
            </w:r>
            <w:r>
              <w:rPr>
                <w:rFonts w:cs="Arial"/>
                <w:color w:val="0D0D0D" w:themeColor="text1" w:themeTint="F2"/>
                <w:spacing w:val="-4"/>
                <w:sz w:val="14"/>
                <w:szCs w:val="14"/>
              </w:rPr>
              <w:t>e odvětví s významnou rolí vládního sektoru</w:t>
            </w:r>
            <w:r w:rsidRPr="00A90A79">
              <w:rPr>
                <w:rFonts w:cs="Arial"/>
                <w:color w:val="0D0D0D" w:themeColor="text1" w:themeTint="F2"/>
                <w:spacing w:val="-4"/>
                <w:sz w:val="14"/>
                <w:szCs w:val="14"/>
              </w:rPr>
              <w:t>: Veřejná správa a obrana, povinné sociální zabezpečení; Vzdělávání; Zdravotní a sociální péče; Kulturn</w:t>
            </w:r>
            <w:r>
              <w:rPr>
                <w:rFonts w:cs="Arial"/>
                <w:color w:val="0D0D0D" w:themeColor="text1" w:themeTint="F2"/>
                <w:spacing w:val="-4"/>
                <w:sz w:val="14"/>
                <w:szCs w:val="14"/>
              </w:rPr>
              <w:t>í, zábavní a rekreační činnosti.</w:t>
            </w:r>
          </w:p>
          <w:p w14:paraId="76232571" w14:textId="77777777" w:rsidR="00AD1119" w:rsidRDefault="00AD1119" w:rsidP="00E962EE">
            <w:pPr>
              <w:spacing w:after="0"/>
              <w:jc w:val="left"/>
              <w:rPr>
                <w:rFonts w:cs="Arial"/>
                <w:color w:val="0D0D0D" w:themeColor="text1" w:themeTint="F2"/>
                <w:spacing w:val="-4"/>
                <w:sz w:val="14"/>
                <w:szCs w:val="14"/>
              </w:rPr>
            </w:pPr>
            <w:r w:rsidRPr="00A90A79">
              <w:rPr>
                <w:rFonts w:cs="Arial"/>
                <w:color w:val="0D0D0D" w:themeColor="text1" w:themeTint="F2"/>
                <w:spacing w:val="-4"/>
                <w:sz w:val="14"/>
                <w:szCs w:val="14"/>
              </w:rPr>
              <w:t>Zdroj: ČSÚ</w:t>
            </w:r>
          </w:p>
          <w:p w14:paraId="3D606499" w14:textId="77777777" w:rsidR="00AD1119" w:rsidRPr="00151F13" w:rsidRDefault="00AD1119" w:rsidP="00E962EE">
            <w:pPr>
              <w:spacing w:after="0"/>
              <w:jc w:val="left"/>
              <w:rPr>
                <w:rStyle w:val="normaltextrun"/>
                <w:rFonts w:cs="Arial"/>
                <w:color w:val="0D0D0D" w:themeColor="text1" w:themeTint="F2"/>
                <w:spacing w:val="-4"/>
                <w:sz w:val="14"/>
                <w:szCs w:val="14"/>
              </w:rPr>
            </w:pPr>
          </w:p>
        </w:tc>
      </w:tr>
    </w:tbl>
    <w:p w14:paraId="3F05FA70" w14:textId="77777777" w:rsidR="00AD1119" w:rsidRPr="00A40EDD" w:rsidRDefault="00AD1119" w:rsidP="00AD1119">
      <w:pPr>
        <w:spacing w:after="0" w:line="240" w:lineRule="auto"/>
        <w:jc w:val="left"/>
        <w:rPr>
          <w:rFonts w:eastAsia="MS Gothic"/>
          <w:b/>
          <w:bCs/>
          <w:color w:val="86BF5E"/>
          <w:sz w:val="6"/>
          <w:szCs w:val="6"/>
        </w:rPr>
      </w:pPr>
    </w:p>
    <w:p w14:paraId="58768DE1" w14:textId="77777777" w:rsidR="00AD1119" w:rsidRDefault="00AD1119">
      <w:pPr>
        <w:spacing w:after="0" w:line="240" w:lineRule="auto"/>
        <w:jc w:val="left"/>
        <w:rPr>
          <w:rFonts w:eastAsia="MS Gothic"/>
          <w:b/>
          <w:bCs/>
          <w:color w:val="86BF5E"/>
          <w:sz w:val="32"/>
          <w:szCs w:val="28"/>
        </w:rPr>
      </w:pPr>
      <w:r>
        <w:br w:type="page"/>
      </w:r>
    </w:p>
    <w:p w14:paraId="384FDC9B" w14:textId="7E7B3A3F" w:rsidR="006B1AFC" w:rsidRDefault="006B1AFC" w:rsidP="009324EF">
      <w:pPr>
        <w:pStyle w:val="Nadpis1"/>
      </w:pPr>
      <w:bookmarkStart w:id="47" w:name="_Toc240366906"/>
      <w:r>
        <w:lastRenderedPageBreak/>
        <w:t>7. Měnové podmínky</w:t>
      </w:r>
      <w:bookmarkEnd w:id="42"/>
      <w:bookmarkEnd w:id="47"/>
    </w:p>
    <w:tbl>
      <w:tblPr>
        <w:tblW w:w="9641" w:type="dxa"/>
        <w:tblInd w:w="-15" w:type="dxa"/>
        <w:tblCellMar>
          <w:left w:w="0" w:type="dxa"/>
          <w:right w:w="0" w:type="dxa"/>
        </w:tblCellMar>
        <w:tblLook w:val="00A0" w:firstRow="1" w:lastRow="0" w:firstColumn="1" w:lastColumn="0" w:noHBand="0" w:noVBand="0"/>
      </w:tblPr>
      <w:tblGrid>
        <w:gridCol w:w="1802"/>
        <w:gridCol w:w="229"/>
        <w:gridCol w:w="7610"/>
      </w:tblGrid>
      <w:tr w:rsidR="006B1AFC" w:rsidRPr="0037004A" w14:paraId="504A48B1" w14:textId="77777777" w:rsidTr="003C4A79">
        <w:trPr>
          <w:trHeight w:val="145"/>
        </w:trPr>
        <w:tc>
          <w:tcPr>
            <w:tcW w:w="1802" w:type="dxa"/>
          </w:tcPr>
          <w:p w14:paraId="6ACEFECC" w14:textId="77777777" w:rsidR="006B1AFC" w:rsidRDefault="006B1AFC" w:rsidP="003C4A79">
            <w:pPr>
              <w:pStyle w:val="Marginlie"/>
              <w:rPr>
                <w:lang w:eastAsia="en-US"/>
              </w:rPr>
            </w:pPr>
            <w:r>
              <w:rPr>
                <w:lang w:eastAsia="en-US"/>
              </w:rPr>
              <w:t>Zvýšily se základní měnověpolitické úrokové sazby.</w:t>
            </w:r>
          </w:p>
        </w:tc>
        <w:tc>
          <w:tcPr>
            <w:tcW w:w="229" w:type="dxa"/>
          </w:tcPr>
          <w:p w14:paraId="2211C5CE" w14:textId="77777777" w:rsidR="006B1AFC" w:rsidRDefault="006B1AFC" w:rsidP="003C4A79">
            <w:pPr>
              <w:pStyle w:val="Textpoznpodarou"/>
              <w:jc w:val="both"/>
              <w:rPr>
                <w:spacing w:val="-4"/>
                <w:lang w:eastAsia="en-US"/>
              </w:rPr>
            </w:pPr>
          </w:p>
        </w:tc>
        <w:tc>
          <w:tcPr>
            <w:tcW w:w="7610" w:type="dxa"/>
          </w:tcPr>
          <w:p w14:paraId="1EDE46AE" w14:textId="77777777" w:rsidR="006B1AFC" w:rsidRPr="0037004A" w:rsidRDefault="006B1AFC" w:rsidP="003C4A79">
            <w:pPr>
              <w:rPr>
                <w:spacing w:val="-2"/>
                <w:lang w:eastAsia="en-US"/>
              </w:rPr>
            </w:pPr>
            <w:r>
              <w:rPr>
                <w:spacing w:val="-2"/>
                <w:lang w:eastAsia="en-US"/>
              </w:rPr>
              <w:t>Po více než roce stabilního nastavení základních měnověpolitických sazeb došlo v červnu 2026 ke zpřísnění měnové politiky. Trvající inflační tlaky v oblasti cen služeb spojené s nákladovým šokem vedly ke zvýšení všech základních sazeb o 0,25 p. b. Dvoutýdenní repo sazba tak dosáhla 3,75 %</w:t>
            </w:r>
            <w:r w:rsidRPr="0037004A">
              <w:rPr>
                <w:rStyle w:val="Znakapoznpodarou"/>
                <w:spacing w:val="-2"/>
                <w:lang w:eastAsia="en-US"/>
              </w:rPr>
              <w:footnoteReference w:id="109"/>
            </w:r>
            <w:r>
              <w:rPr>
                <w:spacing w:val="-2"/>
                <w:lang w:eastAsia="en-US"/>
              </w:rPr>
              <w:t xml:space="preserve">, diskontní sazba 2,75 % a lombardní 4,75 %. Kurz koruny vůči euru měl v průběhu 2. čtvrtletí mírně posilující tendenci (z úrovně 24,50 na počátku dubna posílil až pod 24,20 v půli června). Celkově v průměru za celý kvartál dosáhl kurz 24,30 CZK/EUR, mezičtvrtletně posílil o 3 haléře a meziročně o 62 haléřů. Kurz koruny vůči dolaru v dubnu posílil zpět blízko hladině 20,50 CZK/USD, kterou měl před eskalací konfliktu na Blízkém východě. V průběhu čtvrtletí ale kurz kolísal a v polovině června pak opět oslabil těsně pod 21,50 CZK/USD. V průměru za celé čtvrtletí tak dolarový kurz dosáhl 20,90 CZK/USD a mezičtvrtletně oslabil o 11 haléřů, ale meziročně byl stále silnější o 1 korunu a 9 haléřů.   </w:t>
            </w:r>
          </w:p>
        </w:tc>
      </w:tr>
      <w:tr w:rsidR="006B1AFC" w14:paraId="5FDCC1FB" w14:textId="77777777" w:rsidTr="003C4A79">
        <w:trPr>
          <w:trHeight w:val="145"/>
        </w:trPr>
        <w:tc>
          <w:tcPr>
            <w:tcW w:w="1802" w:type="dxa"/>
          </w:tcPr>
          <w:p w14:paraId="4CD39314" w14:textId="77777777" w:rsidR="006B1AFC" w:rsidRDefault="006B1AFC" w:rsidP="003C4A79">
            <w:pPr>
              <w:pStyle w:val="Marginlie"/>
              <w:rPr>
                <w:lang w:eastAsia="en-US"/>
              </w:rPr>
            </w:pPr>
            <w:r>
              <w:rPr>
                <w:lang w:eastAsia="en-US"/>
              </w:rPr>
              <w:t>Změna nastavení měnové politiky měla vliv na mezibankovní úrokové sazby.</w:t>
            </w:r>
          </w:p>
        </w:tc>
        <w:tc>
          <w:tcPr>
            <w:tcW w:w="229" w:type="dxa"/>
          </w:tcPr>
          <w:p w14:paraId="6BBE4BDE" w14:textId="77777777" w:rsidR="006B1AFC" w:rsidRDefault="006B1AFC" w:rsidP="003C4A79">
            <w:pPr>
              <w:pStyle w:val="Textpoznpodarou"/>
              <w:jc w:val="both"/>
              <w:rPr>
                <w:spacing w:val="-4"/>
                <w:lang w:eastAsia="en-US"/>
              </w:rPr>
            </w:pPr>
          </w:p>
        </w:tc>
        <w:tc>
          <w:tcPr>
            <w:tcW w:w="7610" w:type="dxa"/>
          </w:tcPr>
          <w:p w14:paraId="7E71692C" w14:textId="77777777" w:rsidR="006B1AFC" w:rsidRDefault="006B1AFC" w:rsidP="003C4A79">
            <w:pPr>
              <w:rPr>
                <w:spacing w:val="-1"/>
                <w:lang w:eastAsia="en-US"/>
              </w:rPr>
            </w:pPr>
            <w:r>
              <w:rPr>
                <w:spacing w:val="-1"/>
                <w:lang w:eastAsia="en-US"/>
              </w:rPr>
              <w:t>Změna v nastavení měnových podmínek ovlivnila sazby mezibankovního trhu. Dopad změn rostl s délkou splatnosti, takže nejvíce se zvýšila</w:t>
            </w:r>
            <w:r>
              <w:rPr>
                <w:rStyle w:val="Znakapoznpodarou"/>
                <w:spacing w:val="-1"/>
                <w:lang w:eastAsia="en-US"/>
              </w:rPr>
              <w:footnoteReference w:id="110"/>
            </w:r>
            <w:r>
              <w:t xml:space="preserve"> </w:t>
            </w:r>
            <w:r>
              <w:rPr>
                <w:spacing w:val="-1"/>
                <w:lang w:eastAsia="en-US"/>
              </w:rPr>
              <w:t>roční PRIBOR sazba (o 0,32 p. b. na 3,93 % ke konci června), zatímco u úroků s měsíční nebo tříměsíční splatností byl nárůst mírný (o 0,13 p. b. na 3,68 % u tříměsíční sazby PRIBOR). Výnosy vládních dluhopisů v posledních dvou letech vykazovaly rostoucí tendenci. Během června došlo k dílčí korekci směrem dolů. To mělo největší vliv na dluhopisy se střednědobou splatností, které byly ke konci kvartálu v průměru úročeny 4,16 % (−0,10 p. b.). U dlouhodobých (4,70 % ke konci června) a krátkodobých dluhopisů (3,92 %) červnové snížení vedlo pouze k dorovnání na hodnotu z předchozího čtvrtletí.</w:t>
            </w:r>
          </w:p>
        </w:tc>
      </w:tr>
      <w:tr w:rsidR="006B1AFC" w14:paraId="1D2B3AB5" w14:textId="77777777" w:rsidTr="003C4A79">
        <w:trPr>
          <w:trHeight w:val="145"/>
        </w:trPr>
        <w:tc>
          <w:tcPr>
            <w:tcW w:w="1802" w:type="dxa"/>
          </w:tcPr>
          <w:p w14:paraId="330AA3E9" w14:textId="77777777" w:rsidR="006B1AFC" w:rsidRDefault="006B1AFC" w:rsidP="003C4A79">
            <w:pPr>
              <w:pStyle w:val="Marginlie"/>
              <w:rPr>
                <w:lang w:eastAsia="en-US"/>
              </w:rPr>
            </w:pPr>
            <w:r>
              <w:rPr>
                <w:lang w:eastAsia="en-US"/>
              </w:rPr>
              <w:t>Růst objemu vkladů zpomalil.</w:t>
            </w:r>
          </w:p>
        </w:tc>
        <w:tc>
          <w:tcPr>
            <w:tcW w:w="229" w:type="dxa"/>
          </w:tcPr>
          <w:p w14:paraId="3A3EE06F" w14:textId="77777777" w:rsidR="006B1AFC" w:rsidRDefault="006B1AFC" w:rsidP="003C4A79">
            <w:pPr>
              <w:pStyle w:val="Textpoznpodarou"/>
              <w:jc w:val="both"/>
              <w:rPr>
                <w:spacing w:val="-4"/>
                <w:lang w:eastAsia="en-US"/>
              </w:rPr>
            </w:pPr>
          </w:p>
        </w:tc>
        <w:tc>
          <w:tcPr>
            <w:tcW w:w="7610" w:type="dxa"/>
          </w:tcPr>
          <w:p w14:paraId="1934E468" w14:textId="77777777" w:rsidR="006B1AFC" w:rsidRDefault="006B1AFC" w:rsidP="003C4A79">
            <w:pPr>
              <w:rPr>
                <w:spacing w:val="-3"/>
                <w:lang w:eastAsia="en-US"/>
              </w:rPr>
            </w:pPr>
            <w:r>
              <w:rPr>
                <w:spacing w:val="-3"/>
                <w:lang w:eastAsia="en-US"/>
              </w:rPr>
              <w:t>Úrokové sazby u klientských vkladů se ve 2. čtvrtletí rovněž mírně zvýšily. Výjimkou byly běžné účty, u kterých se normalizovala prakticky nulová úroveň úročení. Jednodenní vklady byly ke konci čtvrtletí v průměru úročeny 1,52 % (+0,06 p. b.). U vkladů s dohodnutou splatností bylo zvýšení úrokových sazeb výraznější (+0,16 p. b. na 3,11 %). Velmi podobná situace panovala u nefinančních podniků. Jejich běžné účty byly ke konci čtvrtletí v průměru úročeny 1,23 % (+0,10 p. b.) a vklady s dohodnutou splatností 3,12 % (+0,16 p. b.). Objem klientských vkladů v českých bankách byl ke konci června meziročně vyšší o 367,7 mld. korun (4,8 %). Tempo druhý kvartál v řadě zmírnilo, a to zejména pod vlivem termínovaných vkladů (+42,2 mld. korun, 1,5 %). Netermínované vklady byly vyšší o 325,5 mld. (6,7 %). Jako obvykle se nejvíce meziročně zvyšovaly vklady domácností</w:t>
            </w:r>
            <w:r>
              <w:rPr>
                <w:rStyle w:val="Znakapoznpodarou"/>
                <w:spacing w:val="-3"/>
                <w:lang w:eastAsia="en-US"/>
              </w:rPr>
              <w:footnoteReference w:id="111"/>
            </w:r>
            <w:r>
              <w:rPr>
                <w:spacing w:val="-3"/>
                <w:lang w:eastAsia="en-US"/>
              </w:rPr>
              <w:t xml:space="preserve"> (+214,6 mld. korun). Ve srovnání s předchozím rokem a půl značně zrychlil přírůstek vkladů nefinančních podniků (+116,5 mld.) i finančních institucí (+66,3 mld., nejvíce od konce roku 2023). Meziročně nižší byly vklady vládních institucí (−24,4 mld. korun).</w:t>
            </w:r>
          </w:p>
        </w:tc>
      </w:tr>
      <w:tr w:rsidR="006B1AFC" w14:paraId="6F775FAB" w14:textId="77777777" w:rsidTr="003C4A79">
        <w:trPr>
          <w:trHeight w:val="145"/>
        </w:trPr>
        <w:tc>
          <w:tcPr>
            <w:tcW w:w="1802" w:type="dxa"/>
          </w:tcPr>
          <w:p w14:paraId="1E77EBD3" w14:textId="77777777" w:rsidR="006B1AFC" w:rsidRDefault="006B1AFC" w:rsidP="003C4A79">
            <w:pPr>
              <w:pStyle w:val="Marginlie"/>
              <w:rPr>
                <w:lang w:eastAsia="en-US"/>
              </w:rPr>
            </w:pPr>
            <w:r>
              <w:rPr>
                <w:lang w:eastAsia="en-US"/>
              </w:rPr>
              <w:t>Zájem o úvěry na spotřebu sílil.</w:t>
            </w:r>
          </w:p>
        </w:tc>
        <w:tc>
          <w:tcPr>
            <w:tcW w:w="229" w:type="dxa"/>
          </w:tcPr>
          <w:p w14:paraId="799ECEB9" w14:textId="77777777" w:rsidR="006B1AFC" w:rsidRDefault="006B1AFC" w:rsidP="003C4A79">
            <w:pPr>
              <w:pStyle w:val="Textpoznpodarou"/>
              <w:jc w:val="both"/>
              <w:rPr>
                <w:spacing w:val="-4"/>
                <w:lang w:eastAsia="en-US"/>
              </w:rPr>
            </w:pPr>
          </w:p>
        </w:tc>
        <w:tc>
          <w:tcPr>
            <w:tcW w:w="7610" w:type="dxa"/>
          </w:tcPr>
          <w:p w14:paraId="5C6D7D93" w14:textId="77777777" w:rsidR="006B1AFC" w:rsidRDefault="006B1AFC" w:rsidP="003C4A79">
            <w:pPr>
              <w:rPr>
                <w:lang w:eastAsia="en-US"/>
              </w:rPr>
            </w:pPr>
            <w:r>
              <w:rPr>
                <w:lang w:eastAsia="en-US"/>
              </w:rPr>
              <w:t xml:space="preserve">Průměrné úročení úvěrů na spotřebu domácností kleslo v 1. čtvrtletí na nejnižší hodnotu za posledních pět let (7,11 %), ale ve 2. kvartálu došlo k citelnému nárůstu zpět k 8% úrovni (+0,80 p. b. na 7,91 %). Objem poskytnutých úvěrů na spotřebu byl ke konci června meziročně vyšší o 15,2 % (+52,9 mld. korun). Tempo navzdory zdražení úvěrového financování opět zrychlilo a už rok se drží nad 10 %. Vyšší byly také úrokové sazby úvěrů na bydlení (+0,22 p. b. na 4,73 %). Citelně se ve 2. čtvrtletí zvýšilo zejména úročení úvěrů v nejvyužívanější kategorii fixace nad 1 rok a do 5 let včetně (+0,22 p. b. na 4,73 %), zatímco v pásmu nad 5 lety do 10 let včetně byla změna mírnější (+0,08 p. b. na 4,30 %). Ke konci června byl objem poskytnutých úvěrů na bydlení meziročně vyšší o 9,6 %, z toho hypotečních úvěrů bylo o 8,8 % více (+182,4 mld. korun). Neutuchal ani prudký růst překlenovacích úvěrů ze stavebního </w:t>
            </w:r>
            <w:r>
              <w:rPr>
                <w:lang w:eastAsia="en-US"/>
              </w:rPr>
              <w:lastRenderedPageBreak/>
              <w:t>spoření (26,4 %, +17,8 mld.). Objem nových hypotečních smluv</w:t>
            </w:r>
            <w:r>
              <w:rPr>
                <w:rStyle w:val="Znakapoznpodarou"/>
                <w:lang w:eastAsia="en-US"/>
              </w:rPr>
              <w:footnoteReference w:id="112"/>
            </w:r>
            <w:r>
              <w:rPr>
                <w:lang w:eastAsia="en-US"/>
              </w:rPr>
              <w:t xml:space="preserve"> za 2. kvartál dosáhl 270,5 mld. korun (meziročně +93,3 mld.). Čisté nové úvěry navzdory výraznému navýšení tvořily opět méně než polovinu nových smluv (118,1 mld. korun, +35,2 mld.). Největší částí z nových smluv totiž byla ostatní nová ujednání (124,3 mld. korun, +43,4 mld.). Spolu s nárůstem refinancovaných úvěrů (+14,7 mld. na 28,0 mld.) šlo o doklad zintenzivnění procesu refixací úvěrů uzavřených v období nízkých sazeb z let 2020–2021. </w:t>
            </w:r>
          </w:p>
        </w:tc>
      </w:tr>
      <w:tr w:rsidR="006B1AFC" w14:paraId="3E0778D9" w14:textId="77777777" w:rsidTr="003C4A79">
        <w:trPr>
          <w:trHeight w:val="145"/>
        </w:trPr>
        <w:tc>
          <w:tcPr>
            <w:tcW w:w="1802" w:type="dxa"/>
          </w:tcPr>
          <w:p w14:paraId="519E1935" w14:textId="77777777" w:rsidR="006B1AFC" w:rsidRDefault="006B1AFC" w:rsidP="003C4A79">
            <w:pPr>
              <w:pStyle w:val="Marginlie"/>
              <w:rPr>
                <w:lang w:eastAsia="en-US"/>
              </w:rPr>
            </w:pPr>
            <w:r>
              <w:rPr>
                <w:lang w:eastAsia="en-US"/>
              </w:rPr>
              <w:lastRenderedPageBreak/>
              <w:t>Podniky nabíraly zejména úvěry v korunách.</w:t>
            </w:r>
          </w:p>
        </w:tc>
        <w:tc>
          <w:tcPr>
            <w:tcW w:w="229" w:type="dxa"/>
          </w:tcPr>
          <w:p w14:paraId="3939EA49" w14:textId="77777777" w:rsidR="006B1AFC" w:rsidRDefault="006B1AFC" w:rsidP="003C4A79">
            <w:pPr>
              <w:pStyle w:val="Textpoznpodarou"/>
              <w:jc w:val="both"/>
              <w:rPr>
                <w:spacing w:val="-4"/>
                <w:lang w:eastAsia="en-US"/>
              </w:rPr>
            </w:pPr>
          </w:p>
        </w:tc>
        <w:tc>
          <w:tcPr>
            <w:tcW w:w="7610" w:type="dxa"/>
          </w:tcPr>
          <w:p w14:paraId="7DDDB8CC" w14:textId="77777777" w:rsidR="006B1AFC" w:rsidRDefault="006B1AFC" w:rsidP="003C4A79">
            <w:pPr>
              <w:rPr>
                <w:lang w:eastAsia="en-US"/>
              </w:rPr>
            </w:pPr>
            <w:r>
              <w:rPr>
                <w:lang w:eastAsia="en-US"/>
              </w:rPr>
              <w:t>Úročení úvěrů pro nefinanční podniky po předchozím půlroce poklesu ve 2. čtvrtletí opět vzrostlo. Průměrná úroková sazba úvěrů do 7,5 mil. korun dosáhla ke konci června 6,25 % (+0,20 p. b.), mezi 7,5 a 30 mil. korun 5,71 % (+0,28 p. b.) a u největších úvěrů nad 30 mil. 5,36 % (+0,20 p. b.). Celkový objem úvěrů a pohledávek nefinančních podniků byl ke konci 2. čtvrtletí meziročně vyšší o 9,6 % a tempo zrychlilo. Silněji přitom rostly úvěry v korunách (15,4 %) i cizí měně (3,8 %), ale podíl úvěrů v cizí měně na celkovém objemu úvěrů a pohledávek dál klesal a dosáhl ke konci kvartálu 47,5 %. Meziroční přírůstek objemu poskytnutých úvěrů posílil v odvětví výroby a rozvodu elektřiny, plynu, tepla, vzduchu, vody a odpadů (16,2 %), v ubytování a stravování (15,5 %), v činnostech v oblasti nemovitostí (11,2 %) i ve veřejné správě a obraně, povinném sociálním zabezpečení, vzdělávání a zdravotní a sociální péči (10,5 %). Kromě utlumující se těžby a dobývání klesl objem úvěrů pouze ve stavebnictví (−7,8 %).</w:t>
            </w:r>
          </w:p>
        </w:tc>
      </w:tr>
      <w:tr w:rsidR="006B1AFC" w14:paraId="3B57CFE0" w14:textId="77777777" w:rsidTr="003C4A79">
        <w:trPr>
          <w:trHeight w:val="304"/>
        </w:trPr>
        <w:tc>
          <w:tcPr>
            <w:tcW w:w="1802" w:type="dxa"/>
            <w:vMerge w:val="restart"/>
          </w:tcPr>
          <w:p w14:paraId="3FB3F7B8" w14:textId="77777777" w:rsidR="006B1AFC" w:rsidRDefault="006B1AFC" w:rsidP="003C4A79">
            <w:pPr>
              <w:pStyle w:val="Marginlie"/>
              <w:rPr>
                <w:lang w:eastAsia="en-US"/>
              </w:rPr>
            </w:pPr>
          </w:p>
        </w:tc>
        <w:tc>
          <w:tcPr>
            <w:tcW w:w="229" w:type="dxa"/>
            <w:vMerge w:val="restart"/>
          </w:tcPr>
          <w:p w14:paraId="76333458" w14:textId="77777777" w:rsidR="006B1AFC" w:rsidRDefault="006B1AFC" w:rsidP="003C4A79">
            <w:pPr>
              <w:pStyle w:val="Textpoznpodarou"/>
              <w:jc w:val="both"/>
              <w:rPr>
                <w:spacing w:val="-4"/>
                <w:lang w:eastAsia="en-US"/>
              </w:rPr>
            </w:pPr>
          </w:p>
        </w:tc>
        <w:tc>
          <w:tcPr>
            <w:tcW w:w="7610" w:type="dxa"/>
            <w:hideMark/>
          </w:tcPr>
          <w:p w14:paraId="256C0064" w14:textId="77777777" w:rsidR="006B1AFC" w:rsidRPr="00D721B4" w:rsidRDefault="006B1AFC" w:rsidP="003C4A79">
            <w:pPr>
              <w:spacing w:after="0"/>
              <w:rPr>
                <w:szCs w:val="20"/>
                <w:lang w:eastAsia="en-US"/>
              </w:rPr>
            </w:pPr>
            <w:r>
              <w:rPr>
                <w:rFonts w:cs="Arial"/>
                <w:b/>
                <w:bCs/>
                <w:color w:val="000000"/>
                <w:szCs w:val="20"/>
                <w:lang w:eastAsia="en-US"/>
              </w:rPr>
              <w:t>Graf č. 16</w:t>
            </w:r>
            <w:r w:rsidRPr="00D721B4">
              <w:rPr>
                <w:rFonts w:cs="Arial"/>
                <w:b/>
                <w:bCs/>
                <w:color w:val="000000"/>
                <w:szCs w:val="20"/>
                <w:lang w:eastAsia="en-US"/>
              </w:rPr>
              <w:t xml:space="preserve"> </w:t>
            </w:r>
            <w:r w:rsidRPr="00D721B4">
              <w:rPr>
                <w:b/>
                <w:spacing w:val="-4"/>
                <w:szCs w:val="20"/>
                <w:lang w:eastAsia="en-US"/>
              </w:rPr>
              <w:t xml:space="preserve">Tržní úrokové sazby </w:t>
            </w:r>
            <w:r w:rsidRPr="00D721B4">
              <w:rPr>
                <w:bCs/>
                <w:spacing w:val="-4"/>
                <w:szCs w:val="20"/>
                <w:lang w:eastAsia="en-US"/>
              </w:rPr>
              <w:t>(v</w:t>
            </w:r>
            <w:r>
              <w:rPr>
                <w:bCs/>
                <w:spacing w:val="-4"/>
                <w:szCs w:val="20"/>
                <w:lang w:eastAsia="en-US"/>
              </w:rPr>
              <w:t> %</w:t>
            </w:r>
            <w:r w:rsidRPr="00D721B4">
              <w:rPr>
                <w:bCs/>
                <w:spacing w:val="-4"/>
                <w:szCs w:val="20"/>
                <w:lang w:eastAsia="en-US"/>
              </w:rPr>
              <w:t>)</w:t>
            </w:r>
          </w:p>
        </w:tc>
      </w:tr>
      <w:tr w:rsidR="006B1AFC" w14:paraId="204EC9CF" w14:textId="77777777" w:rsidTr="003C4A79">
        <w:tblPrEx>
          <w:tblCellMar>
            <w:left w:w="70" w:type="dxa"/>
            <w:right w:w="70" w:type="dxa"/>
          </w:tblCellMar>
        </w:tblPrEx>
        <w:trPr>
          <w:trHeight w:val="170"/>
        </w:trPr>
        <w:tc>
          <w:tcPr>
            <w:tcW w:w="1802" w:type="dxa"/>
            <w:vMerge/>
            <w:vAlign w:val="center"/>
            <w:hideMark/>
          </w:tcPr>
          <w:p w14:paraId="32CE8C28" w14:textId="77777777" w:rsidR="006B1AFC" w:rsidRDefault="006B1AFC" w:rsidP="003C4A79">
            <w:pPr>
              <w:spacing w:after="0" w:line="240" w:lineRule="auto"/>
              <w:jc w:val="left"/>
              <w:rPr>
                <w:spacing w:val="-2"/>
                <w:sz w:val="16"/>
                <w:szCs w:val="16"/>
                <w:lang w:eastAsia="en-US"/>
              </w:rPr>
            </w:pPr>
          </w:p>
        </w:tc>
        <w:tc>
          <w:tcPr>
            <w:tcW w:w="229" w:type="dxa"/>
            <w:vMerge/>
            <w:vAlign w:val="center"/>
            <w:hideMark/>
          </w:tcPr>
          <w:p w14:paraId="38E3B4D2" w14:textId="77777777" w:rsidR="006B1AFC" w:rsidRDefault="006B1AFC" w:rsidP="003C4A79">
            <w:pPr>
              <w:spacing w:after="0" w:line="240" w:lineRule="auto"/>
              <w:jc w:val="left"/>
              <w:rPr>
                <w:rFonts w:eastAsia="Calibri"/>
                <w:spacing w:val="-4"/>
                <w:szCs w:val="20"/>
                <w:lang w:eastAsia="en-US"/>
              </w:rPr>
            </w:pPr>
          </w:p>
        </w:tc>
        <w:tc>
          <w:tcPr>
            <w:tcW w:w="7610" w:type="dxa"/>
            <w:hideMark/>
          </w:tcPr>
          <w:p w14:paraId="129CB169" w14:textId="77777777" w:rsidR="006B1AFC" w:rsidRDefault="006B1AFC" w:rsidP="003C4A79">
            <w:pPr>
              <w:spacing w:after="0"/>
              <w:rPr>
                <w:sz w:val="14"/>
                <w:szCs w:val="14"/>
                <w:lang w:eastAsia="en-US"/>
              </w:rPr>
            </w:pPr>
            <w:r>
              <w:rPr>
                <w:noProof/>
              </w:rPr>
              <w:drawing>
                <wp:inline distT="0" distB="0" distL="0" distR="0" wp14:anchorId="30E41D17" wp14:editId="3A3CBAE5">
                  <wp:extent cx="4737600" cy="3553200"/>
                  <wp:effectExtent l="0" t="0" r="6350" b="0"/>
                  <wp:docPr id="150612612" name="Graf 1">
                    <a:extLst xmlns:a="http://schemas.openxmlformats.org/drawingml/2006/main">
                      <a:ext uri="{FF2B5EF4-FFF2-40B4-BE49-F238E27FC236}">
                        <a16:creationId xmlns:a16="http://schemas.microsoft.com/office/drawing/2014/main" id="{00000000-0008-0000-0A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r>
      <w:tr w:rsidR="006B1AFC" w14:paraId="08745674" w14:textId="77777777" w:rsidTr="003C4A79">
        <w:trPr>
          <w:trHeight w:val="170"/>
        </w:trPr>
        <w:tc>
          <w:tcPr>
            <w:tcW w:w="0" w:type="auto"/>
            <w:vMerge/>
            <w:vAlign w:val="center"/>
            <w:hideMark/>
          </w:tcPr>
          <w:p w14:paraId="09A0DAAD" w14:textId="77777777" w:rsidR="006B1AFC" w:rsidRDefault="006B1AFC" w:rsidP="003C4A79">
            <w:pPr>
              <w:spacing w:after="0" w:line="240" w:lineRule="auto"/>
              <w:jc w:val="left"/>
              <w:rPr>
                <w:spacing w:val="-2"/>
                <w:sz w:val="16"/>
                <w:szCs w:val="16"/>
                <w:lang w:eastAsia="en-US"/>
              </w:rPr>
            </w:pPr>
          </w:p>
        </w:tc>
        <w:tc>
          <w:tcPr>
            <w:tcW w:w="0" w:type="auto"/>
            <w:vMerge/>
            <w:vAlign w:val="center"/>
            <w:hideMark/>
          </w:tcPr>
          <w:p w14:paraId="7AF1D578" w14:textId="77777777" w:rsidR="006B1AFC" w:rsidRDefault="006B1AFC" w:rsidP="003C4A79">
            <w:pPr>
              <w:spacing w:after="0" w:line="240" w:lineRule="auto"/>
              <w:jc w:val="left"/>
              <w:rPr>
                <w:rFonts w:eastAsia="Calibri"/>
                <w:spacing w:val="-4"/>
                <w:szCs w:val="20"/>
                <w:lang w:eastAsia="en-US"/>
              </w:rPr>
            </w:pPr>
          </w:p>
        </w:tc>
        <w:tc>
          <w:tcPr>
            <w:tcW w:w="7610" w:type="dxa"/>
            <w:hideMark/>
          </w:tcPr>
          <w:p w14:paraId="2A974665" w14:textId="77777777" w:rsidR="006B1AFC" w:rsidRDefault="006B1AFC" w:rsidP="003C4A79">
            <w:pPr>
              <w:spacing w:after="0"/>
              <w:rPr>
                <w:sz w:val="14"/>
                <w:szCs w:val="14"/>
                <w:lang w:eastAsia="en-US"/>
              </w:rPr>
            </w:pPr>
            <w:r>
              <w:rPr>
                <w:sz w:val="14"/>
                <w:szCs w:val="14"/>
                <w:lang w:eastAsia="en-US"/>
              </w:rPr>
              <w:t>Zdroj: ARAD, ČNB</w:t>
            </w:r>
          </w:p>
        </w:tc>
      </w:tr>
    </w:tbl>
    <w:p w14:paraId="722557BC" w14:textId="77777777" w:rsidR="006B1AFC" w:rsidRPr="00D53EAD" w:rsidRDefault="006B1AFC" w:rsidP="009324EF">
      <w:pPr>
        <w:spacing w:after="0" w:line="240" w:lineRule="auto"/>
        <w:jc w:val="left"/>
        <w:rPr>
          <w:rFonts w:eastAsia="MS Gothic"/>
          <w:b/>
          <w:bCs/>
          <w:color w:val="86BF5E"/>
          <w:sz w:val="32"/>
          <w:szCs w:val="32"/>
          <w:highlight w:val="yellow"/>
        </w:rPr>
      </w:pPr>
    </w:p>
    <w:p w14:paraId="1DA3BEF6" w14:textId="77777777" w:rsidR="006B1AFC" w:rsidRPr="00FE604F" w:rsidRDefault="006B1AFC" w:rsidP="009324EF">
      <w:pPr>
        <w:pStyle w:val="Nadpis1"/>
        <w:rPr>
          <w:color w:val="auto"/>
          <w:sz w:val="2"/>
          <w:szCs w:val="2"/>
        </w:rPr>
      </w:pPr>
    </w:p>
    <w:p w14:paraId="2DE199FE" w14:textId="77777777" w:rsidR="006B1AFC" w:rsidRPr="00FC6700" w:rsidRDefault="006B1AFC" w:rsidP="009324EF">
      <w:pPr>
        <w:pStyle w:val="Nadpis1"/>
        <w:rPr>
          <w:sz w:val="2"/>
          <w:szCs w:val="2"/>
        </w:rPr>
      </w:pPr>
    </w:p>
    <w:p w14:paraId="42DD68B6" w14:textId="77777777" w:rsidR="006B1AFC" w:rsidRPr="00FC6700" w:rsidRDefault="006B1AFC" w:rsidP="009324EF">
      <w:pPr>
        <w:pStyle w:val="Nadpis1"/>
        <w:rPr>
          <w:sz w:val="2"/>
          <w:szCs w:val="2"/>
        </w:rPr>
      </w:pPr>
    </w:p>
    <w:p w14:paraId="4306D3E0" w14:textId="77777777" w:rsidR="006B1AFC" w:rsidRDefault="006B1AFC" w:rsidP="009324EF">
      <w:pPr>
        <w:spacing w:after="0" w:line="240" w:lineRule="auto"/>
        <w:jc w:val="left"/>
        <w:rPr>
          <w:rFonts w:eastAsia="MS Gothic"/>
          <w:b/>
          <w:bCs/>
          <w:color w:val="86BF5E"/>
          <w:sz w:val="32"/>
          <w:szCs w:val="32"/>
        </w:rPr>
      </w:pPr>
      <w:r>
        <w:rPr>
          <w:szCs w:val="32"/>
        </w:rPr>
        <w:br w:type="page"/>
      </w:r>
    </w:p>
    <w:p w14:paraId="77FB1655" w14:textId="77777777" w:rsidR="006B1AFC" w:rsidRPr="00FC6700" w:rsidRDefault="006B1AFC" w:rsidP="009324EF">
      <w:pPr>
        <w:pStyle w:val="Nadpis1"/>
      </w:pPr>
      <w:bookmarkStart w:id="48" w:name="_Toc239947455"/>
      <w:bookmarkStart w:id="49" w:name="_Toc240366907"/>
      <w:r w:rsidRPr="00FC6700">
        <w:rPr>
          <w:szCs w:val="32"/>
        </w:rPr>
        <w:lastRenderedPageBreak/>
        <w:t>8</w:t>
      </w:r>
      <w:r w:rsidRPr="00FC6700">
        <w:t>. </w:t>
      </w:r>
      <w:r>
        <w:t>Veřejné finance</w:t>
      </w:r>
      <w:bookmarkEnd w:id="48"/>
      <w:bookmarkEnd w:id="49"/>
    </w:p>
    <w:tbl>
      <w:tblPr>
        <w:tblW w:w="9669" w:type="dxa"/>
        <w:tblInd w:w="-20" w:type="dxa"/>
        <w:tblLayout w:type="fixed"/>
        <w:tblCellMar>
          <w:left w:w="0" w:type="dxa"/>
          <w:right w:w="0" w:type="dxa"/>
        </w:tblCellMar>
        <w:tblLook w:val="00A0" w:firstRow="1" w:lastRow="0" w:firstColumn="1" w:lastColumn="0" w:noHBand="0" w:noVBand="0"/>
      </w:tblPr>
      <w:tblGrid>
        <w:gridCol w:w="1803"/>
        <w:gridCol w:w="203"/>
        <w:gridCol w:w="7663"/>
      </w:tblGrid>
      <w:tr w:rsidR="006B1AFC" w:rsidRPr="00FC6700" w14:paraId="4192351E" w14:textId="77777777" w:rsidTr="003C4A79">
        <w:trPr>
          <w:trHeight w:val="60"/>
        </w:trPr>
        <w:tc>
          <w:tcPr>
            <w:tcW w:w="9669" w:type="dxa"/>
            <w:gridSpan w:val="3"/>
            <w:tcMar>
              <w:left w:w="0" w:type="dxa"/>
            </w:tcMar>
          </w:tcPr>
          <w:p w14:paraId="7694B289" w14:textId="77777777" w:rsidR="006B1AFC" w:rsidRPr="006B2C72" w:rsidRDefault="006B1AFC" w:rsidP="003C4A79">
            <w:pPr>
              <w:pStyle w:val="Nadpis3"/>
              <w:rPr>
                <w:spacing w:val="-2"/>
              </w:rPr>
            </w:pPr>
            <w:bookmarkStart w:id="50" w:name="_Toc239947456"/>
            <w:bookmarkStart w:id="51" w:name="_Toc240366908"/>
            <w:r w:rsidRPr="006B2C72">
              <w:rPr>
                <w:lang w:eastAsia="en-US"/>
              </w:rPr>
              <w:t>8.1 Hospodaření sektoru vládních i</w:t>
            </w:r>
            <w:r>
              <w:rPr>
                <w:lang w:eastAsia="en-US"/>
              </w:rPr>
              <w:t>nstitucí</w:t>
            </w:r>
            <w:bookmarkEnd w:id="50"/>
            <w:bookmarkEnd w:id="51"/>
          </w:p>
        </w:tc>
      </w:tr>
      <w:tr w:rsidR="006B1AFC" w:rsidRPr="00FC6700" w14:paraId="2819EFC3" w14:textId="77777777" w:rsidTr="003C4A79">
        <w:trPr>
          <w:trHeight w:val="60"/>
        </w:trPr>
        <w:tc>
          <w:tcPr>
            <w:tcW w:w="1803" w:type="dxa"/>
            <w:tcMar>
              <w:left w:w="0" w:type="dxa"/>
            </w:tcMar>
          </w:tcPr>
          <w:p w14:paraId="210CA9C6" w14:textId="77777777" w:rsidR="006B1AFC" w:rsidRPr="006B2C72" w:rsidRDefault="006B1AFC" w:rsidP="003C4A79">
            <w:pPr>
              <w:pStyle w:val="Marginlie"/>
              <w:rPr>
                <w:color w:val="0D0D0D" w:themeColor="text1" w:themeTint="F2"/>
                <w:spacing w:val="0"/>
              </w:rPr>
            </w:pPr>
            <w:r>
              <w:rPr>
                <w:color w:val="0D0D0D" w:themeColor="text1" w:themeTint="F2"/>
                <w:spacing w:val="0"/>
              </w:rPr>
              <w:t>Deficit hospodaření sektoru vládních institucí se v 1. čtvrtletí meziročně velmi mírně prohloubil.</w:t>
            </w:r>
          </w:p>
        </w:tc>
        <w:tc>
          <w:tcPr>
            <w:tcW w:w="203" w:type="dxa"/>
            <w:tcMar>
              <w:left w:w="0" w:type="dxa"/>
            </w:tcMar>
          </w:tcPr>
          <w:p w14:paraId="7DD9DDA7" w14:textId="77777777" w:rsidR="006B1AFC" w:rsidRPr="006B2C72" w:rsidRDefault="006B1AFC" w:rsidP="003C4A79">
            <w:pPr>
              <w:pStyle w:val="Textpoznpodarou"/>
              <w:jc w:val="both"/>
              <w:rPr>
                <w:color w:val="0D0D0D" w:themeColor="text1" w:themeTint="F2"/>
              </w:rPr>
            </w:pPr>
          </w:p>
        </w:tc>
        <w:tc>
          <w:tcPr>
            <w:tcW w:w="7663" w:type="dxa"/>
            <w:tcMar>
              <w:left w:w="0" w:type="dxa"/>
            </w:tcMar>
          </w:tcPr>
          <w:p w14:paraId="2A194FDF" w14:textId="77777777" w:rsidR="006B1AFC" w:rsidRPr="006B2C72" w:rsidRDefault="006B1AFC" w:rsidP="003C4A79">
            <w:pPr>
              <w:spacing w:after="200"/>
              <w:rPr>
                <w:color w:val="0D0D0D" w:themeColor="text1" w:themeTint="F2"/>
                <w:spacing w:val="-2"/>
              </w:rPr>
            </w:pPr>
            <w:r w:rsidRPr="006A0671">
              <w:rPr>
                <w:color w:val="0D0D0D" w:themeColor="text1" w:themeTint="F2"/>
                <w:spacing w:val="-2"/>
              </w:rPr>
              <w:t xml:space="preserve">Dle aktuálních údajů hospodařil sektor vládních institucí v Česku v 1. </w:t>
            </w:r>
            <w:r>
              <w:rPr>
                <w:color w:val="0D0D0D" w:themeColor="text1" w:themeTint="F2"/>
                <w:spacing w:val="-2"/>
              </w:rPr>
              <w:t>čtvrtletí</w:t>
            </w:r>
            <w:r w:rsidRPr="003405C2">
              <w:rPr>
                <w:color w:val="0D0D0D" w:themeColor="text1" w:themeTint="F2"/>
                <w:spacing w:val="-2"/>
              </w:rPr>
              <w:t xml:space="preserve"> 202</w:t>
            </w:r>
            <w:r>
              <w:rPr>
                <w:color w:val="0D0D0D" w:themeColor="text1" w:themeTint="F2"/>
                <w:spacing w:val="-2"/>
              </w:rPr>
              <w:t>6</w:t>
            </w:r>
            <w:r w:rsidRPr="003405C2">
              <w:rPr>
                <w:rStyle w:val="Znakapoznpodarou"/>
                <w:color w:val="0D0D0D" w:themeColor="text1" w:themeTint="F2"/>
                <w:spacing w:val="-2"/>
              </w:rPr>
              <w:footnoteReference w:id="113"/>
            </w:r>
            <w:r w:rsidRPr="003405C2">
              <w:rPr>
                <w:color w:val="0D0D0D" w:themeColor="text1" w:themeTint="F2"/>
                <w:spacing w:val="-2"/>
              </w:rPr>
              <w:t xml:space="preserve"> </w:t>
            </w:r>
            <w:r>
              <w:rPr>
                <w:color w:val="0D0D0D" w:themeColor="text1" w:themeTint="F2"/>
                <w:spacing w:val="-2"/>
              </w:rPr>
              <w:br/>
            </w:r>
            <w:r w:rsidRPr="003405C2">
              <w:rPr>
                <w:color w:val="0D0D0D" w:themeColor="text1" w:themeTint="F2"/>
                <w:spacing w:val="-2"/>
              </w:rPr>
              <w:t xml:space="preserve">s deficitem </w:t>
            </w:r>
            <w:r>
              <w:rPr>
                <w:color w:val="0D0D0D" w:themeColor="text1" w:themeTint="F2"/>
                <w:spacing w:val="-2"/>
              </w:rPr>
              <w:t>72,3</w:t>
            </w:r>
            <w:r w:rsidRPr="003405C2">
              <w:rPr>
                <w:color w:val="0D0D0D" w:themeColor="text1" w:themeTint="F2"/>
                <w:spacing w:val="-2"/>
              </w:rPr>
              <w:t> mld. korun</w:t>
            </w:r>
            <w:r w:rsidRPr="003405C2">
              <w:rPr>
                <w:rStyle w:val="Znakapoznpodarou"/>
                <w:color w:val="0D0D0D" w:themeColor="text1" w:themeTint="F2"/>
                <w:spacing w:val="-2"/>
              </w:rPr>
              <w:footnoteReference w:id="114"/>
            </w:r>
            <w:r w:rsidRPr="003405C2">
              <w:rPr>
                <w:color w:val="0D0D0D" w:themeColor="text1" w:themeTint="F2"/>
                <w:spacing w:val="-2"/>
              </w:rPr>
              <w:t>.</w:t>
            </w:r>
            <w:r>
              <w:rPr>
                <w:color w:val="0D0D0D" w:themeColor="text1" w:themeTint="F2"/>
                <w:spacing w:val="-2"/>
              </w:rPr>
              <w:t xml:space="preserve"> Schodek se meziročně opět prohloubil (o 1,6 mld. korun</w:t>
            </w:r>
            <w:r w:rsidRPr="007377B4">
              <w:rPr>
                <w:rStyle w:val="Znakapoznpodarou"/>
                <w:color w:val="0D0D0D" w:themeColor="text1" w:themeTint="F2"/>
                <w:spacing w:val="-2"/>
              </w:rPr>
              <w:footnoteReference w:id="115"/>
            </w:r>
            <w:r>
              <w:rPr>
                <w:color w:val="0D0D0D" w:themeColor="text1" w:themeTint="F2"/>
                <w:spacing w:val="-2"/>
              </w:rPr>
              <w:t>), avšak řádově mírněji než na počátku loňského roku. Zatímco růst celkových příjmů lehce zrychlil (na 5,2 %), u výdajů tempo nepatrně opadlo (na 4,9 %). K posílení příjmů nadále nejvíce přispěly stabilně rostoucí přijaté</w:t>
            </w:r>
            <w:r w:rsidRPr="00721AAA">
              <w:rPr>
                <w:color w:val="0D0D0D" w:themeColor="text1" w:themeTint="F2"/>
                <w:spacing w:val="-2"/>
              </w:rPr>
              <w:t xml:space="preserve"> sociální příspěvk</w:t>
            </w:r>
            <w:r>
              <w:rPr>
                <w:color w:val="0D0D0D" w:themeColor="text1" w:themeTint="F2"/>
                <w:spacing w:val="-2"/>
              </w:rPr>
              <w:t>y zaměstnanců i zaměstnavatelů (+6,5 %). Významný vliv měly i přímé daně, byť růst u většiny z nich byl zatím letos oproti předchozím čtvrtletím slabší. V rámci nepřímých daní se pozitivně projevovala zejména DPH, jejíž výběr postupně sílil (na +8,9 %, v rámci v 1. čtvrtletí nejvíce za poslední čtyři roky). Rovněž většina ostatních příjmových položek alespoň mírně rostla, výjimku představovaly spíše váhově okrajovější k</w:t>
            </w:r>
            <w:r w:rsidRPr="00546CF9">
              <w:rPr>
                <w:color w:val="0D0D0D" w:themeColor="text1" w:themeTint="F2"/>
                <w:spacing w:val="-2"/>
              </w:rPr>
              <w:t>apitálové transfer</w:t>
            </w:r>
            <w:r>
              <w:rPr>
                <w:color w:val="0D0D0D" w:themeColor="text1" w:themeTint="F2"/>
                <w:spacing w:val="-2"/>
              </w:rPr>
              <w:t>y a také některé d</w:t>
            </w:r>
            <w:r w:rsidRPr="00546CF9">
              <w:rPr>
                <w:color w:val="0D0D0D" w:themeColor="text1" w:themeTint="F2"/>
                <w:spacing w:val="-2"/>
              </w:rPr>
              <w:t>aně z</w:t>
            </w:r>
            <w:r>
              <w:rPr>
                <w:color w:val="0D0D0D" w:themeColor="text1" w:themeTint="F2"/>
                <w:spacing w:val="-2"/>
              </w:rPr>
              <w:t> </w:t>
            </w:r>
            <w:r w:rsidRPr="00546CF9">
              <w:rPr>
                <w:color w:val="0D0D0D" w:themeColor="text1" w:themeTint="F2"/>
                <w:spacing w:val="-2"/>
              </w:rPr>
              <w:t>výroby</w:t>
            </w:r>
            <w:r>
              <w:rPr>
                <w:color w:val="0D0D0D" w:themeColor="text1" w:themeTint="F2"/>
                <w:spacing w:val="-2"/>
              </w:rPr>
              <w:t xml:space="preserve"> (především kvůli zrušení </w:t>
            </w:r>
            <w:r w:rsidRPr="00546CF9">
              <w:rPr>
                <w:color w:val="0D0D0D" w:themeColor="text1" w:themeTint="F2"/>
                <w:spacing w:val="-2"/>
              </w:rPr>
              <w:t>poplatk</w:t>
            </w:r>
            <w:r>
              <w:rPr>
                <w:color w:val="0D0D0D" w:themeColor="text1" w:themeTint="F2"/>
                <w:spacing w:val="-2"/>
              </w:rPr>
              <w:t>u</w:t>
            </w:r>
            <w:r w:rsidRPr="00546CF9">
              <w:rPr>
                <w:color w:val="0D0D0D" w:themeColor="text1" w:themeTint="F2"/>
                <w:spacing w:val="-2"/>
              </w:rPr>
              <w:t xml:space="preserve"> za obnovitelné zdroje energie</w:t>
            </w:r>
            <w:r>
              <w:rPr>
                <w:color w:val="0D0D0D" w:themeColor="text1" w:themeTint="F2"/>
                <w:spacing w:val="-2"/>
              </w:rPr>
              <w:t xml:space="preserve"> domácnostem a firmám).  </w:t>
            </w:r>
          </w:p>
        </w:tc>
      </w:tr>
      <w:tr w:rsidR="006B1AFC" w:rsidRPr="00FC6700" w14:paraId="24310768" w14:textId="77777777" w:rsidTr="003C4A79">
        <w:trPr>
          <w:trHeight w:val="60"/>
        </w:trPr>
        <w:tc>
          <w:tcPr>
            <w:tcW w:w="1803" w:type="dxa"/>
            <w:tcMar>
              <w:left w:w="0" w:type="dxa"/>
            </w:tcMar>
          </w:tcPr>
          <w:p w14:paraId="060FC5D7" w14:textId="77777777" w:rsidR="006B1AFC" w:rsidRDefault="006B1AFC" w:rsidP="003C4A79">
            <w:pPr>
              <w:pStyle w:val="Marginlie"/>
              <w:rPr>
                <w:color w:val="0D0D0D" w:themeColor="text1" w:themeTint="F2"/>
                <w:spacing w:val="0"/>
              </w:rPr>
            </w:pPr>
            <w:r w:rsidRPr="00877DBC">
              <w:rPr>
                <w:color w:val="0D0D0D" w:themeColor="text1" w:themeTint="F2"/>
                <w:spacing w:val="0"/>
              </w:rPr>
              <w:t>V</w:t>
            </w:r>
            <w:r>
              <w:rPr>
                <w:color w:val="0D0D0D" w:themeColor="text1" w:themeTint="F2"/>
                <w:spacing w:val="0"/>
              </w:rPr>
              <w:t>e</w:t>
            </w:r>
            <w:r w:rsidRPr="00877DBC">
              <w:rPr>
                <w:color w:val="0D0D0D" w:themeColor="text1" w:themeTint="F2"/>
                <w:spacing w:val="0"/>
              </w:rPr>
              <w:t xml:space="preserve"> vyšších celkových výdajích se odrazil</w:t>
            </w:r>
            <w:r>
              <w:rPr>
                <w:color w:val="0D0D0D" w:themeColor="text1" w:themeTint="F2"/>
                <w:spacing w:val="0"/>
              </w:rPr>
              <w:t>o</w:t>
            </w:r>
            <w:r w:rsidRPr="00877DBC">
              <w:rPr>
                <w:color w:val="0D0D0D" w:themeColor="text1" w:themeTint="F2"/>
                <w:spacing w:val="0"/>
              </w:rPr>
              <w:t xml:space="preserve"> především </w:t>
            </w:r>
            <w:r>
              <w:rPr>
                <w:color w:val="0D0D0D" w:themeColor="text1" w:themeTint="F2"/>
                <w:spacing w:val="0"/>
              </w:rPr>
              <w:t xml:space="preserve">posílení </w:t>
            </w:r>
            <w:r w:rsidRPr="00877DBC">
              <w:rPr>
                <w:color w:val="0D0D0D" w:themeColor="text1" w:themeTint="F2"/>
                <w:spacing w:val="0"/>
              </w:rPr>
              <w:t>sociální</w:t>
            </w:r>
            <w:r>
              <w:rPr>
                <w:color w:val="0D0D0D" w:themeColor="text1" w:themeTint="F2"/>
                <w:spacing w:val="0"/>
              </w:rPr>
              <w:t>ch</w:t>
            </w:r>
            <w:r w:rsidRPr="00877DBC">
              <w:rPr>
                <w:color w:val="0D0D0D" w:themeColor="text1" w:themeTint="F2"/>
                <w:spacing w:val="0"/>
              </w:rPr>
              <w:t xml:space="preserve"> dáv</w:t>
            </w:r>
            <w:r>
              <w:rPr>
                <w:color w:val="0D0D0D" w:themeColor="text1" w:themeTint="F2"/>
                <w:spacing w:val="0"/>
              </w:rPr>
              <w:t>ek</w:t>
            </w:r>
            <w:r w:rsidRPr="00877DBC">
              <w:rPr>
                <w:color w:val="0D0D0D" w:themeColor="text1" w:themeTint="F2"/>
                <w:spacing w:val="0"/>
              </w:rPr>
              <w:t xml:space="preserve"> </w:t>
            </w:r>
            <w:r>
              <w:rPr>
                <w:color w:val="0D0D0D" w:themeColor="text1" w:themeTint="F2"/>
                <w:spacing w:val="0"/>
              </w:rPr>
              <w:br/>
            </w:r>
            <w:r w:rsidRPr="00877DBC">
              <w:rPr>
                <w:color w:val="0D0D0D" w:themeColor="text1" w:themeTint="F2"/>
                <w:spacing w:val="0"/>
              </w:rPr>
              <w:t>a investic</w:t>
            </w:r>
            <w:r>
              <w:rPr>
                <w:color w:val="0D0D0D" w:themeColor="text1" w:themeTint="F2"/>
                <w:spacing w:val="0"/>
              </w:rPr>
              <w:t>.</w:t>
            </w:r>
            <w:r w:rsidRPr="00877DBC">
              <w:rPr>
                <w:color w:val="0D0D0D" w:themeColor="text1" w:themeTint="F2"/>
                <w:spacing w:val="0"/>
              </w:rPr>
              <w:t xml:space="preserve">  </w:t>
            </w:r>
          </w:p>
          <w:p w14:paraId="26256CD9" w14:textId="77777777" w:rsidR="006B1AFC" w:rsidRDefault="006B1AFC" w:rsidP="003C4A79">
            <w:pPr>
              <w:pStyle w:val="Marginlie"/>
              <w:rPr>
                <w:color w:val="0D0D0D" w:themeColor="text1" w:themeTint="F2"/>
                <w:spacing w:val="0"/>
              </w:rPr>
            </w:pPr>
          </w:p>
          <w:p w14:paraId="04CD8CF7" w14:textId="77777777" w:rsidR="006B1AFC" w:rsidRDefault="006B1AFC" w:rsidP="003C4A79">
            <w:pPr>
              <w:pStyle w:val="Marginlie"/>
              <w:rPr>
                <w:color w:val="0D0D0D" w:themeColor="text1" w:themeTint="F2"/>
                <w:spacing w:val="0"/>
              </w:rPr>
            </w:pPr>
          </w:p>
          <w:p w14:paraId="5CA581D2" w14:textId="77777777" w:rsidR="006B1AFC" w:rsidRDefault="006B1AFC" w:rsidP="003C4A79">
            <w:pPr>
              <w:pStyle w:val="Marginlie"/>
              <w:rPr>
                <w:color w:val="0D0D0D" w:themeColor="text1" w:themeTint="F2"/>
                <w:spacing w:val="0"/>
              </w:rPr>
            </w:pPr>
          </w:p>
          <w:p w14:paraId="547247EE" w14:textId="77777777" w:rsidR="006B1AFC" w:rsidRDefault="006B1AFC" w:rsidP="003C4A79">
            <w:pPr>
              <w:pStyle w:val="Marginlie"/>
              <w:rPr>
                <w:color w:val="0D0D0D" w:themeColor="text1" w:themeTint="F2"/>
                <w:spacing w:val="0"/>
              </w:rPr>
            </w:pPr>
          </w:p>
          <w:p w14:paraId="3F3E4BDB" w14:textId="77777777" w:rsidR="006B1AFC" w:rsidRDefault="006B1AFC" w:rsidP="003C4A79">
            <w:pPr>
              <w:pStyle w:val="Marginlie"/>
              <w:rPr>
                <w:color w:val="0D0D0D" w:themeColor="text1" w:themeTint="F2"/>
                <w:spacing w:val="0"/>
              </w:rPr>
            </w:pPr>
          </w:p>
          <w:p w14:paraId="53F0D498" w14:textId="77777777" w:rsidR="006B1AFC" w:rsidRPr="00877DBC" w:rsidRDefault="006B1AFC" w:rsidP="003C4A79">
            <w:pPr>
              <w:pStyle w:val="Marginlie"/>
              <w:rPr>
                <w:color w:val="0D0D0D" w:themeColor="text1" w:themeTint="F2"/>
                <w:spacing w:val="0"/>
              </w:rPr>
            </w:pPr>
          </w:p>
          <w:p w14:paraId="5918A25C" w14:textId="77777777" w:rsidR="006B1AFC" w:rsidRPr="00D86057" w:rsidRDefault="006B1AFC" w:rsidP="003C4A79">
            <w:pPr>
              <w:pStyle w:val="Marginlie"/>
              <w:rPr>
                <w:color w:val="948A54" w:themeColor="background2" w:themeShade="80"/>
                <w:spacing w:val="0"/>
              </w:rPr>
            </w:pPr>
          </w:p>
          <w:p w14:paraId="211986C7" w14:textId="77777777" w:rsidR="006B1AFC" w:rsidRPr="00877DBC" w:rsidRDefault="006B1AFC" w:rsidP="003C4A79">
            <w:pPr>
              <w:pStyle w:val="Marginlie"/>
              <w:rPr>
                <w:color w:val="0D0D0D" w:themeColor="text1" w:themeTint="F2"/>
                <w:spacing w:val="0"/>
              </w:rPr>
            </w:pPr>
            <w:r w:rsidRPr="00877DBC">
              <w:rPr>
                <w:color w:val="0D0D0D" w:themeColor="text1" w:themeTint="F2"/>
                <w:spacing w:val="0"/>
              </w:rPr>
              <w:t>Růst objemu dotací i</w:t>
            </w:r>
            <w:r w:rsidRPr="006B20B5">
              <w:rPr>
                <w:color w:val="0D0D0D" w:themeColor="text1" w:themeTint="F2"/>
                <w:spacing w:val="0"/>
              </w:rPr>
              <w:t> </w:t>
            </w:r>
            <w:r w:rsidRPr="00877DBC">
              <w:rPr>
                <w:color w:val="0D0D0D" w:themeColor="text1" w:themeTint="F2"/>
                <w:spacing w:val="0"/>
              </w:rPr>
              <w:t xml:space="preserve">výdajů na </w:t>
            </w:r>
            <w:proofErr w:type="spellStart"/>
            <w:r w:rsidRPr="00877DBC">
              <w:rPr>
                <w:color w:val="0D0D0D" w:themeColor="text1" w:themeTint="F2"/>
                <w:spacing w:val="0"/>
              </w:rPr>
              <w:t>mezispotřebu</w:t>
            </w:r>
            <w:proofErr w:type="spellEnd"/>
            <w:r w:rsidRPr="00877DBC">
              <w:rPr>
                <w:color w:val="0D0D0D" w:themeColor="text1" w:themeTint="F2"/>
                <w:spacing w:val="0"/>
              </w:rPr>
              <w:t xml:space="preserve"> razantně zvolnil. </w:t>
            </w:r>
          </w:p>
          <w:p w14:paraId="6B545496" w14:textId="77777777" w:rsidR="006B1AFC" w:rsidRPr="00D86057" w:rsidRDefault="006B1AFC" w:rsidP="003C4A79">
            <w:pPr>
              <w:pStyle w:val="Marginlie"/>
              <w:rPr>
                <w:color w:val="948A54" w:themeColor="background2" w:themeShade="80"/>
                <w:spacing w:val="0"/>
              </w:rPr>
            </w:pPr>
          </w:p>
          <w:p w14:paraId="1D3DE599" w14:textId="77777777" w:rsidR="006B1AFC" w:rsidRPr="00D86057" w:rsidRDefault="006B1AFC" w:rsidP="003C4A79">
            <w:pPr>
              <w:pStyle w:val="Marginlie"/>
              <w:rPr>
                <w:color w:val="948A54" w:themeColor="background2" w:themeShade="80"/>
                <w:spacing w:val="0"/>
              </w:rPr>
            </w:pPr>
          </w:p>
          <w:p w14:paraId="6A9DCFA8" w14:textId="77777777" w:rsidR="006B1AFC" w:rsidRPr="00D86057" w:rsidRDefault="006B1AFC" w:rsidP="003C4A79">
            <w:pPr>
              <w:pStyle w:val="Marginlie"/>
              <w:rPr>
                <w:color w:val="948A54" w:themeColor="background2" w:themeShade="80"/>
                <w:spacing w:val="0"/>
              </w:rPr>
            </w:pPr>
          </w:p>
        </w:tc>
        <w:tc>
          <w:tcPr>
            <w:tcW w:w="203" w:type="dxa"/>
            <w:tcMar>
              <w:left w:w="0" w:type="dxa"/>
            </w:tcMar>
          </w:tcPr>
          <w:p w14:paraId="43345F42" w14:textId="77777777" w:rsidR="006B1AFC" w:rsidRPr="00D86057" w:rsidRDefault="006B1AFC" w:rsidP="003C4A79">
            <w:pPr>
              <w:pStyle w:val="Textpoznpodarou"/>
              <w:jc w:val="both"/>
              <w:rPr>
                <w:color w:val="948A54" w:themeColor="background2" w:themeShade="80"/>
              </w:rPr>
            </w:pPr>
          </w:p>
        </w:tc>
        <w:tc>
          <w:tcPr>
            <w:tcW w:w="7663" w:type="dxa"/>
            <w:tcMar>
              <w:left w:w="0" w:type="dxa"/>
            </w:tcMar>
          </w:tcPr>
          <w:p w14:paraId="4B375126" w14:textId="77777777" w:rsidR="006B1AFC" w:rsidRPr="00763CEC" w:rsidRDefault="006B1AFC" w:rsidP="003C4A79">
            <w:pPr>
              <w:spacing w:after="200"/>
              <w:rPr>
                <w:color w:val="0D0D0D" w:themeColor="text1" w:themeTint="F2"/>
                <w:spacing w:val="-4"/>
              </w:rPr>
            </w:pPr>
            <w:r w:rsidRPr="00763CEC">
              <w:rPr>
                <w:color w:val="0D0D0D" w:themeColor="text1" w:themeTint="F2"/>
                <w:spacing w:val="-4"/>
              </w:rPr>
              <w:t xml:space="preserve">Pro meziroční navýšení celkových výdajů sektoru vládních institucí v 1. čtvrtletí </w:t>
            </w:r>
            <w:r>
              <w:rPr>
                <w:color w:val="0D0D0D" w:themeColor="text1" w:themeTint="F2"/>
                <w:spacing w:val="-4"/>
              </w:rPr>
              <w:br/>
            </w:r>
            <w:r w:rsidRPr="00763CEC">
              <w:rPr>
                <w:color w:val="0D0D0D" w:themeColor="text1" w:themeTint="F2"/>
                <w:spacing w:val="-4"/>
              </w:rPr>
              <w:t xml:space="preserve">(+42 mld. korun) byly rozhodující sociální dávky (vč. naturálních sociálních transferů), které k němu přispěly více než třetinou a samy o sobě posílily o 4,3 % (téměř dvojnásobně oproti úhrnu </w:t>
            </w:r>
            <w:r w:rsidRPr="00763CEC">
              <w:rPr>
                <w:color w:val="0D0D0D" w:themeColor="text1" w:themeTint="F2"/>
                <w:spacing w:val="-6"/>
              </w:rPr>
              <w:t>za celý loňský rok). Podstatnou roli sehrál i pokračující svižný růst investic, je</w:t>
            </w:r>
            <w:r>
              <w:rPr>
                <w:color w:val="0D0D0D" w:themeColor="text1" w:themeTint="F2"/>
                <w:spacing w:val="-6"/>
              </w:rPr>
              <w:t>n</w:t>
            </w:r>
            <w:r w:rsidRPr="00763CEC">
              <w:rPr>
                <w:color w:val="0D0D0D" w:themeColor="text1" w:themeTint="F2"/>
                <w:spacing w:val="-6"/>
              </w:rPr>
              <w:t>ž dosáhl 13,8 %,</w:t>
            </w:r>
            <w:r w:rsidRPr="00763CEC">
              <w:rPr>
                <w:color w:val="0D0D0D" w:themeColor="text1" w:themeTint="F2"/>
                <w:spacing w:val="-4"/>
              </w:rPr>
              <w:t xml:space="preserve"> a stejně jako po celý loňský rok byl významně podpořen i vyšší aktivitou místních vládních institucí. Objemově významné náhrady zaměstnancům</w:t>
            </w:r>
            <w:r w:rsidRPr="00763CEC">
              <w:rPr>
                <w:rStyle w:val="Znakapoznpodarou"/>
                <w:color w:val="0D0D0D" w:themeColor="text1" w:themeTint="F2"/>
                <w:spacing w:val="-4"/>
              </w:rPr>
              <w:footnoteReference w:id="116"/>
            </w:r>
            <w:r w:rsidRPr="00763CEC">
              <w:rPr>
                <w:color w:val="0D0D0D" w:themeColor="text1" w:themeTint="F2"/>
                <w:spacing w:val="-4"/>
              </w:rPr>
              <w:t xml:space="preserve"> se celkově zvýšily </w:t>
            </w:r>
            <w:r>
              <w:rPr>
                <w:color w:val="0D0D0D" w:themeColor="text1" w:themeTint="F2"/>
                <w:spacing w:val="-4"/>
              </w:rPr>
              <w:br/>
            </w:r>
            <w:r w:rsidRPr="00763CEC">
              <w:rPr>
                <w:color w:val="0D0D0D" w:themeColor="text1" w:themeTint="F2"/>
                <w:spacing w:val="-4"/>
              </w:rPr>
              <w:t xml:space="preserve">o 4,7 % (svižněji v ústředních vládních institucích). Šlo o srovnatelné tempo jako na počátku loňského roku (avšak </w:t>
            </w:r>
            <w:r>
              <w:rPr>
                <w:color w:val="0D0D0D" w:themeColor="text1" w:themeTint="F2"/>
                <w:spacing w:val="-4"/>
              </w:rPr>
              <w:t xml:space="preserve">zatím </w:t>
            </w:r>
            <w:r w:rsidRPr="00763CEC">
              <w:rPr>
                <w:color w:val="0D0D0D" w:themeColor="text1" w:themeTint="F2"/>
                <w:spacing w:val="-4"/>
              </w:rPr>
              <w:t xml:space="preserve">slabší oproti průměru za celý rok 2025). Ostatní běžné transfery se letos zvýšily o 9,4 %. Za jejich svižným růstem, probíhajícím druhý rok v řadě, stály zejména vyšší povinné odvody ČR do rozpočtu EU. Růst některých významných položek ovšem zvolňoval. Výdaje na </w:t>
            </w:r>
            <w:proofErr w:type="spellStart"/>
            <w:r w:rsidRPr="00763CEC">
              <w:rPr>
                <w:color w:val="0D0D0D" w:themeColor="text1" w:themeTint="F2"/>
                <w:spacing w:val="-4"/>
              </w:rPr>
              <w:t>mezispotřebu</w:t>
            </w:r>
            <w:proofErr w:type="spellEnd"/>
            <w:r w:rsidRPr="00763CEC">
              <w:rPr>
                <w:color w:val="0D0D0D" w:themeColor="text1" w:themeTint="F2"/>
                <w:spacing w:val="-4"/>
              </w:rPr>
              <w:t xml:space="preserve"> se zvýšily jen o 1,9 % (nejméně za posledních </w:t>
            </w:r>
            <w:r>
              <w:rPr>
                <w:color w:val="0D0D0D" w:themeColor="text1" w:themeTint="F2"/>
                <w:spacing w:val="-4"/>
              </w:rPr>
              <w:t>dvacet</w:t>
            </w:r>
            <w:r w:rsidRPr="00763CEC">
              <w:rPr>
                <w:color w:val="0D0D0D" w:themeColor="text1" w:themeTint="F2"/>
                <w:spacing w:val="-4"/>
              </w:rPr>
              <w:t xml:space="preserve"> kvartálů), zčásti vlivem poklesu cen některých energií a také sílící</w:t>
            </w:r>
            <w:r>
              <w:rPr>
                <w:color w:val="0D0D0D" w:themeColor="text1" w:themeTint="F2"/>
                <w:spacing w:val="-4"/>
              </w:rPr>
              <w:t>ho</w:t>
            </w:r>
            <w:r w:rsidRPr="00763CEC">
              <w:rPr>
                <w:color w:val="0D0D0D" w:themeColor="text1" w:themeTint="F2"/>
                <w:spacing w:val="-4"/>
              </w:rPr>
              <w:t xml:space="preserve"> všeobecné</w:t>
            </w:r>
            <w:r>
              <w:rPr>
                <w:color w:val="0D0D0D" w:themeColor="text1" w:themeTint="F2"/>
                <w:spacing w:val="-4"/>
              </w:rPr>
              <w:t>ho</w:t>
            </w:r>
            <w:r w:rsidRPr="00763CEC">
              <w:rPr>
                <w:color w:val="0D0D0D" w:themeColor="text1" w:themeTint="F2"/>
                <w:spacing w:val="-4"/>
              </w:rPr>
              <w:t xml:space="preserve"> tlaku na úspory provozních výdajů. Zmírnil </w:t>
            </w:r>
            <w:r>
              <w:rPr>
                <w:color w:val="0D0D0D" w:themeColor="text1" w:themeTint="F2"/>
                <w:spacing w:val="-4"/>
              </w:rPr>
              <w:t>i</w:t>
            </w:r>
            <w:r w:rsidRPr="00763CEC">
              <w:rPr>
                <w:color w:val="0D0D0D" w:themeColor="text1" w:themeTint="F2"/>
                <w:spacing w:val="-4"/>
              </w:rPr>
              <w:t xml:space="preserve"> růst dotací (na +3,1 %), a to vlivem meziročně nižšího objemu vyplacených dotací na výrobu</w:t>
            </w:r>
            <w:r w:rsidRPr="00763CEC">
              <w:rPr>
                <w:rStyle w:val="Znakapoznpodarou"/>
                <w:color w:val="0D0D0D" w:themeColor="text1" w:themeTint="F2"/>
                <w:spacing w:val="-4"/>
              </w:rPr>
              <w:footnoteReference w:id="117"/>
            </w:r>
            <w:r w:rsidRPr="00763CEC">
              <w:rPr>
                <w:color w:val="0D0D0D" w:themeColor="text1" w:themeTint="F2"/>
                <w:spacing w:val="-4"/>
              </w:rPr>
              <w:t xml:space="preserve">. Proti růstu celkových výdajů vládních </w:t>
            </w:r>
            <w:r w:rsidRPr="00CD4841">
              <w:rPr>
                <w:color w:val="0D0D0D" w:themeColor="text1" w:themeTint="F2"/>
                <w:spacing w:val="-2"/>
              </w:rPr>
              <w:t>institucí působily jen váhově okrajové položky vyplacených daní a kapitálových transferů.</w:t>
            </w:r>
            <w:r w:rsidRPr="00763CEC">
              <w:rPr>
                <w:color w:val="0D0D0D" w:themeColor="text1" w:themeTint="F2"/>
                <w:spacing w:val="-4"/>
              </w:rPr>
              <w:t xml:space="preserve"> </w:t>
            </w:r>
          </w:p>
        </w:tc>
      </w:tr>
      <w:tr w:rsidR="006B1AFC" w:rsidRPr="00561800" w14:paraId="63C67237" w14:textId="77777777" w:rsidTr="003C4A79">
        <w:trPr>
          <w:trHeight w:val="60"/>
        </w:trPr>
        <w:tc>
          <w:tcPr>
            <w:tcW w:w="1803" w:type="dxa"/>
            <w:tcMar>
              <w:left w:w="0" w:type="dxa"/>
            </w:tcMar>
          </w:tcPr>
          <w:p w14:paraId="07F5EA24" w14:textId="77777777" w:rsidR="006B1AFC" w:rsidRDefault="006B1AFC" w:rsidP="003C4A79">
            <w:pPr>
              <w:pStyle w:val="Marginlie"/>
              <w:rPr>
                <w:color w:val="0D0D0D" w:themeColor="text1" w:themeTint="F2"/>
                <w:spacing w:val="0"/>
              </w:rPr>
            </w:pPr>
            <w:r>
              <w:rPr>
                <w:color w:val="0D0D0D" w:themeColor="text1" w:themeTint="F2"/>
                <w:spacing w:val="0"/>
              </w:rPr>
              <w:t>Deficit hospodaření sektoru vládních institucí v EU se na počátku letošního roku mezikvartálně lehce zmírnil.</w:t>
            </w:r>
          </w:p>
          <w:p w14:paraId="002413E4" w14:textId="77777777" w:rsidR="006B1AFC" w:rsidRDefault="006B1AFC" w:rsidP="003C4A79">
            <w:pPr>
              <w:pStyle w:val="Marginlie"/>
              <w:rPr>
                <w:color w:val="0D0D0D" w:themeColor="text1" w:themeTint="F2"/>
                <w:spacing w:val="0"/>
              </w:rPr>
            </w:pPr>
          </w:p>
          <w:p w14:paraId="031BB6C6" w14:textId="77777777" w:rsidR="006B1AFC" w:rsidRDefault="006B1AFC" w:rsidP="003C4A79">
            <w:pPr>
              <w:pStyle w:val="Marginlie"/>
              <w:rPr>
                <w:color w:val="0D0D0D" w:themeColor="text1" w:themeTint="F2"/>
                <w:spacing w:val="0"/>
              </w:rPr>
            </w:pPr>
          </w:p>
          <w:p w14:paraId="593F6C19" w14:textId="77777777" w:rsidR="006B1AFC" w:rsidRDefault="006B1AFC" w:rsidP="003C4A79">
            <w:pPr>
              <w:pStyle w:val="Marginlie"/>
              <w:rPr>
                <w:color w:val="0D0D0D" w:themeColor="text1" w:themeTint="F2"/>
                <w:spacing w:val="0"/>
              </w:rPr>
            </w:pPr>
          </w:p>
          <w:p w14:paraId="7122DCB3" w14:textId="77777777" w:rsidR="006B1AFC" w:rsidRDefault="006B1AFC" w:rsidP="003C4A79">
            <w:pPr>
              <w:pStyle w:val="Marginlie"/>
              <w:rPr>
                <w:color w:val="0D0D0D" w:themeColor="text1" w:themeTint="F2"/>
                <w:spacing w:val="-4"/>
              </w:rPr>
            </w:pPr>
            <w:r w:rsidRPr="000465A9">
              <w:rPr>
                <w:color w:val="0D0D0D" w:themeColor="text1" w:themeTint="F2"/>
              </w:rPr>
              <w:t xml:space="preserve">Nejhlubší schodek tížil aktuálně nový členský </w:t>
            </w:r>
            <w:r w:rsidRPr="000465A9">
              <w:rPr>
                <w:color w:val="0D0D0D" w:themeColor="text1" w:themeTint="F2"/>
                <w:spacing w:val="-4"/>
              </w:rPr>
              <w:t>stát eurozóny – Bulharsko.</w:t>
            </w:r>
            <w:r>
              <w:rPr>
                <w:color w:val="0D0D0D" w:themeColor="text1" w:themeTint="F2"/>
                <w:spacing w:val="-4"/>
              </w:rPr>
              <w:t xml:space="preserve"> Naopak přebytek </w:t>
            </w:r>
            <w:r>
              <w:rPr>
                <w:color w:val="0D0D0D" w:themeColor="text1" w:themeTint="F2"/>
                <w:spacing w:val="-4"/>
              </w:rPr>
              <w:lastRenderedPageBreak/>
              <w:t xml:space="preserve">hospodaření nastal pouze v pěti státech Unie. </w:t>
            </w:r>
          </w:p>
          <w:p w14:paraId="6179B2F1" w14:textId="77777777" w:rsidR="006B1AFC" w:rsidRDefault="006B1AFC" w:rsidP="003C4A79">
            <w:pPr>
              <w:pStyle w:val="Marginlie"/>
              <w:rPr>
                <w:color w:val="0D0D0D" w:themeColor="text1" w:themeTint="F2"/>
                <w:spacing w:val="-4"/>
              </w:rPr>
            </w:pPr>
            <w:r>
              <w:rPr>
                <w:color w:val="0D0D0D" w:themeColor="text1" w:themeTint="F2"/>
                <w:spacing w:val="-4"/>
              </w:rPr>
              <w:t xml:space="preserve">Česko si udržovalo nejnižší schodek v rámci středoevropského regionu. </w:t>
            </w:r>
          </w:p>
          <w:p w14:paraId="14D2A165" w14:textId="77777777" w:rsidR="006B1AFC" w:rsidRDefault="006B1AFC" w:rsidP="003C4A79">
            <w:pPr>
              <w:pStyle w:val="Marginlie"/>
              <w:rPr>
                <w:color w:val="0D0D0D" w:themeColor="text1" w:themeTint="F2"/>
                <w:spacing w:val="-4"/>
              </w:rPr>
            </w:pPr>
          </w:p>
          <w:p w14:paraId="6F864AFF" w14:textId="77777777" w:rsidR="006B1AFC" w:rsidRDefault="006B1AFC" w:rsidP="003C4A79">
            <w:pPr>
              <w:pStyle w:val="Marginlie"/>
              <w:rPr>
                <w:color w:val="0D0D0D" w:themeColor="text1" w:themeTint="F2"/>
                <w:spacing w:val="-4"/>
              </w:rPr>
            </w:pPr>
          </w:p>
          <w:p w14:paraId="0DF81865" w14:textId="77777777" w:rsidR="006B1AFC" w:rsidRDefault="006B1AFC" w:rsidP="003C4A79">
            <w:pPr>
              <w:pStyle w:val="Marginlie"/>
              <w:rPr>
                <w:color w:val="0D0D0D" w:themeColor="text1" w:themeTint="F2"/>
                <w:spacing w:val="-4"/>
              </w:rPr>
            </w:pPr>
          </w:p>
          <w:p w14:paraId="01CC82A2" w14:textId="77777777" w:rsidR="006B1AFC" w:rsidRPr="000465A9" w:rsidRDefault="006B1AFC" w:rsidP="003C4A79">
            <w:pPr>
              <w:pStyle w:val="Marginlie"/>
              <w:rPr>
                <w:color w:val="0D0D0D" w:themeColor="text1" w:themeTint="F2"/>
              </w:rPr>
            </w:pPr>
          </w:p>
        </w:tc>
        <w:tc>
          <w:tcPr>
            <w:tcW w:w="203" w:type="dxa"/>
            <w:tcMar>
              <w:left w:w="0" w:type="dxa"/>
            </w:tcMar>
          </w:tcPr>
          <w:p w14:paraId="1DBC2D36" w14:textId="77777777" w:rsidR="006B1AFC" w:rsidRPr="00561800" w:rsidRDefault="006B1AFC" w:rsidP="003C4A79">
            <w:pPr>
              <w:pStyle w:val="Textpoznpodarou"/>
              <w:jc w:val="both"/>
              <w:rPr>
                <w:color w:val="0D0D0D" w:themeColor="text1" w:themeTint="F2"/>
              </w:rPr>
            </w:pPr>
          </w:p>
        </w:tc>
        <w:tc>
          <w:tcPr>
            <w:tcW w:w="7663" w:type="dxa"/>
            <w:tcMar>
              <w:left w:w="0" w:type="dxa"/>
            </w:tcMar>
          </w:tcPr>
          <w:p w14:paraId="571F387A" w14:textId="77777777" w:rsidR="006B1AFC" w:rsidRPr="00763CEC" w:rsidRDefault="006B1AFC" w:rsidP="003C4A79">
            <w:pPr>
              <w:spacing w:after="200"/>
              <w:rPr>
                <w:color w:val="0D0D0D" w:themeColor="text1" w:themeTint="F2"/>
                <w:spacing w:val="-4"/>
              </w:rPr>
            </w:pPr>
            <w:r w:rsidRPr="00763CEC">
              <w:rPr>
                <w:color w:val="0D0D0D" w:themeColor="text1" w:themeTint="F2"/>
                <w:spacing w:val="-4"/>
              </w:rPr>
              <w:t>Situace v oblasti hospodaření sektoru vládních institucí v členských státech EU</w:t>
            </w:r>
            <w:r w:rsidRPr="00763CEC">
              <w:rPr>
                <w:rStyle w:val="Znakapoznpodarou"/>
                <w:color w:val="0D0D0D" w:themeColor="text1" w:themeTint="F2"/>
                <w:spacing w:val="-4"/>
              </w:rPr>
              <w:footnoteReference w:id="118"/>
            </w:r>
            <w:r w:rsidRPr="00763CEC">
              <w:rPr>
                <w:color w:val="0D0D0D" w:themeColor="text1" w:themeTint="F2"/>
                <w:spacing w:val="-4"/>
              </w:rPr>
              <w:t xml:space="preserve"> se na počátku letošního roku velmi mírně zlepšila. Během roku 2025 výkon ekonomiky v Unii vlivem nestabilní geopolitické situace i napětí v obchodních vztazích s některými klíčovými partnery postupně slábl a spolu s tím se vlivem rychleji rostoucích veřejných výdajů zhoršoval i deficit hospodaření vládního sektoru (až na 3,4 % HDP). V 1. čtvrtletí se tento schodek zmírnil na 3,1 % HDP. Deficit přes 3 % HDP vykázalo 12 členských států </w:t>
            </w:r>
            <w:r>
              <w:rPr>
                <w:color w:val="0D0D0D" w:themeColor="text1" w:themeTint="F2"/>
                <w:spacing w:val="-4"/>
              </w:rPr>
              <w:br/>
            </w:r>
            <w:r w:rsidRPr="00763CEC">
              <w:rPr>
                <w:color w:val="0D0D0D" w:themeColor="text1" w:themeTint="F2"/>
                <w:spacing w:val="-4"/>
              </w:rPr>
              <w:t>(a 9 z 21 zemí eurozóny)</w:t>
            </w:r>
            <w:r>
              <w:rPr>
                <w:color w:val="0D0D0D" w:themeColor="text1" w:themeTint="F2"/>
                <w:spacing w:val="-4"/>
              </w:rPr>
              <w:t>. N</w:t>
            </w:r>
            <w:r w:rsidRPr="00763CEC">
              <w:rPr>
                <w:color w:val="0D0D0D" w:themeColor="text1" w:themeTint="F2"/>
                <w:spacing w:val="-4"/>
              </w:rPr>
              <w:t xml:space="preserve">ejvíce tížil Bulharsko (7,6 % HDP), kde </w:t>
            </w:r>
            <w:r>
              <w:rPr>
                <w:color w:val="0D0D0D" w:themeColor="text1" w:themeTint="F2"/>
                <w:spacing w:val="-4"/>
              </w:rPr>
              <w:t xml:space="preserve">se </w:t>
            </w:r>
            <w:r w:rsidRPr="00763CEC">
              <w:rPr>
                <w:color w:val="0D0D0D" w:themeColor="text1" w:themeTint="F2"/>
                <w:spacing w:val="-4"/>
              </w:rPr>
              <w:t>současně nejvýrazněj</w:t>
            </w:r>
            <w:r>
              <w:rPr>
                <w:color w:val="0D0D0D" w:themeColor="text1" w:themeTint="F2"/>
                <w:spacing w:val="-4"/>
              </w:rPr>
              <w:t xml:space="preserve">i </w:t>
            </w:r>
            <w:r w:rsidRPr="00763CEC">
              <w:rPr>
                <w:color w:val="0D0D0D" w:themeColor="text1" w:themeTint="F2"/>
                <w:spacing w:val="-4"/>
              </w:rPr>
              <w:t>meziročn</w:t>
            </w:r>
            <w:r>
              <w:rPr>
                <w:color w:val="0D0D0D" w:themeColor="text1" w:themeTint="F2"/>
                <w:spacing w:val="-4"/>
              </w:rPr>
              <w:t xml:space="preserve">ě </w:t>
            </w:r>
            <w:r w:rsidRPr="00763CEC">
              <w:rPr>
                <w:color w:val="0D0D0D" w:themeColor="text1" w:themeTint="F2"/>
                <w:spacing w:val="-4"/>
              </w:rPr>
              <w:t>prohloub</w:t>
            </w:r>
            <w:r>
              <w:rPr>
                <w:color w:val="0D0D0D" w:themeColor="text1" w:themeTint="F2"/>
                <w:spacing w:val="-4"/>
              </w:rPr>
              <w:t>il</w:t>
            </w:r>
            <w:r w:rsidRPr="00763CEC">
              <w:rPr>
                <w:color w:val="0D0D0D" w:themeColor="text1" w:themeTint="F2"/>
                <w:spacing w:val="-4"/>
              </w:rPr>
              <w:t xml:space="preserve"> (o 4,5 p. b.). S výraznou fiskální </w:t>
            </w:r>
            <w:r w:rsidRPr="00F956B8">
              <w:rPr>
                <w:color w:val="0D0D0D" w:themeColor="text1" w:themeTint="F2"/>
                <w:spacing w:val="-6"/>
              </w:rPr>
              <w:t>nerovnováhou se potýkaly také Maďarsko (−6,6 % HDP), Polsko (−5,9 %), Francie (−5,1 %),</w:t>
            </w:r>
            <w:r>
              <w:rPr>
                <w:color w:val="0D0D0D" w:themeColor="text1" w:themeTint="F2"/>
                <w:spacing w:val="-4"/>
              </w:rPr>
              <w:t xml:space="preserve"> </w:t>
            </w:r>
            <w:r w:rsidRPr="00763CEC">
              <w:rPr>
                <w:color w:val="0D0D0D" w:themeColor="text1" w:themeTint="F2"/>
                <w:spacing w:val="-4"/>
              </w:rPr>
              <w:t>Belgie (</w:t>
            </w:r>
            <w:r>
              <w:rPr>
                <w:color w:val="0D0D0D" w:themeColor="text1" w:themeTint="F2"/>
                <w:spacing w:val="-4"/>
              </w:rPr>
              <w:t>−</w:t>
            </w:r>
            <w:r w:rsidRPr="00763CEC">
              <w:rPr>
                <w:color w:val="0D0D0D" w:themeColor="text1" w:themeTint="F2"/>
                <w:spacing w:val="-4"/>
              </w:rPr>
              <w:t>4,8 % HDP) a dále např. Německo (</w:t>
            </w:r>
            <w:r>
              <w:rPr>
                <w:color w:val="0D0D0D" w:themeColor="text1" w:themeTint="F2"/>
                <w:spacing w:val="-4"/>
              </w:rPr>
              <w:t>−</w:t>
            </w:r>
            <w:r w:rsidRPr="00763CEC">
              <w:rPr>
                <w:color w:val="0D0D0D" w:themeColor="text1" w:themeTint="F2"/>
                <w:spacing w:val="-4"/>
              </w:rPr>
              <w:t xml:space="preserve">3,6 %), které jako jediná z velkých ekonomik zaznamenalo meziroční zhoršení schodku (o 1,5 p. b.). V Česku činil aktuálně deficit 2,3 % HDP (s převahou </w:t>
            </w:r>
            <w:r w:rsidRPr="00763CEC">
              <w:rPr>
                <w:color w:val="0D0D0D" w:themeColor="text1" w:themeTint="F2"/>
                <w:spacing w:val="-4"/>
              </w:rPr>
              <w:lastRenderedPageBreak/>
              <w:t xml:space="preserve">nejméně ze všech středoevropských států) a na téměř totožné úrovni se pohyboval i po celý loňský rok. Přebytek hospodaření se projevil jen v pěti vesměs menších státech. Zatímco na Kypru, </w:t>
            </w:r>
            <w:r>
              <w:rPr>
                <w:color w:val="0D0D0D" w:themeColor="text1" w:themeTint="F2"/>
                <w:spacing w:val="-4"/>
              </w:rPr>
              <w:t xml:space="preserve">v </w:t>
            </w:r>
            <w:r w:rsidRPr="00763CEC">
              <w:rPr>
                <w:color w:val="0D0D0D" w:themeColor="text1" w:themeTint="F2"/>
                <w:spacing w:val="-4"/>
              </w:rPr>
              <w:t xml:space="preserve">Dánsku i Irsku šlo o dlouhodobější jev (přetrvávající minimálně od ústupu pandemie), v Řecku a Portugalsku </w:t>
            </w:r>
            <w:r>
              <w:rPr>
                <w:color w:val="0D0D0D" w:themeColor="text1" w:themeTint="F2"/>
                <w:spacing w:val="-4"/>
              </w:rPr>
              <w:t xml:space="preserve">pak </w:t>
            </w:r>
            <w:r w:rsidRPr="00763CEC">
              <w:rPr>
                <w:color w:val="0D0D0D" w:themeColor="text1" w:themeTint="F2"/>
                <w:spacing w:val="-4"/>
              </w:rPr>
              <w:t xml:space="preserve">spíše o aktuální konsolidační reakci na </w:t>
            </w:r>
            <w:r w:rsidRPr="006D67F3">
              <w:rPr>
                <w:color w:val="0D0D0D" w:themeColor="text1" w:themeTint="F2"/>
                <w:spacing w:val="-2"/>
              </w:rPr>
              <w:t>dlouhodobě velmi vysokou zadluženost vládního sektoru. Ve srovnání s počátkem loňského roku se letos saldo hospodaření zlepšilo v deseti státech Unie</w:t>
            </w:r>
            <w:r>
              <w:rPr>
                <w:color w:val="0D0D0D" w:themeColor="text1" w:themeTint="F2"/>
                <w:spacing w:val="-2"/>
              </w:rPr>
              <w:t xml:space="preserve"> </w:t>
            </w:r>
            <w:r w:rsidRPr="006D67F3">
              <w:rPr>
                <w:color w:val="0D0D0D" w:themeColor="text1" w:themeTint="F2"/>
                <w:spacing w:val="-2"/>
              </w:rPr>
              <w:t>– mírně např. v Polsku (z</w:t>
            </w:r>
            <w:r w:rsidRPr="00763CEC">
              <w:rPr>
                <w:color w:val="0D0D0D" w:themeColor="text1" w:themeTint="F2"/>
                <w:spacing w:val="-4"/>
              </w:rPr>
              <w:t xml:space="preserve"> –6,7 % HDP na –5,9 %) či Španělsku (z –2,9 % na –1,9 % HDP). Významný posun ovšem nastal pouze v Rumunsku (z –9,0 % HDP na –3,6 %), které i tak stále patřilo </w:t>
            </w:r>
            <w:r w:rsidRPr="006D67F3">
              <w:rPr>
                <w:color w:val="0D0D0D" w:themeColor="text1" w:themeTint="F2"/>
                <w:spacing w:val="-6"/>
              </w:rPr>
              <w:t xml:space="preserve">k desítce </w:t>
            </w:r>
            <w:r w:rsidRPr="006D67F3">
              <w:rPr>
                <w:spacing w:val="-6"/>
              </w:rPr>
              <w:t>států čelících ze strany Unie systematickému tlaku na konsolidaci veřejných financí</w:t>
            </w:r>
            <w:r w:rsidRPr="006D67F3">
              <w:rPr>
                <w:rStyle w:val="Znakapoznpodarou"/>
                <w:spacing w:val="-6"/>
              </w:rPr>
              <w:footnoteReference w:id="119"/>
            </w:r>
            <w:r w:rsidRPr="006D67F3">
              <w:rPr>
                <w:spacing w:val="-6"/>
              </w:rPr>
              <w:t>.</w:t>
            </w:r>
          </w:p>
        </w:tc>
      </w:tr>
      <w:tr w:rsidR="006B1AFC" w:rsidRPr="00FC6700" w14:paraId="638B5C34" w14:textId="77777777" w:rsidTr="003C4A79">
        <w:trPr>
          <w:trHeight w:val="155"/>
        </w:trPr>
        <w:tc>
          <w:tcPr>
            <w:tcW w:w="1803" w:type="dxa"/>
            <w:vMerge w:val="restart"/>
            <w:tcMar>
              <w:left w:w="0" w:type="dxa"/>
            </w:tcMar>
          </w:tcPr>
          <w:p w14:paraId="4F189646" w14:textId="77777777" w:rsidR="006B1AFC" w:rsidRPr="00C229C1" w:rsidRDefault="006B1AFC" w:rsidP="003C4A79">
            <w:pPr>
              <w:pStyle w:val="Marginlie"/>
              <w:rPr>
                <w:color w:val="0D0D0D" w:themeColor="text1" w:themeTint="F2"/>
                <w:spacing w:val="0"/>
              </w:rPr>
            </w:pPr>
          </w:p>
        </w:tc>
        <w:tc>
          <w:tcPr>
            <w:tcW w:w="203" w:type="dxa"/>
            <w:vMerge w:val="restart"/>
            <w:tcMar>
              <w:left w:w="0" w:type="dxa"/>
            </w:tcMar>
          </w:tcPr>
          <w:p w14:paraId="7D49E3A7" w14:textId="77777777" w:rsidR="006B1AFC" w:rsidRPr="00D86057" w:rsidRDefault="006B1AFC" w:rsidP="003C4A79">
            <w:pPr>
              <w:pStyle w:val="Textpoznpodarou"/>
              <w:jc w:val="both"/>
              <w:rPr>
                <w:color w:val="948A54" w:themeColor="background2" w:themeShade="80"/>
              </w:rPr>
            </w:pPr>
          </w:p>
        </w:tc>
        <w:tc>
          <w:tcPr>
            <w:tcW w:w="7663" w:type="dxa"/>
            <w:tcMar>
              <w:left w:w="0" w:type="dxa"/>
            </w:tcMar>
          </w:tcPr>
          <w:p w14:paraId="16AF70E9" w14:textId="77777777" w:rsidR="006B1AFC" w:rsidRPr="00763CEC" w:rsidRDefault="006B1AFC" w:rsidP="003C4A79">
            <w:pPr>
              <w:spacing w:after="0"/>
              <w:rPr>
                <w:color w:val="0D0D0D" w:themeColor="text1" w:themeTint="F2"/>
                <w:spacing w:val="-4"/>
              </w:rPr>
            </w:pPr>
            <w:r w:rsidRPr="00E14F83">
              <w:rPr>
                <w:rFonts w:cs="Arial"/>
                <w:b/>
                <w:bCs/>
                <w:color w:val="000000"/>
                <w:spacing w:val="-4"/>
                <w:szCs w:val="20"/>
              </w:rPr>
              <w:t>Graf č. 1</w:t>
            </w:r>
            <w:r>
              <w:rPr>
                <w:rFonts w:cs="Arial"/>
                <w:b/>
                <w:bCs/>
                <w:color w:val="000000"/>
                <w:spacing w:val="-4"/>
                <w:szCs w:val="20"/>
              </w:rPr>
              <w:t>7</w:t>
            </w:r>
            <w:r w:rsidRPr="00E14F83">
              <w:rPr>
                <w:rFonts w:cs="Arial"/>
                <w:b/>
                <w:bCs/>
                <w:color w:val="000000"/>
                <w:spacing w:val="-4"/>
                <w:szCs w:val="20"/>
              </w:rPr>
              <w:t xml:space="preserve"> </w:t>
            </w:r>
            <w:r w:rsidRPr="00E14F83">
              <w:rPr>
                <w:rFonts w:cs="Arial"/>
                <w:b/>
                <w:bCs/>
                <w:color w:val="0D0D0D" w:themeColor="text1" w:themeTint="F2"/>
                <w:spacing w:val="-4"/>
              </w:rPr>
              <w:t xml:space="preserve">Saldo hospodaření sektoru vládních institucí </w:t>
            </w:r>
            <w:r>
              <w:rPr>
                <w:rFonts w:cs="Arial"/>
                <w:b/>
                <w:bCs/>
                <w:color w:val="0D0D0D" w:themeColor="text1" w:themeTint="F2"/>
                <w:spacing w:val="-4"/>
              </w:rPr>
              <w:t>v Česku a EU a jeho vybraných členských zemích</w:t>
            </w:r>
            <w:r w:rsidRPr="00CA6263">
              <w:rPr>
                <w:rFonts w:cs="Arial"/>
                <w:b/>
                <w:bCs/>
                <w:color w:val="0D0D0D" w:themeColor="text1" w:themeTint="F2"/>
              </w:rPr>
              <w:t xml:space="preserve"> </w:t>
            </w:r>
            <w:r w:rsidRPr="00CA6263">
              <w:rPr>
                <w:rFonts w:cs="Arial"/>
                <w:bCs/>
                <w:color w:val="0D0D0D" w:themeColor="text1" w:themeTint="F2"/>
              </w:rPr>
              <w:t>(</w:t>
            </w:r>
            <w:r>
              <w:rPr>
                <w:rFonts w:cs="Arial"/>
                <w:bCs/>
                <w:color w:val="0D0D0D" w:themeColor="text1" w:themeTint="F2"/>
              </w:rPr>
              <w:t xml:space="preserve">sezónně očištěno, </w:t>
            </w:r>
            <w:r w:rsidRPr="00CA6263">
              <w:rPr>
                <w:rFonts w:cs="Arial"/>
                <w:bCs/>
                <w:color w:val="0D0D0D" w:themeColor="text1" w:themeTint="F2"/>
              </w:rPr>
              <w:t>v % HDP)</w:t>
            </w:r>
          </w:p>
        </w:tc>
      </w:tr>
      <w:tr w:rsidR="006B1AFC" w:rsidRPr="00FC6700" w14:paraId="0AFE9840" w14:textId="77777777" w:rsidTr="003C4A79">
        <w:trPr>
          <w:trHeight w:val="155"/>
        </w:trPr>
        <w:tc>
          <w:tcPr>
            <w:tcW w:w="1803" w:type="dxa"/>
            <w:vMerge/>
            <w:tcMar>
              <w:left w:w="0" w:type="dxa"/>
            </w:tcMar>
          </w:tcPr>
          <w:p w14:paraId="745D349E" w14:textId="77777777" w:rsidR="006B1AFC" w:rsidRPr="00C229C1" w:rsidRDefault="006B1AFC" w:rsidP="003C4A79">
            <w:pPr>
              <w:pStyle w:val="Marginlie"/>
              <w:rPr>
                <w:color w:val="0D0D0D" w:themeColor="text1" w:themeTint="F2"/>
                <w:spacing w:val="0"/>
              </w:rPr>
            </w:pPr>
          </w:p>
        </w:tc>
        <w:tc>
          <w:tcPr>
            <w:tcW w:w="203" w:type="dxa"/>
            <w:vMerge/>
            <w:tcMar>
              <w:left w:w="0" w:type="dxa"/>
            </w:tcMar>
          </w:tcPr>
          <w:p w14:paraId="36B889A9" w14:textId="77777777" w:rsidR="006B1AFC" w:rsidRPr="00D86057" w:rsidRDefault="006B1AFC" w:rsidP="003C4A79">
            <w:pPr>
              <w:pStyle w:val="Textpoznpodarou"/>
              <w:jc w:val="both"/>
              <w:rPr>
                <w:color w:val="948A54" w:themeColor="background2" w:themeShade="80"/>
              </w:rPr>
            </w:pPr>
          </w:p>
        </w:tc>
        <w:tc>
          <w:tcPr>
            <w:tcW w:w="7663" w:type="dxa"/>
            <w:tcMar>
              <w:left w:w="0" w:type="dxa"/>
            </w:tcMar>
          </w:tcPr>
          <w:p w14:paraId="6085E066" w14:textId="77777777" w:rsidR="006B1AFC" w:rsidRPr="00763CEC" w:rsidRDefault="006B1AFC" w:rsidP="003C4A79">
            <w:pPr>
              <w:spacing w:after="0"/>
              <w:rPr>
                <w:color w:val="0D0D0D" w:themeColor="text1" w:themeTint="F2"/>
                <w:spacing w:val="-4"/>
              </w:rPr>
            </w:pPr>
            <w:r>
              <w:rPr>
                <w:noProof/>
              </w:rPr>
              <w:drawing>
                <wp:inline distT="0" distB="0" distL="0" distR="0" wp14:anchorId="46DABE3B" wp14:editId="50C0AB82">
                  <wp:extent cx="4784090" cy="3060000"/>
                  <wp:effectExtent l="0" t="0" r="0" b="7620"/>
                  <wp:docPr id="1288314021" name="Graf 1">
                    <a:extLst xmlns:a="http://schemas.openxmlformats.org/drawingml/2006/main">
                      <a:ext uri="{FF2B5EF4-FFF2-40B4-BE49-F238E27FC236}">
                        <a16:creationId xmlns:a16="http://schemas.microsoft.com/office/drawing/2014/main" id="{7CD16315-C6BA-41B8-8B7F-4B4FABBDE7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6B1AFC" w:rsidRPr="00FC6700" w14:paraId="28F712D2" w14:textId="77777777" w:rsidTr="003C4A79">
        <w:trPr>
          <w:trHeight w:val="155"/>
        </w:trPr>
        <w:tc>
          <w:tcPr>
            <w:tcW w:w="1803" w:type="dxa"/>
            <w:vMerge/>
            <w:tcMar>
              <w:left w:w="0" w:type="dxa"/>
            </w:tcMar>
          </w:tcPr>
          <w:p w14:paraId="64239801" w14:textId="77777777" w:rsidR="006B1AFC" w:rsidRPr="00C229C1" w:rsidRDefault="006B1AFC" w:rsidP="003C4A79">
            <w:pPr>
              <w:pStyle w:val="Marginlie"/>
              <w:rPr>
                <w:color w:val="0D0D0D" w:themeColor="text1" w:themeTint="F2"/>
                <w:spacing w:val="0"/>
              </w:rPr>
            </w:pPr>
          </w:p>
        </w:tc>
        <w:tc>
          <w:tcPr>
            <w:tcW w:w="203" w:type="dxa"/>
            <w:vMerge/>
            <w:tcMar>
              <w:left w:w="0" w:type="dxa"/>
            </w:tcMar>
          </w:tcPr>
          <w:p w14:paraId="448B4683" w14:textId="77777777" w:rsidR="006B1AFC" w:rsidRPr="00D86057" w:rsidRDefault="006B1AFC" w:rsidP="003C4A79">
            <w:pPr>
              <w:pStyle w:val="Textpoznpodarou"/>
              <w:jc w:val="both"/>
              <w:rPr>
                <w:color w:val="948A54" w:themeColor="background2" w:themeShade="80"/>
              </w:rPr>
            </w:pPr>
          </w:p>
        </w:tc>
        <w:tc>
          <w:tcPr>
            <w:tcW w:w="7663" w:type="dxa"/>
            <w:tcMar>
              <w:left w:w="0" w:type="dxa"/>
            </w:tcMar>
          </w:tcPr>
          <w:p w14:paraId="2E1CFBDD" w14:textId="77777777" w:rsidR="006B1AFC" w:rsidRPr="00763CEC" w:rsidRDefault="006B1AFC" w:rsidP="003C4A79">
            <w:pPr>
              <w:spacing w:after="200"/>
              <w:rPr>
                <w:color w:val="0D0D0D" w:themeColor="text1" w:themeTint="F2"/>
                <w:spacing w:val="-4"/>
              </w:rPr>
            </w:pPr>
            <w:r w:rsidRPr="00E14F83">
              <w:rPr>
                <w:color w:val="0D0D0D" w:themeColor="text1" w:themeTint="F2"/>
                <w:sz w:val="14"/>
                <w:szCs w:val="14"/>
              </w:rPr>
              <w:t>Zdroj: Eurostat</w:t>
            </w:r>
          </w:p>
        </w:tc>
      </w:tr>
      <w:tr w:rsidR="006B1AFC" w:rsidRPr="00FC6700" w14:paraId="3E73A035" w14:textId="77777777" w:rsidTr="003C4A79">
        <w:trPr>
          <w:trHeight w:val="60"/>
        </w:trPr>
        <w:tc>
          <w:tcPr>
            <w:tcW w:w="1803" w:type="dxa"/>
            <w:tcMar>
              <w:left w:w="0" w:type="dxa"/>
            </w:tcMar>
          </w:tcPr>
          <w:p w14:paraId="2999CB59" w14:textId="77777777" w:rsidR="006B1AFC" w:rsidRPr="00C229C1" w:rsidRDefault="006B1AFC" w:rsidP="003C4A79">
            <w:pPr>
              <w:pStyle w:val="Marginlie"/>
              <w:rPr>
                <w:color w:val="0D0D0D" w:themeColor="text1" w:themeTint="F2"/>
                <w:spacing w:val="0"/>
              </w:rPr>
            </w:pPr>
            <w:r w:rsidRPr="00C229C1">
              <w:rPr>
                <w:color w:val="0D0D0D" w:themeColor="text1" w:themeTint="F2"/>
                <w:spacing w:val="0"/>
              </w:rPr>
              <w:t xml:space="preserve">Míra zadlužení sektoru </w:t>
            </w:r>
            <w:r>
              <w:rPr>
                <w:color w:val="0D0D0D" w:themeColor="text1" w:themeTint="F2"/>
                <w:spacing w:val="0"/>
              </w:rPr>
              <w:t>vládních institucí</w:t>
            </w:r>
            <w:r w:rsidRPr="00C229C1">
              <w:rPr>
                <w:color w:val="0D0D0D" w:themeColor="text1" w:themeTint="F2"/>
                <w:spacing w:val="0"/>
              </w:rPr>
              <w:t xml:space="preserve"> v EU vzrostla </w:t>
            </w:r>
            <w:r>
              <w:rPr>
                <w:color w:val="0D0D0D" w:themeColor="text1" w:themeTint="F2"/>
                <w:spacing w:val="0"/>
              </w:rPr>
              <w:t xml:space="preserve">meziročně </w:t>
            </w:r>
            <w:r w:rsidRPr="00C229C1">
              <w:rPr>
                <w:color w:val="0D0D0D" w:themeColor="text1" w:themeTint="F2"/>
                <w:spacing w:val="0"/>
              </w:rPr>
              <w:t xml:space="preserve">nejvíce </w:t>
            </w:r>
            <w:r>
              <w:rPr>
                <w:color w:val="0D0D0D" w:themeColor="text1" w:themeTint="F2"/>
                <w:spacing w:val="0"/>
              </w:rPr>
              <w:t>z</w:t>
            </w:r>
            <w:r w:rsidRPr="00C229C1">
              <w:rPr>
                <w:color w:val="0D0D0D" w:themeColor="text1" w:themeTint="F2"/>
                <w:spacing w:val="0"/>
              </w:rPr>
              <w:t>a poslední</w:t>
            </w:r>
            <w:r>
              <w:rPr>
                <w:color w:val="0D0D0D" w:themeColor="text1" w:themeTint="F2"/>
                <w:spacing w:val="0"/>
              </w:rPr>
              <w:t>ch pět let</w:t>
            </w:r>
            <w:r w:rsidRPr="00C229C1">
              <w:rPr>
                <w:color w:val="0D0D0D" w:themeColor="text1" w:themeTint="F2"/>
                <w:spacing w:val="0"/>
              </w:rPr>
              <w:t xml:space="preserve">. </w:t>
            </w:r>
          </w:p>
          <w:p w14:paraId="0C1ACCA2" w14:textId="77777777" w:rsidR="006B1AFC" w:rsidRPr="00C229C1" w:rsidRDefault="006B1AFC" w:rsidP="003C4A79">
            <w:pPr>
              <w:pStyle w:val="Marginlie"/>
              <w:rPr>
                <w:color w:val="0D0D0D" w:themeColor="text1" w:themeTint="F2"/>
                <w:spacing w:val="0"/>
              </w:rPr>
            </w:pPr>
          </w:p>
          <w:p w14:paraId="7B291846" w14:textId="77777777" w:rsidR="006B1AFC" w:rsidRDefault="006B1AFC" w:rsidP="003C4A79">
            <w:pPr>
              <w:pStyle w:val="Marginlie"/>
              <w:rPr>
                <w:color w:val="0D0D0D" w:themeColor="text1" w:themeTint="F2"/>
                <w:spacing w:val="0"/>
              </w:rPr>
            </w:pPr>
          </w:p>
          <w:p w14:paraId="729522D2" w14:textId="77777777" w:rsidR="006B1AFC" w:rsidRDefault="006B1AFC" w:rsidP="003C4A79">
            <w:pPr>
              <w:pStyle w:val="Marginlie"/>
              <w:rPr>
                <w:color w:val="0D0D0D" w:themeColor="text1" w:themeTint="F2"/>
                <w:spacing w:val="0"/>
              </w:rPr>
            </w:pPr>
          </w:p>
          <w:p w14:paraId="5E65D9FC" w14:textId="77777777" w:rsidR="006B1AFC" w:rsidRDefault="006B1AFC" w:rsidP="003C4A79">
            <w:pPr>
              <w:pStyle w:val="Marginlie"/>
              <w:rPr>
                <w:color w:val="0D0D0D" w:themeColor="text1" w:themeTint="F2"/>
                <w:spacing w:val="0"/>
              </w:rPr>
            </w:pPr>
          </w:p>
          <w:p w14:paraId="04687097" w14:textId="77777777" w:rsidR="006B1AFC" w:rsidRDefault="006B1AFC" w:rsidP="003C4A79">
            <w:pPr>
              <w:pStyle w:val="Marginlie"/>
              <w:rPr>
                <w:color w:val="0D0D0D" w:themeColor="text1" w:themeTint="F2"/>
                <w:spacing w:val="0"/>
              </w:rPr>
            </w:pPr>
          </w:p>
          <w:p w14:paraId="35B414BE" w14:textId="77777777" w:rsidR="006B1AFC" w:rsidRPr="00C229C1" w:rsidRDefault="006B1AFC" w:rsidP="003C4A79">
            <w:pPr>
              <w:pStyle w:val="Marginlie"/>
              <w:rPr>
                <w:color w:val="0D0D0D" w:themeColor="text1" w:themeTint="F2"/>
                <w:spacing w:val="0"/>
              </w:rPr>
            </w:pPr>
          </w:p>
          <w:p w14:paraId="588C863A" w14:textId="77777777" w:rsidR="006B1AFC" w:rsidRPr="00C229C1" w:rsidRDefault="006B1AFC" w:rsidP="003C4A79">
            <w:pPr>
              <w:pStyle w:val="Marginlie"/>
              <w:rPr>
                <w:color w:val="0D0D0D" w:themeColor="text1" w:themeTint="F2"/>
                <w:spacing w:val="0"/>
              </w:rPr>
            </w:pPr>
          </w:p>
          <w:p w14:paraId="22064AAB" w14:textId="77777777" w:rsidR="006B1AFC" w:rsidRPr="00D86057" w:rsidRDefault="006B1AFC" w:rsidP="003C4A79">
            <w:pPr>
              <w:pStyle w:val="Marginlie"/>
              <w:rPr>
                <w:color w:val="948A54" w:themeColor="background2" w:themeShade="80"/>
                <w:spacing w:val="0"/>
              </w:rPr>
            </w:pPr>
            <w:r w:rsidRPr="00C229C1">
              <w:rPr>
                <w:color w:val="0D0D0D" w:themeColor="text1" w:themeTint="F2"/>
                <w:spacing w:val="0"/>
              </w:rPr>
              <w:t>V Česku se zadluženost druhý rok v řadě mírně zvýšila, stále však dosahovala v rámci střední Evropy minima</w:t>
            </w:r>
            <w:r w:rsidRPr="00D86057">
              <w:rPr>
                <w:color w:val="948A54" w:themeColor="background2" w:themeShade="80"/>
                <w:spacing w:val="0"/>
              </w:rPr>
              <w:t xml:space="preserve">. </w:t>
            </w:r>
          </w:p>
        </w:tc>
        <w:tc>
          <w:tcPr>
            <w:tcW w:w="203" w:type="dxa"/>
            <w:tcMar>
              <w:left w:w="0" w:type="dxa"/>
            </w:tcMar>
          </w:tcPr>
          <w:p w14:paraId="666B55AA" w14:textId="77777777" w:rsidR="006B1AFC" w:rsidRPr="00D86057" w:rsidRDefault="006B1AFC" w:rsidP="003C4A79">
            <w:pPr>
              <w:pStyle w:val="Textpoznpodarou"/>
              <w:jc w:val="both"/>
              <w:rPr>
                <w:color w:val="948A54" w:themeColor="background2" w:themeShade="80"/>
              </w:rPr>
            </w:pPr>
          </w:p>
        </w:tc>
        <w:tc>
          <w:tcPr>
            <w:tcW w:w="7663" w:type="dxa"/>
            <w:tcMar>
              <w:left w:w="0" w:type="dxa"/>
            </w:tcMar>
          </w:tcPr>
          <w:p w14:paraId="3EC248E7" w14:textId="77777777" w:rsidR="006B1AFC" w:rsidRPr="00763CEC" w:rsidRDefault="006B1AFC" w:rsidP="00366728">
            <w:pPr>
              <w:spacing w:after="0"/>
              <w:rPr>
                <w:color w:val="0D0D0D" w:themeColor="text1" w:themeTint="F2"/>
                <w:spacing w:val="-4"/>
              </w:rPr>
            </w:pPr>
            <w:r w:rsidRPr="00763CEC">
              <w:rPr>
                <w:color w:val="0D0D0D" w:themeColor="text1" w:themeTint="F2"/>
                <w:spacing w:val="-4"/>
              </w:rPr>
              <w:t>Hrubý konsolidovaný dluh sektoru vládních institucí činil na konci 1. čtvrtletí v EU 82,9 % (v eurozóně 88,9 % HDP). Úroveň zadlužení v obou uskupeních byla nejvyšší za poslední tři a půl roku. Meziročně</w:t>
            </w:r>
            <w:r>
              <w:rPr>
                <w:color w:val="0D0D0D" w:themeColor="text1" w:themeTint="F2"/>
                <w:spacing w:val="-4"/>
              </w:rPr>
              <w:t xml:space="preserve"> rostla</w:t>
            </w:r>
            <w:r w:rsidRPr="00763CEC">
              <w:rPr>
                <w:color w:val="0D0D0D" w:themeColor="text1" w:themeTint="F2"/>
                <w:spacing w:val="-4"/>
              </w:rPr>
              <w:t xml:space="preserve"> pátý kvartál v řadě – </w:t>
            </w:r>
            <w:r>
              <w:rPr>
                <w:color w:val="0D0D0D" w:themeColor="text1" w:themeTint="F2"/>
                <w:spacing w:val="-4"/>
              </w:rPr>
              <w:t>nyní</w:t>
            </w:r>
            <w:r w:rsidRPr="00763CEC">
              <w:rPr>
                <w:color w:val="0D0D0D" w:themeColor="text1" w:themeTint="F2"/>
                <w:spacing w:val="-4"/>
              </w:rPr>
              <w:t xml:space="preserve"> již o 1,5 p. b. (nejvíce za posledních pět let).</w:t>
            </w:r>
            <w:r>
              <w:rPr>
                <w:color w:val="0D0D0D" w:themeColor="text1" w:themeTint="F2"/>
                <w:spacing w:val="-4"/>
              </w:rPr>
              <w:t xml:space="preserve"> Z</w:t>
            </w:r>
            <w:r w:rsidRPr="00763CEC">
              <w:rPr>
                <w:color w:val="0D0D0D" w:themeColor="text1" w:themeTint="F2"/>
                <w:spacing w:val="-4"/>
              </w:rPr>
              <w:t xml:space="preserve">adluženost v EU </w:t>
            </w:r>
            <w:r>
              <w:rPr>
                <w:color w:val="0D0D0D" w:themeColor="text1" w:themeTint="F2"/>
                <w:spacing w:val="-4"/>
              </w:rPr>
              <w:t xml:space="preserve">se </w:t>
            </w:r>
            <w:r w:rsidRPr="00763CEC">
              <w:rPr>
                <w:color w:val="0D0D0D" w:themeColor="text1" w:themeTint="F2"/>
                <w:spacing w:val="-4"/>
              </w:rPr>
              <w:t xml:space="preserve">významně navýšila </w:t>
            </w:r>
            <w:r>
              <w:rPr>
                <w:color w:val="0D0D0D" w:themeColor="text1" w:themeTint="F2"/>
                <w:spacing w:val="-4"/>
              </w:rPr>
              <w:t>i</w:t>
            </w:r>
            <w:r w:rsidRPr="00763CEC">
              <w:rPr>
                <w:color w:val="0D0D0D" w:themeColor="text1" w:themeTint="F2"/>
                <w:spacing w:val="-4"/>
              </w:rPr>
              <w:t xml:space="preserve"> </w:t>
            </w:r>
            <w:r>
              <w:rPr>
                <w:color w:val="0D0D0D" w:themeColor="text1" w:themeTint="F2"/>
                <w:spacing w:val="-4"/>
              </w:rPr>
              <w:t>mezikvartálně</w:t>
            </w:r>
            <w:r w:rsidRPr="00763CEC">
              <w:rPr>
                <w:color w:val="0D0D0D" w:themeColor="text1" w:themeTint="F2"/>
                <w:spacing w:val="-4"/>
              </w:rPr>
              <w:t xml:space="preserve"> (+1,1 p. b.), přičemž proti jejímu růstu působilo posilování nominálního HDP</w:t>
            </w:r>
            <w:r w:rsidRPr="00763CEC">
              <w:rPr>
                <w:rStyle w:val="Znakapoznpodarou"/>
                <w:color w:val="0D0D0D" w:themeColor="text1" w:themeTint="F2"/>
                <w:spacing w:val="-4"/>
              </w:rPr>
              <w:footnoteReference w:id="120"/>
            </w:r>
            <w:r w:rsidRPr="00763CEC">
              <w:rPr>
                <w:color w:val="0D0D0D" w:themeColor="text1" w:themeTint="F2"/>
                <w:spacing w:val="-4"/>
              </w:rPr>
              <w:t xml:space="preserve">. </w:t>
            </w:r>
            <w:r>
              <w:rPr>
                <w:color w:val="0D0D0D" w:themeColor="text1" w:themeTint="F2"/>
                <w:spacing w:val="-4"/>
              </w:rPr>
              <w:t>Zadluženost vzrostla meziročně</w:t>
            </w:r>
            <w:r w:rsidRPr="00763CEC">
              <w:rPr>
                <w:color w:val="0D0D0D" w:themeColor="text1" w:themeTint="F2"/>
                <w:spacing w:val="-4"/>
              </w:rPr>
              <w:t xml:space="preserve"> ve dvou třetinách členských států – </w:t>
            </w:r>
            <w:r>
              <w:rPr>
                <w:color w:val="0D0D0D" w:themeColor="text1" w:themeTint="F2"/>
                <w:spacing w:val="-4"/>
              </w:rPr>
              <w:t>největší byl</w:t>
            </w:r>
            <w:r w:rsidRPr="00763CEC">
              <w:rPr>
                <w:color w:val="0D0D0D" w:themeColor="text1" w:themeTint="F2"/>
                <w:spacing w:val="-4"/>
              </w:rPr>
              <w:t xml:space="preserve"> ve Finsku (+5,5 p. b., na 89,7 % HDP), Bulharsku (+4,8 p. b, na 28,5 % HDP), Polsku (+4,6 p. b., na 61,6 % HDP), z velkých ekonomik </w:t>
            </w:r>
            <w:r>
              <w:rPr>
                <w:color w:val="0D0D0D" w:themeColor="text1" w:themeTint="F2"/>
                <w:spacing w:val="-4"/>
              </w:rPr>
              <w:t>především</w:t>
            </w:r>
            <w:r w:rsidRPr="00763CEC">
              <w:rPr>
                <w:color w:val="0D0D0D" w:themeColor="text1" w:themeTint="F2"/>
                <w:spacing w:val="-4"/>
              </w:rPr>
              <w:t xml:space="preserve"> ve Francii (+4,0 p. b., na 117,6 % HDP) a Německu (+2,4 p. b., na 64,4 % HDP). </w:t>
            </w:r>
            <w:r w:rsidRPr="006D67F3">
              <w:rPr>
                <w:color w:val="0D0D0D" w:themeColor="text1" w:themeTint="F2"/>
                <w:spacing w:val="-5"/>
              </w:rPr>
              <w:t>Klesl</w:t>
            </w:r>
            <w:r>
              <w:rPr>
                <w:color w:val="0D0D0D" w:themeColor="text1" w:themeTint="F2"/>
                <w:spacing w:val="-5"/>
              </w:rPr>
              <w:t>a</w:t>
            </w:r>
            <w:r w:rsidRPr="006D67F3">
              <w:rPr>
                <w:color w:val="0D0D0D" w:themeColor="text1" w:themeTint="F2"/>
                <w:spacing w:val="-5"/>
              </w:rPr>
              <w:t xml:space="preserve"> </w:t>
            </w:r>
            <w:r>
              <w:rPr>
                <w:color w:val="0D0D0D" w:themeColor="text1" w:themeTint="F2"/>
                <w:spacing w:val="-5"/>
              </w:rPr>
              <w:t>však</w:t>
            </w:r>
            <w:r w:rsidRPr="006D67F3">
              <w:rPr>
                <w:color w:val="0D0D0D" w:themeColor="text1" w:themeTint="F2"/>
                <w:spacing w:val="-5"/>
              </w:rPr>
              <w:t xml:space="preserve"> v některých vysoce zadlužených státech – hlavně v Řecku (</w:t>
            </w:r>
            <w:r>
              <w:rPr>
                <w:color w:val="0D0D0D" w:themeColor="text1" w:themeTint="F2"/>
                <w:spacing w:val="-5"/>
              </w:rPr>
              <w:t>−</w:t>
            </w:r>
            <w:r w:rsidRPr="006D67F3">
              <w:rPr>
                <w:color w:val="0D0D0D" w:themeColor="text1" w:themeTint="F2"/>
                <w:spacing w:val="-5"/>
              </w:rPr>
              <w:t>9,4</w:t>
            </w:r>
            <w:r>
              <w:rPr>
                <w:color w:val="0D0D0D" w:themeColor="text1" w:themeTint="F2"/>
                <w:spacing w:val="-5"/>
              </w:rPr>
              <w:t> </w:t>
            </w:r>
            <w:r w:rsidRPr="006D67F3">
              <w:rPr>
                <w:color w:val="0D0D0D" w:themeColor="text1" w:themeTint="F2"/>
                <w:spacing w:val="-5"/>
              </w:rPr>
              <w:t>p.</w:t>
            </w:r>
            <w:r>
              <w:rPr>
                <w:color w:val="0D0D0D" w:themeColor="text1" w:themeTint="F2"/>
                <w:spacing w:val="-5"/>
              </w:rPr>
              <w:t> </w:t>
            </w:r>
            <w:r w:rsidRPr="006D67F3">
              <w:rPr>
                <w:color w:val="0D0D0D" w:themeColor="text1" w:themeTint="F2"/>
                <w:spacing w:val="-5"/>
              </w:rPr>
              <w:t>b., na 143,5 %</w:t>
            </w:r>
            <w:r w:rsidRPr="00763CEC">
              <w:rPr>
                <w:color w:val="0D0D0D" w:themeColor="text1" w:themeTint="F2"/>
                <w:spacing w:val="-4"/>
              </w:rPr>
              <w:t xml:space="preserve"> HDP, za posledních pět let byla nižší o třetinu), Portugalsku (</w:t>
            </w:r>
            <w:r>
              <w:rPr>
                <w:color w:val="0D0D0D" w:themeColor="text1" w:themeTint="F2"/>
                <w:spacing w:val="-4"/>
              </w:rPr>
              <w:t>−</w:t>
            </w:r>
            <w:r w:rsidRPr="00763CEC">
              <w:rPr>
                <w:color w:val="0D0D0D" w:themeColor="text1" w:themeTint="F2"/>
                <w:spacing w:val="-4"/>
              </w:rPr>
              <w:t>3,8</w:t>
            </w:r>
            <w:r>
              <w:rPr>
                <w:color w:val="0D0D0D" w:themeColor="text1" w:themeTint="F2"/>
                <w:spacing w:val="-4"/>
              </w:rPr>
              <w:t> </w:t>
            </w:r>
            <w:r w:rsidRPr="00763CEC">
              <w:rPr>
                <w:color w:val="0D0D0D" w:themeColor="text1" w:themeTint="F2"/>
                <w:spacing w:val="-4"/>
              </w:rPr>
              <w:t>p.</w:t>
            </w:r>
            <w:r>
              <w:rPr>
                <w:color w:val="0D0D0D" w:themeColor="text1" w:themeTint="F2"/>
                <w:spacing w:val="-4"/>
              </w:rPr>
              <w:t> </w:t>
            </w:r>
            <w:r w:rsidRPr="00763CEC">
              <w:rPr>
                <w:color w:val="0D0D0D" w:themeColor="text1" w:themeTint="F2"/>
                <w:spacing w:val="-4"/>
              </w:rPr>
              <w:t>b., na 91,0 %</w:t>
            </w:r>
            <w:r>
              <w:rPr>
                <w:color w:val="0D0D0D" w:themeColor="text1" w:themeTint="F2"/>
                <w:spacing w:val="-4"/>
              </w:rPr>
              <w:t xml:space="preserve"> </w:t>
            </w:r>
            <w:r w:rsidRPr="00763CEC">
              <w:rPr>
                <w:color w:val="0D0D0D" w:themeColor="text1" w:themeTint="F2"/>
                <w:spacing w:val="-4"/>
              </w:rPr>
              <w:t>HDP) a Španělsku (</w:t>
            </w:r>
            <w:r>
              <w:rPr>
                <w:color w:val="0D0D0D" w:themeColor="text1" w:themeTint="F2"/>
                <w:spacing w:val="-4"/>
              </w:rPr>
              <w:t>−</w:t>
            </w:r>
            <w:r w:rsidRPr="00763CEC">
              <w:rPr>
                <w:color w:val="0D0D0D" w:themeColor="text1" w:themeTint="F2"/>
                <w:spacing w:val="-4"/>
              </w:rPr>
              <w:t xml:space="preserve">1,7 p. b., </w:t>
            </w:r>
            <w:r>
              <w:rPr>
                <w:color w:val="0D0D0D" w:themeColor="text1" w:themeTint="F2"/>
                <w:spacing w:val="-4"/>
              </w:rPr>
              <w:t>n</w:t>
            </w:r>
            <w:r w:rsidRPr="00763CEC">
              <w:rPr>
                <w:color w:val="0D0D0D" w:themeColor="text1" w:themeTint="F2"/>
                <w:spacing w:val="-4"/>
              </w:rPr>
              <w:t>a 101,6 % HDP), ale např. i v Dánsku (</w:t>
            </w:r>
            <w:r>
              <w:rPr>
                <w:color w:val="0D0D0D" w:themeColor="text1" w:themeTint="F2"/>
                <w:spacing w:val="-4"/>
              </w:rPr>
              <w:t>−</w:t>
            </w:r>
            <w:r w:rsidRPr="00763CEC">
              <w:rPr>
                <w:color w:val="0D0D0D" w:themeColor="text1" w:themeTint="F2"/>
                <w:spacing w:val="-4"/>
              </w:rPr>
              <w:t xml:space="preserve">2,5 p. b, na 26,8 % HDP). </w:t>
            </w:r>
            <w:r>
              <w:rPr>
                <w:color w:val="0D0D0D" w:themeColor="text1" w:themeTint="F2"/>
                <w:spacing w:val="-4"/>
              </w:rPr>
              <w:t>Zadluženost v</w:t>
            </w:r>
            <w:r w:rsidRPr="00763CEC">
              <w:rPr>
                <w:color w:val="0D0D0D" w:themeColor="text1" w:themeTint="F2"/>
                <w:spacing w:val="-4"/>
              </w:rPr>
              <w:t> Česku mírně vzrostla o 0,8 p. b. a dosáhla deváté nejnižší úrovně v Unii (44,1 % HDP</w:t>
            </w:r>
            <w:r w:rsidRPr="00763CEC">
              <w:rPr>
                <w:rStyle w:val="Znakapoznpodarou"/>
                <w:color w:val="0D0D0D" w:themeColor="text1" w:themeTint="F2"/>
                <w:spacing w:val="-4"/>
              </w:rPr>
              <w:footnoteReference w:id="121"/>
            </w:r>
            <w:r w:rsidRPr="00763CEC">
              <w:rPr>
                <w:color w:val="0D0D0D" w:themeColor="text1" w:themeTint="F2"/>
                <w:spacing w:val="-4"/>
              </w:rPr>
              <w:t>). Té i přes nedávné významné konsolidační úsilí v negativním smyslu nadále vévodilo Řecko</w:t>
            </w:r>
            <w:r w:rsidRPr="00763CEC">
              <w:rPr>
                <w:rStyle w:val="Znakapoznpodarou"/>
                <w:color w:val="0D0D0D" w:themeColor="text1" w:themeTint="F2"/>
                <w:spacing w:val="-4"/>
              </w:rPr>
              <w:footnoteReference w:id="122"/>
            </w:r>
            <w:r w:rsidRPr="00763CEC">
              <w:rPr>
                <w:color w:val="0D0D0D" w:themeColor="text1" w:themeTint="F2"/>
                <w:spacing w:val="-4"/>
              </w:rPr>
              <w:t xml:space="preserve"> před Itálií (138,9 % HDP), Francií a</w:t>
            </w:r>
            <w:r>
              <w:rPr>
                <w:color w:val="0D0D0D" w:themeColor="text1" w:themeTint="F2"/>
                <w:spacing w:val="-4"/>
              </w:rPr>
              <w:t> </w:t>
            </w:r>
            <w:r w:rsidRPr="00763CEC">
              <w:rPr>
                <w:color w:val="0D0D0D" w:themeColor="text1" w:themeTint="F2"/>
                <w:spacing w:val="-4"/>
              </w:rPr>
              <w:t xml:space="preserve">Španělskem. </w:t>
            </w:r>
            <w:r>
              <w:rPr>
                <w:color w:val="0D0D0D" w:themeColor="text1" w:themeTint="F2"/>
                <w:spacing w:val="-4"/>
              </w:rPr>
              <w:t>Na opačném pólu se dlouhodobě nachází Estonsko (25,2 % HDP</w:t>
            </w:r>
            <w:r>
              <w:rPr>
                <w:rStyle w:val="Znakapoznpodarou"/>
                <w:color w:val="0D0D0D" w:themeColor="text1" w:themeTint="F2"/>
                <w:spacing w:val="-4"/>
              </w:rPr>
              <w:footnoteReference w:id="123"/>
            </w:r>
            <w:r>
              <w:rPr>
                <w:color w:val="0D0D0D" w:themeColor="text1" w:themeTint="F2"/>
                <w:spacing w:val="-4"/>
              </w:rPr>
              <w:t xml:space="preserve">), aktuálně nově následované Dánskem (26,8 % HDP). </w:t>
            </w:r>
          </w:p>
        </w:tc>
      </w:tr>
      <w:tr w:rsidR="006B1AFC" w:rsidRPr="00FC6700" w14:paraId="4CF3B18A" w14:textId="77777777" w:rsidTr="003C4A79">
        <w:trPr>
          <w:trHeight w:val="60"/>
        </w:trPr>
        <w:tc>
          <w:tcPr>
            <w:tcW w:w="9669" w:type="dxa"/>
            <w:gridSpan w:val="3"/>
            <w:tcMar>
              <w:left w:w="0" w:type="dxa"/>
            </w:tcMar>
          </w:tcPr>
          <w:p w14:paraId="74D5E65F" w14:textId="77777777" w:rsidR="006B1AFC" w:rsidRPr="00593CD1" w:rsidRDefault="006B1AFC" w:rsidP="003C4A79">
            <w:pPr>
              <w:pStyle w:val="Nadpis3"/>
              <w:rPr>
                <w:color w:val="0D0D0D" w:themeColor="text1" w:themeTint="F2"/>
                <w:spacing w:val="-2"/>
              </w:rPr>
            </w:pPr>
            <w:bookmarkStart w:id="52" w:name="_Toc239947457"/>
            <w:bookmarkStart w:id="53" w:name="_Toc240366909"/>
            <w:r w:rsidRPr="006B2C72">
              <w:rPr>
                <w:lang w:eastAsia="en-US"/>
              </w:rPr>
              <w:lastRenderedPageBreak/>
              <w:t>8.</w:t>
            </w:r>
            <w:r>
              <w:rPr>
                <w:lang w:eastAsia="en-US"/>
              </w:rPr>
              <w:t>2</w:t>
            </w:r>
            <w:r w:rsidRPr="006B2C72">
              <w:rPr>
                <w:lang w:eastAsia="en-US"/>
              </w:rPr>
              <w:t xml:space="preserve"> </w:t>
            </w:r>
            <w:r>
              <w:rPr>
                <w:lang w:eastAsia="en-US"/>
              </w:rPr>
              <w:t>Příjmy státního rozpočtu</w:t>
            </w:r>
            <w:bookmarkEnd w:id="52"/>
            <w:bookmarkEnd w:id="53"/>
          </w:p>
        </w:tc>
      </w:tr>
      <w:tr w:rsidR="006B1AFC" w:rsidRPr="00FC6700" w14:paraId="63B80B3A" w14:textId="77777777" w:rsidTr="003C4A79">
        <w:trPr>
          <w:trHeight w:val="60"/>
        </w:trPr>
        <w:tc>
          <w:tcPr>
            <w:tcW w:w="1803" w:type="dxa"/>
            <w:tcMar>
              <w:left w:w="0" w:type="dxa"/>
            </w:tcMar>
          </w:tcPr>
          <w:p w14:paraId="3BEECBAE" w14:textId="77777777" w:rsidR="006B1AFC" w:rsidRDefault="006B1AFC" w:rsidP="003C4A79">
            <w:pPr>
              <w:pStyle w:val="Marginlie"/>
              <w:rPr>
                <w:spacing w:val="0"/>
              </w:rPr>
            </w:pPr>
            <w:r>
              <w:rPr>
                <w:spacing w:val="0"/>
              </w:rPr>
              <w:t xml:space="preserve">Výrazně deficitní hospodaření SR pokračovalo sedmý rok v řadě. Letos se schodek meziročně prohloubil, </w:t>
            </w:r>
            <w:r>
              <w:rPr>
                <w:spacing w:val="0"/>
              </w:rPr>
              <w:br/>
              <w:t xml:space="preserve">mj. i vlivem snížení kladné bilance ve vztahu k rozpočtu EU či změny </w:t>
            </w:r>
            <w:r w:rsidRPr="00B9572A">
              <w:rPr>
                <w:spacing w:val="-4"/>
              </w:rPr>
              <w:t>rozpočtového určení daní.</w:t>
            </w:r>
          </w:p>
          <w:p w14:paraId="5308B62A" w14:textId="77777777" w:rsidR="006B1AFC" w:rsidRDefault="006B1AFC" w:rsidP="003C4A79">
            <w:pPr>
              <w:pStyle w:val="Marginlie"/>
              <w:rPr>
                <w:spacing w:val="0"/>
              </w:rPr>
            </w:pPr>
          </w:p>
        </w:tc>
        <w:tc>
          <w:tcPr>
            <w:tcW w:w="203" w:type="dxa"/>
            <w:tcMar>
              <w:left w:w="0" w:type="dxa"/>
            </w:tcMar>
          </w:tcPr>
          <w:p w14:paraId="10414EF0" w14:textId="77777777" w:rsidR="006B1AFC" w:rsidRPr="00FC6700" w:rsidRDefault="006B1AFC" w:rsidP="003C4A79">
            <w:pPr>
              <w:pStyle w:val="Textpoznpodarou"/>
              <w:jc w:val="both"/>
            </w:pPr>
          </w:p>
        </w:tc>
        <w:tc>
          <w:tcPr>
            <w:tcW w:w="7663" w:type="dxa"/>
            <w:tcMar>
              <w:left w:w="0" w:type="dxa"/>
            </w:tcMar>
          </w:tcPr>
          <w:p w14:paraId="347E1352" w14:textId="77777777" w:rsidR="006B1AFC" w:rsidRPr="00593CD1" w:rsidRDefault="006B1AFC" w:rsidP="003C4A79">
            <w:pPr>
              <w:spacing w:after="200"/>
              <w:rPr>
                <w:color w:val="0D0D0D" w:themeColor="text1" w:themeTint="F2"/>
                <w:spacing w:val="-2"/>
              </w:rPr>
            </w:pPr>
            <w:r w:rsidRPr="00865239">
              <w:rPr>
                <w:color w:val="0D0D0D" w:themeColor="text1" w:themeTint="F2"/>
                <w:spacing w:val="-2"/>
              </w:rPr>
              <w:t>Hospodaření státního rozpočtu (</w:t>
            </w:r>
            <w:r w:rsidRPr="00F316C9">
              <w:rPr>
                <w:spacing w:val="-2"/>
              </w:rPr>
              <w:t>SR)</w:t>
            </w:r>
            <w:r w:rsidRPr="00F316C9">
              <w:rPr>
                <w:rStyle w:val="Znakapoznpodarou"/>
                <w:spacing w:val="-2"/>
              </w:rPr>
              <w:footnoteReference w:id="124"/>
            </w:r>
            <w:r w:rsidRPr="00F316C9">
              <w:rPr>
                <w:spacing w:val="-2"/>
              </w:rPr>
              <w:t xml:space="preserve"> skončilo v</w:t>
            </w:r>
            <w:r>
              <w:rPr>
                <w:spacing w:val="-2"/>
              </w:rPr>
              <w:t> 1. pololetí</w:t>
            </w:r>
            <w:r w:rsidRPr="00F316C9">
              <w:rPr>
                <w:spacing w:val="-2"/>
              </w:rPr>
              <w:t xml:space="preserve"> 202</w:t>
            </w:r>
            <w:r>
              <w:rPr>
                <w:spacing w:val="-2"/>
              </w:rPr>
              <w:t>6</w:t>
            </w:r>
            <w:r w:rsidRPr="00F316C9">
              <w:rPr>
                <w:spacing w:val="-2"/>
              </w:rPr>
              <w:t xml:space="preserve"> schodkem </w:t>
            </w:r>
            <w:r>
              <w:rPr>
                <w:spacing w:val="-2"/>
              </w:rPr>
              <w:br/>
              <w:t>183,6</w:t>
            </w:r>
            <w:r w:rsidRPr="00F316C9">
              <w:rPr>
                <w:spacing w:val="-2"/>
              </w:rPr>
              <w:t> mld. korun,</w:t>
            </w:r>
            <w:r>
              <w:rPr>
                <w:spacing w:val="-2"/>
              </w:rPr>
              <w:t xml:space="preserve"> meziročně o více než pětinu hlubším (po očištění salda </w:t>
            </w:r>
            <w:r w:rsidRPr="00F316C9">
              <w:rPr>
                <w:spacing w:val="-2"/>
              </w:rPr>
              <w:t>o prostředky z rozpočtu EU</w:t>
            </w:r>
            <w:r>
              <w:rPr>
                <w:rStyle w:val="Znakapoznpodarou"/>
                <w:spacing w:val="-2"/>
              </w:rPr>
              <w:footnoteReference w:id="125"/>
            </w:r>
            <w:r>
              <w:rPr>
                <w:spacing w:val="-2"/>
              </w:rPr>
              <w:t xml:space="preserve"> se toto zhoršení ještě více zvýraznilo</w:t>
            </w:r>
            <w:r>
              <w:rPr>
                <w:rStyle w:val="Znakapoznpodarou"/>
                <w:spacing w:val="-2"/>
              </w:rPr>
              <w:footnoteReference w:id="126"/>
            </w:r>
            <w:r>
              <w:rPr>
                <w:spacing w:val="-2"/>
              </w:rPr>
              <w:t>). Citelné schodky tak tížily SR již sedmý rok v řadě a dosavadní letošní deficit byl současně nejvyšší za poslední tři roky. K</w:t>
            </w:r>
            <w:r>
              <w:rPr>
                <w:color w:val="0D0D0D" w:themeColor="text1" w:themeTint="F2"/>
                <w:spacing w:val="-2"/>
              </w:rPr>
              <w:t> </w:t>
            </w:r>
            <w:r>
              <w:rPr>
                <w:spacing w:val="-2"/>
              </w:rPr>
              <w:t xml:space="preserve">meziročnímu navýšení schodku došlo při výraznějším posílení růstového tempa celkových výdajů a současně při jeho lehkém zmírnění na příjmové straně rozpočtu. Přetrvávající mírný růst tuzemské ekonomiky se nadále postupně propisoval do vyšších daňových příjmů SR, jejich růst byl ovšem tlumen </w:t>
            </w:r>
            <w:r w:rsidRPr="00F316C9">
              <w:rPr>
                <w:spacing w:val="-2"/>
              </w:rPr>
              <w:t>změn</w:t>
            </w:r>
            <w:r>
              <w:rPr>
                <w:spacing w:val="-2"/>
              </w:rPr>
              <w:t>ou</w:t>
            </w:r>
            <w:r w:rsidRPr="00F316C9">
              <w:rPr>
                <w:spacing w:val="-2"/>
              </w:rPr>
              <w:t xml:space="preserve"> rozpočtového určení daní, jež od ledna 202</w:t>
            </w:r>
            <w:r>
              <w:rPr>
                <w:spacing w:val="-2"/>
              </w:rPr>
              <w:t>6</w:t>
            </w:r>
            <w:r w:rsidRPr="00F316C9">
              <w:rPr>
                <w:spacing w:val="-2"/>
              </w:rPr>
              <w:t xml:space="preserve"> </w:t>
            </w:r>
            <w:r>
              <w:rPr>
                <w:spacing w:val="-2"/>
              </w:rPr>
              <w:t>snížila</w:t>
            </w:r>
            <w:r w:rsidRPr="00F316C9">
              <w:rPr>
                <w:spacing w:val="-2"/>
              </w:rPr>
              <w:t xml:space="preserve"> podíl na </w:t>
            </w:r>
            <w:r>
              <w:rPr>
                <w:spacing w:val="-2"/>
              </w:rPr>
              <w:t xml:space="preserve">SR </w:t>
            </w:r>
            <w:r w:rsidRPr="00F316C9">
              <w:rPr>
                <w:spacing w:val="-2"/>
              </w:rPr>
              <w:t xml:space="preserve">výnosu některých váhově významných daní ve prospěch </w:t>
            </w:r>
            <w:r>
              <w:rPr>
                <w:spacing w:val="-2"/>
              </w:rPr>
              <w:t>územních rozpočtů</w:t>
            </w:r>
            <w:r w:rsidRPr="00F316C9">
              <w:rPr>
                <w:rStyle w:val="Znakapoznpodarou"/>
                <w:spacing w:val="-2"/>
              </w:rPr>
              <w:footnoteReference w:id="127"/>
            </w:r>
            <w:r w:rsidRPr="00F316C9">
              <w:rPr>
                <w:spacing w:val="-2"/>
              </w:rPr>
              <w:t>.</w:t>
            </w:r>
            <w:r>
              <w:rPr>
                <w:spacing w:val="-2"/>
              </w:rPr>
              <w:t xml:space="preserve"> Vedle toho se na příjmové i výdajové straně rozpočtu stále </w:t>
            </w:r>
            <w:r>
              <w:rPr>
                <w:spacing w:val="-4"/>
              </w:rPr>
              <w:t xml:space="preserve">projevovaly </w:t>
            </w:r>
            <w:r w:rsidRPr="00F316C9">
              <w:rPr>
                <w:spacing w:val="-2"/>
              </w:rPr>
              <w:t xml:space="preserve">dopady konsolidačního ozdravného balíčku (schváleného </w:t>
            </w:r>
            <w:r>
              <w:rPr>
                <w:spacing w:val="-2"/>
              </w:rPr>
              <w:t xml:space="preserve">již </w:t>
            </w:r>
            <w:r w:rsidRPr="00F316C9">
              <w:rPr>
                <w:spacing w:val="-2"/>
              </w:rPr>
              <w:t>v roce 2023)</w:t>
            </w:r>
            <w:r>
              <w:rPr>
                <w:spacing w:val="-2"/>
              </w:rPr>
              <w:t>. Naopak prakticky vyprchal vliv specifického režimu rozpočtového provizoria</w:t>
            </w:r>
            <w:r>
              <w:rPr>
                <w:rStyle w:val="Znakapoznpodarou"/>
                <w:spacing w:val="-4"/>
              </w:rPr>
              <w:footnoteReference w:id="128"/>
            </w:r>
            <w:r>
              <w:rPr>
                <w:spacing w:val="-2"/>
              </w:rPr>
              <w:t>, které</w:t>
            </w:r>
            <w:r>
              <w:rPr>
                <w:spacing w:val="-4"/>
              </w:rPr>
              <w:t xml:space="preserve"> na počátku roku ovlivnilo zejména čerpání investic i možnosti předfinancování některých běžných transferů během 2. čtvrtletí 2026. </w:t>
            </w:r>
          </w:p>
        </w:tc>
      </w:tr>
      <w:tr w:rsidR="006B1AFC" w:rsidRPr="00FC6700" w14:paraId="07827E18" w14:textId="77777777" w:rsidTr="003C4A79">
        <w:trPr>
          <w:trHeight w:val="60"/>
        </w:trPr>
        <w:tc>
          <w:tcPr>
            <w:tcW w:w="1803" w:type="dxa"/>
            <w:tcMar>
              <w:left w:w="0" w:type="dxa"/>
            </w:tcMar>
          </w:tcPr>
          <w:p w14:paraId="26939321" w14:textId="77777777" w:rsidR="006B1AFC" w:rsidRDefault="006B1AFC" w:rsidP="003C4A79">
            <w:pPr>
              <w:pStyle w:val="Marginlie"/>
              <w:rPr>
                <w:spacing w:val="0"/>
              </w:rPr>
            </w:pPr>
            <w:r>
              <w:rPr>
                <w:spacing w:val="0"/>
              </w:rPr>
              <w:t>K růstu celkových příjmů SR nejvíce přispěl vyšší výběr pojistného na sociální zabezpečení.</w:t>
            </w:r>
          </w:p>
        </w:tc>
        <w:tc>
          <w:tcPr>
            <w:tcW w:w="203" w:type="dxa"/>
            <w:tcMar>
              <w:left w:w="0" w:type="dxa"/>
            </w:tcMar>
          </w:tcPr>
          <w:p w14:paraId="0680116A" w14:textId="77777777" w:rsidR="006B1AFC" w:rsidRPr="00FC6700" w:rsidRDefault="006B1AFC" w:rsidP="003C4A79">
            <w:pPr>
              <w:pStyle w:val="Textpoznpodarou"/>
              <w:jc w:val="both"/>
            </w:pPr>
          </w:p>
        </w:tc>
        <w:tc>
          <w:tcPr>
            <w:tcW w:w="7663" w:type="dxa"/>
            <w:tcMar>
              <w:left w:w="0" w:type="dxa"/>
            </w:tcMar>
          </w:tcPr>
          <w:p w14:paraId="7A28BA5D" w14:textId="77777777" w:rsidR="006B1AFC" w:rsidRPr="00CD4841" w:rsidRDefault="006B1AFC" w:rsidP="003C4A79">
            <w:pPr>
              <w:spacing w:after="200"/>
              <w:rPr>
                <w:color w:val="0D0D0D" w:themeColor="text1" w:themeTint="F2"/>
                <w:spacing w:val="-3"/>
              </w:rPr>
            </w:pPr>
            <w:r w:rsidRPr="00CD4841">
              <w:rPr>
                <w:color w:val="0D0D0D" w:themeColor="text1" w:themeTint="F2"/>
                <w:spacing w:val="-3"/>
              </w:rPr>
              <w:t>Celkové příjmy SR letos v 1. pololetí meziročně posílily o 4,0 % (+40,7 mld. korun). Byť jde o nejslabší tempo za poslední pětiletí, předčilo dosavadní letošní tempo celoroční rozpočtové očekávání</w:t>
            </w:r>
            <w:r w:rsidRPr="00CD4841">
              <w:rPr>
                <w:rStyle w:val="Znakapoznpodarou"/>
                <w:color w:val="0D0D0D" w:themeColor="text1" w:themeTint="F2"/>
                <w:spacing w:val="-3"/>
              </w:rPr>
              <w:footnoteReference w:id="129"/>
            </w:r>
            <w:r w:rsidRPr="00CD4841">
              <w:rPr>
                <w:color w:val="0D0D0D" w:themeColor="text1" w:themeTint="F2"/>
                <w:spacing w:val="-3"/>
              </w:rPr>
              <w:t>. Meziroční růst příjmů byl tažen zejména vyšším výběrem pojistného na sociální zabezpečení vč. aktivní politiky zaměstnanosti (+25,6</w:t>
            </w:r>
            <w:r w:rsidRPr="00CD4841">
              <w:rPr>
                <w:spacing w:val="-3"/>
              </w:rPr>
              <w:t xml:space="preserve"> </w:t>
            </w:r>
            <w:r w:rsidRPr="00CD4841">
              <w:rPr>
                <w:color w:val="0D0D0D" w:themeColor="text1" w:themeTint="F2"/>
                <w:spacing w:val="-3"/>
              </w:rPr>
              <w:t>mld. korun), a</w:t>
            </w:r>
            <w:r>
              <w:rPr>
                <w:color w:val="0D0D0D" w:themeColor="text1" w:themeTint="F2"/>
                <w:spacing w:val="-3"/>
              </w:rPr>
              <w:t> </w:t>
            </w:r>
            <w:r w:rsidRPr="00CD4841">
              <w:rPr>
                <w:color w:val="0D0D0D" w:themeColor="text1" w:themeTint="F2"/>
                <w:spacing w:val="-3"/>
              </w:rPr>
              <w:t xml:space="preserve">to i přesto, že jeho růst zpomaloval a letošní tempo (+6,4 %) za rozpočtovým očekáváním lehce zaostávalo. Ve stále relativně vysokém tempu se odrážela </w:t>
            </w:r>
            <w:r w:rsidRPr="00CD4841">
              <w:rPr>
                <w:spacing w:val="-3"/>
              </w:rPr>
              <w:t xml:space="preserve">dobrá kondice trhu práce vyznačující se vyšší zaměstnaností v ekonomice i svižně rostoucími průměrnými výdělky. Stejně jako loni se navíc projevilo postupné, byť dočasné, zvyšování minimálního vyměřovacího základu pojistného pro osoby samostatně výdělečně </w:t>
            </w:r>
            <w:r w:rsidRPr="00CD4841">
              <w:rPr>
                <w:color w:val="0D0D0D" w:themeColor="text1" w:themeTint="F2"/>
                <w:spacing w:val="-3"/>
              </w:rPr>
              <w:t xml:space="preserve">činné. </w:t>
            </w:r>
          </w:p>
        </w:tc>
      </w:tr>
      <w:tr w:rsidR="006B1AFC" w:rsidRPr="00FC6700" w14:paraId="0E5C624A" w14:textId="77777777" w:rsidTr="003C4A79">
        <w:trPr>
          <w:trHeight w:val="60"/>
        </w:trPr>
        <w:tc>
          <w:tcPr>
            <w:tcW w:w="1803" w:type="dxa"/>
            <w:tcMar>
              <w:left w:w="0" w:type="dxa"/>
            </w:tcMar>
          </w:tcPr>
          <w:p w14:paraId="342C1F62" w14:textId="77777777" w:rsidR="006B1AFC" w:rsidRDefault="006B1AFC" w:rsidP="003C4A79">
            <w:pPr>
              <w:pStyle w:val="Marginlie"/>
              <w:rPr>
                <w:spacing w:val="0"/>
              </w:rPr>
            </w:pPr>
            <w:r>
              <w:rPr>
                <w:spacing w:val="0"/>
              </w:rPr>
              <w:t>Růst celkových daňových příjmů SR se zastavil. Projevil se vliv změny rozpočtového určení daní i vyprchání příjmů mimořádných daní uvalených během energetické krize.</w:t>
            </w:r>
          </w:p>
          <w:p w14:paraId="1BBCC314" w14:textId="77777777" w:rsidR="006B1AFC" w:rsidRDefault="006B1AFC" w:rsidP="003C4A79">
            <w:pPr>
              <w:pStyle w:val="Marginlie"/>
              <w:rPr>
                <w:spacing w:val="0"/>
              </w:rPr>
            </w:pPr>
          </w:p>
          <w:p w14:paraId="33948CE4" w14:textId="77777777" w:rsidR="006B1AFC" w:rsidRDefault="006B1AFC" w:rsidP="003C4A79">
            <w:pPr>
              <w:pStyle w:val="Marginlie"/>
              <w:rPr>
                <w:spacing w:val="0"/>
              </w:rPr>
            </w:pPr>
          </w:p>
          <w:p w14:paraId="64EDCA43" w14:textId="77777777" w:rsidR="006B1AFC" w:rsidRDefault="006B1AFC" w:rsidP="003C4A79">
            <w:pPr>
              <w:pStyle w:val="Marginlie"/>
              <w:rPr>
                <w:spacing w:val="0"/>
              </w:rPr>
            </w:pPr>
          </w:p>
          <w:p w14:paraId="11755877" w14:textId="77777777" w:rsidR="006B1AFC" w:rsidRDefault="006B1AFC" w:rsidP="003C4A79">
            <w:pPr>
              <w:pStyle w:val="Marginlie"/>
              <w:rPr>
                <w:spacing w:val="0"/>
              </w:rPr>
            </w:pPr>
            <w:r>
              <w:rPr>
                <w:spacing w:val="0"/>
              </w:rPr>
              <w:t xml:space="preserve">Inkaso spotřební daně zatím zůstalo za rozpočtovým očekáváním. </w:t>
            </w:r>
          </w:p>
          <w:p w14:paraId="5DCF84D3" w14:textId="77777777" w:rsidR="006B1AFC" w:rsidRPr="00FC6700" w:rsidRDefault="006B1AFC" w:rsidP="003C4A79">
            <w:pPr>
              <w:pStyle w:val="Marginlie"/>
              <w:rPr>
                <w:spacing w:val="0"/>
              </w:rPr>
            </w:pPr>
          </w:p>
        </w:tc>
        <w:tc>
          <w:tcPr>
            <w:tcW w:w="203" w:type="dxa"/>
            <w:tcMar>
              <w:left w:w="0" w:type="dxa"/>
            </w:tcMar>
          </w:tcPr>
          <w:p w14:paraId="7D278A4F" w14:textId="77777777" w:rsidR="006B1AFC" w:rsidRPr="00FC6700" w:rsidRDefault="006B1AFC" w:rsidP="003C4A79">
            <w:pPr>
              <w:pStyle w:val="Textpoznpodarou"/>
              <w:jc w:val="both"/>
            </w:pPr>
          </w:p>
        </w:tc>
        <w:tc>
          <w:tcPr>
            <w:tcW w:w="7663" w:type="dxa"/>
            <w:tcMar>
              <w:left w:w="0" w:type="dxa"/>
            </w:tcMar>
          </w:tcPr>
          <w:p w14:paraId="70F1FBF9" w14:textId="77777777" w:rsidR="006B1AFC" w:rsidRPr="00054D6D" w:rsidRDefault="006B1AFC" w:rsidP="003C4A79">
            <w:pPr>
              <w:spacing w:after="200"/>
              <w:rPr>
                <w:spacing w:val="-3"/>
                <w:szCs w:val="20"/>
              </w:rPr>
            </w:pPr>
            <w:r>
              <w:rPr>
                <w:color w:val="0D0D0D" w:themeColor="text1" w:themeTint="F2"/>
                <w:spacing w:val="-2"/>
              </w:rPr>
              <w:t>Samotné daňové příjmy SR pod vlivem změny rozpočtového určení daní i faktického ukončení výběru mimořádných firemních daní (</w:t>
            </w:r>
            <w:r>
              <w:t>uvalených během energetické krize</w:t>
            </w:r>
            <w:r>
              <w:rPr>
                <w:color w:val="0D0D0D" w:themeColor="text1" w:themeTint="F2"/>
                <w:spacing w:val="-2"/>
              </w:rPr>
              <w:t xml:space="preserve">) </w:t>
            </w:r>
            <w:r>
              <w:rPr>
                <w:color w:val="0D0D0D" w:themeColor="text1" w:themeTint="F2"/>
                <w:spacing w:val="-2"/>
              </w:rPr>
              <w:br/>
              <w:t>v 1. pololetí</w:t>
            </w:r>
            <w:r w:rsidRPr="00F316C9">
              <w:rPr>
                <w:color w:val="0D0D0D" w:themeColor="text1" w:themeTint="F2"/>
                <w:spacing w:val="-2"/>
              </w:rPr>
              <w:t xml:space="preserve"> </w:t>
            </w:r>
            <w:r>
              <w:rPr>
                <w:color w:val="0D0D0D" w:themeColor="text1" w:themeTint="F2"/>
                <w:spacing w:val="-2"/>
              </w:rPr>
              <w:t>meziročně jen stagnovaly</w:t>
            </w:r>
            <w:r>
              <w:rPr>
                <w:rStyle w:val="Znakapoznpodarou"/>
                <w:color w:val="0D0D0D" w:themeColor="text1" w:themeTint="F2"/>
                <w:spacing w:val="-2"/>
              </w:rPr>
              <w:footnoteReference w:id="130"/>
            </w:r>
            <w:r>
              <w:rPr>
                <w:color w:val="0D0D0D" w:themeColor="text1" w:themeTint="F2"/>
                <w:spacing w:val="-2"/>
              </w:rPr>
              <w:t xml:space="preserve">. Ve směru růstu daňových příjmů nejvíce působila DPH, jejíž výběr se zvýšil o 3,5 % (na úrovni všech veřejných rozpočtů ale o 7,7 %, z toho ve 2. čtvrtletí dokonce o 8,8 % a v obou případech zároveň rostla mírně vyšším tempem než vloni). To souvisí s </w:t>
            </w:r>
            <w:r w:rsidRPr="00321BBF">
              <w:rPr>
                <w:color w:val="0D0D0D" w:themeColor="text1" w:themeTint="F2"/>
                <w:spacing w:val="-3"/>
              </w:rPr>
              <w:t xml:space="preserve">relativně příznivou spotřebitelskou důvěrou v ekonomiku vyúsťující ve stabilní růst soukromé spotřeby. </w:t>
            </w:r>
            <w:r w:rsidRPr="00321BBF">
              <w:rPr>
                <w:color w:val="0D0D0D" w:themeColor="text1" w:themeTint="F2"/>
                <w:spacing w:val="-3"/>
                <w:szCs w:val="20"/>
              </w:rPr>
              <w:t xml:space="preserve">Na spotřebních daních (vč. energetických </w:t>
            </w:r>
            <w:r w:rsidRPr="00FE3986">
              <w:rPr>
                <w:color w:val="0D0D0D" w:themeColor="text1" w:themeTint="F2"/>
                <w:spacing w:val="-3"/>
                <w:szCs w:val="20"/>
              </w:rPr>
              <w:t xml:space="preserve">daní) získal SR meziročně </w:t>
            </w:r>
            <w:r>
              <w:rPr>
                <w:color w:val="0D0D0D" w:themeColor="text1" w:themeTint="F2"/>
                <w:spacing w:val="-3"/>
                <w:szCs w:val="20"/>
              </w:rPr>
              <w:t xml:space="preserve">jen </w:t>
            </w:r>
            <w:r w:rsidRPr="00FE3986">
              <w:rPr>
                <w:color w:val="0D0D0D" w:themeColor="text1" w:themeTint="F2"/>
                <w:spacing w:val="-3"/>
                <w:szCs w:val="20"/>
              </w:rPr>
              <w:t xml:space="preserve">o 1,8 % více a výběr tak zatím </w:t>
            </w:r>
            <w:r>
              <w:rPr>
                <w:spacing w:val="-3"/>
                <w:szCs w:val="20"/>
              </w:rPr>
              <w:t xml:space="preserve">(jako u jediné významnější daňové položky) </w:t>
            </w:r>
            <w:r w:rsidRPr="00CA2480">
              <w:rPr>
                <w:spacing w:val="-3"/>
                <w:szCs w:val="20"/>
              </w:rPr>
              <w:t>za</w:t>
            </w:r>
            <w:r>
              <w:rPr>
                <w:spacing w:val="-3"/>
                <w:szCs w:val="20"/>
              </w:rPr>
              <w:t>ostal za</w:t>
            </w:r>
            <w:r w:rsidRPr="00CA2480">
              <w:rPr>
                <w:spacing w:val="-3"/>
                <w:szCs w:val="20"/>
              </w:rPr>
              <w:t xml:space="preserve"> rozpočtovým očekáváním</w:t>
            </w:r>
            <w:r>
              <w:rPr>
                <w:spacing w:val="-3"/>
                <w:szCs w:val="20"/>
              </w:rPr>
              <w:t>. Růst výběru daně z tabákových výrobků zůstal totiž slabý</w:t>
            </w:r>
            <w:r>
              <w:rPr>
                <w:rStyle w:val="Znakapoznpodarou"/>
                <w:spacing w:val="-3"/>
                <w:szCs w:val="20"/>
              </w:rPr>
              <w:footnoteReference w:id="131"/>
            </w:r>
            <w:r>
              <w:rPr>
                <w:spacing w:val="-3"/>
                <w:szCs w:val="20"/>
              </w:rPr>
              <w:t xml:space="preserve"> a v případě daně z lihu či piva se dokonce mírně snižoval, což korespondovalo s dlouhodobějšími trendy v tuzemské spotřebě těchto komodit. Výběr daně </w:t>
            </w:r>
            <w:r w:rsidRPr="00CA2480">
              <w:rPr>
                <w:spacing w:val="-4"/>
                <w:szCs w:val="20"/>
              </w:rPr>
              <w:t>z minerálních</w:t>
            </w:r>
            <w:r w:rsidRPr="00CA2480">
              <w:rPr>
                <w:spacing w:val="-3"/>
                <w:szCs w:val="20"/>
              </w:rPr>
              <w:t xml:space="preserve"> olejů</w:t>
            </w:r>
            <w:r>
              <w:rPr>
                <w:spacing w:val="-3"/>
                <w:szCs w:val="20"/>
              </w:rPr>
              <w:t xml:space="preserve"> vzrostl o 3,5 %, neboť se zde pozitivně projevoval růst přepravních výkonů (ve vazbě na rozvíjející se zahraniční obchod v Česku). Negativně se ovšem s mírným zpožděním začalo projevovat dočasné snížení daně u nafty</w:t>
            </w:r>
            <w:r>
              <w:rPr>
                <w:rStyle w:val="Znakapoznpodarou"/>
                <w:spacing w:val="-3"/>
                <w:szCs w:val="20"/>
              </w:rPr>
              <w:footnoteReference w:id="132"/>
            </w:r>
            <w:r>
              <w:rPr>
                <w:spacing w:val="-3"/>
                <w:szCs w:val="20"/>
              </w:rPr>
              <w:t>.</w:t>
            </w:r>
          </w:p>
        </w:tc>
      </w:tr>
      <w:tr w:rsidR="006B1AFC" w:rsidRPr="00FC6700" w14:paraId="4C302590" w14:textId="77777777" w:rsidTr="003C4A79">
        <w:trPr>
          <w:trHeight w:val="60"/>
        </w:trPr>
        <w:tc>
          <w:tcPr>
            <w:tcW w:w="1803" w:type="dxa"/>
            <w:tcMar>
              <w:left w:w="0" w:type="dxa"/>
            </w:tcMar>
          </w:tcPr>
          <w:p w14:paraId="09337AD7" w14:textId="77777777" w:rsidR="006B1AFC" w:rsidRDefault="006B1AFC" w:rsidP="003C4A79">
            <w:pPr>
              <w:pStyle w:val="Marginlie"/>
              <w:rPr>
                <w:spacing w:val="0"/>
              </w:rPr>
            </w:pPr>
            <w:r>
              <w:rPr>
                <w:spacing w:val="0"/>
              </w:rPr>
              <w:lastRenderedPageBreak/>
              <w:t>Svižný růst daně z příjmu fyzických osob i vlivem jejich příznivého postavení na trhu práce pokračoval. Inkaso posilovala také přetrvávající vysoká míra úspor domácností.</w:t>
            </w:r>
          </w:p>
          <w:p w14:paraId="16FC484C" w14:textId="77777777" w:rsidR="006B1AFC" w:rsidRDefault="006B1AFC" w:rsidP="003C4A79">
            <w:pPr>
              <w:pStyle w:val="Marginlie"/>
              <w:rPr>
                <w:spacing w:val="0"/>
              </w:rPr>
            </w:pPr>
          </w:p>
          <w:p w14:paraId="676E5C4E" w14:textId="77777777" w:rsidR="006B1AFC" w:rsidRDefault="006B1AFC" w:rsidP="003C4A79">
            <w:pPr>
              <w:pStyle w:val="Marginlie"/>
              <w:rPr>
                <w:spacing w:val="0"/>
              </w:rPr>
            </w:pPr>
          </w:p>
          <w:p w14:paraId="0FD80E3B" w14:textId="77777777" w:rsidR="006B1AFC" w:rsidRDefault="006B1AFC" w:rsidP="003C4A79">
            <w:pPr>
              <w:pStyle w:val="Marginlie"/>
              <w:rPr>
                <w:spacing w:val="0"/>
              </w:rPr>
            </w:pPr>
          </w:p>
          <w:p w14:paraId="6EA6A481" w14:textId="77777777" w:rsidR="006B1AFC" w:rsidRDefault="006B1AFC" w:rsidP="003C4A79">
            <w:pPr>
              <w:pStyle w:val="Marginlie"/>
              <w:rPr>
                <w:spacing w:val="0"/>
              </w:rPr>
            </w:pPr>
          </w:p>
          <w:p w14:paraId="0A01D61D" w14:textId="77777777" w:rsidR="006B1AFC" w:rsidRDefault="006B1AFC" w:rsidP="003C4A79">
            <w:pPr>
              <w:pStyle w:val="Marginlie"/>
              <w:rPr>
                <w:spacing w:val="0"/>
              </w:rPr>
            </w:pPr>
          </w:p>
          <w:p w14:paraId="037FC3B9" w14:textId="77777777" w:rsidR="006B1AFC" w:rsidRDefault="006B1AFC" w:rsidP="003C4A79">
            <w:pPr>
              <w:pStyle w:val="Marginlie"/>
              <w:rPr>
                <w:spacing w:val="0"/>
              </w:rPr>
            </w:pPr>
          </w:p>
          <w:p w14:paraId="578431A0" w14:textId="77777777" w:rsidR="006B1AFC" w:rsidRDefault="006B1AFC" w:rsidP="003C4A79">
            <w:pPr>
              <w:pStyle w:val="Marginlie"/>
              <w:rPr>
                <w:spacing w:val="0"/>
              </w:rPr>
            </w:pPr>
          </w:p>
          <w:p w14:paraId="0570A16B" w14:textId="77777777" w:rsidR="006B1AFC" w:rsidRDefault="006B1AFC" w:rsidP="003C4A79">
            <w:pPr>
              <w:pStyle w:val="Marginlie"/>
              <w:rPr>
                <w:spacing w:val="0"/>
              </w:rPr>
            </w:pPr>
            <w:r>
              <w:rPr>
                <w:spacing w:val="0"/>
              </w:rPr>
              <w:t>Růst výběru korporátní daně lehce zrychloval. Naplno se projevil efekt zvýšení daňové sazby.</w:t>
            </w:r>
          </w:p>
          <w:p w14:paraId="4CED34A0" w14:textId="77777777" w:rsidR="006B1AFC" w:rsidRDefault="006B1AFC" w:rsidP="003C4A79">
            <w:pPr>
              <w:pStyle w:val="Marginlie"/>
              <w:rPr>
                <w:spacing w:val="0"/>
              </w:rPr>
            </w:pPr>
          </w:p>
        </w:tc>
        <w:tc>
          <w:tcPr>
            <w:tcW w:w="203" w:type="dxa"/>
            <w:tcMar>
              <w:left w:w="0" w:type="dxa"/>
            </w:tcMar>
          </w:tcPr>
          <w:p w14:paraId="4308C527" w14:textId="77777777" w:rsidR="006B1AFC" w:rsidRPr="00FC6700" w:rsidRDefault="006B1AFC" w:rsidP="003C4A79">
            <w:pPr>
              <w:pStyle w:val="Textpoznpodarou"/>
              <w:jc w:val="both"/>
            </w:pPr>
          </w:p>
        </w:tc>
        <w:tc>
          <w:tcPr>
            <w:tcW w:w="7663" w:type="dxa"/>
            <w:tcMar>
              <w:left w:w="0" w:type="dxa"/>
            </w:tcMar>
          </w:tcPr>
          <w:p w14:paraId="428039A4" w14:textId="77777777" w:rsidR="006B1AFC" w:rsidRPr="00290DF5" w:rsidRDefault="006B1AFC" w:rsidP="003C4A79">
            <w:pPr>
              <w:spacing w:after="180"/>
              <w:rPr>
                <w:color w:val="0D0D0D" w:themeColor="text1" w:themeTint="F2"/>
                <w:spacing w:val="-2"/>
              </w:rPr>
            </w:pPr>
            <w:r>
              <w:rPr>
                <w:spacing w:val="-3"/>
                <w:szCs w:val="20"/>
              </w:rPr>
              <w:t xml:space="preserve">V rámci přímých daní rostlo nejvíce inkaso </w:t>
            </w:r>
            <w:r w:rsidRPr="002C435A">
              <w:rPr>
                <w:color w:val="0D0D0D" w:themeColor="text1" w:themeTint="F2"/>
                <w:spacing w:val="-2"/>
              </w:rPr>
              <w:t>daně z příjmů fyzických osob (</w:t>
            </w:r>
            <w:r w:rsidRPr="00290DF5">
              <w:rPr>
                <w:color w:val="0D0D0D" w:themeColor="text1" w:themeTint="F2"/>
                <w:spacing w:val="-2"/>
              </w:rPr>
              <w:t>DPFO)</w:t>
            </w:r>
            <w:r>
              <w:rPr>
                <w:color w:val="0D0D0D" w:themeColor="text1" w:themeTint="F2"/>
                <w:spacing w:val="-2"/>
              </w:rPr>
              <w:t xml:space="preserve">, a to </w:t>
            </w:r>
            <w:r>
              <w:rPr>
                <w:color w:val="0D0D0D" w:themeColor="text1" w:themeTint="F2"/>
                <w:spacing w:val="-2"/>
              </w:rPr>
              <w:br/>
              <w:t xml:space="preserve">o 8,1 %. Největší vliv zde měl vyšší výběr </w:t>
            </w:r>
            <w:r w:rsidRPr="00290DF5">
              <w:rPr>
                <w:color w:val="0D0D0D" w:themeColor="text1" w:themeTint="F2"/>
                <w:spacing w:val="-2"/>
              </w:rPr>
              <w:t>DPFO odveden</w:t>
            </w:r>
            <w:r>
              <w:rPr>
                <w:color w:val="0D0D0D" w:themeColor="text1" w:themeTint="F2"/>
                <w:spacing w:val="-2"/>
              </w:rPr>
              <w:t>é</w:t>
            </w:r>
            <w:r w:rsidRPr="00290DF5">
              <w:rPr>
                <w:color w:val="0D0D0D" w:themeColor="text1" w:themeTint="F2"/>
                <w:spacing w:val="-2"/>
              </w:rPr>
              <w:t xml:space="preserve"> plátci (resp. ze </w:t>
            </w:r>
            <w:r w:rsidRPr="002C435A">
              <w:rPr>
                <w:color w:val="0D0D0D" w:themeColor="text1" w:themeTint="F2"/>
                <w:spacing w:val="-2"/>
              </w:rPr>
              <w:t xml:space="preserve">závislé činnosti), </w:t>
            </w:r>
            <w:r>
              <w:rPr>
                <w:color w:val="0D0D0D" w:themeColor="text1" w:themeTint="F2"/>
                <w:spacing w:val="-2"/>
              </w:rPr>
              <w:t>na níž SR získal v 1. pololetí meziročně</w:t>
            </w:r>
            <w:r w:rsidRPr="00290DF5">
              <w:rPr>
                <w:color w:val="0D0D0D" w:themeColor="text1" w:themeTint="F2"/>
                <w:spacing w:val="-2"/>
              </w:rPr>
              <w:t xml:space="preserve"> o</w:t>
            </w:r>
            <w:r>
              <w:rPr>
                <w:color w:val="0D0D0D" w:themeColor="text1" w:themeTint="F2"/>
                <w:spacing w:val="-2"/>
              </w:rPr>
              <w:t xml:space="preserve"> 6,9</w:t>
            </w:r>
            <w:r w:rsidRPr="00290DF5">
              <w:rPr>
                <w:color w:val="0D0D0D" w:themeColor="text1" w:themeTint="F2"/>
                <w:spacing w:val="-2"/>
              </w:rPr>
              <w:t xml:space="preserve"> %</w:t>
            </w:r>
            <w:r>
              <w:rPr>
                <w:color w:val="0D0D0D" w:themeColor="text1" w:themeTint="F2"/>
                <w:spacing w:val="-2"/>
              </w:rPr>
              <w:t xml:space="preserve"> více.</w:t>
            </w:r>
            <w:r w:rsidRPr="00290DF5">
              <w:rPr>
                <w:color w:val="0D0D0D" w:themeColor="text1" w:themeTint="F2"/>
                <w:spacing w:val="-2"/>
              </w:rPr>
              <w:t xml:space="preserve"> Dynamika růstu této položky na úrovni všech veřejných rozpočtů zůstává přibližně srovnatelná jako loni, což korespondovalo se stabilním nominálním růstem průměrné mzdy i</w:t>
            </w:r>
            <w:r>
              <w:rPr>
                <w:color w:val="0D0D0D" w:themeColor="text1" w:themeTint="F2"/>
                <w:spacing w:val="-2"/>
              </w:rPr>
              <w:t xml:space="preserve"> s</w:t>
            </w:r>
            <w:r w:rsidRPr="00290DF5">
              <w:rPr>
                <w:color w:val="0D0D0D" w:themeColor="text1" w:themeTint="F2"/>
                <w:spacing w:val="-2"/>
              </w:rPr>
              <w:t xml:space="preserve"> přetrvávajícím mírným posilováním </w:t>
            </w:r>
            <w:r>
              <w:rPr>
                <w:color w:val="0D0D0D" w:themeColor="text1" w:themeTint="F2"/>
                <w:spacing w:val="-2"/>
              </w:rPr>
              <w:t xml:space="preserve">počtu </w:t>
            </w:r>
            <w:r w:rsidRPr="00290DF5">
              <w:rPr>
                <w:color w:val="0D0D0D" w:themeColor="text1" w:themeTint="F2"/>
                <w:spacing w:val="-2"/>
              </w:rPr>
              <w:t>zaměstnan</w:t>
            </w:r>
            <w:r>
              <w:rPr>
                <w:color w:val="0D0D0D" w:themeColor="text1" w:themeTint="F2"/>
                <w:spacing w:val="-2"/>
              </w:rPr>
              <w:t>ců</w:t>
            </w:r>
            <w:r w:rsidRPr="00290DF5">
              <w:rPr>
                <w:color w:val="0D0D0D" w:themeColor="text1" w:themeTint="F2"/>
                <w:spacing w:val="-2"/>
              </w:rPr>
              <w:t xml:space="preserve"> v</w:t>
            </w:r>
            <w:r>
              <w:rPr>
                <w:color w:val="0D0D0D" w:themeColor="text1" w:themeTint="F2"/>
                <w:spacing w:val="-2"/>
              </w:rPr>
              <w:t> </w:t>
            </w:r>
            <w:r w:rsidRPr="00290DF5">
              <w:rPr>
                <w:color w:val="0D0D0D" w:themeColor="text1" w:themeTint="F2"/>
                <w:spacing w:val="-2"/>
              </w:rPr>
              <w:t>ekonomice</w:t>
            </w:r>
            <w:r>
              <w:rPr>
                <w:color w:val="0D0D0D" w:themeColor="text1" w:themeTint="F2"/>
                <w:spacing w:val="-2"/>
              </w:rPr>
              <w:t xml:space="preserve">. </w:t>
            </w:r>
            <w:r>
              <w:rPr>
                <w:color w:val="0D0D0D" w:themeColor="text1" w:themeTint="F2"/>
              </w:rPr>
              <w:t>V</w:t>
            </w:r>
            <w:r w:rsidRPr="00FC6700">
              <w:rPr>
                <w:color w:val="0D0D0D" w:themeColor="text1" w:themeTint="F2"/>
              </w:rPr>
              <w:t xml:space="preserve">ýběr </w:t>
            </w:r>
            <w:r w:rsidRPr="002C435A">
              <w:rPr>
                <w:color w:val="0D0D0D" w:themeColor="text1" w:themeTint="F2"/>
              </w:rPr>
              <w:t>DPFO placené poplatníky (hlavně</w:t>
            </w:r>
            <w:r w:rsidRPr="00FC6700">
              <w:rPr>
                <w:color w:val="0D0D0D" w:themeColor="text1" w:themeTint="F2"/>
              </w:rPr>
              <w:t xml:space="preserve"> ze samostatné výdělečné činnosti)</w:t>
            </w:r>
            <w:r>
              <w:rPr>
                <w:color w:val="0D0D0D" w:themeColor="text1" w:themeTint="F2"/>
              </w:rPr>
              <w:t xml:space="preserve"> po svižném loňském růstu souvisejícím s legislativními změnami</w:t>
            </w:r>
            <w:r>
              <w:rPr>
                <w:rStyle w:val="Znakapoznpodarou"/>
                <w:color w:val="0D0D0D" w:themeColor="text1" w:themeTint="F2"/>
              </w:rPr>
              <w:footnoteReference w:id="133"/>
            </w:r>
            <w:r>
              <w:rPr>
                <w:color w:val="0D0D0D" w:themeColor="text1" w:themeTint="F2"/>
              </w:rPr>
              <w:t xml:space="preserve"> letos v 1. pololetí 2026 zvolnil, i tak ale zůstal vysoký </w:t>
            </w:r>
            <w:r>
              <w:rPr>
                <w:color w:val="0D0D0D" w:themeColor="text1" w:themeTint="F2"/>
              </w:rPr>
              <w:br/>
              <w:t>(+24,8 %). V inkasu se obdobně jako loni pozitivně projevuje rostoucí počet drobných podnikatelů.</w:t>
            </w:r>
            <w:r>
              <w:rPr>
                <w:color w:val="0D0D0D" w:themeColor="text1" w:themeTint="F2"/>
                <w:spacing w:val="-2"/>
              </w:rPr>
              <w:t xml:space="preserve"> Po loňském spíše ojedinělém poklesu se opět zvýšilo </w:t>
            </w:r>
            <w:r w:rsidRPr="002C435A">
              <w:rPr>
                <w:color w:val="0D0D0D" w:themeColor="text1" w:themeTint="F2"/>
                <w:spacing w:val="-2"/>
              </w:rPr>
              <w:t>inkaso DPFO vybírané srážkou (+6</w:t>
            </w:r>
            <w:r>
              <w:rPr>
                <w:color w:val="0D0D0D" w:themeColor="text1" w:themeTint="F2"/>
                <w:spacing w:val="-2"/>
              </w:rPr>
              <w:t>,2</w:t>
            </w:r>
            <w:r>
              <w:rPr>
                <w:color w:val="0D0D0D" w:themeColor="text1" w:themeTint="F2"/>
              </w:rPr>
              <w:t> </w:t>
            </w:r>
            <w:r>
              <w:rPr>
                <w:color w:val="0D0D0D" w:themeColor="text1" w:themeTint="F2"/>
                <w:spacing w:val="-2"/>
              </w:rPr>
              <w:t xml:space="preserve">%). Při stabilních úrokových </w:t>
            </w:r>
            <w:r w:rsidRPr="00A412DA">
              <w:rPr>
                <w:color w:val="0D0D0D" w:themeColor="text1" w:themeTint="F2"/>
                <w:spacing w:val="-2"/>
              </w:rPr>
              <w:t>sazbách na vkladech se patrně projevil dopad relativně vysoké míry úspor domácností. Výběr daně z příjmů právnických osob (</w:t>
            </w:r>
            <w:r w:rsidRPr="00A412DA">
              <w:rPr>
                <w:color w:val="0D0D0D" w:themeColor="text1" w:themeTint="F2"/>
                <w:spacing w:val="-2"/>
                <w:szCs w:val="20"/>
              </w:rPr>
              <w:t>bez</w:t>
            </w:r>
            <w:r w:rsidRPr="00290DF5">
              <w:rPr>
                <w:color w:val="0D0D0D" w:themeColor="text1" w:themeTint="F2"/>
                <w:spacing w:val="-2"/>
                <w:szCs w:val="20"/>
              </w:rPr>
              <w:t xml:space="preserve"> </w:t>
            </w:r>
            <w:r w:rsidRPr="00290DF5">
              <w:rPr>
                <w:spacing w:val="-2"/>
                <w:szCs w:val="20"/>
              </w:rPr>
              <w:t>mimořádných daní</w:t>
            </w:r>
            <w:r>
              <w:rPr>
                <w:spacing w:val="-2"/>
                <w:szCs w:val="20"/>
              </w:rPr>
              <w:t>)</w:t>
            </w:r>
            <w:r>
              <w:rPr>
                <w:color w:val="0D0D0D" w:themeColor="text1" w:themeTint="F2"/>
                <w:spacing w:val="-2"/>
              </w:rPr>
              <w:t xml:space="preserve"> letos vzrostl (+4,2 </w:t>
            </w:r>
            <w:r w:rsidRPr="00290DF5">
              <w:rPr>
                <w:color w:val="0D0D0D" w:themeColor="text1" w:themeTint="F2"/>
                <w:spacing w:val="-2"/>
              </w:rPr>
              <w:t>%</w:t>
            </w:r>
            <w:r>
              <w:rPr>
                <w:color w:val="0D0D0D" w:themeColor="text1" w:themeTint="F2"/>
                <w:spacing w:val="-2"/>
              </w:rPr>
              <w:t xml:space="preserve">). </w:t>
            </w:r>
            <w:r w:rsidRPr="00290DF5">
              <w:rPr>
                <w:color w:val="0D0D0D" w:themeColor="text1" w:themeTint="F2"/>
                <w:spacing w:val="-2"/>
              </w:rPr>
              <w:t xml:space="preserve">Tempo na úrovni všech veřejných rozpočtů naznačuje, že růst výběru korporátní daně ve srovnání s rokem 2025 díky pokračujícímu </w:t>
            </w:r>
            <w:r w:rsidRPr="00BD4CC7">
              <w:rPr>
                <w:color w:val="0D0D0D" w:themeColor="text1" w:themeTint="F2"/>
                <w:spacing w:val="-2"/>
              </w:rPr>
              <w:t xml:space="preserve">hospodářskému oživení </w:t>
            </w:r>
            <w:r>
              <w:rPr>
                <w:color w:val="0D0D0D" w:themeColor="text1" w:themeTint="F2"/>
                <w:spacing w:val="-2"/>
              </w:rPr>
              <w:t xml:space="preserve">i rostoucí sazbě daně </w:t>
            </w:r>
            <w:r w:rsidRPr="00BD4CC7">
              <w:rPr>
                <w:color w:val="0D0D0D" w:themeColor="text1" w:themeTint="F2"/>
                <w:spacing w:val="-2"/>
              </w:rPr>
              <w:t>dále lehce zrychloval. Inkaso mimořádných firemních daní</w:t>
            </w:r>
            <w:r w:rsidRPr="00BD4CC7">
              <w:rPr>
                <w:rStyle w:val="Znakapoznpodarou"/>
                <w:color w:val="0D0D0D" w:themeColor="text1" w:themeTint="F2"/>
                <w:spacing w:val="-2"/>
              </w:rPr>
              <w:footnoteReference w:id="134"/>
            </w:r>
            <w:r w:rsidRPr="00BD4CC7">
              <w:rPr>
                <w:color w:val="0D0D0D" w:themeColor="text1" w:themeTint="F2"/>
                <w:spacing w:val="-2"/>
              </w:rPr>
              <w:t xml:space="preserve"> v</w:t>
            </w:r>
            <w:r>
              <w:rPr>
                <w:color w:val="0D0D0D" w:themeColor="text1" w:themeTint="F2"/>
                <w:spacing w:val="-2"/>
              </w:rPr>
              <w:t> </w:t>
            </w:r>
            <w:r w:rsidRPr="00BD4CC7">
              <w:rPr>
                <w:color w:val="0D0D0D" w:themeColor="text1" w:themeTint="F2"/>
                <w:spacing w:val="-2"/>
              </w:rPr>
              <w:t xml:space="preserve">letošním pololetí činilo </w:t>
            </w:r>
            <w:r>
              <w:rPr>
                <w:color w:val="0D0D0D" w:themeColor="text1" w:themeTint="F2"/>
                <w:spacing w:val="-2"/>
              </w:rPr>
              <w:t>jen</w:t>
            </w:r>
            <w:r w:rsidRPr="00BD4CC7">
              <w:rPr>
                <w:color w:val="0D0D0D" w:themeColor="text1" w:themeTint="F2"/>
                <w:spacing w:val="-2"/>
              </w:rPr>
              <w:t xml:space="preserve"> 0,7 mld. korun, meziročně o 21,0 mld. méně. </w:t>
            </w:r>
          </w:p>
        </w:tc>
      </w:tr>
      <w:tr w:rsidR="006B1AFC" w:rsidRPr="00FC6700" w14:paraId="1DF9CA07" w14:textId="77777777" w:rsidTr="003C4A79">
        <w:trPr>
          <w:trHeight w:val="60"/>
        </w:trPr>
        <w:tc>
          <w:tcPr>
            <w:tcW w:w="1803" w:type="dxa"/>
            <w:tcMar>
              <w:left w:w="0" w:type="dxa"/>
            </w:tcMar>
          </w:tcPr>
          <w:p w14:paraId="6E1DEF1C" w14:textId="77777777" w:rsidR="006B1AFC" w:rsidRPr="00FC6700" w:rsidRDefault="006B1AFC" w:rsidP="003C4A79">
            <w:pPr>
              <w:pStyle w:val="Marginlie"/>
              <w:rPr>
                <w:spacing w:val="0"/>
              </w:rPr>
            </w:pPr>
            <w:r w:rsidRPr="00FC6700">
              <w:rPr>
                <w:spacing w:val="0"/>
              </w:rPr>
              <w:t> </w:t>
            </w:r>
          </w:p>
        </w:tc>
        <w:tc>
          <w:tcPr>
            <w:tcW w:w="203" w:type="dxa"/>
            <w:tcMar>
              <w:left w:w="0" w:type="dxa"/>
            </w:tcMar>
          </w:tcPr>
          <w:p w14:paraId="0D6AF14C" w14:textId="77777777" w:rsidR="006B1AFC" w:rsidRPr="00FC6700" w:rsidRDefault="006B1AFC" w:rsidP="003C4A79">
            <w:pPr>
              <w:pStyle w:val="Textpoznpodarou"/>
              <w:jc w:val="both"/>
            </w:pPr>
          </w:p>
        </w:tc>
        <w:tc>
          <w:tcPr>
            <w:tcW w:w="7663" w:type="dxa"/>
            <w:tcMar>
              <w:left w:w="0" w:type="dxa"/>
            </w:tcMar>
          </w:tcPr>
          <w:p w14:paraId="5AB7A848" w14:textId="77777777" w:rsidR="006B1AFC" w:rsidRDefault="006B1AFC" w:rsidP="003C4A79">
            <w:pPr>
              <w:spacing w:after="0"/>
              <w:rPr>
                <w:rFonts w:cs="Arial"/>
                <w:b/>
                <w:bCs/>
                <w:color w:val="000000"/>
                <w:szCs w:val="20"/>
              </w:rPr>
            </w:pPr>
            <w:r w:rsidRPr="00FC6700">
              <w:rPr>
                <w:rFonts w:cs="Arial"/>
                <w:b/>
                <w:bCs/>
                <w:color w:val="000000"/>
                <w:szCs w:val="20"/>
              </w:rPr>
              <w:t>Graf č. </w:t>
            </w:r>
            <w:r>
              <w:rPr>
                <w:rFonts w:cs="Arial"/>
                <w:b/>
                <w:bCs/>
                <w:color w:val="000000"/>
                <w:szCs w:val="20"/>
              </w:rPr>
              <w:t>18</w:t>
            </w:r>
            <w:r w:rsidRPr="00FC6700">
              <w:rPr>
                <w:rFonts w:cs="Arial"/>
                <w:b/>
                <w:bCs/>
                <w:color w:val="000000"/>
                <w:szCs w:val="20"/>
              </w:rPr>
              <w:t xml:space="preserve"> </w:t>
            </w:r>
            <w:r>
              <w:rPr>
                <w:rFonts w:cs="Arial"/>
                <w:b/>
                <w:bCs/>
                <w:color w:val="000000"/>
                <w:szCs w:val="20"/>
              </w:rPr>
              <w:t>Rozklad meziročního růstu</w:t>
            </w:r>
            <w:r w:rsidRPr="00FC6700">
              <w:rPr>
                <w:rFonts w:cs="Arial"/>
                <w:b/>
                <w:bCs/>
                <w:color w:val="000000"/>
                <w:szCs w:val="20"/>
              </w:rPr>
              <w:t xml:space="preserve"> celostátní</w:t>
            </w:r>
            <w:r>
              <w:rPr>
                <w:rFonts w:cs="Arial"/>
                <w:b/>
                <w:bCs/>
                <w:color w:val="000000"/>
                <w:szCs w:val="20"/>
              </w:rPr>
              <w:t>ho</w:t>
            </w:r>
            <w:r w:rsidRPr="00FC6700">
              <w:rPr>
                <w:rFonts w:cs="Arial"/>
                <w:b/>
                <w:bCs/>
                <w:color w:val="000000"/>
                <w:szCs w:val="20"/>
              </w:rPr>
              <w:t xml:space="preserve"> </w:t>
            </w:r>
            <w:r>
              <w:rPr>
                <w:rFonts w:cs="Arial"/>
                <w:b/>
                <w:bCs/>
                <w:color w:val="000000"/>
                <w:szCs w:val="20"/>
              </w:rPr>
              <w:t xml:space="preserve">daňového </w:t>
            </w:r>
            <w:r w:rsidRPr="00FC6700">
              <w:rPr>
                <w:rFonts w:cs="Arial"/>
                <w:b/>
                <w:bCs/>
                <w:color w:val="000000"/>
                <w:szCs w:val="20"/>
              </w:rPr>
              <w:t>inkas</w:t>
            </w:r>
            <w:r>
              <w:rPr>
                <w:rFonts w:cs="Arial"/>
                <w:b/>
                <w:bCs/>
                <w:color w:val="000000"/>
                <w:szCs w:val="20"/>
              </w:rPr>
              <w:t>a* za 1. pololetí</w:t>
            </w:r>
          </w:p>
          <w:p w14:paraId="52BFAA6C" w14:textId="77777777" w:rsidR="006B1AFC" w:rsidRPr="00C63456" w:rsidRDefault="006B1AFC" w:rsidP="003C4A79">
            <w:pPr>
              <w:spacing w:after="20"/>
              <w:rPr>
                <w:rFonts w:cs="Arial"/>
                <w:b/>
                <w:bCs/>
                <w:color w:val="000000"/>
                <w:szCs w:val="20"/>
              </w:rPr>
            </w:pPr>
            <w:r w:rsidRPr="00FC6700">
              <w:rPr>
                <w:rFonts w:cs="Arial"/>
                <w:bCs/>
                <w:color w:val="000000"/>
                <w:szCs w:val="20"/>
              </w:rPr>
              <w:t>(</w:t>
            </w:r>
            <w:r>
              <w:rPr>
                <w:rFonts w:cs="Arial"/>
                <w:bCs/>
                <w:color w:val="000000"/>
                <w:szCs w:val="20"/>
              </w:rPr>
              <w:t xml:space="preserve">příspěvky k růstu, </w:t>
            </w:r>
            <w:r w:rsidRPr="00FC6700">
              <w:rPr>
                <w:rFonts w:cs="Arial"/>
                <w:bCs/>
                <w:color w:val="000000"/>
                <w:szCs w:val="20"/>
              </w:rPr>
              <w:t>v p. b.)</w:t>
            </w:r>
          </w:p>
        </w:tc>
      </w:tr>
      <w:tr w:rsidR="006B1AFC" w:rsidRPr="00FC6700" w14:paraId="731140E7" w14:textId="77777777" w:rsidTr="003C4A79">
        <w:tblPrEx>
          <w:tblCellMar>
            <w:left w:w="70" w:type="dxa"/>
            <w:right w:w="70" w:type="dxa"/>
          </w:tblCellMar>
        </w:tblPrEx>
        <w:trPr>
          <w:trHeight w:val="60"/>
        </w:trPr>
        <w:tc>
          <w:tcPr>
            <w:tcW w:w="1803" w:type="dxa"/>
          </w:tcPr>
          <w:p w14:paraId="12C82B63" w14:textId="77777777" w:rsidR="006B1AFC" w:rsidRPr="00FC6700" w:rsidRDefault="006B1AFC" w:rsidP="003C4A79">
            <w:pPr>
              <w:pStyle w:val="Marginlie"/>
              <w:rPr>
                <w:spacing w:val="0"/>
              </w:rPr>
            </w:pPr>
          </w:p>
        </w:tc>
        <w:tc>
          <w:tcPr>
            <w:tcW w:w="203" w:type="dxa"/>
          </w:tcPr>
          <w:p w14:paraId="24353B53" w14:textId="77777777" w:rsidR="006B1AFC" w:rsidRPr="00FC6700" w:rsidRDefault="006B1AFC" w:rsidP="003C4A79">
            <w:pPr>
              <w:pStyle w:val="Textpoznpodarou"/>
              <w:jc w:val="both"/>
            </w:pPr>
          </w:p>
          <w:p w14:paraId="2931A822" w14:textId="77777777" w:rsidR="006B1AFC" w:rsidRPr="00FC6700" w:rsidRDefault="006B1AFC" w:rsidP="003C4A79">
            <w:pPr>
              <w:pStyle w:val="Textpoznpodarou"/>
              <w:jc w:val="both"/>
            </w:pPr>
          </w:p>
        </w:tc>
        <w:tc>
          <w:tcPr>
            <w:tcW w:w="7663" w:type="dxa"/>
          </w:tcPr>
          <w:p w14:paraId="710BF70A" w14:textId="77777777" w:rsidR="006B1AFC" w:rsidRPr="00FC6700" w:rsidRDefault="006B1AFC" w:rsidP="003C4A79">
            <w:pPr>
              <w:spacing w:before="20" w:after="20"/>
              <w:rPr>
                <w:color w:val="0D0D0D" w:themeColor="text1" w:themeTint="F2"/>
              </w:rPr>
            </w:pPr>
            <w:r>
              <w:rPr>
                <w:noProof/>
              </w:rPr>
              <w:drawing>
                <wp:inline distT="0" distB="0" distL="0" distR="0" wp14:anchorId="0A807E69" wp14:editId="7E7E2FFF">
                  <wp:extent cx="4743450" cy="3060000"/>
                  <wp:effectExtent l="0" t="0" r="0" b="7620"/>
                  <wp:docPr id="543181200" name="Graf 1">
                    <a:extLst xmlns:a="http://schemas.openxmlformats.org/drawingml/2006/main">
                      <a:ext uri="{FF2B5EF4-FFF2-40B4-BE49-F238E27FC236}">
                        <a16:creationId xmlns:a16="http://schemas.microsoft.com/office/drawing/2014/main" id="{F0666F18-10AB-49F5-B82F-16F4FB5BF3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r>
      <w:tr w:rsidR="006B1AFC" w:rsidRPr="00FC6700" w14:paraId="7CFB9B39" w14:textId="77777777" w:rsidTr="003C4A79">
        <w:tblPrEx>
          <w:tblCellMar>
            <w:left w:w="70" w:type="dxa"/>
            <w:right w:w="70" w:type="dxa"/>
          </w:tblCellMar>
        </w:tblPrEx>
        <w:trPr>
          <w:trHeight w:val="170"/>
        </w:trPr>
        <w:tc>
          <w:tcPr>
            <w:tcW w:w="1803" w:type="dxa"/>
          </w:tcPr>
          <w:p w14:paraId="77F3CAF0" w14:textId="77777777" w:rsidR="006B1AFC" w:rsidRPr="00FC6700" w:rsidRDefault="006B1AFC" w:rsidP="003C4A79">
            <w:pPr>
              <w:pStyle w:val="Marginlie"/>
              <w:rPr>
                <w:spacing w:val="0"/>
              </w:rPr>
            </w:pPr>
          </w:p>
        </w:tc>
        <w:tc>
          <w:tcPr>
            <w:tcW w:w="203" w:type="dxa"/>
          </w:tcPr>
          <w:p w14:paraId="5EBD3E1D" w14:textId="77777777" w:rsidR="006B1AFC" w:rsidRPr="00FC6700" w:rsidRDefault="006B1AFC" w:rsidP="003C4A79">
            <w:pPr>
              <w:pStyle w:val="Textpoznpodarou"/>
              <w:jc w:val="both"/>
            </w:pPr>
          </w:p>
        </w:tc>
        <w:tc>
          <w:tcPr>
            <w:tcW w:w="7663" w:type="dxa"/>
          </w:tcPr>
          <w:p w14:paraId="1D04D227" w14:textId="77777777" w:rsidR="006B1AFC" w:rsidRDefault="006B1AFC" w:rsidP="003C4A79">
            <w:pPr>
              <w:tabs>
                <w:tab w:val="right" w:pos="7683"/>
              </w:tabs>
              <w:spacing w:after="0" w:line="240" w:lineRule="auto"/>
              <w:ind w:left="-70" w:right="-54"/>
              <w:rPr>
                <w:sz w:val="14"/>
                <w:szCs w:val="14"/>
              </w:rPr>
            </w:pPr>
            <w:r>
              <w:rPr>
                <w:sz w:val="14"/>
                <w:szCs w:val="14"/>
              </w:rPr>
              <w:t>*Jde o inkaso (bez pojistného na sociální zabezpečení) na úrovni všech veřejných rozpočtů ČR. V jeho výši je tak eliminován vliv změn v rozpočtovém určení daní.</w:t>
            </w:r>
          </w:p>
          <w:p w14:paraId="5CFEE00F" w14:textId="77777777" w:rsidR="006B1AFC" w:rsidRPr="00736213" w:rsidRDefault="006B1AFC" w:rsidP="003C4A79">
            <w:pPr>
              <w:tabs>
                <w:tab w:val="right" w:pos="7683"/>
              </w:tabs>
              <w:spacing w:after="0" w:line="240" w:lineRule="auto"/>
              <w:ind w:left="-70" w:right="-54"/>
              <w:rPr>
                <w:sz w:val="16"/>
                <w:szCs w:val="16"/>
              </w:rPr>
            </w:pPr>
            <w:r>
              <w:rPr>
                <w:sz w:val="14"/>
                <w:szCs w:val="14"/>
              </w:rPr>
              <w:t xml:space="preserve">Poznámka: </w:t>
            </w:r>
            <w:r w:rsidRPr="00FC6700">
              <w:rPr>
                <w:sz w:val="14"/>
                <w:szCs w:val="14"/>
              </w:rPr>
              <w:t>Ostatní daně a poplatky obsahují zejména daň z nemovitých věcí, daň z hazardních her, dálniční poplatek, mýtné a</w:t>
            </w:r>
            <w:r>
              <w:rPr>
                <w:sz w:val="14"/>
                <w:szCs w:val="14"/>
              </w:rPr>
              <w:t xml:space="preserve"> v letech 2023 až 2025</w:t>
            </w:r>
            <w:r w:rsidRPr="00FC6700">
              <w:rPr>
                <w:sz w:val="14"/>
                <w:szCs w:val="14"/>
              </w:rPr>
              <w:t xml:space="preserve"> </w:t>
            </w:r>
            <w:r>
              <w:rPr>
                <w:sz w:val="14"/>
                <w:szCs w:val="14"/>
              </w:rPr>
              <w:t>mimořádné firemní daně (</w:t>
            </w:r>
            <w:r w:rsidRPr="00FC6700">
              <w:rPr>
                <w:sz w:val="14"/>
                <w:szCs w:val="14"/>
              </w:rPr>
              <w:t>odvod z nadměrných příjmů a</w:t>
            </w:r>
            <w:r>
              <w:rPr>
                <w:sz w:val="14"/>
                <w:szCs w:val="14"/>
              </w:rPr>
              <w:t xml:space="preserve"> daň z </w:t>
            </w:r>
            <w:r w:rsidRPr="00FC6700">
              <w:rPr>
                <w:sz w:val="14"/>
                <w:szCs w:val="14"/>
              </w:rPr>
              <w:t>neočekávaných zisků</w:t>
            </w:r>
            <w:r>
              <w:rPr>
                <w:sz w:val="14"/>
                <w:szCs w:val="14"/>
              </w:rPr>
              <w:t>)</w:t>
            </w:r>
            <w:r w:rsidRPr="00FC6700">
              <w:rPr>
                <w:sz w:val="14"/>
                <w:szCs w:val="14"/>
              </w:rPr>
              <w:t>.</w:t>
            </w:r>
          </w:p>
          <w:p w14:paraId="38E67AA3" w14:textId="77777777" w:rsidR="006B1AFC" w:rsidRPr="00FC6700" w:rsidRDefault="006B1AFC" w:rsidP="003C4A79">
            <w:pPr>
              <w:spacing w:after="180" w:line="240" w:lineRule="auto"/>
              <w:ind w:left="-70" w:right="-54"/>
              <w:rPr>
                <w:rFonts w:cs="Arial"/>
                <w:b/>
                <w:bCs/>
                <w:color w:val="000000"/>
                <w:szCs w:val="20"/>
              </w:rPr>
            </w:pPr>
            <w:r w:rsidRPr="00FC6700">
              <w:rPr>
                <w:sz w:val="14"/>
                <w:szCs w:val="14"/>
              </w:rPr>
              <w:t>Zdroj: MF ČR</w:t>
            </w:r>
          </w:p>
        </w:tc>
      </w:tr>
      <w:tr w:rsidR="006B1AFC" w:rsidRPr="00FC6700" w14:paraId="2314D375" w14:textId="77777777" w:rsidTr="003C4A79">
        <w:tblPrEx>
          <w:tblCellMar>
            <w:left w:w="70" w:type="dxa"/>
            <w:right w:w="70" w:type="dxa"/>
          </w:tblCellMar>
        </w:tblPrEx>
        <w:trPr>
          <w:trHeight w:val="170"/>
        </w:trPr>
        <w:tc>
          <w:tcPr>
            <w:tcW w:w="1803" w:type="dxa"/>
          </w:tcPr>
          <w:p w14:paraId="5B7EDC02" w14:textId="77777777" w:rsidR="006B1AFC" w:rsidRDefault="006B1AFC" w:rsidP="003C4A79">
            <w:pPr>
              <w:pStyle w:val="Marginlie"/>
              <w:ind w:left="-45"/>
              <w:rPr>
                <w:spacing w:val="0"/>
              </w:rPr>
            </w:pPr>
            <w:r w:rsidRPr="003B7A8B">
              <w:rPr>
                <w:color w:val="0D0D0D" w:themeColor="text1" w:themeTint="F2"/>
                <w:spacing w:val="0"/>
                <w:szCs w:val="20"/>
              </w:rPr>
              <w:t>Nedaňové a kapitálové příjmy i přijaté transfery SR se meziročně</w:t>
            </w:r>
            <w:r>
              <w:rPr>
                <w:spacing w:val="0"/>
              </w:rPr>
              <w:t xml:space="preserve"> zvýšily </w:t>
            </w:r>
            <w:r w:rsidRPr="003B7A8B">
              <w:rPr>
                <w:spacing w:val="0"/>
              </w:rPr>
              <w:t>d</w:t>
            </w:r>
            <w:r>
              <w:rPr>
                <w:spacing w:val="0"/>
              </w:rPr>
              <w:t xml:space="preserve">íky posílení příjmů z rozpočtu EU </w:t>
            </w:r>
            <w:r>
              <w:rPr>
                <w:spacing w:val="0"/>
              </w:rPr>
              <w:br/>
              <w:t xml:space="preserve">a </w:t>
            </w:r>
            <w:r w:rsidRPr="00AB3EA7">
              <w:rPr>
                <w:spacing w:val="-4"/>
              </w:rPr>
              <w:t>finančních mechanismů.</w:t>
            </w:r>
          </w:p>
          <w:p w14:paraId="2CCB0DC6" w14:textId="77777777" w:rsidR="006B1AFC" w:rsidRPr="00FC6700" w:rsidRDefault="006B1AFC" w:rsidP="003C4A79">
            <w:pPr>
              <w:pStyle w:val="Marginlie"/>
              <w:rPr>
                <w:spacing w:val="0"/>
              </w:rPr>
            </w:pPr>
          </w:p>
        </w:tc>
        <w:tc>
          <w:tcPr>
            <w:tcW w:w="203" w:type="dxa"/>
          </w:tcPr>
          <w:p w14:paraId="04DC1EA1" w14:textId="77777777" w:rsidR="006B1AFC" w:rsidRPr="00FC6700" w:rsidRDefault="006B1AFC" w:rsidP="003C4A79">
            <w:pPr>
              <w:pStyle w:val="Textpoznpodarou"/>
            </w:pPr>
          </w:p>
        </w:tc>
        <w:tc>
          <w:tcPr>
            <w:tcW w:w="7663" w:type="dxa"/>
          </w:tcPr>
          <w:p w14:paraId="0B8FB4B9" w14:textId="77777777" w:rsidR="006B1AFC" w:rsidRDefault="006B1AFC" w:rsidP="00366728">
            <w:pPr>
              <w:tabs>
                <w:tab w:val="right" w:pos="7683"/>
              </w:tabs>
              <w:spacing w:after="0"/>
              <w:ind w:left="-70" w:right="-54"/>
              <w:rPr>
                <w:sz w:val="14"/>
                <w:szCs w:val="14"/>
              </w:rPr>
            </w:pPr>
            <w:r w:rsidRPr="00C936B5">
              <w:rPr>
                <w:color w:val="0D0D0D" w:themeColor="text1" w:themeTint="F2"/>
                <w:spacing w:val="-2"/>
                <w:szCs w:val="20"/>
              </w:rPr>
              <w:t>Nedaňové a kapitálové příjmy i přijaté transfery SR</w:t>
            </w:r>
            <w:r>
              <w:rPr>
                <w:color w:val="0D0D0D" w:themeColor="text1" w:themeTint="F2"/>
                <w:spacing w:val="-2"/>
                <w:szCs w:val="20"/>
              </w:rPr>
              <w:t xml:space="preserve"> se v 1. pololetí meziročně zvýšily o</w:t>
            </w:r>
            <w:r>
              <w:rPr>
                <w:color w:val="0D0D0D" w:themeColor="text1" w:themeTint="F2"/>
                <w:spacing w:val="-2"/>
              </w:rPr>
              <w:t> </w:t>
            </w:r>
            <w:r>
              <w:rPr>
                <w:color w:val="0D0D0D" w:themeColor="text1" w:themeTint="F2"/>
                <w:spacing w:val="-2"/>
                <w:szCs w:val="20"/>
              </w:rPr>
              <w:t>šestinu (resp. +14,9 mld. korun). To téměř výhradně souviselo s</w:t>
            </w:r>
            <w:r w:rsidRPr="009407CE">
              <w:rPr>
                <w:color w:val="0D0D0D" w:themeColor="text1" w:themeTint="F2"/>
                <w:spacing w:val="-2"/>
                <w:szCs w:val="20"/>
              </w:rPr>
              <w:t xml:space="preserve"> příjmy prostředků z rozpočtu EU a finančních mechanismů</w:t>
            </w:r>
            <w:r>
              <w:rPr>
                <w:color w:val="0D0D0D" w:themeColor="text1" w:themeTint="F2"/>
                <w:spacing w:val="-2"/>
                <w:szCs w:val="20"/>
              </w:rPr>
              <w:t>, jež byly o více než třetinu vyšší</w:t>
            </w:r>
            <w:r w:rsidRPr="009407CE">
              <w:rPr>
                <w:color w:val="0D0D0D" w:themeColor="text1" w:themeTint="F2"/>
                <w:spacing w:val="-2"/>
                <w:szCs w:val="20"/>
              </w:rPr>
              <w:t xml:space="preserve">. </w:t>
            </w:r>
            <w:r>
              <w:rPr>
                <w:color w:val="0D0D0D" w:themeColor="text1" w:themeTint="F2"/>
                <w:spacing w:val="-2"/>
                <w:szCs w:val="20"/>
              </w:rPr>
              <w:t>Silnější</w:t>
            </w:r>
            <w:r w:rsidRPr="009407CE">
              <w:rPr>
                <w:color w:val="0D0D0D" w:themeColor="text1" w:themeTint="F2"/>
                <w:spacing w:val="-2"/>
                <w:szCs w:val="20"/>
              </w:rPr>
              <w:t xml:space="preserve"> př</w:t>
            </w:r>
            <w:r>
              <w:rPr>
                <w:color w:val="0D0D0D" w:themeColor="text1" w:themeTint="F2"/>
                <w:spacing w:val="-2"/>
                <w:szCs w:val="20"/>
              </w:rPr>
              <w:t>í</w:t>
            </w:r>
            <w:r w:rsidRPr="009407CE">
              <w:rPr>
                <w:color w:val="0D0D0D" w:themeColor="text1" w:themeTint="F2"/>
                <w:spacing w:val="-2"/>
                <w:szCs w:val="20"/>
              </w:rPr>
              <w:t>liv těchto refundací mohl souviset s vysokou investiční aktivitou státu v loňském roce</w:t>
            </w:r>
            <w:r>
              <w:rPr>
                <w:color w:val="0D0D0D" w:themeColor="text1" w:themeTint="F2"/>
                <w:spacing w:val="-2"/>
                <w:szCs w:val="20"/>
              </w:rPr>
              <w:t xml:space="preserve"> </w:t>
            </w:r>
            <w:r>
              <w:rPr>
                <w:color w:val="0D0D0D" w:themeColor="text1" w:themeTint="F2"/>
                <w:spacing w:val="-2"/>
                <w:szCs w:val="20"/>
              </w:rPr>
              <w:br/>
              <w:t>a</w:t>
            </w:r>
            <w:r w:rsidRPr="009407CE">
              <w:rPr>
                <w:color w:val="0D0D0D" w:themeColor="text1" w:themeTint="F2"/>
                <w:spacing w:val="-2"/>
                <w:szCs w:val="20"/>
              </w:rPr>
              <w:t xml:space="preserve"> posilujícím náběhem </w:t>
            </w:r>
            <w:r w:rsidRPr="009407CE">
              <w:rPr>
                <w:color w:val="0D0D0D" w:themeColor="text1" w:themeTint="F2"/>
                <w:spacing w:val="-4"/>
                <w:szCs w:val="20"/>
              </w:rPr>
              <w:t>příjmů z </w:t>
            </w:r>
            <w:r>
              <w:rPr>
                <w:color w:val="0D0D0D" w:themeColor="text1" w:themeTint="F2"/>
                <w:spacing w:val="-4"/>
                <w:szCs w:val="20"/>
              </w:rPr>
              <w:t>programového</w:t>
            </w:r>
            <w:r w:rsidRPr="009407CE">
              <w:rPr>
                <w:color w:val="0D0D0D" w:themeColor="text1" w:themeTint="F2"/>
                <w:spacing w:val="-4"/>
                <w:szCs w:val="20"/>
              </w:rPr>
              <w:t xml:space="preserve"> období 2021–2027 </w:t>
            </w:r>
            <w:r>
              <w:rPr>
                <w:color w:val="0D0D0D" w:themeColor="text1" w:themeTint="F2"/>
                <w:spacing w:val="-4"/>
                <w:szCs w:val="20"/>
              </w:rPr>
              <w:t>i</w:t>
            </w:r>
            <w:r w:rsidRPr="009407CE">
              <w:rPr>
                <w:color w:val="0D0D0D" w:themeColor="text1" w:themeTint="F2"/>
                <w:spacing w:val="-4"/>
                <w:szCs w:val="20"/>
              </w:rPr>
              <w:t xml:space="preserve"> prostředků z Národního plánu obnovy</w:t>
            </w:r>
            <w:r>
              <w:rPr>
                <w:rStyle w:val="Znakapoznpodarou"/>
                <w:color w:val="0D0D0D" w:themeColor="text1" w:themeTint="F2"/>
                <w:spacing w:val="-4"/>
                <w:szCs w:val="20"/>
              </w:rPr>
              <w:footnoteReference w:id="135"/>
            </w:r>
            <w:r w:rsidRPr="009407CE">
              <w:rPr>
                <w:color w:val="0D0D0D" w:themeColor="text1" w:themeTint="F2"/>
                <w:spacing w:val="-4"/>
                <w:szCs w:val="20"/>
              </w:rPr>
              <w:t>. Schválený</w:t>
            </w:r>
            <w:r w:rsidRPr="009407CE">
              <w:rPr>
                <w:color w:val="0D0D0D" w:themeColor="text1" w:themeTint="F2"/>
                <w:spacing w:val="-2"/>
                <w:szCs w:val="20"/>
              </w:rPr>
              <w:t xml:space="preserve"> SR počítá letos s mírným celoročním růstem příjmů z rozpočtu EU a finančních mechanismů (+6,6 %), a</w:t>
            </w:r>
            <w:r>
              <w:rPr>
                <w:color w:val="0D0D0D" w:themeColor="text1" w:themeTint="F2"/>
                <w:spacing w:val="-2"/>
                <w:szCs w:val="20"/>
              </w:rPr>
              <w:t xml:space="preserve">le současně </w:t>
            </w:r>
            <w:r w:rsidRPr="009407CE">
              <w:rPr>
                <w:color w:val="0D0D0D" w:themeColor="text1" w:themeTint="F2"/>
                <w:spacing w:val="-2"/>
                <w:szCs w:val="20"/>
              </w:rPr>
              <w:t>s poklesem celkových nedaňových a</w:t>
            </w:r>
            <w:r>
              <w:rPr>
                <w:color w:val="0D0D0D" w:themeColor="text1" w:themeTint="F2"/>
                <w:spacing w:val="-2"/>
              </w:rPr>
              <w:t> </w:t>
            </w:r>
            <w:r w:rsidRPr="009407CE">
              <w:rPr>
                <w:color w:val="0D0D0D" w:themeColor="text1" w:themeTint="F2"/>
                <w:spacing w:val="-2"/>
                <w:szCs w:val="20"/>
              </w:rPr>
              <w:t>kapitálových příjmů (</w:t>
            </w:r>
            <w:r w:rsidRPr="009407CE">
              <w:rPr>
                <w:spacing w:val="-2"/>
              </w:rPr>
              <w:t>–</w:t>
            </w:r>
            <w:r w:rsidRPr="009407CE">
              <w:rPr>
                <w:color w:val="0D0D0D" w:themeColor="text1" w:themeTint="F2"/>
                <w:spacing w:val="-2"/>
                <w:szCs w:val="20"/>
              </w:rPr>
              <w:t>7,3 %).</w:t>
            </w:r>
          </w:p>
        </w:tc>
      </w:tr>
      <w:tr w:rsidR="006B1AFC" w:rsidRPr="00FC6700" w14:paraId="4CFBE73B" w14:textId="77777777" w:rsidTr="003C4A79">
        <w:trPr>
          <w:trHeight w:val="170"/>
        </w:trPr>
        <w:tc>
          <w:tcPr>
            <w:tcW w:w="9669" w:type="dxa"/>
            <w:gridSpan w:val="3"/>
            <w:tcMar>
              <w:left w:w="0" w:type="dxa"/>
            </w:tcMar>
          </w:tcPr>
          <w:p w14:paraId="7100F675" w14:textId="77777777" w:rsidR="006B1AFC" w:rsidRPr="00D475F2" w:rsidRDefault="006B1AFC" w:rsidP="003C4A79">
            <w:pPr>
              <w:pStyle w:val="Nadpis3"/>
              <w:rPr>
                <w:color w:val="0D0D0D" w:themeColor="text1" w:themeTint="F2"/>
              </w:rPr>
            </w:pPr>
            <w:bookmarkStart w:id="54" w:name="_Toc239947458"/>
            <w:bookmarkStart w:id="55" w:name="_Toc240366910"/>
            <w:r w:rsidRPr="006B2C72">
              <w:rPr>
                <w:lang w:eastAsia="en-US"/>
              </w:rPr>
              <w:lastRenderedPageBreak/>
              <w:t>8.</w:t>
            </w:r>
            <w:r>
              <w:rPr>
                <w:lang w:eastAsia="en-US"/>
              </w:rPr>
              <w:t>3</w:t>
            </w:r>
            <w:r w:rsidRPr="006B2C72">
              <w:rPr>
                <w:lang w:eastAsia="en-US"/>
              </w:rPr>
              <w:t xml:space="preserve"> </w:t>
            </w:r>
            <w:r>
              <w:rPr>
                <w:lang w:eastAsia="en-US"/>
              </w:rPr>
              <w:t>Výdaje státního rozpočtu</w:t>
            </w:r>
            <w:bookmarkEnd w:id="54"/>
            <w:bookmarkEnd w:id="55"/>
          </w:p>
        </w:tc>
      </w:tr>
      <w:tr w:rsidR="006B1AFC" w:rsidRPr="00FC6700" w14:paraId="5E85C43D" w14:textId="77777777" w:rsidTr="003C4A79">
        <w:trPr>
          <w:trHeight w:val="170"/>
        </w:trPr>
        <w:tc>
          <w:tcPr>
            <w:tcW w:w="1803" w:type="dxa"/>
            <w:tcMar>
              <w:left w:w="0" w:type="dxa"/>
            </w:tcMar>
          </w:tcPr>
          <w:p w14:paraId="76E29EAB" w14:textId="77777777" w:rsidR="006B1AFC" w:rsidRDefault="006B1AFC" w:rsidP="003C4A79">
            <w:pPr>
              <w:pStyle w:val="Marginlie"/>
              <w:rPr>
                <w:color w:val="0D0D0D" w:themeColor="text1" w:themeTint="F2"/>
                <w:spacing w:val="0"/>
                <w:szCs w:val="20"/>
              </w:rPr>
            </w:pPr>
            <w:r>
              <w:rPr>
                <w:color w:val="0D0D0D" w:themeColor="text1" w:themeTint="F2"/>
                <w:spacing w:val="0"/>
                <w:szCs w:val="20"/>
              </w:rPr>
              <w:t xml:space="preserve">Růst celkových výdajů zrychlil. Vedle ukončení rozpočtového provizoria k tomu přispělo </w:t>
            </w:r>
            <w:r>
              <w:rPr>
                <w:color w:val="0D0D0D" w:themeColor="text1" w:themeTint="F2"/>
                <w:spacing w:val="0"/>
                <w:szCs w:val="20"/>
              </w:rPr>
              <w:br/>
              <w:t>i relativně vyšší čerpání objemově významných sociálních dávek.</w:t>
            </w:r>
          </w:p>
          <w:p w14:paraId="6EEDF6F6" w14:textId="77777777" w:rsidR="006B1AFC" w:rsidRDefault="006B1AFC" w:rsidP="003C4A79">
            <w:pPr>
              <w:pStyle w:val="Marginlie"/>
              <w:rPr>
                <w:color w:val="0D0D0D" w:themeColor="text1" w:themeTint="F2"/>
                <w:spacing w:val="0"/>
                <w:szCs w:val="20"/>
              </w:rPr>
            </w:pPr>
          </w:p>
          <w:p w14:paraId="3A282A7D" w14:textId="77777777" w:rsidR="006B1AFC" w:rsidRDefault="006B1AFC" w:rsidP="003C4A79">
            <w:pPr>
              <w:pStyle w:val="Marginlie"/>
              <w:rPr>
                <w:color w:val="0D0D0D" w:themeColor="text1" w:themeTint="F2"/>
                <w:spacing w:val="0"/>
                <w:szCs w:val="20"/>
              </w:rPr>
            </w:pPr>
          </w:p>
          <w:p w14:paraId="31F2BF46" w14:textId="77777777" w:rsidR="006B1AFC" w:rsidRDefault="006B1AFC" w:rsidP="003C4A79">
            <w:pPr>
              <w:pStyle w:val="Marginlie"/>
              <w:rPr>
                <w:color w:val="0D0D0D" w:themeColor="text1" w:themeTint="F2"/>
                <w:spacing w:val="0"/>
                <w:szCs w:val="20"/>
              </w:rPr>
            </w:pPr>
          </w:p>
          <w:p w14:paraId="48A0AD4E" w14:textId="77777777" w:rsidR="006B1AFC" w:rsidRDefault="006B1AFC" w:rsidP="003C4A79">
            <w:pPr>
              <w:pStyle w:val="Marginlie"/>
              <w:rPr>
                <w:color w:val="0D0D0D" w:themeColor="text1" w:themeTint="F2"/>
                <w:spacing w:val="0"/>
                <w:szCs w:val="20"/>
              </w:rPr>
            </w:pPr>
          </w:p>
          <w:p w14:paraId="5725711C" w14:textId="77777777" w:rsidR="006B1AFC" w:rsidRDefault="006B1AFC" w:rsidP="003C4A79">
            <w:pPr>
              <w:pStyle w:val="Marginlie"/>
              <w:rPr>
                <w:color w:val="0D0D0D" w:themeColor="text1" w:themeTint="F2"/>
                <w:spacing w:val="0"/>
                <w:szCs w:val="20"/>
              </w:rPr>
            </w:pPr>
          </w:p>
          <w:p w14:paraId="52712EF7" w14:textId="77777777" w:rsidR="006B1AFC" w:rsidRDefault="006B1AFC" w:rsidP="003C4A79">
            <w:pPr>
              <w:pStyle w:val="Marginlie"/>
              <w:rPr>
                <w:color w:val="0D0D0D" w:themeColor="text1" w:themeTint="F2"/>
                <w:spacing w:val="0"/>
                <w:szCs w:val="20"/>
              </w:rPr>
            </w:pPr>
          </w:p>
          <w:p w14:paraId="5B2393DE" w14:textId="77777777" w:rsidR="006B1AFC" w:rsidRDefault="006B1AFC" w:rsidP="003C4A79">
            <w:pPr>
              <w:pStyle w:val="Marginlie"/>
              <w:rPr>
                <w:color w:val="0D0D0D" w:themeColor="text1" w:themeTint="F2"/>
                <w:spacing w:val="0"/>
                <w:szCs w:val="20"/>
              </w:rPr>
            </w:pPr>
            <w:r>
              <w:rPr>
                <w:color w:val="0D0D0D" w:themeColor="text1" w:themeTint="F2"/>
                <w:spacing w:val="0"/>
                <w:szCs w:val="20"/>
              </w:rPr>
              <w:t xml:space="preserve">Deficit systému důchodového pojištění se třetí rok v řadě významně zmírňoval. </w:t>
            </w:r>
          </w:p>
          <w:p w14:paraId="7EEC9931" w14:textId="77777777" w:rsidR="006B1AFC" w:rsidRPr="003B7A8B" w:rsidRDefault="006B1AFC" w:rsidP="003C4A79">
            <w:pPr>
              <w:pStyle w:val="Marginlie"/>
              <w:rPr>
                <w:color w:val="0D0D0D" w:themeColor="text1" w:themeTint="F2"/>
                <w:spacing w:val="0"/>
                <w:szCs w:val="20"/>
              </w:rPr>
            </w:pPr>
          </w:p>
        </w:tc>
        <w:tc>
          <w:tcPr>
            <w:tcW w:w="203" w:type="dxa"/>
            <w:tcMar>
              <w:left w:w="0" w:type="dxa"/>
            </w:tcMar>
          </w:tcPr>
          <w:p w14:paraId="55BDDC11" w14:textId="77777777" w:rsidR="006B1AFC" w:rsidRPr="003B7A8B" w:rsidRDefault="006B1AFC" w:rsidP="003C4A79">
            <w:pPr>
              <w:pStyle w:val="Textpoznpodarou"/>
              <w:jc w:val="both"/>
            </w:pPr>
          </w:p>
        </w:tc>
        <w:tc>
          <w:tcPr>
            <w:tcW w:w="7663" w:type="dxa"/>
            <w:tcMar>
              <w:left w:w="0" w:type="dxa"/>
            </w:tcMar>
          </w:tcPr>
          <w:p w14:paraId="6FB06E56" w14:textId="77777777" w:rsidR="006B1AFC" w:rsidRPr="0021221D" w:rsidRDefault="006B1AFC" w:rsidP="003C4A79">
            <w:pPr>
              <w:spacing w:after="200"/>
              <w:rPr>
                <w:color w:val="0D0D0D" w:themeColor="text1" w:themeTint="F2"/>
              </w:rPr>
            </w:pPr>
            <w:r w:rsidRPr="00D475F2">
              <w:rPr>
                <w:color w:val="0D0D0D" w:themeColor="text1" w:themeTint="F2"/>
              </w:rPr>
              <w:t xml:space="preserve">Celkové výdaje </w:t>
            </w:r>
            <w:r>
              <w:rPr>
                <w:color w:val="0D0D0D" w:themeColor="text1" w:themeTint="F2"/>
              </w:rPr>
              <w:t>státního rozpočtu po uvolnění režimu rozpočtového provizoria letos na jaře výrazněji narostly a za celé pololetí tak byly meziročně vyšší o 6,2 % (+71,2 mld. korun) a toto tempo (nejvyšší za poslední tři roky) zatím více než dvojnásobně překonávalo celoroční rozpočtové očekávání. Na dosaženém růstu se ze dvou třetin podílely běžné výdaje, významnou roli však měly i investice. Posílení běžných výdajů (+4,3 %) bylo takřka z poloviny taženo vyšším čerpáním sociálních dávek</w:t>
            </w:r>
            <w:r>
              <w:rPr>
                <w:rStyle w:val="Znakapoznpodarou"/>
                <w:color w:val="0D0D0D" w:themeColor="text1" w:themeTint="F2"/>
              </w:rPr>
              <w:footnoteReference w:id="136"/>
            </w:r>
            <w:r>
              <w:rPr>
                <w:color w:val="0D0D0D" w:themeColor="text1" w:themeTint="F2"/>
              </w:rPr>
              <w:t>. Podílely se na něm jak výdaje na důchody (meziročně vyšší o 14,0 mld. korun), tak na ostatní dávky (+6,2 mld.). V obou případech se jejich dosavadní letošní růstové tempo pohybovalo mírně nad rozpočtovým očekáváním. Výdaje na důchody se po loňské faktické stagnaci zvýšily o 3,9 %. Při relativně nevýznamné změně počtu jejich příjemců (−0,3 %)</w:t>
            </w:r>
            <w:r>
              <w:rPr>
                <w:rStyle w:val="Znakapoznpodarou"/>
                <w:color w:val="0D0D0D" w:themeColor="text1" w:themeTint="F2"/>
              </w:rPr>
              <w:footnoteReference w:id="137"/>
            </w:r>
            <w:r>
              <w:rPr>
                <w:color w:val="0D0D0D" w:themeColor="text1" w:themeTint="F2"/>
              </w:rPr>
              <w:t xml:space="preserve"> měla na čerpání zásadní vliv řádná valorizace z ledna 2026 navyšující průměrný starobní </w:t>
            </w:r>
            <w:r w:rsidRPr="00F710D5">
              <w:rPr>
                <w:color w:val="0D0D0D" w:themeColor="text1" w:themeTint="F2"/>
              </w:rPr>
              <w:t>důchod o 3,1 %</w:t>
            </w:r>
            <w:r w:rsidRPr="00F710D5">
              <w:rPr>
                <w:rStyle w:val="Znakapoznpodarou"/>
                <w:color w:val="0D0D0D" w:themeColor="text1" w:themeTint="F2"/>
              </w:rPr>
              <w:footnoteReference w:id="138"/>
            </w:r>
            <w:r w:rsidRPr="00F710D5">
              <w:rPr>
                <w:color w:val="0D0D0D" w:themeColor="text1" w:themeTint="F2"/>
              </w:rPr>
              <w:t>. I přes stabilní relativně svižné tempo výběru pojistného na důchody byl opět zaznamenán deficit</w:t>
            </w:r>
            <w:r w:rsidRPr="00F710D5">
              <w:rPr>
                <w:rFonts w:cs="Arial"/>
                <w:color w:val="0D0D0D" w:themeColor="text1" w:themeTint="F2"/>
              </w:rPr>
              <w:t xml:space="preserve"> systému důchodového pojištění</w:t>
            </w:r>
            <w:r w:rsidRPr="00F710D5">
              <w:rPr>
                <w:rStyle w:val="Znakapoznpodarou"/>
                <w:color w:val="0D0D0D" w:themeColor="text1" w:themeTint="F2"/>
              </w:rPr>
              <w:footnoteReference w:id="139"/>
            </w:r>
            <w:r w:rsidRPr="00F710D5">
              <w:rPr>
                <w:rFonts w:cs="Arial"/>
                <w:color w:val="0D0D0D" w:themeColor="text1" w:themeTint="F2"/>
              </w:rPr>
              <w:t xml:space="preserve"> (3,2 mld. korun), který se ovšem třetím rokem v řadě zmírnil (ve stejném období loni totiž</w:t>
            </w:r>
            <w:r>
              <w:rPr>
                <w:rFonts w:cs="Arial"/>
                <w:color w:val="0D0D0D" w:themeColor="text1" w:themeTint="F2"/>
              </w:rPr>
              <w:t xml:space="preserve"> </w:t>
            </w:r>
            <w:r w:rsidRPr="00F710D5">
              <w:rPr>
                <w:rFonts w:cs="Arial"/>
                <w:color w:val="0D0D0D" w:themeColor="text1" w:themeTint="F2"/>
              </w:rPr>
              <w:t>činil</w:t>
            </w:r>
            <w:r>
              <w:rPr>
                <w:rFonts w:cs="Arial"/>
                <w:color w:val="0D0D0D" w:themeColor="text1" w:themeTint="F2"/>
              </w:rPr>
              <w:t xml:space="preserve"> </w:t>
            </w:r>
            <w:r w:rsidRPr="00F710D5">
              <w:rPr>
                <w:rFonts w:cs="Arial"/>
                <w:color w:val="0D0D0D" w:themeColor="text1" w:themeTint="F2"/>
              </w:rPr>
              <w:t>9,2</w:t>
            </w:r>
            <w:r>
              <w:rPr>
                <w:rFonts w:cs="Arial"/>
                <w:color w:val="0D0D0D" w:themeColor="text1" w:themeTint="F2"/>
              </w:rPr>
              <w:t xml:space="preserve"> </w:t>
            </w:r>
            <w:r w:rsidRPr="00F710D5">
              <w:rPr>
                <w:rFonts w:cs="Arial"/>
                <w:color w:val="0D0D0D" w:themeColor="text1" w:themeTint="F2"/>
              </w:rPr>
              <w:t>mld.</w:t>
            </w:r>
            <w:r>
              <w:rPr>
                <w:rFonts w:cs="Arial"/>
                <w:color w:val="0D0D0D" w:themeColor="text1" w:themeTint="F2"/>
              </w:rPr>
              <w:t xml:space="preserve"> </w:t>
            </w:r>
            <w:r w:rsidRPr="00F710D5">
              <w:rPr>
                <w:rFonts w:cs="Arial"/>
                <w:color w:val="0D0D0D" w:themeColor="text1" w:themeTint="F2"/>
              </w:rPr>
              <w:t>a</w:t>
            </w:r>
            <w:r>
              <w:rPr>
                <w:rFonts w:cs="Arial"/>
                <w:color w:val="0D0D0D" w:themeColor="text1" w:themeTint="F2"/>
              </w:rPr>
              <w:t xml:space="preserve"> </w:t>
            </w:r>
            <w:r w:rsidRPr="00F710D5">
              <w:rPr>
                <w:rFonts w:cs="Arial"/>
                <w:color w:val="0D0D0D" w:themeColor="text1" w:themeTint="F2"/>
              </w:rPr>
              <w:t>v</w:t>
            </w:r>
            <w:r>
              <w:rPr>
                <w:rFonts w:cs="Arial"/>
                <w:color w:val="0D0D0D" w:themeColor="text1" w:themeTint="F2"/>
              </w:rPr>
              <w:t xml:space="preserve"> </w:t>
            </w:r>
            <w:r w:rsidRPr="00F710D5">
              <w:rPr>
                <w:rFonts w:cs="Arial"/>
                <w:color w:val="0D0D0D" w:themeColor="text1" w:themeTint="F2"/>
              </w:rPr>
              <w:t>1.</w:t>
            </w:r>
            <w:r>
              <w:rPr>
                <w:rFonts w:cs="Arial"/>
                <w:color w:val="0D0D0D" w:themeColor="text1" w:themeTint="F2"/>
              </w:rPr>
              <w:t xml:space="preserve"> </w:t>
            </w:r>
            <w:r w:rsidRPr="00F710D5">
              <w:rPr>
                <w:rFonts w:cs="Arial"/>
                <w:color w:val="0D0D0D" w:themeColor="text1" w:themeTint="F2"/>
              </w:rPr>
              <w:t>pololetí 2023 dokonce 40,3 mld.). Aktuální deficit byl současně nejnižší za posledních sedm let</w:t>
            </w:r>
            <w:r w:rsidRPr="003405C2">
              <w:rPr>
                <w:rFonts w:cs="Arial"/>
                <w:color w:val="0D0D0D" w:themeColor="text1" w:themeTint="F2"/>
                <w:spacing w:val="-2"/>
              </w:rPr>
              <w:t>.</w:t>
            </w:r>
          </w:p>
        </w:tc>
      </w:tr>
      <w:tr w:rsidR="006B1AFC" w:rsidRPr="00FC6700" w14:paraId="5F68E4E4" w14:textId="77777777" w:rsidTr="003C4A79">
        <w:trPr>
          <w:trHeight w:val="170"/>
        </w:trPr>
        <w:tc>
          <w:tcPr>
            <w:tcW w:w="1803" w:type="dxa"/>
            <w:tcMar>
              <w:left w:w="0" w:type="dxa"/>
            </w:tcMar>
          </w:tcPr>
          <w:p w14:paraId="4CC640AF" w14:textId="77777777" w:rsidR="006B1AFC" w:rsidRPr="003405C2" w:rsidRDefault="006B1AFC" w:rsidP="003C4A79">
            <w:pPr>
              <w:pStyle w:val="Marginlie"/>
              <w:rPr>
                <w:color w:val="0D0D0D" w:themeColor="text1" w:themeTint="F2"/>
                <w:spacing w:val="0"/>
              </w:rPr>
            </w:pPr>
            <w:r>
              <w:rPr>
                <w:color w:val="0D0D0D" w:themeColor="text1" w:themeTint="F2"/>
                <w:spacing w:val="0"/>
              </w:rPr>
              <w:t xml:space="preserve">Za </w:t>
            </w:r>
            <w:r w:rsidRPr="003405C2">
              <w:rPr>
                <w:color w:val="0D0D0D" w:themeColor="text1" w:themeTint="F2"/>
                <w:spacing w:val="0"/>
              </w:rPr>
              <w:t>růst</w:t>
            </w:r>
            <w:r>
              <w:rPr>
                <w:color w:val="0D0D0D" w:themeColor="text1" w:themeTint="F2"/>
                <w:spacing w:val="0"/>
              </w:rPr>
              <w:t>em</w:t>
            </w:r>
            <w:r w:rsidRPr="003405C2">
              <w:rPr>
                <w:color w:val="0D0D0D" w:themeColor="text1" w:themeTint="F2"/>
                <w:spacing w:val="0"/>
              </w:rPr>
              <w:t xml:space="preserve"> výdajů na nedůchodové sociální dávky </w:t>
            </w:r>
            <w:r>
              <w:rPr>
                <w:color w:val="0D0D0D" w:themeColor="text1" w:themeTint="F2"/>
                <w:spacing w:val="0"/>
              </w:rPr>
              <w:t>stála</w:t>
            </w:r>
            <w:r w:rsidRPr="003405C2">
              <w:rPr>
                <w:color w:val="0D0D0D" w:themeColor="text1" w:themeTint="F2"/>
                <w:spacing w:val="0"/>
              </w:rPr>
              <w:t xml:space="preserve"> </w:t>
            </w:r>
            <w:r>
              <w:rPr>
                <w:color w:val="0D0D0D" w:themeColor="text1" w:themeTint="F2"/>
                <w:spacing w:val="0"/>
              </w:rPr>
              <w:t xml:space="preserve">hlavně </w:t>
            </w:r>
            <w:r w:rsidRPr="00865239">
              <w:rPr>
                <w:color w:val="0D0D0D" w:themeColor="text1" w:themeTint="F2"/>
              </w:rPr>
              <w:t>podpora nezaměstnaným</w:t>
            </w:r>
            <w:r w:rsidRPr="003405C2">
              <w:rPr>
                <w:color w:val="0D0D0D" w:themeColor="text1" w:themeTint="F2"/>
                <w:spacing w:val="0"/>
              </w:rPr>
              <w:t xml:space="preserve"> a vyšší čerpání dávek z nemocenského pojištění. Rostly i dávky na péči dlouhodobě nemocným.</w:t>
            </w:r>
          </w:p>
          <w:p w14:paraId="6CAC6252" w14:textId="77777777" w:rsidR="006B1AFC" w:rsidRPr="003B7A8B" w:rsidRDefault="006B1AFC" w:rsidP="003C4A79">
            <w:pPr>
              <w:pStyle w:val="Marginlie"/>
              <w:rPr>
                <w:spacing w:val="0"/>
              </w:rPr>
            </w:pPr>
          </w:p>
        </w:tc>
        <w:tc>
          <w:tcPr>
            <w:tcW w:w="203" w:type="dxa"/>
            <w:tcMar>
              <w:left w:w="0" w:type="dxa"/>
            </w:tcMar>
          </w:tcPr>
          <w:p w14:paraId="2C44E172" w14:textId="77777777" w:rsidR="006B1AFC" w:rsidRPr="003B7A8B" w:rsidRDefault="006B1AFC" w:rsidP="003C4A79">
            <w:pPr>
              <w:pStyle w:val="Textpoznpodarou"/>
              <w:jc w:val="both"/>
            </w:pPr>
          </w:p>
        </w:tc>
        <w:tc>
          <w:tcPr>
            <w:tcW w:w="7663" w:type="dxa"/>
            <w:tcMar>
              <w:left w:w="0" w:type="dxa"/>
            </w:tcMar>
          </w:tcPr>
          <w:p w14:paraId="69899D6A" w14:textId="77777777" w:rsidR="006B1AFC" w:rsidRPr="00D326E2" w:rsidRDefault="006B1AFC" w:rsidP="00366728">
            <w:pPr>
              <w:spacing w:after="0"/>
              <w:rPr>
                <w:rFonts w:cs="Arial"/>
                <w:color w:val="0D0D0D" w:themeColor="text1" w:themeTint="F2"/>
              </w:rPr>
            </w:pPr>
            <w:r w:rsidRPr="003405C2">
              <w:rPr>
                <w:color w:val="0D0D0D" w:themeColor="text1" w:themeTint="F2"/>
                <w:szCs w:val="20"/>
              </w:rPr>
              <w:t xml:space="preserve">Meziroční růst </w:t>
            </w:r>
            <w:r w:rsidRPr="000612B5">
              <w:rPr>
                <w:color w:val="0D0D0D" w:themeColor="text1" w:themeTint="F2"/>
                <w:szCs w:val="20"/>
              </w:rPr>
              <w:t>výdajů na ostatní (nedůchodové) sociální dávky dosáhl</w:t>
            </w:r>
            <w:r w:rsidRPr="003405C2">
              <w:rPr>
                <w:color w:val="0D0D0D" w:themeColor="text1" w:themeTint="F2"/>
                <w:szCs w:val="20"/>
              </w:rPr>
              <w:t xml:space="preserve"> letos v 1. </w:t>
            </w:r>
            <w:r>
              <w:rPr>
                <w:color w:val="0D0D0D" w:themeColor="text1" w:themeTint="F2"/>
                <w:szCs w:val="20"/>
              </w:rPr>
              <w:t>pololetí</w:t>
            </w:r>
            <w:r w:rsidRPr="003405C2">
              <w:rPr>
                <w:color w:val="0D0D0D" w:themeColor="text1" w:themeTint="F2"/>
                <w:szCs w:val="20"/>
              </w:rPr>
              <w:t xml:space="preserve"> 5,</w:t>
            </w:r>
            <w:r>
              <w:rPr>
                <w:color w:val="0D0D0D" w:themeColor="text1" w:themeTint="F2"/>
                <w:szCs w:val="20"/>
              </w:rPr>
              <w:t>9</w:t>
            </w:r>
            <w:r w:rsidRPr="003405C2">
              <w:rPr>
                <w:color w:val="0D0D0D" w:themeColor="text1" w:themeTint="F2"/>
                <w:szCs w:val="20"/>
              </w:rPr>
              <w:t xml:space="preserve"> %</w:t>
            </w:r>
            <w:r>
              <w:rPr>
                <w:color w:val="0D0D0D" w:themeColor="text1" w:themeTint="F2"/>
                <w:szCs w:val="20"/>
              </w:rPr>
              <w:t xml:space="preserve"> (n</w:t>
            </w:r>
            <w:r w:rsidRPr="003405C2">
              <w:rPr>
                <w:color w:val="0D0D0D" w:themeColor="text1" w:themeTint="F2"/>
                <w:szCs w:val="20"/>
              </w:rPr>
              <w:t xml:space="preserve">a rozdíl od důchodů ovšem meziročně růst těchto dávek </w:t>
            </w:r>
            <w:r>
              <w:rPr>
                <w:color w:val="0D0D0D" w:themeColor="text1" w:themeTint="F2"/>
                <w:szCs w:val="20"/>
              </w:rPr>
              <w:t xml:space="preserve">zvolnil </w:t>
            </w:r>
            <w:r w:rsidRPr="003405C2">
              <w:rPr>
                <w:color w:val="0D0D0D" w:themeColor="text1" w:themeTint="F2"/>
                <w:szCs w:val="20"/>
              </w:rPr>
              <w:t xml:space="preserve">oproti tempu </w:t>
            </w:r>
            <w:r>
              <w:rPr>
                <w:color w:val="0D0D0D" w:themeColor="text1" w:themeTint="F2"/>
                <w:szCs w:val="20"/>
              </w:rPr>
              <w:br/>
            </w:r>
            <w:r w:rsidRPr="003405C2">
              <w:rPr>
                <w:color w:val="0D0D0D" w:themeColor="text1" w:themeTint="F2"/>
                <w:szCs w:val="20"/>
              </w:rPr>
              <w:t>z roku 2025</w:t>
            </w:r>
            <w:r>
              <w:rPr>
                <w:color w:val="0D0D0D" w:themeColor="text1" w:themeTint="F2"/>
                <w:szCs w:val="20"/>
              </w:rPr>
              <w:t>)</w:t>
            </w:r>
            <w:r w:rsidRPr="003405C2">
              <w:rPr>
                <w:color w:val="0D0D0D" w:themeColor="text1" w:themeTint="F2"/>
                <w:szCs w:val="20"/>
              </w:rPr>
              <w:t>.</w:t>
            </w:r>
            <w:r>
              <w:rPr>
                <w:color w:val="0D0D0D" w:themeColor="text1" w:themeTint="F2"/>
                <w:szCs w:val="20"/>
              </w:rPr>
              <w:t xml:space="preserve"> </w:t>
            </w:r>
            <w:r w:rsidRPr="003405C2">
              <w:rPr>
                <w:color w:val="0D0D0D" w:themeColor="text1" w:themeTint="F2"/>
                <w:szCs w:val="20"/>
              </w:rPr>
              <w:t>K letošnímu růstu přispěly z drtivé části pojistné dávky – nejvíce podpora v</w:t>
            </w:r>
            <w:r>
              <w:rPr>
                <w:color w:val="0D0D0D" w:themeColor="text1" w:themeTint="F2"/>
                <w:szCs w:val="20"/>
              </w:rPr>
              <w:t> </w:t>
            </w:r>
            <w:r w:rsidRPr="003405C2">
              <w:rPr>
                <w:color w:val="0D0D0D" w:themeColor="text1" w:themeTint="F2"/>
                <w:szCs w:val="20"/>
              </w:rPr>
              <w:t>nezaměstnanosti</w:t>
            </w:r>
            <w:r>
              <w:rPr>
                <w:color w:val="0D0D0D" w:themeColor="text1" w:themeTint="F2"/>
                <w:szCs w:val="20"/>
              </w:rPr>
              <w:t xml:space="preserve">. Tyto dávky vzrostly o 42 % </w:t>
            </w:r>
            <w:r w:rsidRPr="003405C2">
              <w:rPr>
                <w:color w:val="0D0D0D" w:themeColor="text1" w:themeTint="F2"/>
                <w:szCs w:val="20"/>
              </w:rPr>
              <w:t>(+</w:t>
            </w:r>
            <w:r>
              <w:rPr>
                <w:color w:val="0D0D0D" w:themeColor="text1" w:themeTint="F2"/>
                <w:szCs w:val="20"/>
              </w:rPr>
              <w:t>3</w:t>
            </w:r>
            <w:r w:rsidRPr="003405C2">
              <w:rPr>
                <w:color w:val="0D0D0D" w:themeColor="text1" w:themeTint="F2"/>
                <w:szCs w:val="20"/>
              </w:rPr>
              <w:t>,</w:t>
            </w:r>
            <w:r>
              <w:rPr>
                <w:color w:val="0D0D0D" w:themeColor="text1" w:themeTint="F2"/>
                <w:szCs w:val="20"/>
              </w:rPr>
              <w:t>1</w:t>
            </w:r>
            <w:r w:rsidRPr="003405C2">
              <w:rPr>
                <w:color w:val="0D0D0D" w:themeColor="text1" w:themeTint="F2"/>
                <w:szCs w:val="20"/>
              </w:rPr>
              <w:t xml:space="preserve"> mld., korun)</w:t>
            </w:r>
            <w:r>
              <w:rPr>
                <w:color w:val="0D0D0D" w:themeColor="text1" w:themeTint="F2"/>
                <w:szCs w:val="20"/>
              </w:rPr>
              <w:t xml:space="preserve"> </w:t>
            </w:r>
            <w:r w:rsidRPr="003405C2">
              <w:rPr>
                <w:color w:val="0D0D0D" w:themeColor="text1" w:themeTint="F2"/>
                <w:szCs w:val="20"/>
              </w:rPr>
              <w:t>zejména vlivem legislativní úpravy</w:t>
            </w:r>
            <w:r w:rsidRPr="003405C2">
              <w:rPr>
                <w:rStyle w:val="Znakapoznpodarou"/>
                <w:color w:val="0D0D0D" w:themeColor="text1" w:themeTint="F2"/>
                <w:szCs w:val="20"/>
              </w:rPr>
              <w:footnoteReference w:id="140"/>
            </w:r>
            <w:r w:rsidRPr="003405C2">
              <w:rPr>
                <w:color w:val="0D0D0D" w:themeColor="text1" w:themeTint="F2"/>
                <w:szCs w:val="20"/>
              </w:rPr>
              <w:t xml:space="preserve"> směřující k vyšší motivací lidí měnit nevyhovující zaměstnání. Projevil se</w:t>
            </w:r>
            <w:r w:rsidRPr="003405C2">
              <w:rPr>
                <w:color w:val="0D0D0D" w:themeColor="text1" w:themeTint="F2"/>
                <w:spacing w:val="-2"/>
                <w:szCs w:val="20"/>
              </w:rPr>
              <w:t xml:space="preserve"> </w:t>
            </w:r>
            <w:r w:rsidRPr="003405C2">
              <w:rPr>
                <w:color w:val="0D0D0D" w:themeColor="text1" w:themeTint="F2"/>
                <w:spacing w:val="-4"/>
                <w:szCs w:val="20"/>
              </w:rPr>
              <w:t xml:space="preserve">i </w:t>
            </w:r>
            <w:r w:rsidRPr="003405C2">
              <w:rPr>
                <w:color w:val="0D0D0D" w:themeColor="text1" w:themeTint="F2"/>
                <w:szCs w:val="20"/>
              </w:rPr>
              <w:t>pokračující lehký růst míry nezaměstnanosti</w:t>
            </w:r>
            <w:r>
              <w:rPr>
                <w:rStyle w:val="Znakapoznpodarou"/>
                <w:color w:val="0D0D0D" w:themeColor="text1" w:themeTint="F2"/>
                <w:szCs w:val="20"/>
              </w:rPr>
              <w:footnoteReference w:id="141"/>
            </w:r>
            <w:r>
              <w:rPr>
                <w:color w:val="0D0D0D" w:themeColor="text1" w:themeTint="F2"/>
                <w:szCs w:val="20"/>
              </w:rPr>
              <w:t>.</w:t>
            </w:r>
            <w:r w:rsidRPr="003405C2">
              <w:rPr>
                <w:color w:val="0D0D0D" w:themeColor="text1" w:themeTint="F2"/>
                <w:szCs w:val="20"/>
              </w:rPr>
              <w:t xml:space="preserve"> Mimo to pokračoval třetím ro</w:t>
            </w:r>
            <w:r>
              <w:rPr>
                <w:color w:val="0D0D0D" w:themeColor="text1" w:themeTint="F2"/>
                <w:szCs w:val="20"/>
              </w:rPr>
              <w:t>k</w:t>
            </w:r>
            <w:r w:rsidRPr="003405C2">
              <w:rPr>
                <w:color w:val="0D0D0D" w:themeColor="text1" w:themeTint="F2"/>
                <w:szCs w:val="20"/>
              </w:rPr>
              <w:t xml:space="preserve">em v řadě mírný růst výdajů na dávky </w:t>
            </w:r>
            <w:r w:rsidRPr="003405C2">
              <w:rPr>
                <w:color w:val="0D0D0D" w:themeColor="text1" w:themeTint="F2"/>
              </w:rPr>
              <w:t>nemocenského pojištění (+6,</w:t>
            </w:r>
            <w:r>
              <w:rPr>
                <w:color w:val="0D0D0D" w:themeColor="text1" w:themeTint="F2"/>
              </w:rPr>
              <w:t>7</w:t>
            </w:r>
            <w:r w:rsidRPr="003405C2">
              <w:rPr>
                <w:color w:val="0D0D0D" w:themeColor="text1" w:themeTint="F2"/>
              </w:rPr>
              <w:t xml:space="preserve"> %, </w:t>
            </w:r>
            <w:r>
              <w:rPr>
                <w:color w:val="0D0D0D" w:themeColor="text1" w:themeTint="F2"/>
              </w:rPr>
              <w:br/>
            </w:r>
            <w:r w:rsidRPr="003405C2">
              <w:rPr>
                <w:color w:val="0D0D0D" w:themeColor="text1" w:themeTint="F2"/>
              </w:rPr>
              <w:t>+</w:t>
            </w:r>
            <w:r>
              <w:rPr>
                <w:color w:val="0D0D0D" w:themeColor="text1" w:themeTint="F2"/>
              </w:rPr>
              <w:t>1</w:t>
            </w:r>
            <w:r w:rsidRPr="003405C2">
              <w:rPr>
                <w:color w:val="0D0D0D" w:themeColor="text1" w:themeTint="F2"/>
              </w:rPr>
              <w:t>,</w:t>
            </w:r>
            <w:r>
              <w:rPr>
                <w:color w:val="0D0D0D" w:themeColor="text1" w:themeTint="F2"/>
              </w:rPr>
              <w:t>6</w:t>
            </w:r>
            <w:r w:rsidRPr="003405C2">
              <w:rPr>
                <w:color w:val="0D0D0D" w:themeColor="text1" w:themeTint="F2"/>
              </w:rPr>
              <w:t xml:space="preserve"> mld. korun). K růstu přispěly hlavně dávky nemocenské </w:t>
            </w:r>
            <w:r>
              <w:rPr>
                <w:color w:val="0D0D0D" w:themeColor="text1" w:themeTint="F2"/>
              </w:rPr>
              <w:t>(odvislé od růstu předchozích mezd žadatele)</w:t>
            </w:r>
            <w:r>
              <w:rPr>
                <w:rStyle w:val="Znakapoznpodarou"/>
                <w:color w:val="0D0D0D" w:themeColor="text1" w:themeTint="F2"/>
              </w:rPr>
              <w:footnoteReference w:id="142"/>
            </w:r>
            <w:r>
              <w:rPr>
                <w:color w:val="0D0D0D" w:themeColor="text1" w:themeTint="F2"/>
              </w:rPr>
              <w:t xml:space="preserve"> </w:t>
            </w:r>
            <w:r w:rsidRPr="003405C2">
              <w:rPr>
                <w:color w:val="0D0D0D" w:themeColor="text1" w:themeTint="F2"/>
              </w:rPr>
              <w:t xml:space="preserve">a </w:t>
            </w:r>
            <w:r>
              <w:rPr>
                <w:color w:val="0D0D0D" w:themeColor="text1" w:themeTint="F2"/>
              </w:rPr>
              <w:t>rovněž i</w:t>
            </w:r>
            <w:r w:rsidRPr="003405C2">
              <w:rPr>
                <w:color w:val="0D0D0D" w:themeColor="text1" w:themeTint="F2"/>
              </w:rPr>
              <w:t xml:space="preserve"> peněžité pomoci v mateřství, u n</w:t>
            </w:r>
            <w:r>
              <w:rPr>
                <w:color w:val="0D0D0D" w:themeColor="text1" w:themeTint="F2"/>
              </w:rPr>
              <w:t>ichž</w:t>
            </w:r>
            <w:r w:rsidRPr="003405C2">
              <w:rPr>
                <w:color w:val="0D0D0D" w:themeColor="text1" w:themeTint="F2"/>
              </w:rPr>
              <w:t xml:space="preserve"> se pokles po delší době zastavil. Příjmy z pojistného placeného zaměstnanými osobami se dále meziročně zvyšovaly (+6,1 %), zčásti stále vlivem zákonné úpravy ve vazbě na konsolidační balíček. Díky tomu se </w:t>
            </w:r>
            <w:r w:rsidRPr="00911C42">
              <w:rPr>
                <w:rFonts w:cs="Arial"/>
                <w:color w:val="0D0D0D" w:themeColor="text1" w:themeTint="F2"/>
                <w:spacing w:val="-2"/>
              </w:rPr>
              <w:t>bilance nemocenského pojištění</w:t>
            </w:r>
            <w:r w:rsidRPr="00911C42">
              <w:rPr>
                <w:rStyle w:val="Znakapoznpodarou"/>
                <w:color w:val="0D0D0D" w:themeColor="text1" w:themeTint="F2"/>
                <w:spacing w:val="-2"/>
              </w:rPr>
              <w:footnoteReference w:id="143"/>
            </w:r>
            <w:r w:rsidRPr="00911C42">
              <w:rPr>
                <w:rFonts w:cs="Arial"/>
                <w:color w:val="0D0D0D" w:themeColor="text1" w:themeTint="F2"/>
                <w:spacing w:val="-2"/>
              </w:rPr>
              <w:t xml:space="preserve"> v rámci 1. pololetí potřetí v řadě pohybovala v mírném</w:t>
            </w:r>
            <w:r w:rsidRPr="003405C2">
              <w:rPr>
                <w:rFonts w:cs="Arial"/>
                <w:color w:val="0D0D0D" w:themeColor="text1" w:themeTint="F2"/>
              </w:rPr>
              <w:t xml:space="preserve"> přebytku (+</w:t>
            </w:r>
            <w:r>
              <w:rPr>
                <w:rFonts w:cs="Arial"/>
                <w:color w:val="0D0D0D" w:themeColor="text1" w:themeTint="F2"/>
              </w:rPr>
              <w:t>5</w:t>
            </w:r>
            <w:r w:rsidRPr="003405C2">
              <w:rPr>
                <w:rFonts w:cs="Arial"/>
                <w:color w:val="0D0D0D" w:themeColor="text1" w:themeTint="F2"/>
              </w:rPr>
              <w:t>,</w:t>
            </w:r>
            <w:r>
              <w:rPr>
                <w:rFonts w:cs="Arial"/>
                <w:color w:val="0D0D0D" w:themeColor="text1" w:themeTint="F2"/>
              </w:rPr>
              <w:t>2</w:t>
            </w:r>
            <w:r w:rsidRPr="003405C2">
              <w:rPr>
                <w:rFonts w:cs="Arial"/>
                <w:color w:val="0D0D0D" w:themeColor="text1" w:themeTint="F2"/>
              </w:rPr>
              <w:t xml:space="preserve"> mld. korun). V rámci nepojistných sociálních dávek měly největší vliv rostoucí příspěvky na péči pro dlouhodobě nemocné (+6</w:t>
            </w:r>
            <w:r>
              <w:rPr>
                <w:rFonts w:cs="Arial"/>
                <w:color w:val="0D0D0D" w:themeColor="text1" w:themeTint="F2"/>
              </w:rPr>
              <w:t xml:space="preserve">,6 </w:t>
            </w:r>
            <w:r w:rsidRPr="003405C2">
              <w:rPr>
                <w:rFonts w:cs="Arial"/>
                <w:color w:val="0D0D0D" w:themeColor="text1" w:themeTint="F2"/>
              </w:rPr>
              <w:t>%, +</w:t>
            </w:r>
            <w:r>
              <w:rPr>
                <w:rFonts w:cs="Arial"/>
                <w:color w:val="0D0D0D" w:themeColor="text1" w:themeTint="F2"/>
              </w:rPr>
              <w:t>1</w:t>
            </w:r>
            <w:r w:rsidRPr="003405C2">
              <w:rPr>
                <w:rFonts w:cs="Arial"/>
                <w:color w:val="0D0D0D" w:themeColor="text1" w:themeTint="F2"/>
              </w:rPr>
              <w:t>,</w:t>
            </w:r>
            <w:r>
              <w:rPr>
                <w:rFonts w:cs="Arial"/>
                <w:color w:val="0D0D0D" w:themeColor="text1" w:themeTint="F2"/>
              </w:rPr>
              <w:t>5</w:t>
            </w:r>
            <w:r w:rsidRPr="003405C2">
              <w:rPr>
                <w:rFonts w:cs="Arial"/>
                <w:color w:val="0D0D0D" w:themeColor="text1" w:themeTint="F2"/>
              </w:rPr>
              <w:t xml:space="preserve"> mld. </w:t>
            </w:r>
            <w:r w:rsidRPr="003456B3">
              <w:rPr>
                <w:rFonts w:cs="Arial"/>
                <w:color w:val="0D0D0D" w:themeColor="text1" w:themeTint="F2"/>
                <w:spacing w:val="-6"/>
              </w:rPr>
              <w:t xml:space="preserve">korun). </w:t>
            </w:r>
            <w:r>
              <w:rPr>
                <w:rFonts w:cs="Arial"/>
                <w:color w:val="0D0D0D" w:themeColor="text1" w:themeTint="F2"/>
                <w:spacing w:val="-6"/>
              </w:rPr>
              <w:t>Rostl i objem vyplacených</w:t>
            </w:r>
            <w:r w:rsidRPr="003456B3">
              <w:rPr>
                <w:rFonts w:cs="Arial"/>
                <w:color w:val="0D0D0D" w:themeColor="text1" w:themeTint="F2"/>
                <w:spacing w:val="-6"/>
              </w:rPr>
              <w:t xml:space="preserve"> rodičovských příspěvků i dávek pěstounské péče (v</w:t>
            </w:r>
            <w:r>
              <w:rPr>
                <w:color w:val="0D0D0D" w:themeColor="text1" w:themeTint="F2"/>
              </w:rPr>
              <w:t> </w:t>
            </w:r>
            <w:r w:rsidRPr="003456B3">
              <w:rPr>
                <w:rFonts w:cs="Arial"/>
                <w:color w:val="0D0D0D" w:themeColor="text1" w:themeTint="F2"/>
                <w:spacing w:val="-6"/>
              </w:rPr>
              <w:t>úhrnu +0,4</w:t>
            </w:r>
            <w:r>
              <w:rPr>
                <w:color w:val="0D0D0D" w:themeColor="text1" w:themeTint="F2"/>
              </w:rPr>
              <w:t> </w:t>
            </w:r>
            <w:r>
              <w:rPr>
                <w:rFonts w:cs="Arial"/>
                <w:color w:val="0D0D0D" w:themeColor="text1" w:themeTint="F2"/>
              </w:rPr>
              <w:t xml:space="preserve">mld. korun). Klesla naopak </w:t>
            </w:r>
            <w:r w:rsidRPr="003405C2">
              <w:rPr>
                <w:rFonts w:cs="Arial"/>
                <w:color w:val="0D0D0D" w:themeColor="text1" w:themeTint="F2"/>
              </w:rPr>
              <w:t>výplata humanitárních dávek ukrajinským uprchlíkům</w:t>
            </w:r>
            <w:r>
              <w:rPr>
                <w:rFonts w:cs="Arial"/>
                <w:color w:val="0D0D0D" w:themeColor="text1" w:themeTint="F2"/>
              </w:rPr>
              <w:t xml:space="preserve"> (o</w:t>
            </w:r>
            <w:r>
              <w:rPr>
                <w:color w:val="0D0D0D" w:themeColor="text1" w:themeTint="F2"/>
              </w:rPr>
              <w:t> </w:t>
            </w:r>
            <w:r>
              <w:rPr>
                <w:rFonts w:cs="Arial"/>
                <w:color w:val="0D0D0D" w:themeColor="text1" w:themeTint="F2"/>
              </w:rPr>
              <w:t>22</w:t>
            </w:r>
            <w:r w:rsidRPr="003405C2">
              <w:rPr>
                <w:rFonts w:cs="Arial"/>
                <w:color w:val="0D0D0D" w:themeColor="text1" w:themeTint="F2"/>
              </w:rPr>
              <w:t> </w:t>
            </w:r>
            <w:r>
              <w:rPr>
                <w:rFonts w:cs="Arial"/>
                <w:color w:val="0D0D0D" w:themeColor="text1" w:themeTint="F2"/>
              </w:rPr>
              <w:t>%, resp. 1,0 mld. korun)</w:t>
            </w:r>
            <w:r w:rsidRPr="003405C2">
              <w:rPr>
                <w:rFonts w:cs="Arial"/>
                <w:color w:val="0D0D0D" w:themeColor="text1" w:themeTint="F2"/>
              </w:rPr>
              <w:t>, což</w:t>
            </w:r>
            <w:r w:rsidRPr="003405C2">
              <w:rPr>
                <w:rFonts w:cs="Arial"/>
                <w:color w:val="0D0D0D" w:themeColor="text1" w:themeTint="F2"/>
                <w:spacing w:val="-2"/>
              </w:rPr>
              <w:t xml:space="preserve"> souviselo s meziročním poklesem počtu jejich příjemců</w:t>
            </w:r>
            <w:r>
              <w:rPr>
                <w:rFonts w:cs="Arial"/>
                <w:color w:val="0D0D0D" w:themeColor="text1" w:themeTint="F2"/>
                <w:spacing w:val="-2"/>
              </w:rPr>
              <w:t>. Meziroční srovnání dalších dávek hmotné nouze či státní sociální podpory je aktuálně ztíženo kvůli významné změně v systému poskytování dávek</w:t>
            </w:r>
            <w:r w:rsidRPr="003405C2">
              <w:rPr>
                <w:rStyle w:val="Znakapoznpodarou"/>
                <w:color w:val="0D0D0D" w:themeColor="text1" w:themeTint="F2"/>
              </w:rPr>
              <w:footnoteReference w:id="144"/>
            </w:r>
            <w:r>
              <w:rPr>
                <w:rFonts w:cs="Arial"/>
                <w:color w:val="0D0D0D" w:themeColor="text1" w:themeTint="F2"/>
                <w:spacing w:val="-2"/>
              </w:rPr>
              <w:t>.</w:t>
            </w:r>
          </w:p>
        </w:tc>
      </w:tr>
      <w:tr w:rsidR="006B1AFC" w:rsidRPr="00FC6700" w14:paraId="15B85CC6" w14:textId="77777777" w:rsidTr="003C4A79">
        <w:trPr>
          <w:trHeight w:val="170"/>
        </w:trPr>
        <w:tc>
          <w:tcPr>
            <w:tcW w:w="1803" w:type="dxa"/>
            <w:tcMar>
              <w:left w:w="0" w:type="dxa"/>
            </w:tcMar>
          </w:tcPr>
          <w:p w14:paraId="5621E28F" w14:textId="77777777" w:rsidR="006B1AFC" w:rsidRDefault="006B1AFC" w:rsidP="003C4A79">
            <w:pPr>
              <w:pStyle w:val="Marginlie"/>
              <w:rPr>
                <w:spacing w:val="0"/>
              </w:rPr>
            </w:pPr>
            <w:r>
              <w:rPr>
                <w:spacing w:val="0"/>
              </w:rPr>
              <w:lastRenderedPageBreak/>
              <w:t xml:space="preserve">Svižný růst výdajů v oblasti veřejného zdravotního pojištění lze vysvětlit předsunutím části plateb, u odvodů ČR do rozpočtu EU </w:t>
            </w:r>
            <w:r>
              <w:rPr>
                <w:spacing w:val="0"/>
              </w:rPr>
              <w:br/>
              <w:t>mj. i růstem unijního rozpočtu.</w:t>
            </w:r>
          </w:p>
          <w:p w14:paraId="6CFD58B8" w14:textId="77777777" w:rsidR="006B1AFC" w:rsidRDefault="006B1AFC" w:rsidP="003C4A79">
            <w:pPr>
              <w:pStyle w:val="Marginlie"/>
              <w:rPr>
                <w:spacing w:val="0"/>
              </w:rPr>
            </w:pPr>
          </w:p>
          <w:p w14:paraId="4E4183B4" w14:textId="77777777" w:rsidR="006B1AFC" w:rsidRDefault="006B1AFC" w:rsidP="003C4A79">
            <w:pPr>
              <w:pStyle w:val="Marginlie"/>
              <w:rPr>
                <w:spacing w:val="0"/>
              </w:rPr>
            </w:pPr>
          </w:p>
          <w:p w14:paraId="426669C8" w14:textId="77777777" w:rsidR="006B1AFC" w:rsidRDefault="006B1AFC" w:rsidP="003C4A79">
            <w:pPr>
              <w:pStyle w:val="Marginlie"/>
              <w:rPr>
                <w:spacing w:val="0"/>
              </w:rPr>
            </w:pPr>
          </w:p>
          <w:p w14:paraId="6DF4EBE1" w14:textId="77777777" w:rsidR="006B1AFC" w:rsidRDefault="006B1AFC" w:rsidP="003C4A79">
            <w:pPr>
              <w:pStyle w:val="Marginlie"/>
              <w:rPr>
                <w:spacing w:val="0"/>
              </w:rPr>
            </w:pPr>
          </w:p>
          <w:p w14:paraId="680A08DA" w14:textId="77777777" w:rsidR="006B1AFC" w:rsidRDefault="006B1AFC" w:rsidP="003C4A79">
            <w:pPr>
              <w:pStyle w:val="Marginlie"/>
              <w:rPr>
                <w:spacing w:val="0"/>
              </w:rPr>
            </w:pPr>
          </w:p>
          <w:p w14:paraId="6402859C" w14:textId="77777777" w:rsidR="006B1AFC" w:rsidRDefault="006B1AFC" w:rsidP="003C4A79">
            <w:pPr>
              <w:pStyle w:val="Marginlie"/>
              <w:rPr>
                <w:spacing w:val="0"/>
              </w:rPr>
            </w:pPr>
          </w:p>
          <w:p w14:paraId="4FCC9986" w14:textId="77777777" w:rsidR="006B1AFC" w:rsidRDefault="006B1AFC" w:rsidP="003C4A79">
            <w:pPr>
              <w:pStyle w:val="Marginlie"/>
              <w:rPr>
                <w:spacing w:val="0"/>
              </w:rPr>
            </w:pPr>
          </w:p>
          <w:p w14:paraId="772A7A13" w14:textId="77777777" w:rsidR="006B1AFC" w:rsidRDefault="006B1AFC" w:rsidP="003C4A79">
            <w:pPr>
              <w:pStyle w:val="Marginlie"/>
              <w:rPr>
                <w:spacing w:val="0"/>
              </w:rPr>
            </w:pPr>
          </w:p>
          <w:p w14:paraId="339A2749" w14:textId="77777777" w:rsidR="006B1AFC" w:rsidRDefault="006B1AFC" w:rsidP="003C4A79">
            <w:pPr>
              <w:pStyle w:val="Marginlie"/>
              <w:rPr>
                <w:spacing w:val="0"/>
              </w:rPr>
            </w:pPr>
          </w:p>
          <w:p w14:paraId="3BE1E314" w14:textId="77777777" w:rsidR="006B1AFC" w:rsidRDefault="006B1AFC" w:rsidP="003C4A79">
            <w:pPr>
              <w:pStyle w:val="Marginlie"/>
              <w:rPr>
                <w:spacing w:val="0"/>
              </w:rPr>
            </w:pPr>
          </w:p>
          <w:p w14:paraId="63D13BA6" w14:textId="77777777" w:rsidR="006B1AFC" w:rsidRPr="00FC6700" w:rsidRDefault="006B1AFC" w:rsidP="003C4A79">
            <w:pPr>
              <w:pStyle w:val="Marginlie"/>
              <w:rPr>
                <w:spacing w:val="0"/>
              </w:rPr>
            </w:pPr>
            <w:r>
              <w:rPr>
                <w:spacing w:val="0"/>
              </w:rPr>
              <w:t xml:space="preserve">Růst výdajů na obsluhu státního dluhu za pololetí poprvé překročil </w:t>
            </w:r>
            <w:r>
              <w:rPr>
                <w:spacing w:val="0"/>
              </w:rPr>
              <w:br/>
              <w:t xml:space="preserve">50 mld. korun. Celková výše státního dluhu rostla stabilním tempem, výhradně vlivem vnitřní zadluženosti. </w:t>
            </w:r>
          </w:p>
        </w:tc>
        <w:tc>
          <w:tcPr>
            <w:tcW w:w="203" w:type="dxa"/>
            <w:tcMar>
              <w:left w:w="0" w:type="dxa"/>
            </w:tcMar>
          </w:tcPr>
          <w:p w14:paraId="6CEA30C9" w14:textId="77777777" w:rsidR="006B1AFC" w:rsidRPr="00FC6700" w:rsidRDefault="006B1AFC" w:rsidP="003C4A79">
            <w:pPr>
              <w:pStyle w:val="Textpoznpodarou"/>
              <w:jc w:val="both"/>
            </w:pPr>
          </w:p>
        </w:tc>
        <w:tc>
          <w:tcPr>
            <w:tcW w:w="7663" w:type="dxa"/>
            <w:tcMar>
              <w:left w:w="0" w:type="dxa"/>
            </w:tcMar>
          </w:tcPr>
          <w:p w14:paraId="6F5E74EB" w14:textId="11AA11C2" w:rsidR="006B1AFC" w:rsidRPr="00DD3104" w:rsidRDefault="006B1AFC" w:rsidP="003C4A79">
            <w:pPr>
              <w:spacing w:after="200"/>
              <w:rPr>
                <w:color w:val="0D0D0D" w:themeColor="text1" w:themeTint="F2"/>
              </w:rPr>
            </w:pPr>
            <w:r>
              <w:rPr>
                <w:color w:val="0D0D0D" w:themeColor="text1" w:themeTint="F2"/>
              </w:rPr>
              <w:t xml:space="preserve">K </w:t>
            </w:r>
            <w:r w:rsidRPr="007C4C3F">
              <w:rPr>
                <w:color w:val="0D0D0D" w:themeColor="text1" w:themeTint="F2"/>
              </w:rPr>
              <w:t xml:space="preserve">růstu běžných výdajů SR </w:t>
            </w:r>
            <w:r>
              <w:rPr>
                <w:color w:val="0D0D0D" w:themeColor="text1" w:themeTint="F2"/>
              </w:rPr>
              <w:t xml:space="preserve">zatím letos </w:t>
            </w:r>
            <w:r w:rsidRPr="007C4C3F">
              <w:rPr>
                <w:color w:val="0D0D0D" w:themeColor="text1" w:themeTint="F2"/>
              </w:rPr>
              <w:t>dočasně výrazně přispívaly také dotace fondům sociálního a</w:t>
            </w:r>
            <w:r w:rsidRPr="007C4C3F">
              <w:rPr>
                <w:rFonts w:cs="Arial"/>
                <w:color w:val="0D0D0D" w:themeColor="text1" w:themeTint="F2"/>
                <w:spacing w:val="-2"/>
              </w:rPr>
              <w:t> </w:t>
            </w:r>
            <w:r w:rsidRPr="007C4C3F">
              <w:rPr>
                <w:color w:val="0D0D0D" w:themeColor="text1" w:themeTint="F2"/>
              </w:rPr>
              <w:t xml:space="preserve">veřejného zdravotního pojištění. Ty se </w:t>
            </w:r>
            <w:r>
              <w:rPr>
                <w:color w:val="0D0D0D" w:themeColor="text1" w:themeTint="F2"/>
              </w:rPr>
              <w:t>v 1. pololetí meziročně</w:t>
            </w:r>
            <w:r w:rsidRPr="003405C2">
              <w:rPr>
                <w:color w:val="0D0D0D" w:themeColor="text1" w:themeTint="F2"/>
              </w:rPr>
              <w:t xml:space="preserve"> navýšily o</w:t>
            </w:r>
            <w:r>
              <w:rPr>
                <w:color w:val="0D0D0D" w:themeColor="text1" w:themeTint="F2"/>
              </w:rPr>
              <w:t> pětinu (resp. 15,5 mld. korun), z drtivé části vlivem předfinancování plateb původně určených až pro 2. pololetí. Schválený SR počítá s celoročním růstem o necelá 3 %, což odpovídá zákonné valorizaci plateb za státní pojištěnce</w:t>
            </w:r>
            <w:r w:rsidRPr="003405C2">
              <w:rPr>
                <w:rStyle w:val="Znakapoznpodarou"/>
                <w:color w:val="0D0D0D" w:themeColor="text1" w:themeTint="F2"/>
              </w:rPr>
              <w:footnoteReference w:id="145"/>
            </w:r>
            <w:r>
              <w:rPr>
                <w:color w:val="0D0D0D" w:themeColor="text1" w:themeTint="F2"/>
              </w:rPr>
              <w:t xml:space="preserve">. Dále významně a nad rámec rozpočtového očekávání rostly také </w:t>
            </w:r>
            <w:r w:rsidRPr="009E6D28">
              <w:rPr>
                <w:color w:val="0D0D0D" w:themeColor="text1" w:themeTint="F2"/>
              </w:rPr>
              <w:t xml:space="preserve">odvody vlastních zdrojů </w:t>
            </w:r>
            <w:r>
              <w:rPr>
                <w:color w:val="0D0D0D" w:themeColor="text1" w:themeTint="F2"/>
              </w:rPr>
              <w:t xml:space="preserve">ČR </w:t>
            </w:r>
            <w:r w:rsidRPr="009E6D28">
              <w:rPr>
                <w:color w:val="0D0D0D" w:themeColor="text1" w:themeTint="F2"/>
              </w:rPr>
              <w:t>do rozpočtu E</w:t>
            </w:r>
            <w:r>
              <w:rPr>
                <w:color w:val="0D0D0D" w:themeColor="text1" w:themeTint="F2"/>
              </w:rPr>
              <w:t>U</w:t>
            </w:r>
            <w:r w:rsidRPr="009E6D28">
              <w:rPr>
                <w:color w:val="0D0D0D" w:themeColor="text1" w:themeTint="F2"/>
              </w:rPr>
              <w:t> (+</w:t>
            </w:r>
            <w:r w:rsidRPr="007B0857">
              <w:rPr>
                <w:color w:val="0D0D0D" w:themeColor="text1" w:themeTint="F2"/>
              </w:rPr>
              <w:t>45,5 %, +12,9 mld. korun), což zčásti souviselo s navýšením rozpočtu U</w:t>
            </w:r>
            <w:r>
              <w:rPr>
                <w:color w:val="0D0D0D" w:themeColor="text1" w:themeTint="F2"/>
              </w:rPr>
              <w:t>nie</w:t>
            </w:r>
            <w:r w:rsidRPr="007B0857">
              <w:rPr>
                <w:color w:val="0D0D0D" w:themeColor="text1" w:themeTint="F2"/>
              </w:rPr>
              <w:t xml:space="preserve">. </w:t>
            </w:r>
            <w:r>
              <w:rPr>
                <w:color w:val="0D0D0D" w:themeColor="text1" w:themeTint="F2"/>
              </w:rPr>
              <w:t>Tempo růstu výdajů na n</w:t>
            </w:r>
            <w:r w:rsidRPr="007B0857">
              <w:rPr>
                <w:color w:val="0D0D0D" w:themeColor="text1" w:themeTint="F2"/>
              </w:rPr>
              <w:t xml:space="preserve">einvestiční nákupy </w:t>
            </w:r>
            <w:r>
              <w:rPr>
                <w:color w:val="0D0D0D" w:themeColor="text1" w:themeTint="F2"/>
              </w:rPr>
              <w:t xml:space="preserve">státu </w:t>
            </w:r>
            <w:r w:rsidRPr="007B0857">
              <w:rPr>
                <w:color w:val="0D0D0D" w:themeColor="text1" w:themeTint="F2"/>
              </w:rPr>
              <w:t>(bez výdajů kapitoly Státní dlu</w:t>
            </w:r>
            <w:r>
              <w:rPr>
                <w:color w:val="0D0D0D" w:themeColor="text1" w:themeTint="F2"/>
              </w:rPr>
              <w:t>h) zrychlilo na 8,9 %, a to přesto, že část kompenzačních plateb za služby uskutečněné loni v 1. pololetí nebyla letos vyplacena. Klíčovým faktorem se naopak ukázalo posílení nákupů v oblasti obrany</w:t>
            </w:r>
            <w:r w:rsidRPr="004D279D">
              <w:rPr>
                <w:color w:val="0D0D0D" w:themeColor="text1" w:themeTint="F2"/>
              </w:rPr>
              <w:t>. Výdaje na platy v organizačních složkách státu se</w:t>
            </w:r>
            <w:r>
              <w:rPr>
                <w:color w:val="0D0D0D" w:themeColor="text1" w:themeTint="F2"/>
              </w:rPr>
              <w:t xml:space="preserve"> zvýšily nejvíce </w:t>
            </w:r>
            <w:r w:rsidRPr="003405C2">
              <w:rPr>
                <w:color w:val="0D0D0D" w:themeColor="text1" w:themeTint="F2"/>
              </w:rPr>
              <w:t>za poslední tři roky (+</w:t>
            </w:r>
            <w:r>
              <w:rPr>
                <w:color w:val="0D0D0D" w:themeColor="text1" w:themeTint="F2"/>
              </w:rPr>
              <w:t>8,9</w:t>
            </w:r>
            <w:r w:rsidRPr="003405C2">
              <w:rPr>
                <w:color w:val="0D0D0D" w:themeColor="text1" w:themeTint="F2"/>
                <w:spacing w:val="-2"/>
              </w:rPr>
              <w:t> </w:t>
            </w:r>
            <w:r w:rsidRPr="003405C2">
              <w:rPr>
                <w:color w:val="0D0D0D" w:themeColor="text1" w:themeTint="F2"/>
              </w:rPr>
              <w:t xml:space="preserve">%). Projevilo se </w:t>
            </w:r>
            <w:r>
              <w:rPr>
                <w:color w:val="0D0D0D" w:themeColor="text1" w:themeTint="F2"/>
              </w:rPr>
              <w:t xml:space="preserve">jak posílení </w:t>
            </w:r>
            <w:r w:rsidRPr="003405C2">
              <w:rPr>
                <w:color w:val="0D0D0D" w:themeColor="text1" w:themeTint="F2"/>
              </w:rPr>
              <w:t>výdajů na platy v oblasti bezpečnosti států</w:t>
            </w:r>
            <w:r>
              <w:rPr>
                <w:color w:val="0D0D0D" w:themeColor="text1" w:themeTint="F2"/>
              </w:rPr>
              <w:t xml:space="preserve"> (již od počátku letošního roku)</w:t>
            </w:r>
            <w:r w:rsidRPr="003405C2">
              <w:rPr>
                <w:color w:val="0D0D0D" w:themeColor="text1" w:themeTint="F2"/>
              </w:rPr>
              <w:t xml:space="preserve">, </w:t>
            </w:r>
            <w:r>
              <w:rPr>
                <w:color w:val="0D0D0D" w:themeColor="text1" w:themeTint="F2"/>
              </w:rPr>
              <w:t>tak nav</w:t>
            </w:r>
            <w:r w:rsidRPr="003405C2">
              <w:rPr>
                <w:color w:val="0D0D0D" w:themeColor="text1" w:themeTint="F2"/>
              </w:rPr>
              <w:t xml:space="preserve">ýšení u dalších </w:t>
            </w:r>
            <w:r>
              <w:rPr>
                <w:color w:val="0D0D0D" w:themeColor="text1" w:themeTint="F2"/>
              </w:rPr>
              <w:t xml:space="preserve">početných </w:t>
            </w:r>
            <w:r w:rsidRPr="003405C2">
              <w:rPr>
                <w:color w:val="0D0D0D" w:themeColor="text1" w:themeTint="F2"/>
              </w:rPr>
              <w:t>skupin zaměstnanců</w:t>
            </w:r>
            <w:r>
              <w:rPr>
                <w:rStyle w:val="Znakapoznpodarou"/>
                <w:color w:val="0D0D0D" w:themeColor="text1" w:themeTint="F2"/>
              </w:rPr>
              <w:footnoteReference w:id="146"/>
            </w:r>
            <w:r>
              <w:rPr>
                <w:color w:val="0D0D0D" w:themeColor="text1" w:themeTint="F2"/>
              </w:rPr>
              <w:t>,</w:t>
            </w:r>
            <w:r w:rsidRPr="003405C2">
              <w:rPr>
                <w:color w:val="0D0D0D" w:themeColor="text1" w:themeTint="F2"/>
              </w:rPr>
              <w:t xml:space="preserve"> </w:t>
            </w:r>
            <w:r>
              <w:rPr>
                <w:color w:val="0D0D0D" w:themeColor="text1" w:themeTint="F2"/>
              </w:rPr>
              <w:t xml:space="preserve">realizované od 2. čtvrtletí. Významnou mandatorní položkou SR jsou i </w:t>
            </w:r>
            <w:r>
              <w:rPr>
                <w:color w:val="0D0D0D" w:themeColor="text1" w:themeTint="F2"/>
                <w:spacing w:val="-2"/>
                <w:szCs w:val="20"/>
              </w:rPr>
              <w:t>v</w:t>
            </w:r>
            <w:r w:rsidRPr="003405C2">
              <w:rPr>
                <w:color w:val="0D0D0D" w:themeColor="text1" w:themeTint="F2"/>
                <w:spacing w:val="-2"/>
                <w:szCs w:val="20"/>
              </w:rPr>
              <w:t xml:space="preserve">ýdaje na </w:t>
            </w:r>
            <w:r w:rsidRPr="00E04CFC">
              <w:rPr>
                <w:color w:val="0D0D0D" w:themeColor="text1" w:themeTint="F2"/>
                <w:spacing w:val="-2"/>
                <w:szCs w:val="20"/>
              </w:rPr>
              <w:t>obsluhu státního dluhu</w:t>
            </w:r>
            <w:r w:rsidRPr="00E04CFC">
              <w:rPr>
                <w:color w:val="0D0D0D" w:themeColor="text1" w:themeTint="F2"/>
                <w:spacing w:val="4"/>
                <w:vertAlign w:val="superscript"/>
              </w:rPr>
              <w:footnoteReference w:id="147"/>
            </w:r>
            <w:r w:rsidRPr="00E04CFC">
              <w:rPr>
                <w:color w:val="0D0D0D" w:themeColor="text1" w:themeTint="F2"/>
                <w:spacing w:val="4"/>
                <w:szCs w:val="20"/>
              </w:rPr>
              <w:t xml:space="preserve"> zahrnující </w:t>
            </w:r>
            <w:r>
              <w:rPr>
                <w:color w:val="0D0D0D" w:themeColor="text1" w:themeTint="F2"/>
                <w:spacing w:val="4"/>
                <w:szCs w:val="20"/>
              </w:rPr>
              <w:t>hlavn</w:t>
            </w:r>
            <w:r w:rsidRPr="00E04CFC">
              <w:rPr>
                <w:color w:val="0D0D0D" w:themeColor="text1" w:themeTint="F2"/>
                <w:spacing w:val="4"/>
                <w:szCs w:val="20"/>
              </w:rPr>
              <w:t>ě</w:t>
            </w:r>
            <w:r w:rsidRPr="003405C2">
              <w:rPr>
                <w:color w:val="0D0D0D" w:themeColor="text1" w:themeTint="F2"/>
                <w:spacing w:val="4"/>
                <w:szCs w:val="20"/>
              </w:rPr>
              <w:t xml:space="preserve"> úroky</w:t>
            </w:r>
            <w:r>
              <w:rPr>
                <w:color w:val="0D0D0D" w:themeColor="text1" w:themeTint="F2"/>
                <w:spacing w:val="4"/>
                <w:szCs w:val="20"/>
              </w:rPr>
              <w:t>. Ty</w:t>
            </w:r>
            <w:r w:rsidRPr="003405C2">
              <w:rPr>
                <w:color w:val="0D0D0D" w:themeColor="text1" w:themeTint="F2"/>
                <w:spacing w:val="4"/>
                <w:szCs w:val="20"/>
              </w:rPr>
              <w:t xml:space="preserve"> činily v 1.</w:t>
            </w:r>
            <w:r w:rsidR="001E5803">
              <w:rPr>
                <w:color w:val="0D0D0D" w:themeColor="text1" w:themeTint="F2"/>
                <w:spacing w:val="4"/>
                <w:szCs w:val="20"/>
              </w:rPr>
              <w:t> </w:t>
            </w:r>
            <w:r>
              <w:rPr>
                <w:color w:val="0D0D0D" w:themeColor="text1" w:themeTint="F2"/>
                <w:spacing w:val="4"/>
                <w:szCs w:val="20"/>
              </w:rPr>
              <w:t>pololet</w:t>
            </w:r>
            <w:r w:rsidRPr="003405C2">
              <w:rPr>
                <w:color w:val="0D0D0D" w:themeColor="text1" w:themeTint="F2"/>
                <w:spacing w:val="4"/>
                <w:szCs w:val="20"/>
              </w:rPr>
              <w:t xml:space="preserve">í </w:t>
            </w:r>
            <w:r>
              <w:rPr>
                <w:color w:val="0D0D0D" w:themeColor="text1" w:themeTint="F2"/>
                <w:spacing w:val="4"/>
                <w:szCs w:val="20"/>
              </w:rPr>
              <w:t>rekordních 50,7</w:t>
            </w:r>
            <w:r w:rsidRPr="003405C2">
              <w:rPr>
                <w:color w:val="0D0D0D" w:themeColor="text1" w:themeTint="F2"/>
                <w:spacing w:val="4"/>
                <w:szCs w:val="20"/>
              </w:rPr>
              <w:t xml:space="preserve"> mld. korun a meziročně </w:t>
            </w:r>
            <w:r>
              <w:rPr>
                <w:color w:val="0D0D0D" w:themeColor="text1" w:themeTint="F2"/>
                <w:spacing w:val="4"/>
                <w:szCs w:val="20"/>
              </w:rPr>
              <w:t>posílily</w:t>
            </w:r>
            <w:r w:rsidRPr="003405C2">
              <w:rPr>
                <w:color w:val="0D0D0D" w:themeColor="text1" w:themeTint="F2"/>
                <w:spacing w:val="4"/>
                <w:szCs w:val="20"/>
              </w:rPr>
              <w:t xml:space="preserve"> </w:t>
            </w:r>
            <w:r>
              <w:rPr>
                <w:color w:val="0D0D0D" w:themeColor="text1" w:themeTint="F2"/>
                <w:spacing w:val="4"/>
                <w:szCs w:val="20"/>
              </w:rPr>
              <w:t>o 6,1</w:t>
            </w:r>
            <w:r w:rsidRPr="003405C2">
              <w:rPr>
                <w:color w:val="0D0D0D" w:themeColor="text1" w:themeTint="F2"/>
                <w:spacing w:val="4"/>
                <w:szCs w:val="20"/>
              </w:rPr>
              <w:t xml:space="preserve"> %</w:t>
            </w:r>
            <w:r>
              <w:rPr>
                <w:rStyle w:val="Znakapoznpodarou"/>
                <w:color w:val="0D0D0D" w:themeColor="text1" w:themeTint="F2"/>
                <w:spacing w:val="4"/>
                <w:szCs w:val="20"/>
              </w:rPr>
              <w:footnoteReference w:id="148"/>
            </w:r>
            <w:r w:rsidRPr="003405C2">
              <w:rPr>
                <w:color w:val="0D0D0D" w:themeColor="text1" w:themeTint="F2"/>
                <w:spacing w:val="4"/>
                <w:szCs w:val="20"/>
              </w:rPr>
              <w:t xml:space="preserve">. </w:t>
            </w:r>
            <w:r w:rsidRPr="00FD5549">
              <w:rPr>
                <w:color w:val="0D0D0D" w:themeColor="text1" w:themeTint="F2"/>
                <w:spacing w:val="4"/>
                <w:szCs w:val="20"/>
              </w:rPr>
              <w:t>Výše státního dluhu</w:t>
            </w:r>
            <w:r w:rsidRPr="003405C2">
              <w:rPr>
                <w:color w:val="0D0D0D" w:themeColor="text1" w:themeTint="F2"/>
                <w:spacing w:val="4"/>
                <w:szCs w:val="20"/>
              </w:rPr>
              <w:t xml:space="preserve"> ČR dosáhla letos na konci </w:t>
            </w:r>
            <w:r>
              <w:rPr>
                <w:color w:val="0D0D0D" w:themeColor="text1" w:themeTint="F2"/>
                <w:spacing w:val="4"/>
                <w:szCs w:val="20"/>
              </w:rPr>
              <w:t xml:space="preserve">června </w:t>
            </w:r>
            <w:r w:rsidRPr="003405C2">
              <w:rPr>
                <w:color w:val="0D0D0D" w:themeColor="text1" w:themeTint="F2"/>
                <w:spacing w:val="4"/>
                <w:szCs w:val="20"/>
              </w:rPr>
              <w:t>3 72</w:t>
            </w:r>
            <w:r>
              <w:rPr>
                <w:color w:val="0D0D0D" w:themeColor="text1" w:themeTint="F2"/>
                <w:spacing w:val="4"/>
                <w:szCs w:val="20"/>
              </w:rPr>
              <w:t>7</w:t>
            </w:r>
            <w:r w:rsidRPr="003405C2">
              <w:rPr>
                <w:color w:val="0D0D0D" w:themeColor="text1" w:themeTint="F2"/>
                <w:spacing w:val="4"/>
                <w:szCs w:val="20"/>
              </w:rPr>
              <w:t xml:space="preserve"> mld. korun a meziročně vzrostla o </w:t>
            </w:r>
            <w:r>
              <w:rPr>
                <w:color w:val="0D0D0D" w:themeColor="text1" w:themeTint="F2"/>
                <w:spacing w:val="4"/>
                <w:szCs w:val="20"/>
              </w:rPr>
              <w:t>6</w:t>
            </w:r>
            <w:r w:rsidRPr="003405C2">
              <w:rPr>
                <w:color w:val="0D0D0D" w:themeColor="text1" w:themeTint="F2"/>
                <w:spacing w:val="4"/>
                <w:szCs w:val="20"/>
              </w:rPr>
              <w:t>,</w:t>
            </w:r>
            <w:r>
              <w:rPr>
                <w:color w:val="0D0D0D" w:themeColor="text1" w:themeTint="F2"/>
                <w:spacing w:val="4"/>
                <w:szCs w:val="20"/>
              </w:rPr>
              <w:t>4</w:t>
            </w:r>
            <w:r w:rsidRPr="003405C2">
              <w:rPr>
                <w:color w:val="0D0D0D" w:themeColor="text1" w:themeTint="F2"/>
                <w:spacing w:val="4"/>
                <w:szCs w:val="20"/>
              </w:rPr>
              <w:t xml:space="preserve"> % (tempo </w:t>
            </w:r>
            <w:r>
              <w:rPr>
                <w:color w:val="0D0D0D" w:themeColor="text1" w:themeTint="F2"/>
                <w:spacing w:val="4"/>
                <w:szCs w:val="20"/>
              </w:rPr>
              <w:t xml:space="preserve">bylo </w:t>
            </w:r>
            <w:r w:rsidRPr="003405C2">
              <w:rPr>
                <w:color w:val="0D0D0D" w:themeColor="text1" w:themeTint="F2"/>
                <w:spacing w:val="4"/>
                <w:szCs w:val="20"/>
              </w:rPr>
              <w:t>ve srovnání s</w:t>
            </w:r>
            <w:r>
              <w:rPr>
                <w:color w:val="0D0D0D" w:themeColor="text1" w:themeTint="F2"/>
                <w:spacing w:val="4"/>
                <w:szCs w:val="20"/>
              </w:rPr>
              <w:t> úhrnem za</w:t>
            </w:r>
            <w:r w:rsidRPr="003405C2">
              <w:rPr>
                <w:color w:val="0D0D0D" w:themeColor="text1" w:themeTint="F2"/>
                <w:spacing w:val="4"/>
                <w:szCs w:val="20"/>
              </w:rPr>
              <w:t xml:space="preserve"> rok</w:t>
            </w:r>
            <w:r>
              <w:rPr>
                <w:color w:val="0D0D0D" w:themeColor="text1" w:themeTint="F2"/>
                <w:spacing w:val="4"/>
                <w:szCs w:val="20"/>
              </w:rPr>
              <w:t>y</w:t>
            </w:r>
            <w:r w:rsidRPr="003405C2">
              <w:rPr>
                <w:color w:val="0D0D0D" w:themeColor="text1" w:themeTint="F2"/>
                <w:spacing w:val="4"/>
                <w:szCs w:val="20"/>
              </w:rPr>
              <w:t xml:space="preserve"> 2024 i 2025 </w:t>
            </w:r>
            <w:r>
              <w:rPr>
                <w:color w:val="0D0D0D" w:themeColor="text1" w:themeTint="F2"/>
                <w:spacing w:val="4"/>
                <w:szCs w:val="20"/>
              </w:rPr>
              <w:t>jen nepatrně nižší</w:t>
            </w:r>
            <w:r w:rsidRPr="003405C2">
              <w:rPr>
                <w:color w:val="0D0D0D" w:themeColor="text1" w:themeTint="F2"/>
                <w:spacing w:val="4"/>
                <w:szCs w:val="20"/>
              </w:rPr>
              <w:t>)</w:t>
            </w:r>
            <w:r>
              <w:rPr>
                <w:color w:val="0D0D0D" w:themeColor="text1" w:themeTint="F2"/>
                <w:spacing w:val="4"/>
                <w:szCs w:val="20"/>
              </w:rPr>
              <w:t xml:space="preserve"> a od počátku letošního roku o 1,3 %. Meziročně se</w:t>
            </w:r>
            <w:r w:rsidRPr="003405C2">
              <w:rPr>
                <w:color w:val="0D0D0D" w:themeColor="text1" w:themeTint="F2"/>
                <w:spacing w:val="4"/>
                <w:szCs w:val="20"/>
              </w:rPr>
              <w:t xml:space="preserve"> </w:t>
            </w:r>
            <w:r>
              <w:rPr>
                <w:color w:val="0D0D0D" w:themeColor="text1" w:themeTint="F2"/>
                <w:spacing w:val="4"/>
                <w:szCs w:val="20"/>
              </w:rPr>
              <w:t>zvyšovala jen vnitřní zadluženost</w:t>
            </w:r>
            <w:r w:rsidR="001E5803">
              <w:rPr>
                <w:color w:val="0D0D0D" w:themeColor="text1" w:themeTint="F2"/>
                <w:spacing w:val="4"/>
                <w:szCs w:val="20"/>
              </w:rPr>
              <w:t xml:space="preserve"> </w:t>
            </w:r>
            <w:r>
              <w:rPr>
                <w:color w:val="0D0D0D" w:themeColor="text1" w:themeTint="F2"/>
                <w:spacing w:val="4"/>
                <w:szCs w:val="20"/>
              </w:rPr>
              <w:t>(+234</w:t>
            </w:r>
            <w:r>
              <w:rPr>
                <w:color w:val="0D0D0D" w:themeColor="text1" w:themeTint="F2"/>
              </w:rPr>
              <w:t> </w:t>
            </w:r>
            <w:r>
              <w:rPr>
                <w:color w:val="0D0D0D" w:themeColor="text1" w:themeTint="F2"/>
                <w:spacing w:val="4"/>
                <w:szCs w:val="20"/>
              </w:rPr>
              <w:t>mld. korun), vně</w:t>
            </w:r>
            <w:r w:rsidRPr="003405C2">
              <w:rPr>
                <w:color w:val="0D0D0D" w:themeColor="text1" w:themeTint="F2"/>
                <w:spacing w:val="4"/>
                <w:szCs w:val="20"/>
              </w:rPr>
              <w:t>jší dluh</w:t>
            </w:r>
            <w:r w:rsidRPr="003405C2">
              <w:rPr>
                <w:rStyle w:val="Znakapoznpodarou"/>
                <w:color w:val="0D0D0D" w:themeColor="text1" w:themeTint="F2"/>
                <w:spacing w:val="4"/>
                <w:szCs w:val="20"/>
              </w:rPr>
              <w:footnoteReference w:id="149"/>
            </w:r>
            <w:r w:rsidRPr="003405C2">
              <w:rPr>
                <w:color w:val="0D0D0D" w:themeColor="text1" w:themeTint="F2"/>
                <w:spacing w:val="4"/>
                <w:szCs w:val="20"/>
              </w:rPr>
              <w:t xml:space="preserve"> klesl zejména díky řádným splátkám úvěrů Evropské investiční bance, resp. Evropské komisi, ke kterým došlo na počátku letošního roku.</w:t>
            </w:r>
          </w:p>
        </w:tc>
      </w:tr>
      <w:tr w:rsidR="006B1AFC" w:rsidRPr="00FC6700" w14:paraId="79E8FCD0" w14:textId="77777777" w:rsidTr="003C4A79">
        <w:trPr>
          <w:trHeight w:val="170"/>
        </w:trPr>
        <w:tc>
          <w:tcPr>
            <w:tcW w:w="1803" w:type="dxa"/>
            <w:tcMar>
              <w:left w:w="0" w:type="dxa"/>
            </w:tcMar>
          </w:tcPr>
          <w:p w14:paraId="5CCBE614" w14:textId="77777777" w:rsidR="006B1AFC" w:rsidRDefault="006B1AFC" w:rsidP="003C4A79">
            <w:pPr>
              <w:pStyle w:val="Marginlie"/>
              <w:rPr>
                <w:spacing w:val="0"/>
              </w:rPr>
            </w:pPr>
            <w:r>
              <w:rPr>
                <w:spacing w:val="0"/>
              </w:rPr>
              <w:t>Rozpočtově očekávaný pokles dotací územním rozpočtům odrážel změnu financování části pracovníků v regionálním školství.</w:t>
            </w:r>
          </w:p>
        </w:tc>
        <w:tc>
          <w:tcPr>
            <w:tcW w:w="203" w:type="dxa"/>
            <w:tcMar>
              <w:left w:w="0" w:type="dxa"/>
            </w:tcMar>
          </w:tcPr>
          <w:p w14:paraId="1546786A" w14:textId="77777777" w:rsidR="006B1AFC" w:rsidRPr="00FC6700" w:rsidRDefault="006B1AFC" w:rsidP="003C4A79">
            <w:pPr>
              <w:pStyle w:val="Textpoznpodarou"/>
              <w:jc w:val="both"/>
            </w:pPr>
          </w:p>
        </w:tc>
        <w:tc>
          <w:tcPr>
            <w:tcW w:w="7663" w:type="dxa"/>
            <w:tcMar>
              <w:left w:w="0" w:type="dxa"/>
            </w:tcMar>
          </w:tcPr>
          <w:p w14:paraId="4B864A9B" w14:textId="77777777" w:rsidR="006B1AFC" w:rsidRPr="003D2C7D" w:rsidRDefault="006B1AFC" w:rsidP="003C4A79">
            <w:pPr>
              <w:rPr>
                <w:color w:val="0D0D0D" w:themeColor="text1" w:themeTint="F2"/>
                <w:spacing w:val="-2"/>
                <w:szCs w:val="20"/>
                <w:highlight w:val="cyan"/>
              </w:rPr>
            </w:pPr>
            <w:r>
              <w:rPr>
                <w:color w:val="0D0D0D" w:themeColor="text1" w:themeTint="F2"/>
                <w:spacing w:val="-2"/>
                <w:szCs w:val="20"/>
              </w:rPr>
              <w:t>Proti r</w:t>
            </w:r>
            <w:r w:rsidRPr="00A0308D">
              <w:rPr>
                <w:color w:val="0D0D0D" w:themeColor="text1" w:themeTint="F2"/>
                <w:spacing w:val="-2"/>
                <w:szCs w:val="20"/>
              </w:rPr>
              <w:t>ůst</w:t>
            </w:r>
            <w:r>
              <w:rPr>
                <w:color w:val="0D0D0D" w:themeColor="text1" w:themeTint="F2"/>
                <w:spacing w:val="-2"/>
                <w:szCs w:val="20"/>
              </w:rPr>
              <w:t>u</w:t>
            </w:r>
            <w:r w:rsidRPr="00A0308D">
              <w:rPr>
                <w:color w:val="0D0D0D" w:themeColor="text1" w:themeTint="F2"/>
                <w:spacing w:val="-2"/>
                <w:szCs w:val="20"/>
              </w:rPr>
              <w:t xml:space="preserve"> běžných výdajů v 1. pololetí </w:t>
            </w:r>
            <w:r>
              <w:rPr>
                <w:color w:val="0D0D0D" w:themeColor="text1" w:themeTint="F2"/>
                <w:spacing w:val="-2"/>
                <w:szCs w:val="20"/>
              </w:rPr>
              <w:t>působilo</w:t>
            </w:r>
            <w:r w:rsidRPr="00A0308D">
              <w:rPr>
                <w:color w:val="0D0D0D" w:themeColor="text1" w:themeTint="F2"/>
                <w:spacing w:val="-2"/>
                <w:szCs w:val="20"/>
              </w:rPr>
              <w:t xml:space="preserve"> především významn</w:t>
            </w:r>
            <w:r>
              <w:rPr>
                <w:color w:val="0D0D0D" w:themeColor="text1" w:themeTint="F2"/>
                <w:spacing w:val="-2"/>
                <w:szCs w:val="20"/>
              </w:rPr>
              <w:t>é</w:t>
            </w:r>
            <w:r w:rsidRPr="00A0308D">
              <w:rPr>
                <w:color w:val="0D0D0D" w:themeColor="text1" w:themeTint="F2"/>
                <w:spacing w:val="-2"/>
                <w:szCs w:val="20"/>
              </w:rPr>
              <w:t xml:space="preserve"> snížení transferů územním rozpočtům (</w:t>
            </w:r>
            <w:r w:rsidRPr="009407CE">
              <w:rPr>
                <w:spacing w:val="-2"/>
              </w:rPr>
              <w:t>–</w:t>
            </w:r>
            <w:r w:rsidRPr="00A0308D">
              <w:rPr>
                <w:color w:val="0D0D0D" w:themeColor="text1" w:themeTint="F2"/>
                <w:spacing w:val="-2"/>
                <w:szCs w:val="20"/>
              </w:rPr>
              <w:t xml:space="preserve">6,0 %, </w:t>
            </w:r>
            <w:r w:rsidRPr="009407CE">
              <w:rPr>
                <w:spacing w:val="-2"/>
              </w:rPr>
              <w:t>–</w:t>
            </w:r>
            <w:r w:rsidRPr="00A0308D">
              <w:rPr>
                <w:color w:val="0D0D0D" w:themeColor="text1" w:themeTint="F2"/>
                <w:spacing w:val="-2"/>
                <w:szCs w:val="20"/>
              </w:rPr>
              <w:t>11,2 mld. korun).</w:t>
            </w:r>
            <w:r>
              <w:rPr>
                <w:color w:val="0D0D0D" w:themeColor="text1" w:themeTint="F2"/>
                <w:spacing w:val="-2"/>
                <w:szCs w:val="20"/>
              </w:rPr>
              <w:t xml:space="preserve"> Projevila se zde letošní </w:t>
            </w:r>
            <w:r w:rsidRPr="00A0308D">
              <w:rPr>
                <w:color w:val="0D0D0D" w:themeColor="text1" w:themeTint="F2"/>
                <w:spacing w:val="-2"/>
                <w:szCs w:val="20"/>
              </w:rPr>
              <w:t>změn</w:t>
            </w:r>
            <w:r>
              <w:rPr>
                <w:color w:val="0D0D0D" w:themeColor="text1" w:themeTint="F2"/>
                <w:spacing w:val="-2"/>
                <w:szCs w:val="20"/>
              </w:rPr>
              <w:t>a</w:t>
            </w:r>
            <w:r w:rsidRPr="00A0308D">
              <w:rPr>
                <w:color w:val="0D0D0D" w:themeColor="text1" w:themeTint="F2"/>
                <w:spacing w:val="-2"/>
                <w:szCs w:val="20"/>
              </w:rPr>
              <w:t xml:space="preserve"> v systému financování nepedag</w:t>
            </w:r>
            <w:r>
              <w:rPr>
                <w:color w:val="0D0D0D" w:themeColor="text1" w:themeTint="F2"/>
                <w:spacing w:val="-2"/>
                <w:szCs w:val="20"/>
              </w:rPr>
              <w:t>ogických pracovníků (</w:t>
            </w:r>
            <w:r w:rsidRPr="00A0308D">
              <w:rPr>
                <w:color w:val="0D0D0D" w:themeColor="text1" w:themeTint="F2"/>
                <w:spacing w:val="-2"/>
                <w:szCs w:val="20"/>
              </w:rPr>
              <w:t>převeden</w:t>
            </w:r>
            <w:r>
              <w:rPr>
                <w:color w:val="0D0D0D" w:themeColor="text1" w:themeTint="F2"/>
                <w:spacing w:val="-2"/>
                <w:szCs w:val="20"/>
              </w:rPr>
              <w:t>í</w:t>
            </w:r>
            <w:r w:rsidRPr="00A0308D">
              <w:rPr>
                <w:color w:val="0D0D0D" w:themeColor="text1" w:themeTint="F2"/>
                <w:spacing w:val="-2"/>
                <w:szCs w:val="20"/>
              </w:rPr>
              <w:t xml:space="preserve"> ze státu na zřizovatele</w:t>
            </w:r>
            <w:r>
              <w:rPr>
                <w:color w:val="0D0D0D" w:themeColor="text1" w:themeTint="F2"/>
                <w:spacing w:val="-2"/>
                <w:szCs w:val="20"/>
              </w:rPr>
              <w:t xml:space="preserve"> </w:t>
            </w:r>
            <w:r w:rsidRPr="009407CE">
              <w:rPr>
                <w:spacing w:val="-2"/>
              </w:rPr>
              <w:t>–</w:t>
            </w:r>
            <w:r>
              <w:rPr>
                <w:color w:val="0D0D0D" w:themeColor="text1" w:themeTint="F2"/>
                <w:spacing w:val="-2"/>
                <w:szCs w:val="20"/>
              </w:rPr>
              <w:t xml:space="preserve"> nejčastěji obce či kraje</w:t>
            </w:r>
            <w:r>
              <w:rPr>
                <w:rStyle w:val="Znakapoznpodarou"/>
                <w:color w:val="0D0D0D" w:themeColor="text1" w:themeTint="F2"/>
                <w:spacing w:val="-2"/>
                <w:szCs w:val="20"/>
              </w:rPr>
              <w:footnoteReference w:id="150"/>
            </w:r>
            <w:r>
              <w:rPr>
                <w:color w:val="0D0D0D" w:themeColor="text1" w:themeTint="F2"/>
                <w:spacing w:val="-2"/>
                <w:szCs w:val="20"/>
              </w:rPr>
              <w:t>)</w:t>
            </w:r>
            <w:r w:rsidRPr="00A0308D">
              <w:rPr>
                <w:color w:val="0D0D0D" w:themeColor="text1" w:themeTint="F2"/>
                <w:spacing w:val="-2"/>
                <w:szCs w:val="20"/>
              </w:rPr>
              <w:t>.</w:t>
            </w:r>
            <w:r>
              <w:rPr>
                <w:color w:val="0D0D0D" w:themeColor="text1" w:themeTint="F2"/>
                <w:spacing w:val="-2"/>
                <w:szCs w:val="20"/>
              </w:rPr>
              <w:t xml:space="preserve"> Proti hlubšímu poklesu dotací obcím či krajům dočasně působilo předfinancování v oblasti </w:t>
            </w:r>
            <w:r w:rsidRPr="00A0308D">
              <w:rPr>
                <w:color w:val="0D0D0D" w:themeColor="text1" w:themeTint="F2"/>
                <w:spacing w:val="-2"/>
                <w:szCs w:val="20"/>
              </w:rPr>
              <w:t>sociálních služeb</w:t>
            </w:r>
            <w:r>
              <w:rPr>
                <w:color w:val="0D0D0D" w:themeColor="text1" w:themeTint="F2"/>
                <w:spacing w:val="-2"/>
                <w:szCs w:val="20"/>
              </w:rPr>
              <w:t xml:space="preserve"> (provedeno již na celý letošní rok). Z dalších významnějších výdajů</w:t>
            </w:r>
            <w:r w:rsidRPr="00813B24">
              <w:rPr>
                <w:color w:val="0D0D0D" w:themeColor="text1" w:themeTint="F2"/>
                <w:spacing w:val="-2"/>
                <w:szCs w:val="20"/>
              </w:rPr>
              <w:t xml:space="preserve"> </w:t>
            </w:r>
            <w:r>
              <w:rPr>
                <w:color w:val="0D0D0D" w:themeColor="text1" w:themeTint="F2"/>
                <w:spacing w:val="-2"/>
                <w:szCs w:val="20"/>
              </w:rPr>
              <w:t>v 1. pololetí zřetelně k</w:t>
            </w:r>
            <w:r w:rsidRPr="00813B24">
              <w:rPr>
                <w:color w:val="0D0D0D" w:themeColor="text1" w:themeTint="F2"/>
                <w:spacing w:val="-2"/>
                <w:szCs w:val="20"/>
              </w:rPr>
              <w:t>le</w:t>
            </w:r>
            <w:r>
              <w:rPr>
                <w:color w:val="0D0D0D" w:themeColor="text1" w:themeTint="F2"/>
                <w:spacing w:val="-2"/>
                <w:szCs w:val="20"/>
              </w:rPr>
              <w:t>sly</w:t>
            </w:r>
            <w:r w:rsidRPr="00813B24">
              <w:rPr>
                <w:color w:val="0D0D0D" w:themeColor="text1" w:themeTint="F2"/>
                <w:spacing w:val="-2"/>
                <w:szCs w:val="20"/>
              </w:rPr>
              <w:t xml:space="preserve"> již</w:t>
            </w:r>
            <w:r>
              <w:rPr>
                <w:color w:val="0D0D0D" w:themeColor="text1" w:themeTint="F2"/>
                <w:spacing w:val="-2"/>
                <w:szCs w:val="20"/>
              </w:rPr>
              <w:t xml:space="preserve"> j</w:t>
            </w:r>
            <w:r w:rsidRPr="00813B24">
              <w:rPr>
                <w:color w:val="0D0D0D" w:themeColor="text1" w:themeTint="F2"/>
                <w:spacing w:val="-2"/>
                <w:szCs w:val="20"/>
              </w:rPr>
              <w:t>e</w:t>
            </w:r>
            <w:r>
              <w:rPr>
                <w:color w:val="0D0D0D" w:themeColor="text1" w:themeTint="F2"/>
                <w:spacing w:val="-2"/>
                <w:szCs w:val="20"/>
              </w:rPr>
              <w:t>n</w:t>
            </w:r>
            <w:r w:rsidRPr="00813B24">
              <w:rPr>
                <w:color w:val="0D0D0D" w:themeColor="text1" w:themeTint="F2"/>
                <w:spacing w:val="-2"/>
                <w:szCs w:val="20"/>
              </w:rPr>
              <w:t xml:space="preserve"> dotac</w:t>
            </w:r>
            <w:r>
              <w:rPr>
                <w:color w:val="0D0D0D" w:themeColor="text1" w:themeTint="F2"/>
                <w:spacing w:val="-2"/>
                <w:szCs w:val="20"/>
              </w:rPr>
              <w:t>e</w:t>
            </w:r>
            <w:r w:rsidRPr="00813B24">
              <w:rPr>
                <w:color w:val="0D0D0D" w:themeColor="text1" w:themeTint="F2"/>
                <w:spacing w:val="-2"/>
                <w:szCs w:val="20"/>
              </w:rPr>
              <w:t xml:space="preserve"> neziskovým organizacím (</w:t>
            </w:r>
            <w:r w:rsidRPr="009407CE">
              <w:rPr>
                <w:spacing w:val="-2"/>
              </w:rPr>
              <w:t>–</w:t>
            </w:r>
            <w:r w:rsidRPr="00813B24">
              <w:rPr>
                <w:color w:val="0D0D0D" w:themeColor="text1" w:themeTint="F2"/>
                <w:spacing w:val="-2"/>
                <w:szCs w:val="20"/>
              </w:rPr>
              <w:t xml:space="preserve">13,4 %, </w:t>
            </w:r>
            <w:r w:rsidRPr="009407CE">
              <w:rPr>
                <w:spacing w:val="-2"/>
              </w:rPr>
              <w:t>–</w:t>
            </w:r>
            <w:r w:rsidRPr="00813B24">
              <w:rPr>
                <w:color w:val="0D0D0D" w:themeColor="text1" w:themeTint="F2"/>
                <w:spacing w:val="-2"/>
                <w:szCs w:val="20"/>
              </w:rPr>
              <w:t xml:space="preserve">8,7 mld. korun). </w:t>
            </w:r>
            <w:r>
              <w:rPr>
                <w:color w:val="0D0D0D" w:themeColor="text1" w:themeTint="F2"/>
                <w:spacing w:val="-2"/>
                <w:szCs w:val="20"/>
              </w:rPr>
              <w:t>Šlo o jednu z mála oblastí, která byla i na počátku léta stále ovlivněna dozvuky rozpočtového provizoria (to se odrazilo v nižší po</w:t>
            </w:r>
            <w:r w:rsidRPr="00813B24">
              <w:rPr>
                <w:color w:val="0D0D0D" w:themeColor="text1" w:themeTint="F2"/>
                <w:spacing w:val="-2"/>
                <w:szCs w:val="20"/>
              </w:rPr>
              <w:t>dpo</w:t>
            </w:r>
            <w:r>
              <w:rPr>
                <w:color w:val="0D0D0D" w:themeColor="text1" w:themeTint="F2"/>
                <w:spacing w:val="-2"/>
                <w:szCs w:val="20"/>
              </w:rPr>
              <w:t>ře</w:t>
            </w:r>
            <w:r w:rsidRPr="00813B24">
              <w:rPr>
                <w:color w:val="0D0D0D" w:themeColor="text1" w:themeTint="F2"/>
                <w:spacing w:val="-2"/>
                <w:szCs w:val="20"/>
              </w:rPr>
              <w:t xml:space="preserve"> výzkumu, vývoje a inovací poskytnutých </w:t>
            </w:r>
            <w:r>
              <w:rPr>
                <w:color w:val="0D0D0D" w:themeColor="text1" w:themeTint="F2"/>
                <w:spacing w:val="-2"/>
                <w:szCs w:val="20"/>
              </w:rPr>
              <w:t xml:space="preserve">veřejným </w:t>
            </w:r>
            <w:r w:rsidRPr="00813B24">
              <w:rPr>
                <w:color w:val="0D0D0D" w:themeColor="text1" w:themeTint="F2"/>
                <w:spacing w:val="-2"/>
                <w:szCs w:val="20"/>
              </w:rPr>
              <w:t>institucím</w:t>
            </w:r>
            <w:r>
              <w:rPr>
                <w:color w:val="0D0D0D" w:themeColor="text1" w:themeTint="F2"/>
                <w:spacing w:val="-2"/>
                <w:szCs w:val="20"/>
              </w:rPr>
              <w:t xml:space="preserve">). </w:t>
            </w:r>
          </w:p>
        </w:tc>
      </w:tr>
      <w:tr w:rsidR="006B1AFC" w:rsidRPr="00FC6700" w14:paraId="0682B754" w14:textId="77777777" w:rsidTr="003C4A79">
        <w:trPr>
          <w:trHeight w:val="170"/>
        </w:trPr>
        <w:tc>
          <w:tcPr>
            <w:tcW w:w="1803" w:type="dxa"/>
            <w:tcMar>
              <w:left w:w="0" w:type="dxa"/>
            </w:tcMar>
          </w:tcPr>
          <w:p w14:paraId="7A37B5F7" w14:textId="77777777" w:rsidR="006B1AFC" w:rsidRDefault="006B1AFC" w:rsidP="003C4A79">
            <w:pPr>
              <w:pStyle w:val="Marginlie"/>
              <w:rPr>
                <w:spacing w:val="0"/>
              </w:rPr>
            </w:pPr>
            <w:r>
              <w:rPr>
                <w:color w:val="0D0D0D" w:themeColor="text1" w:themeTint="F2"/>
                <w:spacing w:val="0"/>
              </w:rPr>
              <w:t>Ke svižnému růstu kapitálových výdajů přispěly nákupy v oblasti bezpečnosti a také dotace do dopravní infrastruktury.</w:t>
            </w:r>
          </w:p>
        </w:tc>
        <w:tc>
          <w:tcPr>
            <w:tcW w:w="203" w:type="dxa"/>
            <w:tcMar>
              <w:left w:w="0" w:type="dxa"/>
            </w:tcMar>
          </w:tcPr>
          <w:p w14:paraId="464CAF0E" w14:textId="77777777" w:rsidR="006B1AFC" w:rsidRPr="00FC6700" w:rsidRDefault="006B1AFC" w:rsidP="003C4A79">
            <w:pPr>
              <w:pStyle w:val="Textpoznpodarou"/>
              <w:jc w:val="both"/>
            </w:pPr>
          </w:p>
        </w:tc>
        <w:tc>
          <w:tcPr>
            <w:tcW w:w="7663" w:type="dxa"/>
            <w:tcMar>
              <w:left w:w="0" w:type="dxa"/>
            </w:tcMar>
          </w:tcPr>
          <w:p w14:paraId="06E47C57" w14:textId="77777777" w:rsidR="006B1AFC" w:rsidRPr="00A0308D" w:rsidRDefault="006B1AFC" w:rsidP="003C4A79">
            <w:pPr>
              <w:rPr>
                <w:color w:val="0D0D0D" w:themeColor="text1" w:themeTint="F2"/>
                <w:spacing w:val="-2"/>
                <w:szCs w:val="20"/>
              </w:rPr>
            </w:pPr>
            <w:r w:rsidRPr="00033683">
              <w:rPr>
                <w:color w:val="0D0D0D" w:themeColor="text1" w:themeTint="F2"/>
                <w:spacing w:val="-2"/>
              </w:rPr>
              <w:t xml:space="preserve">Kapitálové výdaje SR </w:t>
            </w:r>
            <w:r>
              <w:rPr>
                <w:color w:val="0D0D0D" w:themeColor="text1" w:themeTint="F2"/>
                <w:spacing w:val="-2"/>
              </w:rPr>
              <w:t xml:space="preserve">se </w:t>
            </w:r>
            <w:r w:rsidRPr="00033683">
              <w:rPr>
                <w:color w:val="0D0D0D" w:themeColor="text1" w:themeTint="F2"/>
                <w:spacing w:val="-2"/>
              </w:rPr>
              <w:t>v 1.</w:t>
            </w:r>
            <w:r w:rsidRPr="003405C2">
              <w:rPr>
                <w:color w:val="0D0D0D" w:themeColor="text1" w:themeTint="F2"/>
                <w:spacing w:val="-2"/>
              </w:rPr>
              <w:t xml:space="preserve"> </w:t>
            </w:r>
            <w:r>
              <w:rPr>
                <w:color w:val="0D0D0D" w:themeColor="text1" w:themeTint="F2"/>
                <w:spacing w:val="-2"/>
              </w:rPr>
              <w:t>polole</w:t>
            </w:r>
            <w:r w:rsidRPr="003405C2">
              <w:rPr>
                <w:color w:val="0D0D0D" w:themeColor="text1" w:themeTint="F2"/>
                <w:spacing w:val="-2"/>
              </w:rPr>
              <w:t xml:space="preserve">tí meziročně </w:t>
            </w:r>
            <w:r>
              <w:rPr>
                <w:color w:val="0D0D0D" w:themeColor="text1" w:themeTint="F2"/>
                <w:spacing w:val="-2"/>
              </w:rPr>
              <w:t>zvýšily</w:t>
            </w:r>
            <w:r w:rsidRPr="003405C2">
              <w:rPr>
                <w:color w:val="0D0D0D" w:themeColor="text1" w:themeTint="F2"/>
                <w:spacing w:val="-2"/>
              </w:rPr>
              <w:t xml:space="preserve"> (+</w:t>
            </w:r>
            <w:r>
              <w:rPr>
                <w:color w:val="0D0D0D" w:themeColor="text1" w:themeTint="F2"/>
                <w:spacing w:val="-2"/>
              </w:rPr>
              <w:t>32,0</w:t>
            </w:r>
            <w:r w:rsidRPr="003405C2">
              <w:rPr>
                <w:color w:val="0D0D0D" w:themeColor="text1" w:themeTint="F2"/>
                <w:spacing w:val="-2"/>
              </w:rPr>
              <w:t xml:space="preserve"> %</w:t>
            </w:r>
            <w:r>
              <w:rPr>
                <w:color w:val="0D0D0D" w:themeColor="text1" w:themeTint="F2"/>
                <w:spacing w:val="-2"/>
              </w:rPr>
              <w:t>, resp. 25,8 mld. korun</w:t>
            </w:r>
            <w:r w:rsidRPr="003405C2">
              <w:rPr>
                <w:color w:val="0D0D0D" w:themeColor="text1" w:themeTint="F2"/>
                <w:spacing w:val="-2"/>
              </w:rPr>
              <w:t>).</w:t>
            </w:r>
            <w:r>
              <w:rPr>
                <w:color w:val="0D0D0D" w:themeColor="text1" w:themeTint="F2"/>
                <w:spacing w:val="-2"/>
              </w:rPr>
              <w:t xml:space="preserve"> Realizovalo se tak již mírně přes 40 % plánovaných letošních investic</w:t>
            </w:r>
            <w:r>
              <w:rPr>
                <w:rStyle w:val="Znakapoznpodarou"/>
                <w:color w:val="0D0D0D" w:themeColor="text1" w:themeTint="F2"/>
                <w:spacing w:val="-2"/>
              </w:rPr>
              <w:footnoteReference w:id="151"/>
            </w:r>
            <w:r>
              <w:rPr>
                <w:color w:val="0D0D0D" w:themeColor="text1" w:themeTint="F2"/>
                <w:spacing w:val="-2"/>
              </w:rPr>
              <w:t xml:space="preserve">. Růst investic měl převážně plošný charakter </w:t>
            </w:r>
            <w:r w:rsidRPr="009407CE">
              <w:rPr>
                <w:spacing w:val="-2"/>
              </w:rPr>
              <w:t>–</w:t>
            </w:r>
            <w:r>
              <w:rPr>
                <w:color w:val="0D0D0D" w:themeColor="text1" w:themeTint="F2"/>
                <w:spacing w:val="-2"/>
              </w:rPr>
              <w:t xml:space="preserve"> nejvíce patrný byl v oblasti investičních nákupů (+75 %), především vlivem posílení vnitřní i vnější bezpečnosti státu a také pořízení nemovitostí. K posílení celkových investic ovšem nejvíce přispěly transfery státním fondům (+12,8 mld. korun), primárně do dopravní infrastruktury</w:t>
            </w:r>
            <w:r>
              <w:rPr>
                <w:rStyle w:val="Znakapoznpodarou"/>
                <w:color w:val="0D0D0D" w:themeColor="text1" w:themeTint="F2"/>
                <w:spacing w:val="-2"/>
              </w:rPr>
              <w:footnoteReference w:id="152"/>
            </w:r>
            <w:r>
              <w:rPr>
                <w:color w:val="0D0D0D" w:themeColor="text1" w:themeTint="F2"/>
                <w:spacing w:val="-2"/>
              </w:rPr>
              <w:t xml:space="preserve">. Vedle toho svižně vzrostly (při relativně vysoké míře plnění) i objemově méně významné investice územním samosprávám </w:t>
            </w:r>
            <w:r>
              <w:rPr>
                <w:color w:val="0D0D0D" w:themeColor="text1" w:themeTint="F2"/>
                <w:spacing w:val="-2"/>
              </w:rPr>
              <w:br/>
              <w:t xml:space="preserve">a podnikatelům. Ty souvisely s rozvojem čerpání evropských fondů. Jejich čerpání je </w:t>
            </w:r>
            <w:r>
              <w:rPr>
                <w:color w:val="0D0D0D" w:themeColor="text1" w:themeTint="F2"/>
                <w:spacing w:val="-2"/>
              </w:rPr>
              <w:lastRenderedPageBreak/>
              <w:t>naopak zatím letos pomalejší u příspěvkových organizací, zejména vysokých škol. Celkové investice se na veškerých výdajích SR v 1. pololetí podílely 8,6 %.</w:t>
            </w:r>
          </w:p>
        </w:tc>
      </w:tr>
      <w:tr w:rsidR="006B1AFC" w:rsidRPr="00FC6700" w14:paraId="6AB5989E" w14:textId="77777777" w:rsidTr="003C4A79">
        <w:trPr>
          <w:trHeight w:val="170"/>
        </w:trPr>
        <w:tc>
          <w:tcPr>
            <w:tcW w:w="1803" w:type="dxa"/>
            <w:tcMar>
              <w:left w:w="0" w:type="dxa"/>
            </w:tcMar>
          </w:tcPr>
          <w:p w14:paraId="5FBFBAF3" w14:textId="77777777" w:rsidR="006B1AFC" w:rsidRPr="00FC6700" w:rsidRDefault="006B1AFC" w:rsidP="003C4A79">
            <w:pPr>
              <w:pStyle w:val="Marginlie"/>
              <w:rPr>
                <w:spacing w:val="0"/>
              </w:rPr>
            </w:pPr>
            <w:bookmarkStart w:id="56" w:name="_Hlk238075315"/>
          </w:p>
        </w:tc>
        <w:tc>
          <w:tcPr>
            <w:tcW w:w="203" w:type="dxa"/>
            <w:tcMar>
              <w:left w:w="0" w:type="dxa"/>
            </w:tcMar>
          </w:tcPr>
          <w:p w14:paraId="5973E746" w14:textId="77777777" w:rsidR="006B1AFC" w:rsidRPr="00FC6700" w:rsidRDefault="006B1AFC" w:rsidP="003C4A79">
            <w:pPr>
              <w:pStyle w:val="Textpoznpodarou"/>
              <w:jc w:val="both"/>
            </w:pPr>
          </w:p>
        </w:tc>
        <w:tc>
          <w:tcPr>
            <w:tcW w:w="7663" w:type="dxa"/>
            <w:tcMar>
              <w:left w:w="0" w:type="dxa"/>
            </w:tcMar>
          </w:tcPr>
          <w:p w14:paraId="4E7C50F4" w14:textId="77777777" w:rsidR="006B1AFC" w:rsidRDefault="006B1AFC" w:rsidP="003C4A79">
            <w:pPr>
              <w:spacing w:after="0"/>
              <w:rPr>
                <w:rFonts w:cs="Arial"/>
                <w:b/>
                <w:bCs/>
              </w:rPr>
            </w:pPr>
            <w:bookmarkStart w:id="57" w:name="_Hlk238075293"/>
            <w:r w:rsidRPr="00FC6700">
              <w:rPr>
                <w:b/>
              </w:rPr>
              <w:t>Graf č. </w:t>
            </w:r>
            <w:r>
              <w:rPr>
                <w:b/>
              </w:rPr>
              <w:t xml:space="preserve">19: </w:t>
            </w:r>
            <w:r>
              <w:rPr>
                <w:rFonts w:cs="Arial"/>
                <w:b/>
                <w:bCs/>
                <w:color w:val="000000"/>
                <w:szCs w:val="20"/>
              </w:rPr>
              <w:t>Rozklad meziroční změny</w:t>
            </w:r>
            <w:r w:rsidRPr="00FC6700">
              <w:rPr>
                <w:rFonts w:cs="Arial"/>
                <w:b/>
                <w:bCs/>
                <w:color w:val="000000"/>
                <w:szCs w:val="20"/>
              </w:rPr>
              <w:t xml:space="preserve"> </w:t>
            </w:r>
            <w:r>
              <w:rPr>
                <w:rFonts w:cs="Arial"/>
                <w:b/>
                <w:bCs/>
                <w:color w:val="000000"/>
                <w:szCs w:val="20"/>
              </w:rPr>
              <w:t>výdajů</w:t>
            </w:r>
            <w:r>
              <w:rPr>
                <w:rFonts w:cs="Arial"/>
                <w:bCs/>
                <w:color w:val="000000"/>
                <w:szCs w:val="20"/>
              </w:rPr>
              <w:t xml:space="preserve"> </w:t>
            </w:r>
            <w:r w:rsidRPr="00FC6700">
              <w:rPr>
                <w:rFonts w:cs="Arial"/>
                <w:b/>
                <w:bCs/>
                <w:color w:val="000000"/>
                <w:szCs w:val="20"/>
              </w:rPr>
              <w:t>státního rozpočtu</w:t>
            </w:r>
            <w:r>
              <w:rPr>
                <w:rFonts w:cs="Arial"/>
                <w:b/>
                <w:bCs/>
                <w:color w:val="000000"/>
                <w:szCs w:val="20"/>
              </w:rPr>
              <w:t xml:space="preserve"> za</w:t>
            </w:r>
            <w:r>
              <w:rPr>
                <w:rFonts w:cs="Arial"/>
                <w:b/>
                <w:bCs/>
              </w:rPr>
              <w:t xml:space="preserve"> 1. pololetí </w:t>
            </w:r>
          </w:p>
          <w:p w14:paraId="123A8965" w14:textId="77777777" w:rsidR="006B1AFC" w:rsidRPr="00D37B44" w:rsidRDefault="006B1AFC" w:rsidP="003C4A79">
            <w:pPr>
              <w:spacing w:after="20"/>
              <w:rPr>
                <w:b/>
              </w:rPr>
            </w:pPr>
            <w:r w:rsidRPr="00FC6700">
              <w:rPr>
                <w:rFonts w:cs="Arial"/>
                <w:bCs/>
                <w:color w:val="000000"/>
                <w:szCs w:val="20"/>
              </w:rPr>
              <w:t>(</w:t>
            </w:r>
            <w:r>
              <w:rPr>
                <w:rFonts w:cs="Arial"/>
                <w:bCs/>
                <w:color w:val="000000"/>
                <w:szCs w:val="20"/>
              </w:rPr>
              <w:t xml:space="preserve">příspěvky k růstu, </w:t>
            </w:r>
            <w:r w:rsidRPr="00FC6700">
              <w:rPr>
                <w:rFonts w:cs="Arial"/>
                <w:bCs/>
                <w:color w:val="000000"/>
                <w:szCs w:val="20"/>
              </w:rPr>
              <w:t>v p. b</w:t>
            </w:r>
            <w:r>
              <w:rPr>
                <w:rFonts w:cs="Arial"/>
                <w:bCs/>
                <w:color w:val="000000"/>
                <w:szCs w:val="20"/>
              </w:rPr>
              <w:t>.</w:t>
            </w:r>
            <w:r w:rsidRPr="00FC6700">
              <w:rPr>
                <w:rFonts w:cs="Arial"/>
                <w:bCs/>
                <w:color w:val="000000"/>
                <w:szCs w:val="20"/>
              </w:rPr>
              <w:t>)</w:t>
            </w:r>
            <w:bookmarkEnd w:id="57"/>
          </w:p>
        </w:tc>
      </w:tr>
      <w:tr w:rsidR="006B1AFC" w:rsidRPr="00FC6700" w14:paraId="7189AF41" w14:textId="77777777" w:rsidTr="003C4A79">
        <w:tblPrEx>
          <w:tblCellMar>
            <w:left w:w="70" w:type="dxa"/>
            <w:right w:w="70" w:type="dxa"/>
          </w:tblCellMar>
        </w:tblPrEx>
        <w:trPr>
          <w:trHeight w:val="170"/>
        </w:trPr>
        <w:tc>
          <w:tcPr>
            <w:tcW w:w="1803" w:type="dxa"/>
          </w:tcPr>
          <w:p w14:paraId="53ACD6B0" w14:textId="77777777" w:rsidR="006B1AFC" w:rsidRPr="00FC6700" w:rsidRDefault="006B1AFC" w:rsidP="003C4A79">
            <w:pPr>
              <w:pStyle w:val="Marginlie"/>
              <w:rPr>
                <w:spacing w:val="0"/>
              </w:rPr>
            </w:pPr>
          </w:p>
        </w:tc>
        <w:tc>
          <w:tcPr>
            <w:tcW w:w="203" w:type="dxa"/>
          </w:tcPr>
          <w:p w14:paraId="28B5105B" w14:textId="77777777" w:rsidR="006B1AFC" w:rsidRPr="00FC6700" w:rsidRDefault="006B1AFC" w:rsidP="003C4A79">
            <w:pPr>
              <w:pStyle w:val="Textpoznpodarou"/>
              <w:jc w:val="both"/>
            </w:pPr>
          </w:p>
        </w:tc>
        <w:tc>
          <w:tcPr>
            <w:tcW w:w="7663" w:type="dxa"/>
          </w:tcPr>
          <w:p w14:paraId="4541348C" w14:textId="77777777" w:rsidR="006B1AFC" w:rsidRPr="00FC6700" w:rsidRDefault="006B1AFC" w:rsidP="003C4A79">
            <w:pPr>
              <w:spacing w:before="20" w:after="20"/>
              <w:rPr>
                <w:color w:val="0D0D0D" w:themeColor="text1" w:themeTint="F2"/>
              </w:rPr>
            </w:pPr>
            <w:r>
              <w:rPr>
                <w:noProof/>
              </w:rPr>
              <w:drawing>
                <wp:inline distT="0" distB="0" distL="0" distR="0" wp14:anchorId="4A045022" wp14:editId="228303FE">
                  <wp:extent cx="4784090" cy="3060000"/>
                  <wp:effectExtent l="0" t="0" r="0" b="7620"/>
                  <wp:docPr id="1971710873" name="Graf 1">
                    <a:extLst xmlns:a="http://schemas.openxmlformats.org/drawingml/2006/main">
                      <a:ext uri="{FF2B5EF4-FFF2-40B4-BE49-F238E27FC236}">
                        <a16:creationId xmlns:a16="http://schemas.microsoft.com/office/drawing/2014/main" id="{8DEC94CB-1298-4EC2-AC39-55F2294CA5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r>
      <w:tr w:rsidR="006B1AFC" w:rsidRPr="00FC6700" w14:paraId="7D109210" w14:textId="77777777" w:rsidTr="003C4A79">
        <w:trPr>
          <w:trHeight w:val="170"/>
        </w:trPr>
        <w:tc>
          <w:tcPr>
            <w:tcW w:w="1803" w:type="dxa"/>
            <w:tcMar>
              <w:left w:w="0" w:type="dxa"/>
            </w:tcMar>
          </w:tcPr>
          <w:p w14:paraId="4A154CFE" w14:textId="77777777" w:rsidR="006B1AFC" w:rsidRPr="00FC6700" w:rsidRDefault="006B1AFC" w:rsidP="003C4A79">
            <w:pPr>
              <w:pStyle w:val="Marginlie"/>
              <w:rPr>
                <w:spacing w:val="0"/>
              </w:rPr>
            </w:pPr>
          </w:p>
        </w:tc>
        <w:tc>
          <w:tcPr>
            <w:tcW w:w="203" w:type="dxa"/>
            <w:tcMar>
              <w:left w:w="0" w:type="dxa"/>
            </w:tcMar>
          </w:tcPr>
          <w:p w14:paraId="2E379A32" w14:textId="77777777" w:rsidR="006B1AFC" w:rsidRPr="00FC6700" w:rsidRDefault="006B1AFC" w:rsidP="003C4A79">
            <w:pPr>
              <w:pStyle w:val="Textpoznpodarou"/>
              <w:jc w:val="both"/>
            </w:pPr>
          </w:p>
        </w:tc>
        <w:tc>
          <w:tcPr>
            <w:tcW w:w="7663" w:type="dxa"/>
            <w:tcMar>
              <w:left w:w="0" w:type="dxa"/>
            </w:tcMar>
          </w:tcPr>
          <w:p w14:paraId="2623358D" w14:textId="77777777" w:rsidR="006B1AFC" w:rsidRPr="00FC6700" w:rsidRDefault="006B1AFC" w:rsidP="003C4A79">
            <w:pPr>
              <w:pStyle w:val="Textpoznpodarou"/>
              <w:rPr>
                <w:sz w:val="14"/>
                <w:szCs w:val="14"/>
              </w:rPr>
            </w:pPr>
            <w:r w:rsidRPr="00FC6700">
              <w:rPr>
                <w:sz w:val="14"/>
                <w:szCs w:val="14"/>
              </w:rPr>
              <w:t>* Pokrývají výdaje na platy v organizačních složkách státu. Nezahrnují například mzdové výdaje na regionální školství.</w:t>
            </w:r>
          </w:p>
          <w:p w14:paraId="2FCA1D58" w14:textId="77777777" w:rsidR="006B1AFC" w:rsidRPr="00FC6700" w:rsidRDefault="006B1AFC" w:rsidP="003C4A79">
            <w:pPr>
              <w:pStyle w:val="Textpoznpodarou"/>
              <w:rPr>
                <w:sz w:val="14"/>
                <w:szCs w:val="14"/>
              </w:rPr>
            </w:pPr>
            <w:r w:rsidRPr="00D37B44">
              <w:rPr>
                <w:sz w:val="14"/>
                <w:szCs w:val="14"/>
              </w:rPr>
              <w:t>**Obsahují i neinvestiční výdaje kapitoly Státní dluh (č. 396).</w:t>
            </w:r>
          </w:p>
          <w:p w14:paraId="77D47881" w14:textId="77777777" w:rsidR="006B1AFC" w:rsidRDefault="006B1AFC" w:rsidP="003C4A79">
            <w:pPr>
              <w:spacing w:after="0" w:line="240" w:lineRule="auto"/>
              <w:rPr>
                <w:sz w:val="14"/>
                <w:szCs w:val="14"/>
              </w:rPr>
            </w:pPr>
            <w:r w:rsidRPr="00D37B44">
              <w:rPr>
                <w:sz w:val="14"/>
                <w:szCs w:val="14"/>
              </w:rPr>
              <w:t>***Zahrnují dotace příspěvkovým organizacím, státním fondům a neziskovým org</w:t>
            </w:r>
            <w:r>
              <w:rPr>
                <w:sz w:val="14"/>
                <w:szCs w:val="14"/>
              </w:rPr>
              <w:t>anizacím.</w:t>
            </w:r>
          </w:p>
          <w:p w14:paraId="2D1FEE44" w14:textId="77777777" w:rsidR="006B1AFC" w:rsidRDefault="006B1AFC" w:rsidP="003C4A79">
            <w:pPr>
              <w:spacing w:after="0" w:line="240" w:lineRule="auto"/>
              <w:rPr>
                <w:sz w:val="14"/>
                <w:szCs w:val="14"/>
              </w:rPr>
            </w:pPr>
            <w:r w:rsidRPr="00D37B44">
              <w:rPr>
                <w:sz w:val="14"/>
                <w:szCs w:val="14"/>
              </w:rPr>
              <w:t>****</w:t>
            </w:r>
            <w:r>
              <w:rPr>
                <w:sz w:val="14"/>
                <w:szCs w:val="14"/>
              </w:rPr>
              <w:t>Soustřeďují</w:t>
            </w:r>
            <w:r w:rsidRPr="00D37B44">
              <w:rPr>
                <w:sz w:val="14"/>
                <w:szCs w:val="14"/>
              </w:rPr>
              <w:t xml:space="preserve"> zejména dávky státní sociální podpor</w:t>
            </w:r>
            <w:r>
              <w:rPr>
                <w:sz w:val="14"/>
                <w:szCs w:val="14"/>
              </w:rPr>
              <w:t>y</w:t>
            </w:r>
            <w:r w:rsidRPr="00D37B44">
              <w:rPr>
                <w:sz w:val="14"/>
                <w:szCs w:val="14"/>
              </w:rPr>
              <w:t>, nemocenského pojištění, pomoci v hmotné nouzi, dávky osobám se zdravotním postižením a příspěvek na péči dle zákona o soc. službách.</w:t>
            </w:r>
          </w:p>
          <w:p w14:paraId="3D0474DB" w14:textId="77777777" w:rsidR="006B1AFC" w:rsidRDefault="006B1AFC" w:rsidP="003C4A79">
            <w:pPr>
              <w:spacing w:after="0" w:line="240" w:lineRule="auto"/>
              <w:rPr>
                <w:sz w:val="14"/>
                <w:szCs w:val="14"/>
              </w:rPr>
            </w:pPr>
            <w:r w:rsidRPr="00D37B44">
              <w:rPr>
                <w:sz w:val="14"/>
                <w:szCs w:val="14"/>
              </w:rPr>
              <w:t>*****</w:t>
            </w:r>
            <w:r>
              <w:rPr>
                <w:sz w:val="14"/>
                <w:szCs w:val="14"/>
              </w:rPr>
              <w:t>Jde především</w:t>
            </w:r>
            <w:r w:rsidRPr="00D37B44">
              <w:rPr>
                <w:sz w:val="14"/>
                <w:szCs w:val="14"/>
              </w:rPr>
              <w:t xml:space="preserve"> o</w:t>
            </w:r>
            <w:r>
              <w:rPr>
                <w:sz w:val="14"/>
                <w:szCs w:val="14"/>
              </w:rPr>
              <w:t xml:space="preserve"> o</w:t>
            </w:r>
            <w:r w:rsidRPr="00D37B44">
              <w:rPr>
                <w:sz w:val="14"/>
                <w:szCs w:val="14"/>
              </w:rPr>
              <w:t>dvody vlastních zdrojů EU do rozpočtu EU.</w:t>
            </w:r>
          </w:p>
          <w:p w14:paraId="6F03BA57" w14:textId="77777777" w:rsidR="006B1AFC" w:rsidRPr="00FC6700" w:rsidRDefault="006B1AFC" w:rsidP="003C4A79">
            <w:pPr>
              <w:spacing w:after="200"/>
              <w:rPr>
                <w:color w:val="0D0D0D" w:themeColor="text1" w:themeTint="F2"/>
              </w:rPr>
            </w:pPr>
            <w:r w:rsidRPr="00FC6700">
              <w:rPr>
                <w:sz w:val="14"/>
                <w:szCs w:val="14"/>
              </w:rPr>
              <w:t>Zdroj: MF ČR</w:t>
            </w:r>
          </w:p>
        </w:tc>
      </w:tr>
      <w:bookmarkEnd w:id="56"/>
      <w:tr w:rsidR="009324EF" w:rsidRPr="00E856C5" w14:paraId="46DC07B0" w14:textId="77777777" w:rsidTr="003C4A79">
        <w:trPr>
          <w:trHeight w:val="170"/>
        </w:trPr>
        <w:tc>
          <w:tcPr>
            <w:tcW w:w="1803" w:type="dxa"/>
            <w:tcMar>
              <w:left w:w="0" w:type="dxa"/>
            </w:tcMar>
          </w:tcPr>
          <w:p w14:paraId="7FC076C1" w14:textId="77777777" w:rsidR="006B1AFC" w:rsidRPr="003405C2" w:rsidRDefault="006B1AFC" w:rsidP="003C4A79">
            <w:pPr>
              <w:pStyle w:val="Marginlie"/>
              <w:rPr>
                <w:color w:val="0D0D0D" w:themeColor="text1" w:themeTint="F2"/>
                <w:spacing w:val="0"/>
              </w:rPr>
            </w:pPr>
            <w:r>
              <w:t>Příjmy Česka z rozpočtu EU posílily díky vyššímu čerpání ze Strukturálních fondů a také z Nástroje na podporu oživení. Česko zůstalo ve vztahu k EU v pozici čistého příjemce.</w:t>
            </w:r>
          </w:p>
        </w:tc>
        <w:tc>
          <w:tcPr>
            <w:tcW w:w="203" w:type="dxa"/>
            <w:tcMar>
              <w:left w:w="0" w:type="dxa"/>
            </w:tcMar>
          </w:tcPr>
          <w:p w14:paraId="1598CF90" w14:textId="77777777" w:rsidR="006B1AFC" w:rsidRPr="003405C2" w:rsidRDefault="006B1AFC" w:rsidP="003C4A79">
            <w:pPr>
              <w:pStyle w:val="Textpoznpodarou"/>
              <w:jc w:val="both"/>
              <w:rPr>
                <w:color w:val="0D0D0D" w:themeColor="text1" w:themeTint="F2"/>
              </w:rPr>
            </w:pPr>
          </w:p>
        </w:tc>
        <w:tc>
          <w:tcPr>
            <w:tcW w:w="7663" w:type="dxa"/>
            <w:tcMar>
              <w:left w:w="0" w:type="dxa"/>
            </w:tcMar>
          </w:tcPr>
          <w:p w14:paraId="225F8E1F" w14:textId="77777777" w:rsidR="009324EF" w:rsidRPr="003405C2" w:rsidRDefault="006B1AFC" w:rsidP="003C4A79">
            <w:pPr>
              <w:spacing w:after="0"/>
              <w:rPr>
                <w:color w:val="0D0D0D" w:themeColor="text1" w:themeTint="F2"/>
                <w:spacing w:val="-4"/>
              </w:rPr>
            </w:pPr>
            <w:r w:rsidRPr="00AB296D">
              <w:rPr>
                <w:color w:val="0D0D0D" w:themeColor="text1" w:themeTint="F2"/>
                <w:spacing w:val="-4"/>
              </w:rPr>
              <w:t>Celkové příjmy Č</w:t>
            </w:r>
            <w:r>
              <w:rPr>
                <w:color w:val="0D0D0D" w:themeColor="text1" w:themeTint="F2"/>
                <w:spacing w:val="-4"/>
              </w:rPr>
              <w:t>eska</w:t>
            </w:r>
            <w:r w:rsidRPr="00AB296D">
              <w:rPr>
                <w:color w:val="0D0D0D" w:themeColor="text1" w:themeTint="F2"/>
                <w:spacing w:val="-4"/>
              </w:rPr>
              <w:t xml:space="preserve"> z rozpočtu EU (bez Nástroje EU na podporu oživení</w:t>
            </w:r>
            <w:r>
              <w:rPr>
                <w:rStyle w:val="Znakapoznpodarou"/>
              </w:rPr>
              <w:footnoteReference w:id="153"/>
            </w:r>
            <w:r w:rsidRPr="00AB296D">
              <w:rPr>
                <w:color w:val="0D0D0D" w:themeColor="text1" w:themeTint="F2"/>
                <w:spacing w:val="-4"/>
              </w:rPr>
              <w:t>,</w:t>
            </w:r>
            <w:r w:rsidR="009324EF" w:rsidRPr="00AB296D">
              <w:rPr>
                <w:color w:val="0D0D0D" w:themeColor="text1" w:themeTint="F2"/>
                <w:spacing w:val="-4"/>
              </w:rPr>
              <w:t xml:space="preserve"> resp. Národního plánu obnovy – NPO) se letos v 1. pololetí meziročně </w:t>
            </w:r>
            <w:r w:rsidR="009324EF">
              <w:rPr>
                <w:color w:val="0D0D0D" w:themeColor="text1" w:themeTint="F2"/>
                <w:spacing w:val="-4"/>
              </w:rPr>
              <w:t xml:space="preserve">zvýšily téměř o pětinu </w:t>
            </w:r>
            <w:r w:rsidR="009324EF" w:rsidRPr="00AB296D">
              <w:rPr>
                <w:color w:val="0D0D0D" w:themeColor="text1" w:themeTint="F2"/>
                <w:spacing w:val="-4"/>
              </w:rPr>
              <w:t xml:space="preserve">(na </w:t>
            </w:r>
            <w:r w:rsidR="009324EF">
              <w:rPr>
                <w:color w:val="0D0D0D" w:themeColor="text1" w:themeTint="F2"/>
                <w:spacing w:val="-4"/>
              </w:rPr>
              <w:t>65,7</w:t>
            </w:r>
            <w:r w:rsidR="009324EF" w:rsidRPr="00AB296D">
              <w:rPr>
                <w:color w:val="0D0D0D" w:themeColor="text1" w:themeTint="F2"/>
                <w:spacing w:val="-4"/>
              </w:rPr>
              <w:t> mld. korun)</w:t>
            </w:r>
            <w:r w:rsidR="009324EF">
              <w:rPr>
                <w:color w:val="0D0D0D" w:themeColor="text1" w:themeTint="F2"/>
                <w:spacing w:val="-4"/>
              </w:rPr>
              <w:t>, téměř výhradně díky Strukturálním fondům (+14,3 mld. korun). Naopak o</w:t>
            </w:r>
            <w:r w:rsidR="009324EF">
              <w:rPr>
                <w:color w:val="0D0D0D" w:themeColor="text1" w:themeTint="F2"/>
              </w:rPr>
              <w:t> </w:t>
            </w:r>
            <w:r w:rsidR="009324EF">
              <w:rPr>
                <w:color w:val="0D0D0D" w:themeColor="text1" w:themeTint="F2"/>
                <w:spacing w:val="-4"/>
              </w:rPr>
              <w:t>pětinu méně než loni získalo Česko z Fondu soudržnosti a řádově menší byl i pokles alokace do zemědělství (zejména u přímých plateb). Celkové odvody Česka do rozpočtu EU letos zatím dosáhly 45,8 mld. korun, a protože jejich procentní růst byl oproti příjmům více než dvojnásobný, č</w:t>
            </w:r>
            <w:r w:rsidR="009324EF" w:rsidRPr="00AB296D">
              <w:rPr>
                <w:color w:val="0D0D0D" w:themeColor="text1" w:themeTint="F2"/>
                <w:spacing w:val="-4"/>
              </w:rPr>
              <w:t>istá pozice Č</w:t>
            </w:r>
            <w:r w:rsidR="009324EF">
              <w:rPr>
                <w:color w:val="0D0D0D" w:themeColor="text1" w:themeTint="F2"/>
                <w:spacing w:val="-4"/>
              </w:rPr>
              <w:t>eska</w:t>
            </w:r>
            <w:r w:rsidR="009324EF" w:rsidRPr="00AB296D">
              <w:rPr>
                <w:color w:val="0D0D0D" w:themeColor="text1" w:themeTint="F2"/>
                <w:spacing w:val="-4"/>
              </w:rPr>
              <w:t xml:space="preserve"> vůči rozpočtu EU (bez NPO) </w:t>
            </w:r>
            <w:r w:rsidR="009324EF">
              <w:rPr>
                <w:color w:val="0D0D0D" w:themeColor="text1" w:themeTint="F2"/>
                <w:spacing w:val="-4"/>
              </w:rPr>
              <w:t>se meziročně mírně zhoršila (i tak však bylo vykázáno kladné saldo +19,9</w:t>
            </w:r>
            <w:r w:rsidR="009324EF" w:rsidRPr="00AB296D">
              <w:rPr>
                <w:color w:val="0D0D0D" w:themeColor="text1" w:themeTint="F2"/>
                <w:spacing w:val="-4"/>
              </w:rPr>
              <w:t xml:space="preserve"> mld. korun</w:t>
            </w:r>
            <w:r w:rsidR="009324EF">
              <w:rPr>
                <w:color w:val="0D0D0D" w:themeColor="text1" w:themeTint="F2"/>
                <w:spacing w:val="-4"/>
              </w:rPr>
              <w:t xml:space="preserve">). </w:t>
            </w:r>
            <w:r w:rsidR="009324EF" w:rsidRPr="00AB296D">
              <w:rPr>
                <w:color w:val="0D0D0D" w:themeColor="text1" w:themeTint="F2"/>
                <w:spacing w:val="-4"/>
              </w:rPr>
              <w:t xml:space="preserve">Pokud bychom započetli i prostředky z NPO, jež Česko získává od roku 2021, </w:t>
            </w:r>
            <w:r w:rsidR="009324EF">
              <w:rPr>
                <w:color w:val="0D0D0D" w:themeColor="text1" w:themeTint="F2"/>
                <w:spacing w:val="-4"/>
              </w:rPr>
              <w:t>činila</w:t>
            </w:r>
            <w:r w:rsidR="009324EF" w:rsidRPr="00AB296D">
              <w:rPr>
                <w:color w:val="0D0D0D" w:themeColor="text1" w:themeTint="F2"/>
                <w:spacing w:val="-4"/>
              </w:rPr>
              <w:t xml:space="preserve"> by </w:t>
            </w:r>
            <w:r w:rsidR="009324EF">
              <w:rPr>
                <w:color w:val="0D0D0D" w:themeColor="text1" w:themeTint="F2"/>
                <w:spacing w:val="-4"/>
              </w:rPr>
              <w:t xml:space="preserve">letos </w:t>
            </w:r>
            <w:r w:rsidR="009324EF" w:rsidRPr="00AB296D">
              <w:rPr>
                <w:color w:val="0D0D0D" w:themeColor="text1" w:themeTint="F2"/>
                <w:spacing w:val="-4"/>
              </w:rPr>
              <w:t xml:space="preserve">celková </w:t>
            </w:r>
            <w:r w:rsidR="009324EF">
              <w:rPr>
                <w:color w:val="0D0D0D" w:themeColor="text1" w:themeTint="F2"/>
                <w:spacing w:val="-4"/>
              </w:rPr>
              <w:t xml:space="preserve">kladná </w:t>
            </w:r>
            <w:r w:rsidR="009324EF" w:rsidRPr="00AB296D">
              <w:rPr>
                <w:color w:val="0D0D0D" w:themeColor="text1" w:themeTint="F2"/>
                <w:spacing w:val="-4"/>
              </w:rPr>
              <w:t xml:space="preserve">bilance s EU </w:t>
            </w:r>
            <w:r w:rsidR="009324EF">
              <w:rPr>
                <w:color w:val="0D0D0D" w:themeColor="text1" w:themeTint="F2"/>
                <w:spacing w:val="-4"/>
              </w:rPr>
              <w:t>38,2 mld. korun (nejvíce za poslední tři roky).</w:t>
            </w:r>
          </w:p>
        </w:tc>
      </w:tr>
    </w:tbl>
    <w:p w14:paraId="66911CC6" w14:textId="021FCF45" w:rsidR="00A50D73" w:rsidRDefault="00A50D73" w:rsidP="009324EF">
      <w:pPr>
        <w:pStyle w:val="Nadpis1"/>
      </w:pPr>
    </w:p>
    <w:sectPr w:rsidR="00A50D73" w:rsidSect="006F5416">
      <w:headerReference w:type="even" r:id="rId33"/>
      <w:headerReference w:type="default" r:id="rId34"/>
      <w:footerReference w:type="even" r:id="rId35"/>
      <w:footerReference w:type="default" r:id="rId36"/>
      <w:pgSz w:w="11906" w:h="16838" w:code="9"/>
      <w:pgMar w:top="1134" w:right="1134" w:bottom="1418"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0D4A0" w14:textId="77777777" w:rsidR="00EB4A3B" w:rsidRDefault="00EB4A3B" w:rsidP="00E71A58">
      <w:r>
        <w:separator/>
      </w:r>
    </w:p>
  </w:endnote>
  <w:endnote w:type="continuationSeparator" w:id="0">
    <w:p w14:paraId="298168DA" w14:textId="77777777" w:rsidR="00EB4A3B" w:rsidRDefault="00EB4A3B" w:rsidP="00E71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Times New Roman"/>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36754" w14:textId="006763FA" w:rsidR="00763B85" w:rsidRPr="00932443" w:rsidRDefault="00763B85" w:rsidP="00A418BC">
    <w:pPr>
      <w:pStyle w:val="Zpat"/>
      <w:rPr>
        <w:szCs w:val="16"/>
      </w:rPr>
    </w:pPr>
    <w:r w:rsidRPr="00932443">
      <w:rPr>
        <w:szCs w:val="16"/>
      </w:rPr>
      <w:fldChar w:fldCharType="begin"/>
    </w:r>
    <w:r w:rsidRPr="00932443">
      <w:rPr>
        <w:szCs w:val="16"/>
      </w:rPr>
      <w:instrText>PAGE   \* MERGEFORMAT</w:instrText>
    </w:r>
    <w:r w:rsidRPr="00932443">
      <w:rPr>
        <w:szCs w:val="16"/>
      </w:rPr>
      <w:fldChar w:fldCharType="separate"/>
    </w:r>
    <w:r w:rsidR="00C35666">
      <w:rPr>
        <w:szCs w:val="16"/>
      </w:rPr>
      <w:t>8</w:t>
    </w:r>
    <w:r w:rsidRPr="00932443">
      <w:rPr>
        <w:szCs w:val="16"/>
      </w:rPr>
      <w:fldChar w:fldCharType="end"/>
    </w:r>
    <w:r w:rsidRPr="00932443">
      <w:rPr>
        <w:szCs w:val="16"/>
      </w:rPr>
      <w:tab/>
    </w:r>
    <w:r w:rsidR="009203C8">
      <w:rPr>
        <w:szCs w:val="16"/>
      </w:rPr>
      <w:t>1. pololetí 2026</w:t>
    </w:r>
    <w:r w:rsidR="002B4121">
      <w:rPr>
        <w:szCs w:val="16"/>
      </w:rPr>
      <w:tab/>
      <w:t>ČSÚ</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1FA4F" w14:textId="6FEC4AAE" w:rsidR="00763B85" w:rsidRPr="00932443" w:rsidRDefault="002B4121" w:rsidP="00A418BC">
    <w:pPr>
      <w:pStyle w:val="Zpat"/>
      <w:rPr>
        <w:szCs w:val="16"/>
      </w:rPr>
    </w:pPr>
    <w:r>
      <w:rPr>
        <w:szCs w:val="16"/>
        <w:lang w:eastAsia="cs-CZ"/>
      </w:rPr>
      <w:t>ČSÚ</w:t>
    </w:r>
    <w:r w:rsidR="00763B85" w:rsidRPr="00932443">
      <w:rPr>
        <w:szCs w:val="16"/>
      </w:rPr>
      <w:tab/>
    </w:r>
    <w:r w:rsidR="009203C8">
      <w:rPr>
        <w:szCs w:val="16"/>
      </w:rPr>
      <w:t>1. pololetí 2026</w:t>
    </w:r>
    <w:r w:rsidR="00763B85" w:rsidRPr="00932443">
      <w:rPr>
        <w:szCs w:val="16"/>
      </w:rPr>
      <w:tab/>
    </w:r>
    <w:r w:rsidR="00763B85" w:rsidRPr="00932443">
      <w:rPr>
        <w:rStyle w:val="ZpatChar"/>
        <w:szCs w:val="16"/>
      </w:rPr>
      <w:fldChar w:fldCharType="begin"/>
    </w:r>
    <w:r w:rsidR="00763B85" w:rsidRPr="00932443">
      <w:rPr>
        <w:rStyle w:val="ZpatChar"/>
        <w:szCs w:val="16"/>
      </w:rPr>
      <w:instrText>PAGE   \* MERGEFORMAT</w:instrText>
    </w:r>
    <w:r w:rsidR="00763B85" w:rsidRPr="00932443">
      <w:rPr>
        <w:rStyle w:val="ZpatChar"/>
        <w:szCs w:val="16"/>
      </w:rPr>
      <w:fldChar w:fldCharType="separate"/>
    </w:r>
    <w:r w:rsidR="00C35666">
      <w:rPr>
        <w:rStyle w:val="ZpatChar"/>
        <w:szCs w:val="16"/>
      </w:rPr>
      <w:t>3</w:t>
    </w:r>
    <w:r w:rsidR="00763B85" w:rsidRPr="00932443">
      <w:rPr>
        <w:rStyle w:val="ZpatChar"/>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5CF63" w14:textId="77777777" w:rsidR="00EB4A3B" w:rsidRPr="00BB2F43" w:rsidRDefault="00EB4A3B" w:rsidP="00BB2F43">
      <w:pPr>
        <w:pStyle w:val="Zpat"/>
      </w:pPr>
      <w:r>
        <w:separator/>
      </w:r>
    </w:p>
  </w:footnote>
  <w:footnote w:type="continuationSeparator" w:id="0">
    <w:p w14:paraId="5C3C3521" w14:textId="77777777" w:rsidR="00EB4A3B" w:rsidRDefault="00EB4A3B" w:rsidP="00E71A58">
      <w:r>
        <w:continuationSeparator/>
      </w:r>
    </w:p>
  </w:footnote>
  <w:footnote w:id="1">
    <w:p w14:paraId="173CE05F" w14:textId="77777777" w:rsidR="006B1AFC" w:rsidRPr="006A3632" w:rsidRDefault="006B1AFC" w:rsidP="009324EF">
      <w:pPr>
        <w:pStyle w:val="Textpoznpodarou"/>
        <w:rPr>
          <w:sz w:val="16"/>
          <w:szCs w:val="16"/>
        </w:rPr>
      </w:pPr>
      <w:r w:rsidRPr="006A3632">
        <w:rPr>
          <w:rStyle w:val="Znakapoznpodarou"/>
          <w:sz w:val="16"/>
          <w:szCs w:val="16"/>
        </w:rPr>
        <w:footnoteRef/>
      </w:r>
      <w:r w:rsidRPr="006A3632">
        <w:rPr>
          <w:sz w:val="16"/>
          <w:szCs w:val="16"/>
        </w:rPr>
        <w:t xml:space="preserve"> Tato sekce zahrnuje činnosti organizací sdružujících osoby za účelem prosazování společných zájmů, opravy počítačů a výrobků pro osobní potřebu a převážně pro domácnost a řadu jiných osobních služeb (kosmetické, kadeřnické apod.).</w:t>
      </w:r>
    </w:p>
  </w:footnote>
  <w:footnote w:id="2">
    <w:p w14:paraId="15785FBA" w14:textId="77777777" w:rsidR="006B1AFC" w:rsidRPr="006A3632" w:rsidRDefault="006B1AFC" w:rsidP="009324EF">
      <w:pPr>
        <w:pStyle w:val="Textpoznpodarou"/>
        <w:jc w:val="both"/>
        <w:rPr>
          <w:sz w:val="16"/>
          <w:szCs w:val="16"/>
        </w:rPr>
      </w:pPr>
      <w:r w:rsidRPr="006A3632">
        <w:rPr>
          <w:rStyle w:val="Znakapoznpodarou"/>
          <w:spacing w:val="-2"/>
          <w:sz w:val="16"/>
          <w:szCs w:val="16"/>
        </w:rPr>
        <w:footnoteRef/>
      </w:r>
      <w:r w:rsidRPr="006A3632">
        <w:rPr>
          <w:spacing w:val="-2"/>
          <w:sz w:val="16"/>
          <w:szCs w:val="16"/>
        </w:rPr>
        <w:t xml:space="preserve"> Údaje o zaměstnanosti jsou uvedeny v pojetí národních účtů a očištěny o sezónní vlivy.</w:t>
      </w:r>
    </w:p>
  </w:footnote>
  <w:footnote w:id="3">
    <w:p w14:paraId="45FD136C" w14:textId="77777777" w:rsidR="006B1AFC" w:rsidRPr="0092251D" w:rsidRDefault="006B1AFC" w:rsidP="009324EF">
      <w:pPr>
        <w:pStyle w:val="Textpoznpodarou"/>
        <w:rPr>
          <w:sz w:val="16"/>
          <w:szCs w:val="16"/>
        </w:rPr>
      </w:pPr>
      <w:r w:rsidRPr="000348AF">
        <w:rPr>
          <w:rStyle w:val="Znakapoznpodarou"/>
          <w:sz w:val="16"/>
          <w:szCs w:val="16"/>
        </w:rPr>
        <w:footnoteRef/>
      </w:r>
      <w:r w:rsidRPr="000348AF">
        <w:rPr>
          <w:sz w:val="16"/>
          <w:szCs w:val="16"/>
        </w:rPr>
        <w:t xml:space="preserve"> Vývoj HDP, hrubé přidané hodnoty a jejich složek je vyjádřen prostřednictvím objemových indexů (tj. očištěn o vliv cen) a po očištění </w:t>
      </w:r>
      <w:r w:rsidRPr="0092251D">
        <w:rPr>
          <w:sz w:val="16"/>
          <w:szCs w:val="16"/>
        </w:rPr>
        <w:t>o sezónní a kalendářní vlivy. Údaje jsou platné k 2</w:t>
      </w:r>
      <w:r>
        <w:rPr>
          <w:sz w:val="16"/>
          <w:szCs w:val="16"/>
        </w:rPr>
        <w:t>8</w:t>
      </w:r>
      <w:r w:rsidRPr="0092251D">
        <w:rPr>
          <w:sz w:val="16"/>
          <w:szCs w:val="16"/>
        </w:rPr>
        <w:t xml:space="preserve">. </w:t>
      </w:r>
      <w:r>
        <w:rPr>
          <w:sz w:val="16"/>
          <w:szCs w:val="16"/>
        </w:rPr>
        <w:t>8</w:t>
      </w:r>
      <w:r w:rsidRPr="0092251D">
        <w:rPr>
          <w:sz w:val="16"/>
          <w:szCs w:val="16"/>
        </w:rPr>
        <w:t xml:space="preserve">. 2026. </w:t>
      </w:r>
    </w:p>
  </w:footnote>
  <w:footnote w:id="4">
    <w:p w14:paraId="18DF008F" w14:textId="77777777" w:rsidR="006B1AFC" w:rsidRDefault="006B1AFC" w:rsidP="009324EF">
      <w:pPr>
        <w:pStyle w:val="Textpoznpodarou"/>
      </w:pPr>
      <w:r w:rsidRPr="0092251D">
        <w:rPr>
          <w:rStyle w:val="Znakapoznpodarou"/>
          <w:sz w:val="16"/>
          <w:szCs w:val="16"/>
        </w:rPr>
        <w:footnoteRef/>
      </w:r>
      <w:r w:rsidRPr="0092251D">
        <w:rPr>
          <w:sz w:val="16"/>
          <w:szCs w:val="16"/>
        </w:rPr>
        <w:t xml:space="preserve"> Údaj za Lucembursko nebyl dostupný.</w:t>
      </w:r>
    </w:p>
  </w:footnote>
  <w:footnote w:id="5">
    <w:p w14:paraId="3E253E1F" w14:textId="77777777" w:rsidR="006B1AFC" w:rsidRPr="00954992" w:rsidRDefault="006B1AFC" w:rsidP="009324EF">
      <w:pPr>
        <w:pStyle w:val="Textpoznpodarou"/>
        <w:rPr>
          <w:sz w:val="16"/>
          <w:szCs w:val="16"/>
        </w:rPr>
      </w:pPr>
      <w:r w:rsidRPr="00954992">
        <w:rPr>
          <w:rStyle w:val="Znakapoznpodarou"/>
          <w:sz w:val="16"/>
          <w:szCs w:val="16"/>
        </w:rPr>
        <w:footnoteRef/>
      </w:r>
      <w:r w:rsidRPr="00954992">
        <w:rPr>
          <w:sz w:val="16"/>
          <w:szCs w:val="16"/>
        </w:rPr>
        <w:t xml:space="preserve"> Údaje o</w:t>
      </w:r>
      <w:r>
        <w:rPr>
          <w:sz w:val="16"/>
          <w:szCs w:val="16"/>
        </w:rPr>
        <w:t> </w:t>
      </w:r>
      <w:r w:rsidRPr="00954992">
        <w:rPr>
          <w:sz w:val="16"/>
          <w:szCs w:val="16"/>
        </w:rPr>
        <w:t>spotřebě dle trvanlivosti jsou v domácím pojetí</w:t>
      </w:r>
      <w:r>
        <w:rPr>
          <w:sz w:val="16"/>
          <w:szCs w:val="16"/>
        </w:rPr>
        <w:t>.</w:t>
      </w:r>
    </w:p>
  </w:footnote>
  <w:footnote w:id="6">
    <w:p w14:paraId="35CD12BD" w14:textId="77777777" w:rsidR="006B1AFC" w:rsidRPr="004831F6" w:rsidRDefault="006B1AFC" w:rsidP="009324EF">
      <w:pPr>
        <w:pStyle w:val="Textpoznpodarou"/>
        <w:rPr>
          <w:sz w:val="16"/>
          <w:szCs w:val="16"/>
        </w:rPr>
      </w:pPr>
      <w:r w:rsidRPr="004831F6">
        <w:rPr>
          <w:rStyle w:val="Znakapoznpodarou"/>
          <w:sz w:val="16"/>
          <w:szCs w:val="16"/>
        </w:rPr>
        <w:footnoteRef/>
      </w:r>
      <w:r w:rsidRPr="004831F6">
        <w:rPr>
          <w:sz w:val="16"/>
          <w:szCs w:val="16"/>
        </w:rPr>
        <w:t xml:space="preserve"> Změna zásob</w:t>
      </w:r>
      <w:r>
        <w:rPr>
          <w:sz w:val="16"/>
          <w:szCs w:val="16"/>
        </w:rPr>
        <w:t xml:space="preserve"> (v běžných cenách a sezónně neočištěná)</w:t>
      </w:r>
      <w:r w:rsidRPr="004831F6">
        <w:rPr>
          <w:sz w:val="16"/>
          <w:szCs w:val="16"/>
        </w:rPr>
        <w:t xml:space="preserve"> </w:t>
      </w:r>
      <w:r>
        <w:rPr>
          <w:sz w:val="16"/>
          <w:szCs w:val="16"/>
        </w:rPr>
        <w:t>ve 2. čtvrtletí 2026 dosáhla 17,6 mld. korun, oproti 35,5 mld. ve 2. kvartálu 2025. Podle sezónně očištěných údajů došlo ve 2. čtvrtletí k propadu hodnoty zásob.</w:t>
      </w:r>
    </w:p>
  </w:footnote>
  <w:footnote w:id="7">
    <w:p w14:paraId="15962F43" w14:textId="77777777" w:rsidR="00F3443C" w:rsidRPr="00167B30" w:rsidRDefault="00F3443C" w:rsidP="00883D4D">
      <w:pPr>
        <w:pStyle w:val="Textpoznpodarou"/>
        <w:rPr>
          <w:sz w:val="16"/>
          <w:szCs w:val="16"/>
        </w:rPr>
      </w:pPr>
      <w:r w:rsidRPr="00167B30">
        <w:rPr>
          <w:rStyle w:val="Znakapoznpodarou"/>
          <w:sz w:val="16"/>
          <w:szCs w:val="16"/>
        </w:rPr>
        <w:footnoteRef/>
      </w:r>
      <w:r w:rsidRPr="00167B30">
        <w:rPr>
          <w:sz w:val="16"/>
          <w:szCs w:val="16"/>
        </w:rPr>
        <w:t xml:space="preserve"> Podle metodiky čtvrtletních národních účtů (vývoz a</w:t>
      </w:r>
      <w:r>
        <w:rPr>
          <w:sz w:val="16"/>
          <w:szCs w:val="16"/>
        </w:rPr>
        <w:t> </w:t>
      </w:r>
      <w:r w:rsidRPr="00167B30">
        <w:rPr>
          <w:sz w:val="16"/>
          <w:szCs w:val="16"/>
        </w:rPr>
        <w:t>dovoz v ocenění FOB/FOB)</w:t>
      </w:r>
      <w:r>
        <w:rPr>
          <w:sz w:val="16"/>
          <w:szCs w:val="16"/>
        </w:rPr>
        <w:t xml:space="preserve">. Bilance zahraničního obchodu v běžných cenách </w:t>
      </w:r>
      <w:r>
        <w:rPr>
          <w:sz w:val="16"/>
          <w:szCs w:val="16"/>
        </w:rPr>
        <w:br/>
        <w:t>a po sezónním očištění.</w:t>
      </w:r>
    </w:p>
  </w:footnote>
  <w:footnote w:id="8">
    <w:p w14:paraId="27070864" w14:textId="77777777" w:rsidR="006B1AFC" w:rsidRDefault="006B1AFC" w:rsidP="009324EF">
      <w:pPr>
        <w:pStyle w:val="Textpoznpodarou"/>
      </w:pPr>
      <w:r w:rsidRPr="009C6EA8">
        <w:rPr>
          <w:rStyle w:val="Znakapoznpodarou"/>
          <w:sz w:val="16"/>
          <w:szCs w:val="16"/>
        </w:rPr>
        <w:footnoteRef/>
      </w:r>
      <w:r w:rsidRPr="009C6EA8">
        <w:rPr>
          <w:sz w:val="16"/>
          <w:szCs w:val="16"/>
        </w:rPr>
        <w:t xml:space="preserve"> </w:t>
      </w:r>
      <w:r>
        <w:rPr>
          <w:sz w:val="16"/>
          <w:szCs w:val="16"/>
        </w:rPr>
        <w:t>Zaměstnanost v</w:t>
      </w:r>
      <w:r w:rsidRPr="009C6EA8">
        <w:rPr>
          <w:sz w:val="16"/>
          <w:szCs w:val="16"/>
        </w:rPr>
        <w:t> pojetí národních účtů</w:t>
      </w:r>
      <w:r>
        <w:rPr>
          <w:sz w:val="16"/>
          <w:szCs w:val="16"/>
        </w:rPr>
        <w:t xml:space="preserve"> (osoby)</w:t>
      </w:r>
      <w:r w:rsidRPr="009C6EA8">
        <w:rPr>
          <w:sz w:val="16"/>
          <w:szCs w:val="16"/>
        </w:rPr>
        <w:t xml:space="preserve">, </w:t>
      </w:r>
      <w:r>
        <w:rPr>
          <w:sz w:val="16"/>
          <w:szCs w:val="16"/>
        </w:rPr>
        <w:t xml:space="preserve">údaj je </w:t>
      </w:r>
      <w:r w:rsidRPr="009C6EA8">
        <w:rPr>
          <w:sz w:val="16"/>
          <w:szCs w:val="16"/>
        </w:rPr>
        <w:t>sezónně očištěn</w:t>
      </w:r>
      <w:r w:rsidRPr="00004BA8">
        <w:rPr>
          <w:sz w:val="16"/>
        </w:rPr>
        <w:t>.</w:t>
      </w:r>
    </w:p>
  </w:footnote>
  <w:footnote w:id="9">
    <w:p w14:paraId="53D9AA03" w14:textId="77777777" w:rsidR="006B1AFC" w:rsidRPr="005F75B1" w:rsidRDefault="006B1AFC" w:rsidP="009324EF">
      <w:pPr>
        <w:pStyle w:val="Textpoznpodarou"/>
        <w:rPr>
          <w:sz w:val="16"/>
          <w:szCs w:val="16"/>
        </w:rPr>
      </w:pPr>
      <w:r w:rsidRPr="005F75B1">
        <w:rPr>
          <w:rStyle w:val="Znakapoznpodarou"/>
          <w:sz w:val="16"/>
          <w:szCs w:val="16"/>
        </w:rPr>
        <w:footnoteRef/>
      </w:r>
      <w:r w:rsidRPr="005F75B1">
        <w:rPr>
          <w:sz w:val="16"/>
          <w:szCs w:val="16"/>
        </w:rPr>
        <w:t xml:space="preserve"> Do reálného vyjádření převedeno s pomocí deflátoru spotřeby domácností.</w:t>
      </w:r>
    </w:p>
  </w:footnote>
  <w:footnote w:id="10">
    <w:p w14:paraId="605C0C14" w14:textId="77777777" w:rsidR="006B1AFC" w:rsidRPr="0053191D" w:rsidRDefault="006B1AFC" w:rsidP="009324EF">
      <w:pPr>
        <w:pStyle w:val="Textpoznpodarou"/>
        <w:rPr>
          <w:sz w:val="16"/>
          <w:szCs w:val="16"/>
        </w:rPr>
      </w:pPr>
      <w:r w:rsidRPr="0053191D">
        <w:rPr>
          <w:rStyle w:val="Znakapoznpodarou"/>
          <w:sz w:val="16"/>
          <w:szCs w:val="16"/>
        </w:rPr>
        <w:footnoteRef/>
      </w:r>
      <w:r w:rsidRPr="0053191D">
        <w:rPr>
          <w:sz w:val="16"/>
          <w:szCs w:val="16"/>
        </w:rPr>
        <w:t xml:space="preserve"> Tato sekce zahrnuje činnosti organizací sdružujících osoby za účelem prosazování společných zájmů, opravy počítačů a výrobků pro osobní potřebu a převážně pro domácnost a řadu jiných osobních služeb</w:t>
      </w:r>
      <w:r>
        <w:rPr>
          <w:sz w:val="16"/>
          <w:szCs w:val="16"/>
        </w:rPr>
        <w:t xml:space="preserve"> (kosmetické, kadeřnické apod.).</w:t>
      </w:r>
    </w:p>
  </w:footnote>
  <w:footnote w:id="11">
    <w:p w14:paraId="22CE1E72" w14:textId="77777777" w:rsidR="00DD1A46" w:rsidRPr="00524BD5" w:rsidRDefault="00DD1A46" w:rsidP="00DD1A46">
      <w:pPr>
        <w:pStyle w:val="Textpoznpodarou"/>
        <w:rPr>
          <w:sz w:val="16"/>
          <w:szCs w:val="16"/>
        </w:rPr>
      </w:pPr>
      <w:r w:rsidRPr="00524BD5">
        <w:rPr>
          <w:rStyle w:val="Znakapoznpodarou"/>
          <w:sz w:val="16"/>
          <w:szCs w:val="16"/>
        </w:rPr>
        <w:footnoteRef/>
      </w:r>
      <w:r w:rsidRPr="00524BD5">
        <w:rPr>
          <w:sz w:val="16"/>
          <w:szCs w:val="16"/>
        </w:rPr>
        <w:t xml:space="preserve"> </w:t>
      </w:r>
      <w:r w:rsidRPr="00524BD5">
        <w:rPr>
          <w:color w:val="0D0D0D" w:themeColor="text1" w:themeTint="F2"/>
          <w:spacing w:val="-4"/>
          <w:sz w:val="16"/>
          <w:szCs w:val="16"/>
        </w:rPr>
        <w:t>Jeho význam roste v dlouhodobějším kontextu. Při srovnání s obdobím 2016 až 2025 působící</w:t>
      </w:r>
      <w:r>
        <w:rPr>
          <w:color w:val="0D0D0D" w:themeColor="text1" w:themeTint="F2"/>
          <w:spacing w:val="-4"/>
          <w:sz w:val="16"/>
          <w:szCs w:val="16"/>
        </w:rPr>
        <w:t>m</w:t>
      </w:r>
      <w:r w:rsidRPr="00524BD5">
        <w:rPr>
          <w:color w:val="0D0D0D" w:themeColor="text1" w:themeTint="F2"/>
          <w:spacing w:val="-4"/>
          <w:sz w:val="16"/>
          <w:szCs w:val="16"/>
        </w:rPr>
        <w:t xml:space="preserve"> na letošní propad úrody srovnatelnou měrou jako pokles průměrných hektarových výnosů – a to jak u obilovin, tak řepky.</w:t>
      </w:r>
    </w:p>
  </w:footnote>
  <w:footnote w:id="12">
    <w:p w14:paraId="5872B46F" w14:textId="77777777" w:rsidR="00DD1A46" w:rsidRPr="007906BC" w:rsidRDefault="00DD1A46" w:rsidP="00DD1A46">
      <w:pPr>
        <w:pStyle w:val="Textpoznpodarou"/>
        <w:rPr>
          <w:sz w:val="16"/>
          <w:szCs w:val="16"/>
        </w:rPr>
      </w:pPr>
      <w:r w:rsidRPr="007906BC">
        <w:rPr>
          <w:rStyle w:val="Znakapoznpodarou"/>
          <w:sz w:val="16"/>
          <w:szCs w:val="16"/>
        </w:rPr>
        <w:footnoteRef/>
      </w:r>
      <w:r w:rsidRPr="007906BC">
        <w:rPr>
          <w:sz w:val="16"/>
          <w:szCs w:val="16"/>
        </w:rPr>
        <w:t xml:space="preserve"> Jde např. o vyšší průměrnou objemovou hmotnost či obsah bílkovin a nižší výskyt plísní.</w:t>
      </w:r>
    </w:p>
  </w:footnote>
  <w:footnote w:id="13">
    <w:p w14:paraId="4380E8EE" w14:textId="77777777" w:rsidR="00DD1A46" w:rsidRPr="008D4FC7" w:rsidRDefault="00DD1A46" w:rsidP="00DD1A46">
      <w:pPr>
        <w:spacing w:after="0" w:line="240" w:lineRule="auto"/>
        <w:jc w:val="left"/>
        <w:rPr>
          <w:rFonts w:cs="Arial"/>
          <w:color w:val="0D0D0D" w:themeColor="text1" w:themeTint="F2"/>
          <w:spacing w:val="-2"/>
          <w:sz w:val="16"/>
          <w:szCs w:val="16"/>
        </w:rPr>
      </w:pPr>
      <w:r w:rsidRPr="008D4FC7">
        <w:rPr>
          <w:rStyle w:val="Znakapoznpodarou"/>
          <w:spacing w:val="-2"/>
          <w:sz w:val="16"/>
          <w:szCs w:val="16"/>
        </w:rPr>
        <w:footnoteRef/>
      </w:r>
      <w:r w:rsidRPr="008D4FC7">
        <w:rPr>
          <w:spacing w:val="-2"/>
          <w:sz w:val="16"/>
          <w:szCs w:val="16"/>
        </w:rPr>
        <w:t xml:space="preserve"> </w:t>
      </w:r>
      <w:r w:rsidRPr="008D4FC7">
        <w:rPr>
          <w:rFonts w:cs="Arial"/>
          <w:color w:val="0D0D0D" w:themeColor="text1" w:themeTint="F2"/>
          <w:spacing w:val="-6"/>
          <w:sz w:val="16"/>
          <w:szCs w:val="16"/>
        </w:rPr>
        <w:t>Zahrnuje odvětví Těžba a dobývání, Zpracovatelský průmysl a též Energetika (zde pojímaná jako odvětví výroby a rozvodu elektřiny, plynu, tepla</w:t>
      </w:r>
      <w:r w:rsidRPr="008D4FC7">
        <w:rPr>
          <w:rFonts w:cs="Arial"/>
          <w:color w:val="0D0D0D" w:themeColor="text1" w:themeTint="F2"/>
          <w:spacing w:val="-2"/>
          <w:sz w:val="16"/>
          <w:szCs w:val="16"/>
        </w:rPr>
        <w:t xml:space="preserve"> a klimatizovaného vzduchu). Všechna meziroční tempa produkce jsou očištěna o kalendářní vlivy, mezičtvrtletní tempa i o vliv sezónnosti.</w:t>
      </w:r>
    </w:p>
  </w:footnote>
  <w:footnote w:id="14">
    <w:p w14:paraId="4374CDCC" w14:textId="77777777" w:rsidR="00DD1A46" w:rsidRPr="00D9058D" w:rsidRDefault="00DD1A46" w:rsidP="00DD1A46">
      <w:pPr>
        <w:pStyle w:val="Textpoznpodarou"/>
        <w:rPr>
          <w:color w:val="0D0D0D" w:themeColor="text1" w:themeTint="F2"/>
          <w:spacing w:val="-2"/>
          <w:sz w:val="16"/>
          <w:szCs w:val="16"/>
        </w:rPr>
      </w:pPr>
      <w:r w:rsidRPr="00D9058D">
        <w:rPr>
          <w:rStyle w:val="Znakapoznpodarou"/>
          <w:color w:val="0D0D0D" w:themeColor="text1" w:themeTint="F2"/>
          <w:spacing w:val="-2"/>
          <w:sz w:val="16"/>
          <w:szCs w:val="16"/>
        </w:rPr>
        <w:footnoteRef/>
      </w:r>
      <w:r w:rsidRPr="00D9058D">
        <w:rPr>
          <w:color w:val="0D0D0D" w:themeColor="text1" w:themeTint="F2"/>
          <w:spacing w:val="-2"/>
          <w:sz w:val="16"/>
          <w:szCs w:val="16"/>
        </w:rPr>
        <w:t xml:space="preserve"> </w:t>
      </w:r>
      <w:r w:rsidRPr="00AA2B6D">
        <w:rPr>
          <w:color w:val="0D0D0D" w:themeColor="text1" w:themeTint="F2"/>
          <w:spacing w:val="-3"/>
          <w:sz w:val="16"/>
          <w:szCs w:val="16"/>
        </w:rPr>
        <w:t>Za svým vrcholem z období let 2015 až 2019 letos ve 2. čtvrtletí však stále zaostaly skoro tři pětiny hlavních průmyslových oborů. Šlo v prvé řadě o těžbu uhlí (</w:t>
      </w:r>
      <w:r w:rsidRPr="00AA2B6D">
        <w:rPr>
          <w:rFonts w:cs="Arial"/>
          <w:color w:val="0D0D0D" w:themeColor="text1" w:themeTint="F2"/>
          <w:spacing w:val="-3"/>
          <w:sz w:val="16"/>
          <w:szCs w:val="16"/>
        </w:rPr>
        <w:t>o </w:t>
      </w:r>
      <w:r w:rsidRPr="00AA2B6D">
        <w:rPr>
          <w:color w:val="0D0D0D" w:themeColor="text1" w:themeTint="F2"/>
          <w:spacing w:val="-3"/>
          <w:sz w:val="16"/>
          <w:szCs w:val="16"/>
        </w:rPr>
        <w:t>59</w:t>
      </w:r>
      <w:r w:rsidRPr="00AA2B6D">
        <w:rPr>
          <w:rFonts w:cs="Arial"/>
          <w:color w:val="0D0D0D" w:themeColor="text1" w:themeTint="F2"/>
          <w:spacing w:val="-3"/>
          <w:sz w:val="16"/>
          <w:szCs w:val="16"/>
        </w:rPr>
        <w:t> </w:t>
      </w:r>
      <w:r w:rsidRPr="00AA2B6D">
        <w:rPr>
          <w:color w:val="0D0D0D" w:themeColor="text1" w:themeTint="F2"/>
          <w:spacing w:val="-3"/>
          <w:sz w:val="16"/>
          <w:szCs w:val="16"/>
        </w:rPr>
        <w:t>%), těžbu stavebních materiálů (−27 %), tiskárenství (−24 %), textilní průmysl (−24 %), hutnictví a slévárenství (−23 %) a z větších oborů např. strojírenství (−14 %), energetiku (−11</w:t>
      </w:r>
      <w:r w:rsidRPr="00AA2B6D">
        <w:rPr>
          <w:rFonts w:cs="Arial"/>
          <w:color w:val="0D0D0D" w:themeColor="text1" w:themeTint="F2"/>
          <w:spacing w:val="-3"/>
          <w:sz w:val="16"/>
          <w:szCs w:val="16"/>
        </w:rPr>
        <w:t> </w:t>
      </w:r>
      <w:r w:rsidRPr="00AA2B6D">
        <w:rPr>
          <w:color w:val="0D0D0D" w:themeColor="text1" w:themeTint="F2"/>
          <w:spacing w:val="-3"/>
          <w:sz w:val="16"/>
          <w:szCs w:val="16"/>
        </w:rPr>
        <w:t>%), chemii (−10 %) a výrobu stavebních materiálů (−8</w:t>
      </w:r>
      <w:r w:rsidRPr="00AA2B6D">
        <w:rPr>
          <w:rFonts w:cs="Arial"/>
          <w:color w:val="0D0D0D" w:themeColor="text1" w:themeTint="F2"/>
          <w:spacing w:val="-3"/>
          <w:sz w:val="16"/>
          <w:szCs w:val="16"/>
        </w:rPr>
        <w:t> </w:t>
      </w:r>
      <w:r w:rsidRPr="00AA2B6D">
        <w:rPr>
          <w:color w:val="0D0D0D" w:themeColor="text1" w:themeTint="F2"/>
          <w:spacing w:val="-3"/>
          <w:sz w:val="16"/>
          <w:szCs w:val="16"/>
        </w:rPr>
        <w:t>%). Naopak nad předkrizovou úrovní produkce se nacházely obory vyrábějící investiční produkty (+12 %) a produkty krátkodobé spotřeby (+6</w:t>
      </w:r>
      <w:r w:rsidRPr="00AA2B6D">
        <w:rPr>
          <w:rFonts w:eastAsia="Arial" w:cs="Arial"/>
          <w:spacing w:val="-3"/>
          <w:sz w:val="16"/>
          <w:szCs w:val="16"/>
        </w:rPr>
        <w:t> </w:t>
      </w:r>
      <w:r w:rsidRPr="00AA2B6D">
        <w:rPr>
          <w:color w:val="0D0D0D" w:themeColor="text1" w:themeTint="F2"/>
          <w:spacing w:val="-3"/>
          <w:sz w:val="16"/>
          <w:szCs w:val="16"/>
        </w:rPr>
        <w:t xml:space="preserve">%). Z dílčích </w:t>
      </w:r>
      <w:r w:rsidRPr="00AA2B6D">
        <w:rPr>
          <w:color w:val="0D0D0D" w:themeColor="text1" w:themeTint="F2"/>
          <w:spacing w:val="-4"/>
          <w:sz w:val="16"/>
          <w:szCs w:val="16"/>
        </w:rPr>
        <w:t>oborů konkrétně výroba ostatních dopravních prostředků (+44 %), ostatní zpracovatelský průmysl (+21 %), výroba motorových vozidel (+19 %),</w:t>
      </w:r>
      <w:r w:rsidRPr="00AA2B6D">
        <w:rPr>
          <w:color w:val="0D0D0D" w:themeColor="text1" w:themeTint="F2"/>
          <w:spacing w:val="-3"/>
          <w:sz w:val="16"/>
          <w:szCs w:val="16"/>
        </w:rPr>
        <w:t xml:space="preserve"> papírenství (+17 %), farmacie (+15 %), elektrotechnika (+14 %), potravinářství (+10 %), kovodělný (+5 %) a elektronický průmysl (+4 %).</w:t>
      </w:r>
    </w:p>
  </w:footnote>
  <w:footnote w:id="15">
    <w:p w14:paraId="7307F50E" w14:textId="77777777" w:rsidR="00DD1A46" w:rsidRPr="00CE68BC" w:rsidRDefault="00DD1A46" w:rsidP="00DD1A46">
      <w:pPr>
        <w:pStyle w:val="Textpoznpodarou"/>
        <w:rPr>
          <w:color w:val="0D0D0D" w:themeColor="text1" w:themeTint="F2"/>
          <w:sz w:val="16"/>
          <w:szCs w:val="16"/>
        </w:rPr>
      </w:pPr>
      <w:r w:rsidRPr="004E2B2A">
        <w:rPr>
          <w:rStyle w:val="Znakapoznpodarou"/>
          <w:sz w:val="16"/>
          <w:szCs w:val="16"/>
        </w:rPr>
        <w:footnoteRef/>
      </w:r>
      <w:r w:rsidRPr="004E2B2A">
        <w:rPr>
          <w:sz w:val="16"/>
          <w:szCs w:val="16"/>
        </w:rPr>
        <w:t xml:space="preserve"> </w:t>
      </w:r>
      <w:r w:rsidRPr="00CE68BC">
        <w:rPr>
          <w:color w:val="0D0D0D" w:themeColor="text1" w:themeTint="F2"/>
          <w:spacing w:val="-2"/>
          <w:sz w:val="16"/>
          <w:szCs w:val="16"/>
        </w:rPr>
        <w:t xml:space="preserve">Dle údajů Sdružení automobilového průmyslu se </w:t>
      </w:r>
      <w:r>
        <w:rPr>
          <w:color w:val="0D0D0D" w:themeColor="text1" w:themeTint="F2"/>
          <w:spacing w:val="-2"/>
          <w:sz w:val="16"/>
          <w:szCs w:val="16"/>
        </w:rPr>
        <w:t>v 1. pololetí</w:t>
      </w:r>
      <w:r w:rsidRPr="00CE68BC">
        <w:rPr>
          <w:color w:val="0D0D0D" w:themeColor="text1" w:themeTint="F2"/>
          <w:spacing w:val="-2"/>
          <w:sz w:val="16"/>
          <w:szCs w:val="16"/>
        </w:rPr>
        <w:t xml:space="preserve"> 2026 v tuzemsku vyrobilo </w:t>
      </w:r>
      <w:r>
        <w:rPr>
          <w:color w:val="0D0D0D" w:themeColor="text1" w:themeTint="F2"/>
          <w:spacing w:val="-2"/>
          <w:sz w:val="16"/>
          <w:szCs w:val="16"/>
        </w:rPr>
        <w:t>rekordních 780</w:t>
      </w:r>
      <w:r w:rsidRPr="00CE68BC">
        <w:rPr>
          <w:color w:val="0D0D0D" w:themeColor="text1" w:themeTint="F2"/>
          <w:spacing w:val="-2"/>
          <w:sz w:val="16"/>
          <w:szCs w:val="16"/>
        </w:rPr>
        <w:t xml:space="preserve"> tis. osobních aut</w:t>
      </w:r>
      <w:r>
        <w:rPr>
          <w:color w:val="0D0D0D" w:themeColor="text1" w:themeTint="F2"/>
          <w:spacing w:val="-2"/>
          <w:sz w:val="16"/>
          <w:szCs w:val="16"/>
        </w:rPr>
        <w:t>omobilů, m</w:t>
      </w:r>
      <w:r w:rsidRPr="00CE68BC">
        <w:rPr>
          <w:color w:val="0D0D0D" w:themeColor="text1" w:themeTint="F2"/>
          <w:spacing w:val="-2"/>
          <w:sz w:val="16"/>
          <w:szCs w:val="16"/>
        </w:rPr>
        <w:t xml:space="preserve">eziročně </w:t>
      </w:r>
      <w:r>
        <w:rPr>
          <w:color w:val="0D0D0D" w:themeColor="text1" w:themeTint="F2"/>
          <w:spacing w:val="-2"/>
          <w:sz w:val="16"/>
          <w:szCs w:val="16"/>
        </w:rPr>
        <w:t>o 4,4 % více. Navzdory občasným plánovaným odstávkám výroby některých producentů rostla (kromě května) výroba</w:t>
      </w:r>
      <w:r w:rsidRPr="00CE68BC">
        <w:rPr>
          <w:color w:val="0D0D0D" w:themeColor="text1" w:themeTint="F2"/>
          <w:spacing w:val="-2"/>
          <w:sz w:val="16"/>
          <w:szCs w:val="16"/>
        </w:rPr>
        <w:t xml:space="preserve"> ve všech dosavadních měsících. Výrobu stejně jak</w:t>
      </w:r>
      <w:r>
        <w:rPr>
          <w:color w:val="0D0D0D" w:themeColor="text1" w:themeTint="F2"/>
          <w:spacing w:val="-2"/>
          <w:sz w:val="16"/>
          <w:szCs w:val="16"/>
        </w:rPr>
        <w:t>o</w:t>
      </w:r>
      <w:r w:rsidRPr="00CE68BC">
        <w:rPr>
          <w:color w:val="0D0D0D" w:themeColor="text1" w:themeTint="F2"/>
          <w:spacing w:val="-2"/>
          <w:sz w:val="16"/>
          <w:szCs w:val="16"/>
        </w:rPr>
        <w:t xml:space="preserve"> loni táhl především rychle se rozvíjející segment elektrifikovaných osobních vozidel (vč. vozů s</w:t>
      </w:r>
      <w:r w:rsidRPr="00CE68BC">
        <w:rPr>
          <w:spacing w:val="-2"/>
          <w:sz w:val="16"/>
          <w:szCs w:val="16"/>
        </w:rPr>
        <w:t> </w:t>
      </w:r>
      <w:r w:rsidRPr="00CE68BC">
        <w:rPr>
          <w:color w:val="0D0D0D" w:themeColor="text1" w:themeTint="F2"/>
          <w:spacing w:val="-2"/>
          <w:sz w:val="16"/>
          <w:szCs w:val="16"/>
        </w:rPr>
        <w:t xml:space="preserve">hybridním pohonem). Těch bylo zatím letos zkompletováno celkem </w:t>
      </w:r>
      <w:r>
        <w:rPr>
          <w:color w:val="0D0D0D" w:themeColor="text1" w:themeTint="F2"/>
          <w:spacing w:val="-2"/>
          <w:sz w:val="16"/>
          <w:szCs w:val="16"/>
        </w:rPr>
        <w:t>319</w:t>
      </w:r>
      <w:r w:rsidRPr="00CE68BC">
        <w:rPr>
          <w:color w:val="0D0D0D" w:themeColor="text1" w:themeTint="F2"/>
          <w:spacing w:val="-2"/>
          <w:sz w:val="16"/>
          <w:szCs w:val="16"/>
        </w:rPr>
        <w:t xml:space="preserve"> tis. kusů (v tom </w:t>
      </w:r>
      <w:r>
        <w:rPr>
          <w:color w:val="0D0D0D" w:themeColor="text1" w:themeTint="F2"/>
          <w:spacing w:val="-2"/>
          <w:sz w:val="16"/>
          <w:szCs w:val="16"/>
        </w:rPr>
        <w:t>130</w:t>
      </w:r>
      <w:r w:rsidRPr="00CE68BC">
        <w:rPr>
          <w:color w:val="0D0D0D" w:themeColor="text1" w:themeTint="F2"/>
          <w:spacing w:val="-2"/>
          <w:sz w:val="16"/>
          <w:szCs w:val="16"/>
        </w:rPr>
        <w:t xml:space="preserve"> tis. bateriových, </w:t>
      </w:r>
      <w:r>
        <w:rPr>
          <w:color w:val="0D0D0D" w:themeColor="text1" w:themeTint="F2"/>
          <w:spacing w:val="-2"/>
          <w:sz w:val="16"/>
          <w:szCs w:val="16"/>
        </w:rPr>
        <w:t>27</w:t>
      </w:r>
      <w:r w:rsidRPr="00CE68BC">
        <w:rPr>
          <w:color w:val="0D0D0D" w:themeColor="text1" w:themeTint="F2"/>
          <w:spacing w:val="-2"/>
          <w:sz w:val="16"/>
          <w:szCs w:val="16"/>
        </w:rPr>
        <w:t xml:space="preserve"> </w:t>
      </w:r>
      <w:r>
        <w:rPr>
          <w:color w:val="0D0D0D" w:themeColor="text1" w:themeTint="F2"/>
          <w:spacing w:val="-2"/>
          <w:sz w:val="16"/>
          <w:szCs w:val="16"/>
        </w:rPr>
        <w:t xml:space="preserve">tis. </w:t>
      </w:r>
      <w:r w:rsidRPr="00CE68BC">
        <w:rPr>
          <w:color w:val="0D0D0D" w:themeColor="text1" w:themeTint="F2"/>
          <w:spacing w:val="-2"/>
          <w:sz w:val="16"/>
          <w:szCs w:val="16"/>
        </w:rPr>
        <w:t>plug-in hybridních a 1</w:t>
      </w:r>
      <w:r>
        <w:rPr>
          <w:color w:val="0D0D0D" w:themeColor="text1" w:themeTint="F2"/>
          <w:spacing w:val="-2"/>
          <w:sz w:val="16"/>
          <w:szCs w:val="16"/>
        </w:rPr>
        <w:t>62</w:t>
      </w:r>
      <w:r w:rsidRPr="00CE68BC">
        <w:rPr>
          <w:color w:val="0D0D0D" w:themeColor="text1" w:themeTint="F2"/>
          <w:spacing w:val="-2"/>
          <w:sz w:val="16"/>
          <w:szCs w:val="16"/>
        </w:rPr>
        <w:t xml:space="preserve"> </w:t>
      </w:r>
      <w:r>
        <w:rPr>
          <w:color w:val="0D0D0D" w:themeColor="text1" w:themeTint="F2"/>
          <w:spacing w:val="-2"/>
          <w:sz w:val="16"/>
          <w:szCs w:val="16"/>
        </w:rPr>
        <w:t xml:space="preserve">tis. </w:t>
      </w:r>
      <w:r w:rsidRPr="00CE68BC">
        <w:rPr>
          <w:color w:val="0D0D0D" w:themeColor="text1" w:themeTint="F2"/>
          <w:spacing w:val="-2"/>
          <w:sz w:val="16"/>
          <w:szCs w:val="16"/>
        </w:rPr>
        <w:t>hybridních vozidel) a jejich podíl na tuzemské produkci automobilů dosahoval rekordních 4</w:t>
      </w:r>
      <w:r>
        <w:rPr>
          <w:color w:val="0D0D0D" w:themeColor="text1" w:themeTint="F2"/>
          <w:spacing w:val="-2"/>
          <w:sz w:val="16"/>
          <w:szCs w:val="16"/>
        </w:rPr>
        <w:t>0</w:t>
      </w:r>
      <w:r w:rsidRPr="00CE68BC">
        <w:rPr>
          <w:color w:val="0D0D0D" w:themeColor="text1" w:themeTint="F2"/>
          <w:spacing w:val="-2"/>
          <w:sz w:val="16"/>
          <w:szCs w:val="16"/>
        </w:rPr>
        <w:t> %. Vedle osobních aut zaznamenala letos</w:t>
      </w:r>
      <w:r>
        <w:rPr>
          <w:color w:val="0D0D0D" w:themeColor="text1" w:themeTint="F2"/>
          <w:spacing w:val="-2"/>
          <w:sz w:val="16"/>
          <w:szCs w:val="16"/>
        </w:rPr>
        <w:t xml:space="preserve">, </w:t>
      </w:r>
      <w:r w:rsidRPr="00CE68BC">
        <w:rPr>
          <w:color w:val="0D0D0D" w:themeColor="text1" w:themeTint="F2"/>
          <w:spacing w:val="-2"/>
          <w:sz w:val="16"/>
          <w:szCs w:val="16"/>
        </w:rPr>
        <w:t xml:space="preserve">na rozdíl </w:t>
      </w:r>
      <w:r>
        <w:rPr>
          <w:color w:val="0D0D0D" w:themeColor="text1" w:themeTint="F2"/>
          <w:spacing w:val="-2"/>
          <w:sz w:val="16"/>
          <w:szCs w:val="16"/>
        </w:rPr>
        <w:t xml:space="preserve">celkově </w:t>
      </w:r>
      <w:r w:rsidRPr="00CE68BC">
        <w:rPr>
          <w:color w:val="0D0D0D" w:themeColor="text1" w:themeTint="F2"/>
          <w:spacing w:val="-2"/>
          <w:sz w:val="16"/>
          <w:szCs w:val="16"/>
        </w:rPr>
        <w:t>od loňského roku</w:t>
      </w:r>
      <w:r>
        <w:rPr>
          <w:color w:val="0D0D0D" w:themeColor="text1" w:themeTint="F2"/>
          <w:spacing w:val="-2"/>
          <w:sz w:val="16"/>
          <w:szCs w:val="16"/>
        </w:rPr>
        <w:t xml:space="preserve">, </w:t>
      </w:r>
      <w:r w:rsidRPr="00CE68BC">
        <w:rPr>
          <w:color w:val="0D0D0D" w:themeColor="text1" w:themeTint="F2"/>
          <w:spacing w:val="-2"/>
          <w:sz w:val="16"/>
          <w:szCs w:val="16"/>
        </w:rPr>
        <w:t xml:space="preserve">růst výroby i </w:t>
      </w:r>
      <w:r>
        <w:rPr>
          <w:color w:val="0D0D0D" w:themeColor="text1" w:themeTint="F2"/>
          <w:spacing w:val="-2"/>
          <w:sz w:val="16"/>
          <w:szCs w:val="16"/>
        </w:rPr>
        <w:t xml:space="preserve">výrazná </w:t>
      </w:r>
      <w:r w:rsidRPr="00CE68BC">
        <w:rPr>
          <w:color w:val="0D0D0D" w:themeColor="text1" w:themeTint="F2"/>
          <w:spacing w:val="-2"/>
          <w:sz w:val="16"/>
          <w:szCs w:val="16"/>
        </w:rPr>
        <w:t>většina producentů ostatních druhů motorových vozidel.</w:t>
      </w:r>
      <w:r>
        <w:rPr>
          <w:color w:val="0D0D0D" w:themeColor="text1" w:themeTint="F2"/>
          <w:spacing w:val="-3"/>
          <w:sz w:val="16"/>
          <w:szCs w:val="16"/>
        </w:rPr>
        <w:t xml:space="preserve"> </w:t>
      </w:r>
    </w:p>
  </w:footnote>
  <w:footnote w:id="16">
    <w:p w14:paraId="13511426" w14:textId="77777777" w:rsidR="00DD1A46" w:rsidRPr="00A3673B" w:rsidRDefault="00DD1A46" w:rsidP="00DD1A46">
      <w:pPr>
        <w:pStyle w:val="Textpoznpodarou"/>
        <w:rPr>
          <w:sz w:val="16"/>
          <w:szCs w:val="16"/>
        </w:rPr>
      </w:pPr>
      <w:r w:rsidRPr="00A3673B">
        <w:rPr>
          <w:rStyle w:val="Znakapoznpodarou"/>
          <w:sz w:val="16"/>
          <w:szCs w:val="16"/>
        </w:rPr>
        <w:footnoteRef/>
      </w:r>
      <w:r w:rsidRPr="00A3673B">
        <w:rPr>
          <w:sz w:val="16"/>
          <w:szCs w:val="16"/>
        </w:rPr>
        <w:t xml:space="preserve"> </w:t>
      </w:r>
      <w:r>
        <w:rPr>
          <w:sz w:val="16"/>
          <w:szCs w:val="16"/>
        </w:rPr>
        <w:t>T</w:t>
      </w:r>
      <w:r w:rsidRPr="00A3673B">
        <w:rPr>
          <w:sz w:val="16"/>
          <w:szCs w:val="16"/>
        </w:rPr>
        <w:t xml:space="preserve">ržby z průmyslové činnosti realizované v 1. pololetí v tuzemsku se zde meziročně zvýšily </w:t>
      </w:r>
      <w:r>
        <w:rPr>
          <w:sz w:val="16"/>
          <w:szCs w:val="16"/>
        </w:rPr>
        <w:t xml:space="preserve">nominálně </w:t>
      </w:r>
      <w:r w:rsidRPr="00A3673B">
        <w:rPr>
          <w:sz w:val="16"/>
          <w:szCs w:val="16"/>
        </w:rPr>
        <w:t>o 1</w:t>
      </w:r>
      <w:r>
        <w:rPr>
          <w:sz w:val="16"/>
          <w:szCs w:val="16"/>
        </w:rPr>
        <w:t>7</w:t>
      </w:r>
      <w:r w:rsidRPr="00A3673B">
        <w:rPr>
          <w:sz w:val="16"/>
          <w:szCs w:val="16"/>
        </w:rPr>
        <w:t>,</w:t>
      </w:r>
      <w:r>
        <w:rPr>
          <w:sz w:val="16"/>
          <w:szCs w:val="16"/>
        </w:rPr>
        <w:t>6</w:t>
      </w:r>
      <w:r w:rsidRPr="00A3673B">
        <w:rPr>
          <w:sz w:val="16"/>
          <w:szCs w:val="16"/>
        </w:rPr>
        <w:t xml:space="preserve"> %.</w:t>
      </w:r>
    </w:p>
  </w:footnote>
  <w:footnote w:id="17">
    <w:p w14:paraId="287EA53C" w14:textId="77777777" w:rsidR="00DD1A46" w:rsidRPr="007029BD" w:rsidRDefault="00DD1A46" w:rsidP="00DD1A46">
      <w:pPr>
        <w:pStyle w:val="Textpoznpodarou"/>
        <w:rPr>
          <w:sz w:val="16"/>
          <w:szCs w:val="16"/>
        </w:rPr>
      </w:pPr>
      <w:r w:rsidRPr="007029BD">
        <w:rPr>
          <w:rStyle w:val="Znakapoznpodarou"/>
          <w:sz w:val="16"/>
          <w:szCs w:val="16"/>
        </w:rPr>
        <w:footnoteRef/>
      </w:r>
      <w:r w:rsidRPr="007029BD">
        <w:rPr>
          <w:sz w:val="16"/>
          <w:szCs w:val="16"/>
        </w:rPr>
        <w:t xml:space="preserve"> V tomto tříletém období </w:t>
      </w:r>
      <w:r>
        <w:rPr>
          <w:sz w:val="16"/>
          <w:szCs w:val="16"/>
        </w:rPr>
        <w:t xml:space="preserve">ovlivněným prudkým růstem cen vstupů </w:t>
      </w:r>
      <w:r w:rsidRPr="007029BD">
        <w:rPr>
          <w:sz w:val="16"/>
          <w:szCs w:val="16"/>
        </w:rPr>
        <w:t xml:space="preserve">se produkce </w:t>
      </w:r>
      <w:r>
        <w:rPr>
          <w:sz w:val="16"/>
          <w:szCs w:val="16"/>
        </w:rPr>
        <w:t xml:space="preserve">v hutnictví a slévárenství </w:t>
      </w:r>
      <w:r w:rsidRPr="007029BD">
        <w:rPr>
          <w:sz w:val="16"/>
          <w:szCs w:val="16"/>
        </w:rPr>
        <w:t xml:space="preserve">propadla o 27 % a počet pracovníků se </w:t>
      </w:r>
      <w:r>
        <w:rPr>
          <w:sz w:val="16"/>
          <w:szCs w:val="16"/>
        </w:rPr>
        <w:t xml:space="preserve">současně </w:t>
      </w:r>
      <w:r w:rsidRPr="007029BD">
        <w:rPr>
          <w:sz w:val="16"/>
          <w:szCs w:val="16"/>
        </w:rPr>
        <w:t>snížil o 7,7 % (třikrát více než v celém průmyslu).</w:t>
      </w:r>
    </w:p>
  </w:footnote>
  <w:footnote w:id="18">
    <w:p w14:paraId="1D95C7D0" w14:textId="77777777" w:rsidR="00DD1A46" w:rsidRPr="00AF55E0" w:rsidRDefault="00DD1A46" w:rsidP="00DD1A46">
      <w:pPr>
        <w:pStyle w:val="Textpoznpodarou"/>
        <w:rPr>
          <w:sz w:val="16"/>
          <w:szCs w:val="16"/>
        </w:rPr>
      </w:pPr>
      <w:r w:rsidRPr="00AF55E0">
        <w:rPr>
          <w:rStyle w:val="Znakapoznpodarou"/>
          <w:sz w:val="16"/>
          <w:szCs w:val="16"/>
        </w:rPr>
        <w:footnoteRef/>
      </w:r>
      <w:r w:rsidRPr="00AF55E0">
        <w:rPr>
          <w:sz w:val="16"/>
          <w:szCs w:val="16"/>
        </w:rPr>
        <w:t xml:space="preserve"> </w:t>
      </w:r>
      <w:r w:rsidRPr="00AF55E0">
        <w:rPr>
          <w:spacing w:val="-2"/>
          <w:sz w:val="16"/>
          <w:szCs w:val="16"/>
        </w:rPr>
        <w:t>Tuzemská čistá spotřeba elektřiny</w:t>
      </w:r>
      <w:r>
        <w:rPr>
          <w:spacing w:val="-2"/>
          <w:sz w:val="16"/>
          <w:szCs w:val="16"/>
        </w:rPr>
        <w:t>,</w:t>
      </w:r>
      <w:r w:rsidRPr="00AF55E0">
        <w:rPr>
          <w:spacing w:val="-2"/>
          <w:sz w:val="16"/>
          <w:szCs w:val="16"/>
        </w:rPr>
        <w:t xml:space="preserve"> </w:t>
      </w:r>
      <w:r w:rsidRPr="00AF55E0">
        <w:rPr>
          <w:color w:val="0D0D0D" w:themeColor="text1" w:themeTint="F2"/>
          <w:spacing w:val="-2"/>
          <w:sz w:val="16"/>
          <w:szCs w:val="16"/>
        </w:rPr>
        <w:t xml:space="preserve">tj. bez </w:t>
      </w:r>
      <w:proofErr w:type="spellStart"/>
      <w:r w:rsidRPr="00AF55E0">
        <w:rPr>
          <w:color w:val="0D0D0D" w:themeColor="text1" w:themeTint="F2"/>
          <w:spacing w:val="-2"/>
          <w:sz w:val="16"/>
          <w:szCs w:val="16"/>
        </w:rPr>
        <w:t>mezispotřeby</w:t>
      </w:r>
      <w:proofErr w:type="spellEnd"/>
      <w:r w:rsidRPr="00AF55E0">
        <w:rPr>
          <w:color w:val="0D0D0D" w:themeColor="text1" w:themeTint="F2"/>
          <w:spacing w:val="-2"/>
          <w:sz w:val="16"/>
          <w:szCs w:val="16"/>
        </w:rPr>
        <w:t>, vč. ztrát při výrobě</w:t>
      </w:r>
      <w:r>
        <w:rPr>
          <w:color w:val="0D0D0D" w:themeColor="text1" w:themeTint="F2"/>
          <w:spacing w:val="-2"/>
          <w:sz w:val="16"/>
          <w:szCs w:val="16"/>
        </w:rPr>
        <w:t>,</w:t>
      </w:r>
      <w:r w:rsidRPr="00AF55E0">
        <w:rPr>
          <w:color w:val="0D0D0D" w:themeColor="text1" w:themeTint="F2"/>
          <w:spacing w:val="-2"/>
          <w:sz w:val="16"/>
          <w:szCs w:val="16"/>
        </w:rPr>
        <w:t xml:space="preserve"> </w:t>
      </w:r>
      <w:r w:rsidRPr="00AF55E0">
        <w:rPr>
          <w:spacing w:val="-2"/>
          <w:sz w:val="16"/>
          <w:szCs w:val="16"/>
        </w:rPr>
        <w:t xml:space="preserve">činila </w:t>
      </w:r>
      <w:r w:rsidRPr="00AF55E0">
        <w:rPr>
          <w:color w:val="0D0D0D" w:themeColor="text1" w:themeTint="F2"/>
          <w:spacing w:val="-2"/>
          <w:sz w:val="16"/>
          <w:szCs w:val="16"/>
        </w:rPr>
        <w:t>dle předběžných údajů Energetického regulačního úřadu</w:t>
      </w:r>
      <w:r w:rsidRPr="00AF55E0">
        <w:rPr>
          <w:spacing w:val="-2"/>
          <w:sz w:val="16"/>
          <w:szCs w:val="16"/>
        </w:rPr>
        <w:t xml:space="preserve"> letos v 1. </w:t>
      </w:r>
      <w:r>
        <w:rPr>
          <w:spacing w:val="-2"/>
          <w:sz w:val="16"/>
          <w:szCs w:val="16"/>
        </w:rPr>
        <w:t>pololetí 31,0</w:t>
      </w:r>
      <w:r w:rsidRPr="00AF55E0">
        <w:rPr>
          <w:spacing w:val="-2"/>
          <w:sz w:val="16"/>
          <w:szCs w:val="16"/>
        </w:rPr>
        <w:t xml:space="preserve"> </w:t>
      </w:r>
      <w:proofErr w:type="spellStart"/>
      <w:r w:rsidRPr="00AF55E0">
        <w:rPr>
          <w:spacing w:val="-2"/>
          <w:sz w:val="16"/>
          <w:szCs w:val="16"/>
        </w:rPr>
        <w:t>TWh</w:t>
      </w:r>
      <w:proofErr w:type="spellEnd"/>
      <w:r w:rsidRPr="00AF55E0">
        <w:rPr>
          <w:spacing w:val="-2"/>
          <w:sz w:val="16"/>
          <w:szCs w:val="16"/>
        </w:rPr>
        <w:t xml:space="preserve"> (meziročně +</w:t>
      </w:r>
      <w:r>
        <w:rPr>
          <w:spacing w:val="-2"/>
          <w:sz w:val="16"/>
          <w:szCs w:val="16"/>
        </w:rPr>
        <w:t>2</w:t>
      </w:r>
      <w:r w:rsidRPr="00AF55E0">
        <w:rPr>
          <w:spacing w:val="-2"/>
          <w:sz w:val="16"/>
          <w:szCs w:val="16"/>
        </w:rPr>
        <w:t>,</w:t>
      </w:r>
      <w:r>
        <w:rPr>
          <w:spacing w:val="-2"/>
          <w:sz w:val="16"/>
          <w:szCs w:val="16"/>
        </w:rPr>
        <w:t>8</w:t>
      </w:r>
      <w:r w:rsidRPr="00AF55E0">
        <w:rPr>
          <w:spacing w:val="-2"/>
          <w:sz w:val="16"/>
          <w:szCs w:val="16"/>
        </w:rPr>
        <w:t xml:space="preserve"> %</w:t>
      </w:r>
      <w:r>
        <w:rPr>
          <w:spacing w:val="-2"/>
          <w:sz w:val="16"/>
          <w:szCs w:val="16"/>
        </w:rPr>
        <w:t>, rostla ve všech měsících</w:t>
      </w:r>
      <w:r w:rsidRPr="00AF55E0">
        <w:rPr>
          <w:spacing w:val="-2"/>
          <w:sz w:val="16"/>
          <w:szCs w:val="16"/>
        </w:rPr>
        <w:t xml:space="preserve">). </w:t>
      </w:r>
      <w:r>
        <w:rPr>
          <w:spacing w:val="-2"/>
          <w:sz w:val="16"/>
          <w:szCs w:val="16"/>
        </w:rPr>
        <w:t>Stejně jako za celý loňský rok se i letos n</w:t>
      </w:r>
      <w:r w:rsidRPr="00AF55E0">
        <w:rPr>
          <w:spacing w:val="-2"/>
          <w:sz w:val="16"/>
          <w:szCs w:val="16"/>
        </w:rPr>
        <w:t>ejv</w:t>
      </w:r>
      <w:r>
        <w:rPr>
          <w:spacing w:val="-2"/>
          <w:sz w:val="16"/>
          <w:szCs w:val="16"/>
        </w:rPr>
        <w:t>íce zvýšila</w:t>
      </w:r>
      <w:r w:rsidRPr="00AF55E0">
        <w:rPr>
          <w:spacing w:val="-2"/>
          <w:sz w:val="16"/>
          <w:szCs w:val="16"/>
        </w:rPr>
        <w:t xml:space="preserve"> spotřeba u domácností (+</w:t>
      </w:r>
      <w:r>
        <w:rPr>
          <w:spacing w:val="-2"/>
          <w:sz w:val="16"/>
          <w:szCs w:val="16"/>
        </w:rPr>
        <w:t>5,3</w:t>
      </w:r>
      <w:r w:rsidRPr="00AF55E0">
        <w:rPr>
          <w:spacing w:val="-2"/>
          <w:sz w:val="16"/>
          <w:szCs w:val="16"/>
        </w:rPr>
        <w:t xml:space="preserve"> %), u </w:t>
      </w:r>
      <w:r>
        <w:rPr>
          <w:spacing w:val="-2"/>
          <w:sz w:val="16"/>
          <w:szCs w:val="16"/>
        </w:rPr>
        <w:t xml:space="preserve">drobných </w:t>
      </w:r>
      <w:r w:rsidRPr="00AF55E0">
        <w:rPr>
          <w:spacing w:val="-2"/>
          <w:sz w:val="16"/>
          <w:szCs w:val="16"/>
        </w:rPr>
        <w:t>podnikatelů</w:t>
      </w:r>
      <w:r>
        <w:rPr>
          <w:spacing w:val="-2"/>
          <w:sz w:val="16"/>
          <w:szCs w:val="16"/>
        </w:rPr>
        <w:t xml:space="preserve"> pak posílila</w:t>
      </w:r>
      <w:r w:rsidRPr="00AF55E0">
        <w:rPr>
          <w:spacing w:val="-2"/>
          <w:sz w:val="16"/>
          <w:szCs w:val="16"/>
        </w:rPr>
        <w:t xml:space="preserve"> o </w:t>
      </w:r>
      <w:r>
        <w:rPr>
          <w:spacing w:val="-2"/>
          <w:sz w:val="16"/>
          <w:szCs w:val="16"/>
        </w:rPr>
        <w:t>2</w:t>
      </w:r>
      <w:r w:rsidRPr="00AF55E0">
        <w:rPr>
          <w:spacing w:val="-2"/>
          <w:sz w:val="16"/>
          <w:szCs w:val="16"/>
        </w:rPr>
        <w:t>,</w:t>
      </w:r>
      <w:r>
        <w:rPr>
          <w:spacing w:val="-2"/>
          <w:sz w:val="16"/>
          <w:szCs w:val="16"/>
        </w:rPr>
        <w:t>3</w:t>
      </w:r>
      <w:r w:rsidRPr="00AF55E0">
        <w:rPr>
          <w:spacing w:val="-2"/>
          <w:sz w:val="16"/>
          <w:szCs w:val="16"/>
        </w:rPr>
        <w:t xml:space="preserve"> %, u velkoodběratelů </w:t>
      </w:r>
      <w:r>
        <w:rPr>
          <w:spacing w:val="-2"/>
          <w:sz w:val="16"/>
          <w:szCs w:val="16"/>
        </w:rPr>
        <w:t>pak celkově o 1,5</w:t>
      </w:r>
      <w:r w:rsidRPr="00AF55E0">
        <w:rPr>
          <w:spacing w:val="-2"/>
          <w:sz w:val="16"/>
          <w:szCs w:val="16"/>
        </w:rPr>
        <w:t xml:space="preserve"> %.</w:t>
      </w:r>
      <w:r>
        <w:rPr>
          <w:spacing w:val="-2"/>
          <w:sz w:val="16"/>
          <w:szCs w:val="16"/>
        </w:rPr>
        <w:t xml:space="preserve"> </w:t>
      </w:r>
      <w:r w:rsidRPr="00A961AD">
        <w:rPr>
          <w:spacing w:val="-2"/>
          <w:sz w:val="16"/>
          <w:szCs w:val="16"/>
        </w:rPr>
        <w:t>Česk</w:t>
      </w:r>
      <w:r>
        <w:rPr>
          <w:spacing w:val="-2"/>
          <w:sz w:val="16"/>
          <w:szCs w:val="16"/>
        </w:rPr>
        <w:t>o</w:t>
      </w:r>
      <w:r w:rsidRPr="00A961AD">
        <w:rPr>
          <w:spacing w:val="-2"/>
          <w:sz w:val="16"/>
          <w:szCs w:val="16"/>
        </w:rPr>
        <w:t xml:space="preserve"> zůst</w:t>
      </w:r>
      <w:r>
        <w:rPr>
          <w:spacing w:val="-2"/>
          <w:sz w:val="16"/>
          <w:szCs w:val="16"/>
        </w:rPr>
        <w:t>alo</w:t>
      </w:r>
      <w:r w:rsidRPr="00A961AD">
        <w:rPr>
          <w:spacing w:val="-2"/>
          <w:sz w:val="16"/>
          <w:szCs w:val="16"/>
        </w:rPr>
        <w:t xml:space="preserve"> čistým vývozcem, v</w:t>
      </w:r>
      <w:r>
        <w:rPr>
          <w:spacing w:val="-2"/>
          <w:sz w:val="16"/>
          <w:szCs w:val="16"/>
        </w:rPr>
        <w:t xml:space="preserve"> 1.</w:t>
      </w:r>
      <w:r w:rsidRPr="00A961AD">
        <w:rPr>
          <w:spacing w:val="-2"/>
          <w:sz w:val="16"/>
          <w:szCs w:val="16"/>
        </w:rPr>
        <w:t xml:space="preserve"> pololetí export elektřiny převažoval nad importem o 3,8 </w:t>
      </w:r>
      <w:proofErr w:type="spellStart"/>
      <w:r w:rsidRPr="00A961AD">
        <w:rPr>
          <w:spacing w:val="-2"/>
          <w:sz w:val="16"/>
          <w:szCs w:val="16"/>
        </w:rPr>
        <w:t>TWh</w:t>
      </w:r>
      <w:proofErr w:type="spellEnd"/>
      <w:r>
        <w:rPr>
          <w:spacing w:val="-2"/>
          <w:sz w:val="16"/>
          <w:szCs w:val="16"/>
        </w:rPr>
        <w:t>.</w:t>
      </w:r>
    </w:p>
  </w:footnote>
  <w:footnote w:id="19">
    <w:p w14:paraId="161F4850" w14:textId="77777777" w:rsidR="00DD1A46" w:rsidRPr="009845CC" w:rsidRDefault="00DD1A46" w:rsidP="00DD1A46">
      <w:pPr>
        <w:pStyle w:val="Bezmezer"/>
        <w:jc w:val="left"/>
        <w:rPr>
          <w:color w:val="0D0D0D" w:themeColor="text1" w:themeTint="F2"/>
          <w:spacing w:val="-4"/>
          <w:sz w:val="16"/>
          <w:szCs w:val="16"/>
        </w:rPr>
      </w:pPr>
      <w:r w:rsidRPr="004D5215">
        <w:rPr>
          <w:rStyle w:val="Znakapoznpodarou"/>
          <w:color w:val="0D0D0D" w:themeColor="text1" w:themeTint="F2"/>
          <w:spacing w:val="-4"/>
          <w:sz w:val="16"/>
          <w:szCs w:val="16"/>
        </w:rPr>
        <w:footnoteRef/>
      </w:r>
      <w:r w:rsidRPr="004D5215">
        <w:rPr>
          <w:rStyle w:val="Znakapoznpodarou"/>
          <w:color w:val="0D0D0D" w:themeColor="text1" w:themeTint="F2"/>
          <w:spacing w:val="-4"/>
          <w:sz w:val="16"/>
          <w:szCs w:val="16"/>
        </w:rPr>
        <w:t xml:space="preserve"> </w:t>
      </w:r>
      <w:r>
        <w:rPr>
          <w:color w:val="0D0D0D" w:themeColor="text1" w:themeTint="F2"/>
          <w:spacing w:val="-4"/>
          <w:sz w:val="16"/>
          <w:szCs w:val="16"/>
        </w:rPr>
        <w:t>Ta letos v 1. pololetí meziročně vzrostla o 3,3 % (po</w:t>
      </w:r>
      <w:r w:rsidRPr="00AF55E0">
        <w:rPr>
          <w:color w:val="0D0D0D" w:themeColor="text1" w:themeTint="F2"/>
          <w:spacing w:val="-4"/>
          <w:sz w:val="16"/>
          <w:szCs w:val="16"/>
        </w:rPr>
        <w:t xml:space="preserve"> přepočtení na dlouhodobý teplotní normál p</w:t>
      </w:r>
      <w:r>
        <w:rPr>
          <w:color w:val="0D0D0D" w:themeColor="text1" w:themeTint="F2"/>
          <w:spacing w:val="-4"/>
          <w:sz w:val="16"/>
          <w:szCs w:val="16"/>
        </w:rPr>
        <w:t>ak</w:t>
      </w:r>
      <w:r w:rsidRPr="00AF55E0">
        <w:rPr>
          <w:color w:val="0D0D0D" w:themeColor="text1" w:themeTint="F2"/>
          <w:spacing w:val="-4"/>
          <w:sz w:val="16"/>
          <w:szCs w:val="16"/>
        </w:rPr>
        <w:t xml:space="preserve"> o </w:t>
      </w:r>
      <w:r>
        <w:rPr>
          <w:color w:val="0D0D0D" w:themeColor="text1" w:themeTint="F2"/>
          <w:spacing w:val="-4"/>
          <w:sz w:val="16"/>
          <w:szCs w:val="16"/>
        </w:rPr>
        <w:t>1</w:t>
      </w:r>
      <w:r w:rsidRPr="00AF55E0">
        <w:rPr>
          <w:color w:val="0D0D0D" w:themeColor="text1" w:themeTint="F2"/>
          <w:spacing w:val="-4"/>
          <w:sz w:val="16"/>
          <w:szCs w:val="16"/>
        </w:rPr>
        <w:t>,</w:t>
      </w:r>
      <w:r>
        <w:rPr>
          <w:color w:val="0D0D0D" w:themeColor="text1" w:themeTint="F2"/>
          <w:spacing w:val="-4"/>
          <w:sz w:val="16"/>
          <w:szCs w:val="16"/>
        </w:rPr>
        <w:t>4</w:t>
      </w:r>
      <w:r w:rsidRPr="00AF55E0">
        <w:rPr>
          <w:color w:val="0D0D0D" w:themeColor="text1" w:themeTint="F2"/>
          <w:spacing w:val="-4"/>
          <w:sz w:val="16"/>
          <w:szCs w:val="16"/>
        </w:rPr>
        <w:t xml:space="preserve"> %</w:t>
      </w:r>
      <w:r>
        <w:rPr>
          <w:color w:val="0D0D0D" w:themeColor="text1" w:themeTint="F2"/>
          <w:spacing w:val="-4"/>
          <w:sz w:val="16"/>
          <w:szCs w:val="16"/>
        </w:rPr>
        <w:t xml:space="preserve">). </w:t>
      </w:r>
      <w:r w:rsidRPr="004D5215">
        <w:rPr>
          <w:color w:val="0D0D0D" w:themeColor="text1" w:themeTint="F2"/>
          <w:spacing w:val="-4"/>
          <w:sz w:val="16"/>
          <w:szCs w:val="16"/>
        </w:rPr>
        <w:t xml:space="preserve">Skutečná spotřeba </w:t>
      </w:r>
      <w:r>
        <w:rPr>
          <w:color w:val="0D0D0D" w:themeColor="text1" w:themeTint="F2"/>
          <w:spacing w:val="-4"/>
          <w:sz w:val="16"/>
          <w:szCs w:val="16"/>
        </w:rPr>
        <w:t>se</w:t>
      </w:r>
      <w:r w:rsidRPr="004D5215">
        <w:rPr>
          <w:color w:val="0D0D0D" w:themeColor="text1" w:themeTint="F2"/>
          <w:spacing w:val="-4"/>
          <w:sz w:val="16"/>
          <w:szCs w:val="16"/>
        </w:rPr>
        <w:t xml:space="preserve"> </w:t>
      </w:r>
      <w:r>
        <w:rPr>
          <w:color w:val="0D0D0D" w:themeColor="text1" w:themeTint="F2"/>
          <w:spacing w:val="-4"/>
          <w:sz w:val="16"/>
          <w:szCs w:val="16"/>
        </w:rPr>
        <w:t>zvýšil</w:t>
      </w:r>
      <w:r w:rsidRPr="004D5215">
        <w:rPr>
          <w:color w:val="0D0D0D" w:themeColor="text1" w:themeTint="F2"/>
          <w:spacing w:val="-4"/>
          <w:sz w:val="16"/>
          <w:szCs w:val="16"/>
        </w:rPr>
        <w:t>a u</w:t>
      </w:r>
      <w:r>
        <w:rPr>
          <w:spacing w:val="-4"/>
          <w:sz w:val="16"/>
          <w:szCs w:val="16"/>
        </w:rPr>
        <w:t> </w:t>
      </w:r>
      <w:r w:rsidRPr="004D5215">
        <w:rPr>
          <w:color w:val="0D0D0D" w:themeColor="text1" w:themeTint="F2"/>
          <w:spacing w:val="-4"/>
          <w:sz w:val="16"/>
          <w:szCs w:val="16"/>
        </w:rPr>
        <w:t xml:space="preserve">všech </w:t>
      </w:r>
      <w:r>
        <w:rPr>
          <w:color w:val="0D0D0D" w:themeColor="text1" w:themeTint="F2"/>
          <w:spacing w:val="-4"/>
          <w:sz w:val="16"/>
          <w:szCs w:val="16"/>
        </w:rPr>
        <w:t>klíčových segmentů trhu</w:t>
      </w:r>
      <w:r w:rsidRPr="004D5215">
        <w:rPr>
          <w:color w:val="0D0D0D" w:themeColor="text1" w:themeTint="F2"/>
          <w:spacing w:val="-4"/>
          <w:sz w:val="16"/>
          <w:szCs w:val="16"/>
        </w:rPr>
        <w:t xml:space="preserve"> – </w:t>
      </w:r>
      <w:r>
        <w:rPr>
          <w:color w:val="0D0D0D" w:themeColor="text1" w:themeTint="F2"/>
          <w:spacing w:val="-4"/>
          <w:sz w:val="16"/>
          <w:szCs w:val="16"/>
        </w:rPr>
        <w:t xml:space="preserve">rozdíl v růstu spotřeby mezi hlavními skupinami odběratelů byl poměrně malý. </w:t>
      </w:r>
    </w:p>
  </w:footnote>
  <w:footnote w:id="20">
    <w:p w14:paraId="4925DF0F" w14:textId="77777777" w:rsidR="00DD1A46" w:rsidRPr="008803B7" w:rsidRDefault="00DD1A46" w:rsidP="00DD1A46">
      <w:pPr>
        <w:pStyle w:val="Textpoznpodarou"/>
        <w:rPr>
          <w:spacing w:val="-4"/>
          <w:sz w:val="16"/>
          <w:szCs w:val="16"/>
        </w:rPr>
      </w:pPr>
      <w:r w:rsidRPr="008803B7">
        <w:rPr>
          <w:rStyle w:val="Znakapoznpodarou"/>
          <w:spacing w:val="-4"/>
          <w:sz w:val="16"/>
          <w:szCs w:val="16"/>
        </w:rPr>
        <w:footnoteRef/>
      </w:r>
      <w:r w:rsidRPr="008803B7">
        <w:rPr>
          <w:spacing w:val="-4"/>
          <w:sz w:val="16"/>
          <w:szCs w:val="16"/>
        </w:rPr>
        <w:t xml:space="preserve"> Průměrná teplota ovzduší činila v lednu 2026 </w:t>
      </w:r>
      <w:r w:rsidRPr="008803B7">
        <w:rPr>
          <w:color w:val="0D0D0D" w:themeColor="text1" w:themeTint="F2"/>
          <w:spacing w:val="-4"/>
          <w:sz w:val="16"/>
          <w:szCs w:val="16"/>
        </w:rPr>
        <w:t>−</w:t>
      </w:r>
      <w:r w:rsidRPr="008803B7">
        <w:rPr>
          <w:spacing w:val="-4"/>
          <w:sz w:val="16"/>
          <w:szCs w:val="16"/>
        </w:rPr>
        <w:t xml:space="preserve">2,8 stupně Celsia, o rok dříve +0,5 stupně (dlouhodobý lednový teplotní normál pak </w:t>
      </w:r>
      <w:r w:rsidRPr="008803B7">
        <w:rPr>
          <w:color w:val="0D0D0D" w:themeColor="text1" w:themeTint="F2"/>
          <w:spacing w:val="-4"/>
          <w:sz w:val="16"/>
          <w:szCs w:val="16"/>
        </w:rPr>
        <w:t>−</w:t>
      </w:r>
      <w:r w:rsidRPr="008803B7">
        <w:rPr>
          <w:spacing w:val="-4"/>
          <w:sz w:val="16"/>
          <w:szCs w:val="16"/>
        </w:rPr>
        <w:t>1,2 stupně).</w:t>
      </w:r>
      <w:r>
        <w:rPr>
          <w:spacing w:val="-4"/>
          <w:sz w:val="16"/>
          <w:szCs w:val="16"/>
        </w:rPr>
        <w:t xml:space="preserve"> Letos v dubnu dosáhla teplota 8,3</w:t>
      </w:r>
      <w:r w:rsidRPr="008803B7">
        <w:rPr>
          <w:spacing w:val="-4"/>
          <w:sz w:val="16"/>
          <w:szCs w:val="16"/>
        </w:rPr>
        <w:t xml:space="preserve"> stupně</w:t>
      </w:r>
      <w:r>
        <w:rPr>
          <w:spacing w:val="-4"/>
          <w:sz w:val="16"/>
          <w:szCs w:val="16"/>
        </w:rPr>
        <w:t>, o rok dříve ale 10,5 stupně.</w:t>
      </w:r>
    </w:p>
  </w:footnote>
  <w:footnote w:id="21">
    <w:p w14:paraId="4CEB0C8E" w14:textId="77777777" w:rsidR="00DD1A46" w:rsidRPr="00175D5D" w:rsidRDefault="00DD1A46" w:rsidP="00DD1A46">
      <w:pPr>
        <w:pStyle w:val="Textpoznpodarou"/>
        <w:rPr>
          <w:sz w:val="16"/>
          <w:szCs w:val="16"/>
        </w:rPr>
      </w:pPr>
      <w:r w:rsidRPr="00175D5D">
        <w:rPr>
          <w:rStyle w:val="Znakapoznpodarou"/>
          <w:sz w:val="16"/>
          <w:szCs w:val="16"/>
        </w:rPr>
        <w:footnoteRef/>
      </w:r>
      <w:r w:rsidRPr="00D16437">
        <w:rPr>
          <w:spacing w:val="-2"/>
          <w:sz w:val="16"/>
          <w:szCs w:val="16"/>
        </w:rPr>
        <w:t xml:space="preserve"> </w:t>
      </w:r>
      <w:r w:rsidRPr="00D16437">
        <w:rPr>
          <w:spacing w:val="-3"/>
          <w:sz w:val="16"/>
          <w:szCs w:val="16"/>
        </w:rPr>
        <w:t>Potíže s poptávkou má aktuálně tento obor i v řadě evropských zemí. V 1. pololetí 2026 se jeho produkce snížila v EU meziročně o 10 %.</w:t>
      </w:r>
      <w:r w:rsidRPr="00D16437">
        <w:rPr>
          <w:spacing w:val="-2"/>
          <w:sz w:val="16"/>
          <w:szCs w:val="16"/>
        </w:rPr>
        <w:t xml:space="preserve"> </w:t>
      </w:r>
      <w:r w:rsidRPr="000D0111">
        <w:rPr>
          <w:spacing w:val="-4"/>
          <w:sz w:val="16"/>
          <w:szCs w:val="16"/>
        </w:rPr>
        <w:t>Na druhou stranu zaměstnanost se zde v EU dále navyšovala a většina konjunkturálních indikátorů na „unijní“ úrovni se významně nezhoršila.</w:t>
      </w:r>
    </w:p>
  </w:footnote>
  <w:footnote w:id="22">
    <w:p w14:paraId="704D6FB6" w14:textId="77777777" w:rsidR="00DD1A46" w:rsidRDefault="00DD1A46" w:rsidP="00DD1A46">
      <w:pPr>
        <w:pStyle w:val="Textpoznpodarou"/>
        <w:jc w:val="both"/>
        <w:rPr>
          <w:rFonts w:cs="Arial"/>
          <w:color w:val="0D0D0D" w:themeColor="text1" w:themeTint="F2"/>
          <w:spacing w:val="-2"/>
          <w:sz w:val="16"/>
          <w:szCs w:val="16"/>
        </w:rPr>
      </w:pPr>
      <w:r>
        <w:rPr>
          <w:rStyle w:val="Znakapoznpodarou"/>
          <w:rFonts w:cs="Arial"/>
          <w:color w:val="0D0D0D" w:themeColor="text1" w:themeTint="F2"/>
          <w:spacing w:val="-2"/>
          <w:sz w:val="16"/>
          <w:szCs w:val="16"/>
        </w:rPr>
        <w:footnoteRef/>
      </w:r>
      <w:r>
        <w:rPr>
          <w:rFonts w:cs="Arial"/>
          <w:color w:val="0D0D0D" w:themeColor="text1" w:themeTint="F2"/>
          <w:spacing w:val="-2"/>
          <w:sz w:val="16"/>
          <w:szCs w:val="16"/>
        </w:rPr>
        <w:t xml:space="preserve"> Zjišťování zakázek probíhá ve dvanácti zpracovatelských odvětvích vyrábějících převážně na zakázku, s dlouhodobějším výrobním cyklem a s většími zásobami zakázek. Meziroční tempa zakázek jsou očištěna o kalendářní vlivy.</w:t>
      </w:r>
    </w:p>
  </w:footnote>
  <w:footnote w:id="23">
    <w:p w14:paraId="65C387EF" w14:textId="77777777" w:rsidR="00DD1A46" w:rsidRPr="0073209B" w:rsidRDefault="00DD1A46" w:rsidP="00DD1A46">
      <w:pPr>
        <w:spacing w:after="0" w:line="240" w:lineRule="auto"/>
        <w:rPr>
          <w:color w:val="000000" w:themeColor="text1"/>
          <w:spacing w:val="-4"/>
          <w:sz w:val="16"/>
          <w:szCs w:val="16"/>
        </w:rPr>
      </w:pPr>
      <w:r w:rsidRPr="0073209B">
        <w:rPr>
          <w:rStyle w:val="Znakapoznpodarou"/>
          <w:sz w:val="16"/>
          <w:szCs w:val="16"/>
        </w:rPr>
        <w:footnoteRef/>
      </w:r>
      <w:r w:rsidRPr="0073209B">
        <w:rPr>
          <w:sz w:val="16"/>
          <w:szCs w:val="16"/>
        </w:rPr>
        <w:t xml:space="preserve"> </w:t>
      </w:r>
      <w:r w:rsidRPr="0073209B">
        <w:rPr>
          <w:color w:val="000000" w:themeColor="text1"/>
          <w:spacing w:val="-4"/>
          <w:sz w:val="16"/>
          <w:szCs w:val="16"/>
        </w:rPr>
        <w:t>Ve 4. čtvrtletí 2025 objem zakázek posílil o desetinu (nejvíce za poslední tři roky). Přispěla k němu ovšem fakticky pouze zahraniční poptávka</w:t>
      </w:r>
      <w:r>
        <w:rPr>
          <w:color w:val="000000" w:themeColor="text1"/>
          <w:spacing w:val="-4"/>
          <w:sz w:val="16"/>
          <w:szCs w:val="16"/>
        </w:rPr>
        <w:t xml:space="preserve">, a to </w:t>
      </w:r>
      <w:r w:rsidRPr="0073209B">
        <w:rPr>
          <w:color w:val="000000" w:themeColor="text1"/>
          <w:spacing w:val="-4"/>
          <w:sz w:val="16"/>
          <w:szCs w:val="16"/>
        </w:rPr>
        <w:t>především ve výrobě ostatních dopravních prostředků (s</w:t>
      </w:r>
      <w:r w:rsidRPr="0073209B">
        <w:rPr>
          <w:color w:val="0D0D0D" w:themeColor="text1" w:themeTint="F2"/>
          <w:sz w:val="16"/>
          <w:szCs w:val="16"/>
        </w:rPr>
        <w:t>ilný růstový impuls se týkal hlavně modernizace veřejné dopravy a armády)</w:t>
      </w:r>
      <w:r w:rsidRPr="0073209B">
        <w:rPr>
          <w:color w:val="000000" w:themeColor="text1"/>
          <w:spacing w:val="-4"/>
          <w:sz w:val="16"/>
          <w:szCs w:val="16"/>
        </w:rPr>
        <w:t xml:space="preserve"> </w:t>
      </w:r>
      <w:r>
        <w:rPr>
          <w:color w:val="000000" w:themeColor="text1"/>
          <w:spacing w:val="-4"/>
          <w:sz w:val="16"/>
          <w:szCs w:val="16"/>
        </w:rPr>
        <w:br/>
      </w:r>
      <w:r w:rsidRPr="0073209B">
        <w:rPr>
          <w:color w:val="000000" w:themeColor="text1"/>
          <w:spacing w:val="-4"/>
          <w:sz w:val="16"/>
          <w:szCs w:val="16"/>
        </w:rPr>
        <w:t>a</w:t>
      </w:r>
      <w:r>
        <w:rPr>
          <w:color w:val="000000" w:themeColor="text1"/>
          <w:spacing w:val="-4"/>
          <w:sz w:val="16"/>
          <w:szCs w:val="16"/>
        </w:rPr>
        <w:t xml:space="preserve"> dále</w:t>
      </w:r>
      <w:r w:rsidRPr="0073209B">
        <w:rPr>
          <w:color w:val="000000" w:themeColor="text1"/>
          <w:spacing w:val="-4"/>
          <w:sz w:val="16"/>
          <w:szCs w:val="16"/>
        </w:rPr>
        <w:t xml:space="preserve"> v elektrotechnice </w:t>
      </w:r>
      <w:r>
        <w:rPr>
          <w:color w:val="000000" w:themeColor="text1"/>
          <w:spacing w:val="-4"/>
          <w:sz w:val="16"/>
          <w:szCs w:val="16"/>
        </w:rPr>
        <w:t>a</w:t>
      </w:r>
      <w:r w:rsidRPr="0073209B">
        <w:rPr>
          <w:color w:val="000000" w:themeColor="text1"/>
          <w:spacing w:val="-4"/>
          <w:sz w:val="16"/>
          <w:szCs w:val="16"/>
        </w:rPr>
        <w:t xml:space="preserve"> kovodělném průmyslu.</w:t>
      </w:r>
    </w:p>
  </w:footnote>
  <w:footnote w:id="24">
    <w:p w14:paraId="1942CE8B" w14:textId="77777777" w:rsidR="00DD1A46" w:rsidRPr="00870373" w:rsidRDefault="00DD1A46" w:rsidP="00DD1A46">
      <w:pPr>
        <w:pStyle w:val="Textpoznpodarou"/>
        <w:rPr>
          <w:sz w:val="16"/>
          <w:szCs w:val="16"/>
        </w:rPr>
      </w:pPr>
      <w:r w:rsidRPr="00870373">
        <w:rPr>
          <w:rStyle w:val="Znakapoznpodarou"/>
          <w:sz w:val="16"/>
          <w:szCs w:val="16"/>
        </w:rPr>
        <w:footnoteRef/>
      </w:r>
      <w:r w:rsidRPr="00870373">
        <w:rPr>
          <w:sz w:val="16"/>
          <w:szCs w:val="16"/>
        </w:rPr>
        <w:t xml:space="preserve"> Např. v chemickém průmyslu vzrostla ve 2. čtvrtletí 2026 hodnota nových zakázek o desetinu. Při hodnocení reálných výhledů tohoto oboru je ale nutné vzít v potaz ve stejném období probíhající akcelerac</w:t>
      </w:r>
      <w:r>
        <w:rPr>
          <w:sz w:val="16"/>
          <w:szCs w:val="16"/>
        </w:rPr>
        <w:t>i</w:t>
      </w:r>
      <w:r w:rsidRPr="00870373">
        <w:rPr>
          <w:sz w:val="16"/>
          <w:szCs w:val="16"/>
        </w:rPr>
        <w:t xml:space="preserve"> růstu cen výrobců</w:t>
      </w:r>
      <w:r>
        <w:rPr>
          <w:sz w:val="16"/>
          <w:szCs w:val="16"/>
        </w:rPr>
        <w:t xml:space="preserve"> c</w:t>
      </w:r>
      <w:r w:rsidRPr="00870373">
        <w:rPr>
          <w:sz w:val="16"/>
          <w:szCs w:val="16"/>
        </w:rPr>
        <w:t>hemick</w:t>
      </w:r>
      <w:r>
        <w:rPr>
          <w:sz w:val="16"/>
          <w:szCs w:val="16"/>
        </w:rPr>
        <w:t>ých</w:t>
      </w:r>
      <w:r w:rsidRPr="00870373">
        <w:rPr>
          <w:sz w:val="16"/>
          <w:szCs w:val="16"/>
        </w:rPr>
        <w:t xml:space="preserve"> lát</w:t>
      </w:r>
      <w:r>
        <w:rPr>
          <w:sz w:val="16"/>
          <w:szCs w:val="16"/>
        </w:rPr>
        <w:t>ek</w:t>
      </w:r>
      <w:r w:rsidRPr="00870373">
        <w:rPr>
          <w:sz w:val="16"/>
          <w:szCs w:val="16"/>
        </w:rPr>
        <w:t xml:space="preserve"> a přípravk</w:t>
      </w:r>
      <w:r>
        <w:rPr>
          <w:sz w:val="16"/>
          <w:szCs w:val="16"/>
        </w:rPr>
        <w:t>ů</w:t>
      </w:r>
      <w:r w:rsidRPr="00870373">
        <w:rPr>
          <w:sz w:val="16"/>
          <w:szCs w:val="16"/>
        </w:rPr>
        <w:t xml:space="preserve"> (na 13 %) vyvolaných eskalací války v oblasti Perského zálivu. </w:t>
      </w:r>
    </w:p>
  </w:footnote>
  <w:footnote w:id="25">
    <w:p w14:paraId="32FA617F" w14:textId="77777777" w:rsidR="00DD1A46" w:rsidRPr="006B7557" w:rsidRDefault="00DD1A46" w:rsidP="00DD1A46">
      <w:pPr>
        <w:pStyle w:val="Textpoznpodarou"/>
        <w:rPr>
          <w:sz w:val="16"/>
          <w:szCs w:val="16"/>
        </w:rPr>
      </w:pPr>
      <w:r w:rsidRPr="006B7557">
        <w:rPr>
          <w:rStyle w:val="Znakapoznpodarou"/>
          <w:sz w:val="16"/>
          <w:szCs w:val="16"/>
        </w:rPr>
        <w:footnoteRef/>
      </w:r>
      <w:r w:rsidRPr="006B7557">
        <w:rPr>
          <w:sz w:val="16"/>
          <w:szCs w:val="16"/>
        </w:rPr>
        <w:t xml:space="preserve"> V červenci vyjádřili nejvyšší saldo důvěry podnikatelé v ostatním zpracovatelském průmyslu (+32 bodu), výrobě motorových vozidel (+18) </w:t>
      </w:r>
      <w:r>
        <w:rPr>
          <w:sz w:val="16"/>
          <w:szCs w:val="16"/>
        </w:rPr>
        <w:t>a dále např. v elektrotechnice (+4), opravách strojů (+4) či ve výrobě nápojů (+2). Opačně na tom bylo zejména gumárenství a</w:t>
      </w:r>
      <w:r w:rsidRPr="00870373">
        <w:rPr>
          <w:sz w:val="16"/>
          <w:szCs w:val="16"/>
        </w:rPr>
        <w:t> </w:t>
      </w:r>
      <w:proofErr w:type="spellStart"/>
      <w:r>
        <w:rPr>
          <w:sz w:val="16"/>
          <w:szCs w:val="16"/>
        </w:rPr>
        <w:t>plastikářství</w:t>
      </w:r>
      <w:proofErr w:type="spellEnd"/>
      <w:r>
        <w:rPr>
          <w:sz w:val="16"/>
          <w:szCs w:val="16"/>
        </w:rPr>
        <w:t xml:space="preserve"> (−42), nábytkářství (−20), farmacie (−12) a dále např. výroba stavebních materiálů (−8).</w:t>
      </w:r>
    </w:p>
  </w:footnote>
  <w:footnote w:id="26">
    <w:p w14:paraId="4A7B050D" w14:textId="77777777" w:rsidR="00DD1A46" w:rsidRPr="004A0F58" w:rsidRDefault="00DD1A46" w:rsidP="00DD1A46">
      <w:pPr>
        <w:pStyle w:val="Textpoznpodarou"/>
        <w:jc w:val="both"/>
        <w:rPr>
          <w:color w:val="0D0D0D" w:themeColor="text1" w:themeTint="F2"/>
          <w:sz w:val="16"/>
          <w:szCs w:val="16"/>
        </w:rPr>
      </w:pPr>
      <w:r w:rsidRPr="004A0F58">
        <w:rPr>
          <w:rStyle w:val="Znakapoznpodarou"/>
          <w:color w:val="0D0D0D" w:themeColor="text1" w:themeTint="F2"/>
          <w:sz w:val="16"/>
          <w:szCs w:val="16"/>
        </w:rPr>
        <w:footnoteRef/>
      </w:r>
      <w:r w:rsidRPr="004A0F58">
        <w:rPr>
          <w:color w:val="0D0D0D" w:themeColor="text1" w:themeTint="F2"/>
          <w:sz w:val="16"/>
          <w:szCs w:val="16"/>
        </w:rPr>
        <w:t xml:space="preserve"> Podniky mohly uvést více bariér současně.</w:t>
      </w:r>
    </w:p>
  </w:footnote>
  <w:footnote w:id="27">
    <w:p w14:paraId="6C7D9B3D" w14:textId="77777777" w:rsidR="00DD1A46" w:rsidRPr="0093716F" w:rsidRDefault="00DD1A46" w:rsidP="00DD1A46">
      <w:pPr>
        <w:pStyle w:val="Textpoznpodarou"/>
        <w:rPr>
          <w:sz w:val="16"/>
          <w:szCs w:val="16"/>
        </w:rPr>
      </w:pPr>
      <w:r w:rsidRPr="0093716F">
        <w:rPr>
          <w:rStyle w:val="Znakapoznpodarou"/>
          <w:sz w:val="16"/>
          <w:szCs w:val="16"/>
        </w:rPr>
        <w:footnoteRef/>
      </w:r>
      <w:r w:rsidRPr="0093716F">
        <w:rPr>
          <w:sz w:val="16"/>
          <w:szCs w:val="16"/>
        </w:rPr>
        <w:t xml:space="preserve"> Jako bariéru zmínilo tento faktor aktuálně 11 % podniků, což se nevymyká dlouhodobému průměru.</w:t>
      </w:r>
      <w:r>
        <w:rPr>
          <w:sz w:val="16"/>
          <w:szCs w:val="16"/>
        </w:rPr>
        <w:t xml:space="preserve"> Na druhou stranu </w:t>
      </w:r>
      <w:r w:rsidRPr="0093716F">
        <w:rPr>
          <w:sz w:val="16"/>
          <w:szCs w:val="16"/>
        </w:rPr>
        <w:t>vzrostl význam ostatních omezujících faktorů – na počátku 3. čtvrtletí až na 21 % (nejvyšší podíl od konce roku 2023), kde firmy samy nejčastěji uváděly zhoršenou geopolitickou situaci, resp. její dopady na růst energetických nákladů, PHM a dalších vstupů.</w:t>
      </w:r>
    </w:p>
  </w:footnote>
  <w:footnote w:id="28">
    <w:p w14:paraId="29B952FF" w14:textId="77777777" w:rsidR="00DD1A46" w:rsidRPr="004A0F58" w:rsidRDefault="00DD1A46" w:rsidP="00DD1A46">
      <w:pPr>
        <w:pStyle w:val="Textpoznpodarou"/>
        <w:jc w:val="both"/>
        <w:rPr>
          <w:color w:val="0D0D0D" w:themeColor="text1" w:themeTint="F2"/>
          <w:spacing w:val="-2"/>
          <w:sz w:val="16"/>
          <w:szCs w:val="16"/>
        </w:rPr>
      </w:pPr>
      <w:r w:rsidRPr="004A0F58">
        <w:rPr>
          <w:rStyle w:val="Znakapoznpodarou"/>
          <w:rFonts w:cs="Arial"/>
          <w:color w:val="0D0D0D" w:themeColor="text1" w:themeTint="F2"/>
          <w:spacing w:val="-2"/>
          <w:sz w:val="16"/>
          <w:szCs w:val="16"/>
        </w:rPr>
        <w:footnoteRef/>
      </w:r>
      <w:r w:rsidRPr="004A0F58">
        <w:rPr>
          <w:rFonts w:cs="Arial"/>
          <w:color w:val="0D0D0D" w:themeColor="text1" w:themeTint="F2"/>
          <w:spacing w:val="-2"/>
          <w:sz w:val="16"/>
          <w:szCs w:val="16"/>
        </w:rPr>
        <w:t xml:space="preserve"> Údaje o stavební produkci jsou ve stálých cenách, meziroční tempa jsou očištěna o kalendářní vlivy, mezičtvrtletní též o vliv sezónnosti.</w:t>
      </w:r>
    </w:p>
  </w:footnote>
  <w:footnote w:id="29">
    <w:p w14:paraId="45B1C067" w14:textId="77777777" w:rsidR="00DD1A46" w:rsidRDefault="00DD1A46" w:rsidP="00DD1A46">
      <w:pPr>
        <w:pStyle w:val="Textpoznpodarou"/>
      </w:pPr>
      <w:r w:rsidRPr="00AD305C">
        <w:rPr>
          <w:rStyle w:val="Znakapoznpodarou"/>
          <w:sz w:val="16"/>
          <w:szCs w:val="16"/>
        </w:rPr>
        <w:footnoteRef/>
      </w:r>
      <w:r w:rsidRPr="00AD305C">
        <w:rPr>
          <w:sz w:val="16"/>
          <w:szCs w:val="16"/>
        </w:rPr>
        <w:t xml:space="preserve"> I tak byl ovšem letos počet zahájených bytů v metropoli relativně významný (4,2 tis.). Ve stejném období loňského roku totiž dosáhl 4,6 tis., což v rámci 1. pololetí znamenalo nej</w:t>
      </w:r>
      <w:r>
        <w:rPr>
          <w:sz w:val="16"/>
          <w:szCs w:val="16"/>
        </w:rPr>
        <w:t xml:space="preserve">silnější </w:t>
      </w:r>
      <w:r w:rsidRPr="00AD305C">
        <w:rPr>
          <w:sz w:val="16"/>
          <w:szCs w:val="16"/>
        </w:rPr>
        <w:t>výstavbu od počátku 90. let.</w:t>
      </w:r>
    </w:p>
  </w:footnote>
  <w:footnote w:id="30">
    <w:p w14:paraId="4F2EF8FF" w14:textId="77777777" w:rsidR="00DD1A46" w:rsidRPr="00B40B27" w:rsidRDefault="00DD1A46" w:rsidP="00DD1A46">
      <w:pPr>
        <w:pStyle w:val="Textpoznpodarou"/>
        <w:rPr>
          <w:sz w:val="16"/>
          <w:szCs w:val="16"/>
        </w:rPr>
      </w:pPr>
      <w:r w:rsidRPr="00B40B27">
        <w:rPr>
          <w:rStyle w:val="Znakapoznpodarou"/>
          <w:sz w:val="16"/>
          <w:szCs w:val="16"/>
        </w:rPr>
        <w:footnoteRef/>
      </w:r>
      <w:r w:rsidRPr="00B40B27">
        <w:rPr>
          <w:sz w:val="16"/>
          <w:szCs w:val="16"/>
        </w:rPr>
        <w:t xml:space="preserve"> </w:t>
      </w:r>
      <w:r w:rsidRPr="00B40B27">
        <w:rPr>
          <w:rStyle w:val="normaltextrun"/>
          <w:rFonts w:eastAsiaTheme="majorEastAsia" w:cs="Arial"/>
          <w:color w:val="0D0D0D" w:themeColor="text1" w:themeTint="F2"/>
          <w:spacing w:val="-2"/>
          <w:sz w:val="16"/>
          <w:szCs w:val="16"/>
        </w:rPr>
        <w:t>Zásoba práce klesá pouze v okrajovém segmentu zakázek v zahraničí (</w:t>
      </w:r>
      <w:r w:rsidRPr="004A0F58">
        <w:rPr>
          <w:rStyle w:val="normaltextrun"/>
          <w:rFonts w:eastAsiaTheme="majorEastAsia" w:cs="Arial"/>
          <w:color w:val="0D0D0D" w:themeColor="text1" w:themeTint="F2"/>
          <w:spacing w:val="-2"/>
          <w:sz w:val="16"/>
          <w:szCs w:val="16"/>
        </w:rPr>
        <w:t>−</w:t>
      </w:r>
      <w:r w:rsidRPr="00B40B27">
        <w:rPr>
          <w:rStyle w:val="normaltextrun"/>
          <w:rFonts w:eastAsiaTheme="majorEastAsia" w:cs="Arial"/>
          <w:color w:val="0D0D0D" w:themeColor="text1" w:themeTint="F2"/>
          <w:spacing w:val="-2"/>
          <w:sz w:val="16"/>
          <w:szCs w:val="16"/>
        </w:rPr>
        <w:t>14,</w:t>
      </w:r>
      <w:r>
        <w:rPr>
          <w:rStyle w:val="normaltextrun"/>
          <w:rFonts w:eastAsiaTheme="majorEastAsia" w:cs="Arial"/>
          <w:color w:val="0D0D0D" w:themeColor="text1" w:themeTint="F2"/>
          <w:spacing w:val="-2"/>
          <w:sz w:val="16"/>
          <w:szCs w:val="16"/>
        </w:rPr>
        <w:t>0</w:t>
      </w:r>
      <w:r w:rsidRPr="00B40B27">
        <w:rPr>
          <w:rStyle w:val="normaltextrun"/>
          <w:rFonts w:eastAsiaTheme="majorEastAsia" w:cs="Arial"/>
          <w:color w:val="0D0D0D" w:themeColor="text1" w:themeTint="F2"/>
          <w:spacing w:val="-2"/>
          <w:sz w:val="16"/>
          <w:szCs w:val="16"/>
        </w:rPr>
        <w:t xml:space="preserve"> %, pokles přetrvává třetí kvartál v řadě).</w:t>
      </w:r>
    </w:p>
  </w:footnote>
  <w:footnote w:id="31">
    <w:p w14:paraId="581336B6" w14:textId="77777777" w:rsidR="00DD1A46" w:rsidRPr="003B0E98" w:rsidRDefault="00DD1A46" w:rsidP="00DD1A46">
      <w:pPr>
        <w:pStyle w:val="Textpoznpodarou"/>
        <w:rPr>
          <w:sz w:val="16"/>
          <w:szCs w:val="16"/>
        </w:rPr>
      </w:pPr>
      <w:r w:rsidRPr="004A0F58">
        <w:rPr>
          <w:rStyle w:val="Znakapoznpodarou"/>
          <w:color w:val="0D0D0D" w:themeColor="text1" w:themeTint="F2"/>
          <w:sz w:val="16"/>
          <w:szCs w:val="16"/>
        </w:rPr>
        <w:footnoteRef/>
      </w:r>
      <w:r w:rsidRPr="004A0F58">
        <w:rPr>
          <w:color w:val="0D0D0D" w:themeColor="text1" w:themeTint="F2"/>
          <w:sz w:val="16"/>
          <w:szCs w:val="16"/>
        </w:rPr>
        <w:t xml:space="preserve"> </w:t>
      </w:r>
      <w:r w:rsidRPr="004A0F58">
        <w:rPr>
          <w:rStyle w:val="normaltextrun"/>
          <w:rFonts w:eastAsiaTheme="majorEastAsia"/>
          <w:color w:val="0D0D0D" w:themeColor="text1" w:themeTint="F2"/>
          <w:spacing w:val="-2"/>
          <w:sz w:val="16"/>
          <w:szCs w:val="16"/>
        </w:rPr>
        <w:t xml:space="preserve">Údaje o podlahové ploše povolené nové výstavby budov však pokrývají hodnotově pouze zhruba 40 % až 50 % všech dříve (do prosince 2025) publikovaných povolení. Mírně nadpoloviční většina (53 %) orientačních hodnot staveb povolených v roce 2025 tak připadala na jiné účely. Šlo o rekonstrukce a modernizace stávajících budov (22 %), inženýrské dopravní stavby (20 %) a ostatní inženýrské stavby (11 %), např. v oblasti energetiky. Od ledna 2026 jsou dostupné údaje o počtu, nikoliv hodnotě povolených staveb. Celkově se počet těchto povolení </w:t>
      </w:r>
      <w:r>
        <w:rPr>
          <w:rStyle w:val="normaltextrun"/>
          <w:rFonts w:eastAsiaTheme="majorEastAsia"/>
          <w:color w:val="0D0D0D" w:themeColor="text1" w:themeTint="F2"/>
          <w:spacing w:val="-2"/>
          <w:sz w:val="16"/>
          <w:szCs w:val="16"/>
        </w:rPr>
        <w:t xml:space="preserve">letos v 1. pololetí </w:t>
      </w:r>
      <w:r w:rsidRPr="004A0F58">
        <w:rPr>
          <w:rStyle w:val="normaltextrun"/>
          <w:rFonts w:eastAsiaTheme="majorEastAsia"/>
          <w:color w:val="0D0D0D" w:themeColor="text1" w:themeTint="F2"/>
          <w:spacing w:val="-2"/>
          <w:sz w:val="16"/>
          <w:szCs w:val="16"/>
        </w:rPr>
        <w:t xml:space="preserve">meziročně zvýšil o </w:t>
      </w:r>
      <w:r>
        <w:rPr>
          <w:rStyle w:val="normaltextrun"/>
          <w:rFonts w:eastAsiaTheme="majorEastAsia"/>
          <w:color w:val="0D0D0D" w:themeColor="text1" w:themeTint="F2"/>
          <w:spacing w:val="-2"/>
          <w:sz w:val="16"/>
          <w:szCs w:val="16"/>
        </w:rPr>
        <w:t>7</w:t>
      </w:r>
      <w:r w:rsidRPr="004A0F58">
        <w:rPr>
          <w:rStyle w:val="normaltextrun"/>
          <w:rFonts w:eastAsiaTheme="majorEastAsia"/>
          <w:color w:val="0D0D0D" w:themeColor="text1" w:themeTint="F2"/>
          <w:spacing w:val="-2"/>
          <w:sz w:val="16"/>
          <w:szCs w:val="16"/>
        </w:rPr>
        <w:t xml:space="preserve"> %, z toho v nové výstavbě budov o </w:t>
      </w:r>
      <w:r>
        <w:rPr>
          <w:rStyle w:val="normaltextrun"/>
          <w:rFonts w:eastAsiaTheme="majorEastAsia"/>
          <w:color w:val="0D0D0D" w:themeColor="text1" w:themeTint="F2"/>
          <w:spacing w:val="-2"/>
          <w:sz w:val="16"/>
          <w:szCs w:val="16"/>
        </w:rPr>
        <w:t>21</w:t>
      </w:r>
      <w:r w:rsidRPr="004A0F58">
        <w:rPr>
          <w:rStyle w:val="normaltextrun"/>
          <w:rFonts w:eastAsiaTheme="majorEastAsia"/>
          <w:color w:val="0D0D0D" w:themeColor="text1" w:themeTint="F2"/>
          <w:spacing w:val="-2"/>
          <w:sz w:val="16"/>
          <w:szCs w:val="16"/>
        </w:rPr>
        <w:t xml:space="preserve"> %, dále rostl za inženýrské dopravní stavby (+1</w:t>
      </w:r>
      <w:r>
        <w:rPr>
          <w:rStyle w:val="normaltextrun"/>
          <w:rFonts w:eastAsiaTheme="majorEastAsia"/>
          <w:color w:val="0D0D0D" w:themeColor="text1" w:themeTint="F2"/>
          <w:spacing w:val="-2"/>
          <w:sz w:val="16"/>
          <w:szCs w:val="16"/>
        </w:rPr>
        <w:t>5</w:t>
      </w:r>
      <w:r w:rsidRPr="004A0F58">
        <w:rPr>
          <w:rStyle w:val="normaltextrun"/>
          <w:rFonts w:eastAsiaTheme="majorEastAsia"/>
          <w:color w:val="0D0D0D" w:themeColor="text1" w:themeTint="F2"/>
          <w:spacing w:val="-2"/>
          <w:sz w:val="16"/>
          <w:szCs w:val="16"/>
        </w:rPr>
        <w:t xml:space="preserve"> %) a ostatní </w:t>
      </w:r>
      <w:r>
        <w:rPr>
          <w:rStyle w:val="normaltextrun"/>
          <w:rFonts w:eastAsiaTheme="majorEastAsia"/>
          <w:color w:val="0D0D0D" w:themeColor="text1" w:themeTint="F2"/>
          <w:spacing w:val="-2"/>
          <w:sz w:val="16"/>
          <w:szCs w:val="16"/>
        </w:rPr>
        <w:t>inženýrské</w:t>
      </w:r>
      <w:r w:rsidRPr="004A0F58">
        <w:rPr>
          <w:rStyle w:val="normaltextrun"/>
          <w:rFonts w:eastAsiaTheme="majorEastAsia"/>
          <w:color w:val="0D0D0D" w:themeColor="text1" w:themeTint="F2"/>
          <w:spacing w:val="-2"/>
          <w:sz w:val="16"/>
          <w:szCs w:val="16"/>
        </w:rPr>
        <w:t xml:space="preserve"> stavby (+10 %), klesl naopak</w:t>
      </w:r>
      <w:r>
        <w:rPr>
          <w:rStyle w:val="normaltextrun"/>
          <w:rFonts w:eastAsiaTheme="majorEastAsia"/>
          <w:color w:val="0D0D0D" w:themeColor="text1" w:themeTint="F2"/>
          <w:spacing w:val="-2"/>
          <w:sz w:val="16"/>
          <w:szCs w:val="16"/>
        </w:rPr>
        <w:t xml:space="preserve"> především</w:t>
      </w:r>
      <w:r w:rsidRPr="004A0F58">
        <w:rPr>
          <w:rStyle w:val="normaltextrun"/>
          <w:rFonts w:eastAsiaTheme="majorEastAsia"/>
          <w:color w:val="0D0D0D" w:themeColor="text1" w:themeTint="F2"/>
          <w:spacing w:val="-2"/>
          <w:sz w:val="16"/>
          <w:szCs w:val="16"/>
        </w:rPr>
        <w:t xml:space="preserve"> za rekonstrukce a modernizace stávajících budov (</w:t>
      </w:r>
      <w:r w:rsidRPr="004A0F58">
        <w:rPr>
          <w:rStyle w:val="normaltextrun"/>
          <w:rFonts w:eastAsiaTheme="majorEastAsia" w:cs="Arial"/>
          <w:color w:val="0D0D0D" w:themeColor="text1" w:themeTint="F2"/>
          <w:spacing w:val="-2"/>
          <w:sz w:val="16"/>
          <w:szCs w:val="16"/>
        </w:rPr>
        <w:t>−</w:t>
      </w:r>
      <w:r>
        <w:rPr>
          <w:rStyle w:val="normaltextrun"/>
          <w:rFonts w:eastAsiaTheme="majorEastAsia"/>
          <w:color w:val="0D0D0D" w:themeColor="text1" w:themeTint="F2"/>
          <w:spacing w:val="-2"/>
          <w:sz w:val="16"/>
          <w:szCs w:val="16"/>
        </w:rPr>
        <w:t>9</w:t>
      </w:r>
      <w:r w:rsidRPr="004A0F58">
        <w:rPr>
          <w:rStyle w:val="normaltextrun"/>
          <w:rFonts w:eastAsiaTheme="majorEastAsia"/>
          <w:color w:val="0D0D0D" w:themeColor="text1" w:themeTint="F2"/>
          <w:spacing w:val="-2"/>
          <w:sz w:val="16"/>
          <w:szCs w:val="16"/>
        </w:rPr>
        <w:t xml:space="preserve"> %)</w:t>
      </w:r>
      <w:r>
        <w:rPr>
          <w:rStyle w:val="normaltextrun"/>
          <w:rFonts w:eastAsiaTheme="majorEastAsia"/>
          <w:color w:val="0D0D0D" w:themeColor="text1" w:themeTint="F2"/>
          <w:spacing w:val="-2"/>
          <w:sz w:val="16"/>
          <w:szCs w:val="16"/>
        </w:rPr>
        <w:t>.</w:t>
      </w:r>
    </w:p>
  </w:footnote>
  <w:footnote w:id="32">
    <w:p w14:paraId="7426C96B" w14:textId="77777777" w:rsidR="00DD1A46" w:rsidRPr="004A0F58" w:rsidRDefault="00DD1A46" w:rsidP="00DD1A46">
      <w:pPr>
        <w:pStyle w:val="Textpoznpodarou"/>
        <w:rPr>
          <w:color w:val="0D0D0D" w:themeColor="text1" w:themeTint="F2"/>
          <w:spacing w:val="-2"/>
          <w:sz w:val="16"/>
          <w:szCs w:val="16"/>
        </w:rPr>
      </w:pPr>
      <w:r w:rsidRPr="004A0F58">
        <w:rPr>
          <w:rStyle w:val="Znakapoznpodarou"/>
          <w:color w:val="0D0D0D" w:themeColor="text1" w:themeTint="F2"/>
          <w:sz w:val="16"/>
          <w:szCs w:val="16"/>
        </w:rPr>
        <w:footnoteRef/>
      </w:r>
      <w:r w:rsidRPr="004A0F58">
        <w:rPr>
          <w:color w:val="0D0D0D" w:themeColor="text1" w:themeTint="F2"/>
          <w:sz w:val="16"/>
          <w:szCs w:val="16"/>
        </w:rPr>
        <w:t xml:space="preserve"> </w:t>
      </w:r>
      <w:r w:rsidRPr="004A0F58">
        <w:rPr>
          <w:color w:val="0D0D0D" w:themeColor="text1" w:themeTint="F2"/>
          <w:spacing w:val="-2"/>
          <w:sz w:val="16"/>
          <w:szCs w:val="16"/>
        </w:rPr>
        <w:t xml:space="preserve">Evidenční počet zaměstnanců (ve stavebních podnicích nad 50 pracovníků) se letos </w:t>
      </w:r>
      <w:r>
        <w:rPr>
          <w:color w:val="0D0D0D" w:themeColor="text1" w:themeTint="F2"/>
          <w:spacing w:val="-2"/>
          <w:sz w:val="16"/>
          <w:szCs w:val="16"/>
        </w:rPr>
        <w:t>v 1. pololetí</w:t>
      </w:r>
      <w:r w:rsidRPr="004A0F58">
        <w:rPr>
          <w:color w:val="0D0D0D" w:themeColor="text1" w:themeTint="F2"/>
          <w:spacing w:val="-2"/>
          <w:sz w:val="16"/>
          <w:szCs w:val="16"/>
        </w:rPr>
        <w:t xml:space="preserve"> meziročně zvýšil již o 2,1 %. Z</w:t>
      </w:r>
      <w:r>
        <w:rPr>
          <w:color w:val="0D0D0D" w:themeColor="text1" w:themeTint="F2"/>
          <w:spacing w:val="-2"/>
          <w:sz w:val="16"/>
          <w:szCs w:val="16"/>
        </w:rPr>
        <w:t>e</w:t>
      </w:r>
      <w:r w:rsidRPr="004A0F58">
        <w:rPr>
          <w:color w:val="0D0D0D" w:themeColor="text1" w:themeTint="F2"/>
          <w:spacing w:val="-2"/>
          <w:sz w:val="16"/>
          <w:szCs w:val="16"/>
        </w:rPr>
        <w:t xml:space="preserve"> čtvrtletních údajů pokrývajících celé odvětví plyne, že se zaměstnanost zvyšovala i v menších podnicích.  </w:t>
      </w:r>
    </w:p>
  </w:footnote>
  <w:footnote w:id="33">
    <w:p w14:paraId="0F09FDE4" w14:textId="77777777" w:rsidR="00DD1A46" w:rsidRPr="004A0F58" w:rsidRDefault="00DD1A46" w:rsidP="00DD1A46">
      <w:pPr>
        <w:pStyle w:val="Textpoznpodarou"/>
        <w:rPr>
          <w:color w:val="0D0D0D" w:themeColor="text1" w:themeTint="F2"/>
          <w:spacing w:val="-2"/>
          <w:sz w:val="16"/>
          <w:szCs w:val="16"/>
        </w:rPr>
      </w:pPr>
      <w:r w:rsidRPr="004A0F58">
        <w:rPr>
          <w:rStyle w:val="Znakapoznpodarou"/>
          <w:color w:val="0D0D0D" w:themeColor="text1" w:themeTint="F2"/>
          <w:spacing w:val="-2"/>
          <w:sz w:val="16"/>
          <w:szCs w:val="16"/>
        </w:rPr>
        <w:footnoteRef/>
      </w:r>
      <w:r w:rsidRPr="004A0F58">
        <w:rPr>
          <w:color w:val="0D0D0D" w:themeColor="text1" w:themeTint="F2"/>
          <w:spacing w:val="-2"/>
          <w:sz w:val="16"/>
          <w:szCs w:val="16"/>
        </w:rPr>
        <w:t xml:space="preserve"> </w:t>
      </w:r>
      <w:r w:rsidRPr="004A0F58">
        <w:rPr>
          <w:rStyle w:val="normaltextrun"/>
          <w:rFonts w:eastAsiaTheme="majorEastAsia" w:cs="Arial"/>
          <w:color w:val="0D0D0D" w:themeColor="text1" w:themeTint="F2"/>
          <w:spacing w:val="-2"/>
          <w:sz w:val="16"/>
          <w:szCs w:val="16"/>
        </w:rPr>
        <w:t xml:space="preserve">Nedostatečná poptávka nadále nejvíce sužovala podniky v segmentu výstavby budov </w:t>
      </w:r>
      <w:r>
        <w:rPr>
          <w:rStyle w:val="normaltextrun"/>
          <w:rFonts w:eastAsiaTheme="majorEastAsia" w:cs="Arial"/>
          <w:color w:val="0D0D0D" w:themeColor="text1" w:themeTint="F2"/>
          <w:spacing w:val="-2"/>
          <w:sz w:val="16"/>
          <w:szCs w:val="16"/>
        </w:rPr>
        <w:t>(40 % firem)</w:t>
      </w:r>
      <w:r w:rsidRPr="004A0F58">
        <w:rPr>
          <w:rStyle w:val="normaltextrun"/>
          <w:rFonts w:eastAsiaTheme="majorEastAsia" w:cs="Arial"/>
          <w:color w:val="0D0D0D" w:themeColor="text1" w:themeTint="F2"/>
          <w:spacing w:val="-2"/>
          <w:sz w:val="16"/>
          <w:szCs w:val="16"/>
        </w:rPr>
        <w:t xml:space="preserve">. Nedostatek pracovníků omezoval s podobnou intenzitou podniky </w:t>
      </w:r>
      <w:r>
        <w:rPr>
          <w:rStyle w:val="normaltextrun"/>
          <w:rFonts w:eastAsiaTheme="majorEastAsia" w:cs="Arial"/>
          <w:color w:val="0D0D0D" w:themeColor="text1" w:themeTint="F2"/>
          <w:spacing w:val="-2"/>
          <w:sz w:val="16"/>
          <w:szCs w:val="16"/>
        </w:rPr>
        <w:t xml:space="preserve">ve </w:t>
      </w:r>
      <w:r w:rsidRPr="004A0F58">
        <w:rPr>
          <w:rStyle w:val="normaltextrun"/>
          <w:rFonts w:eastAsiaTheme="majorEastAsia" w:cs="Arial"/>
          <w:color w:val="0D0D0D" w:themeColor="text1" w:themeTint="F2"/>
          <w:spacing w:val="-2"/>
          <w:sz w:val="16"/>
          <w:szCs w:val="16"/>
        </w:rPr>
        <w:t>všech třech hlavních segmentech stavebnictví</w:t>
      </w:r>
      <w:r>
        <w:rPr>
          <w:rStyle w:val="normaltextrun"/>
          <w:rFonts w:eastAsiaTheme="majorEastAsia" w:cs="Arial"/>
          <w:color w:val="0D0D0D" w:themeColor="text1" w:themeTint="F2"/>
          <w:spacing w:val="-2"/>
          <w:sz w:val="16"/>
          <w:szCs w:val="16"/>
        </w:rPr>
        <w:t xml:space="preserve"> a představoval pro ně klíčovou růstovou bariéru.</w:t>
      </w:r>
    </w:p>
  </w:footnote>
  <w:footnote w:id="34">
    <w:p w14:paraId="0D5DDC96" w14:textId="77777777" w:rsidR="00DD1A46" w:rsidRPr="00EB5C45" w:rsidRDefault="00DD1A46" w:rsidP="00DD1A46">
      <w:pPr>
        <w:pStyle w:val="Textpoznpodarou"/>
        <w:rPr>
          <w:sz w:val="16"/>
          <w:szCs w:val="16"/>
        </w:rPr>
      </w:pPr>
      <w:r w:rsidRPr="00EB5C45">
        <w:rPr>
          <w:rStyle w:val="Znakapoznpodarou"/>
          <w:sz w:val="16"/>
          <w:szCs w:val="16"/>
        </w:rPr>
        <w:footnoteRef/>
      </w:r>
      <w:r w:rsidRPr="00EB5C45">
        <w:rPr>
          <w:sz w:val="16"/>
          <w:szCs w:val="16"/>
        </w:rPr>
        <w:t xml:space="preserve"> V srpnu 2026 předpokládalo (v tříměsíčním výhledu) růst prodejních cen 20 % </w:t>
      </w:r>
      <w:r>
        <w:rPr>
          <w:sz w:val="16"/>
          <w:szCs w:val="16"/>
        </w:rPr>
        <w:t xml:space="preserve">stavebních </w:t>
      </w:r>
      <w:r w:rsidRPr="00EB5C45">
        <w:rPr>
          <w:sz w:val="16"/>
          <w:szCs w:val="16"/>
        </w:rPr>
        <w:t xml:space="preserve">podniků. To bylo sice znatelně méně než letos v dubnu (37 %, dočasné vzedmutí vlivem dopadů konfliktu v Perském zálivu), avšak stále nepatrně více než loni na konci léta. </w:t>
      </w:r>
    </w:p>
  </w:footnote>
  <w:footnote w:id="35">
    <w:p w14:paraId="64E42847" w14:textId="77777777" w:rsidR="00DD1A46" w:rsidRPr="004A0F58" w:rsidRDefault="00DD1A46" w:rsidP="00DD1A46">
      <w:pPr>
        <w:spacing w:after="0" w:line="240" w:lineRule="auto"/>
        <w:rPr>
          <w:color w:val="0D0D0D" w:themeColor="text1" w:themeTint="F2"/>
          <w:spacing w:val="-2"/>
        </w:rPr>
      </w:pPr>
      <w:r w:rsidRPr="004A0F58">
        <w:rPr>
          <w:rStyle w:val="Znakapoznpodarou"/>
          <w:color w:val="0D0D0D" w:themeColor="text1" w:themeTint="F2"/>
          <w:spacing w:val="-2"/>
          <w:sz w:val="16"/>
          <w:szCs w:val="16"/>
        </w:rPr>
        <w:footnoteRef/>
      </w:r>
      <w:r w:rsidRPr="004A0F58">
        <w:rPr>
          <w:color w:val="0D0D0D" w:themeColor="text1" w:themeTint="F2"/>
          <w:spacing w:val="-2"/>
          <w:sz w:val="16"/>
          <w:szCs w:val="16"/>
        </w:rPr>
        <w:t xml:space="preserve"> Bez obchodu, peněžnictví, pojišťovnictví, vědy, výzkumu a veřejných služeb. Všechny údaje za tržby ve službách jsou ve stálých cenách, meziroční data jsou očištěna o kalendářní vlivy, mezičtvrtletní jsou očištěna o sezónní vlivy (včetně vlivu počtu pracovních dnů).</w:t>
      </w:r>
    </w:p>
  </w:footnote>
  <w:footnote w:id="36">
    <w:p w14:paraId="1FEA1811" w14:textId="77777777" w:rsidR="00DD1A46" w:rsidRPr="00CE1156" w:rsidRDefault="00DD1A46" w:rsidP="00DD1A46">
      <w:pPr>
        <w:pStyle w:val="Textpoznpodarou"/>
        <w:rPr>
          <w:sz w:val="16"/>
          <w:szCs w:val="16"/>
        </w:rPr>
      </w:pPr>
      <w:r w:rsidRPr="00CE1156">
        <w:rPr>
          <w:rStyle w:val="Znakapoznpodarou"/>
          <w:sz w:val="16"/>
          <w:szCs w:val="16"/>
        </w:rPr>
        <w:footnoteRef/>
      </w:r>
      <w:r w:rsidRPr="00CE1156">
        <w:rPr>
          <w:sz w:val="16"/>
          <w:szCs w:val="16"/>
        </w:rPr>
        <w:t xml:space="preserve"> Odhlédneme-li od rychlého oživení tohoto odvětví po ústupu pandemie (na přelomu let 2021 a 2022), pak zde představuje letošní tempo nejvyšší růst od 2. pololetí 2007.</w:t>
      </w:r>
    </w:p>
  </w:footnote>
  <w:footnote w:id="37">
    <w:p w14:paraId="72AA09B5" w14:textId="77777777" w:rsidR="00DD1A46" w:rsidRPr="004A0F58" w:rsidRDefault="00DD1A46" w:rsidP="00DD1A46">
      <w:pPr>
        <w:pStyle w:val="Textpoznpodarou"/>
        <w:jc w:val="both"/>
        <w:rPr>
          <w:color w:val="0D0D0D" w:themeColor="text1" w:themeTint="F2"/>
          <w:sz w:val="16"/>
          <w:szCs w:val="16"/>
        </w:rPr>
      </w:pPr>
      <w:r w:rsidRPr="004A0F58">
        <w:rPr>
          <w:rStyle w:val="Znakapoznpodarou"/>
          <w:color w:val="0D0D0D" w:themeColor="text1" w:themeTint="F2"/>
          <w:spacing w:val="-2"/>
          <w:sz w:val="16"/>
          <w:szCs w:val="16"/>
        </w:rPr>
        <w:footnoteRef/>
      </w:r>
      <w:r w:rsidRPr="004A0F58">
        <w:rPr>
          <w:color w:val="0D0D0D" w:themeColor="text1" w:themeTint="F2"/>
          <w:spacing w:val="-2"/>
          <w:sz w:val="16"/>
          <w:szCs w:val="16"/>
        </w:rPr>
        <w:t xml:space="preserve"> Toto dílčí odvětví, v němž hrají významnou roli drobní podnikatelé a jež byl</w:t>
      </w:r>
      <w:r>
        <w:rPr>
          <w:color w:val="0D0D0D" w:themeColor="text1" w:themeTint="F2"/>
          <w:spacing w:val="-2"/>
          <w:sz w:val="16"/>
          <w:szCs w:val="16"/>
        </w:rPr>
        <w:t>o</w:t>
      </w:r>
      <w:r w:rsidRPr="004A0F58">
        <w:rPr>
          <w:color w:val="0D0D0D" w:themeColor="text1" w:themeTint="F2"/>
          <w:spacing w:val="-2"/>
          <w:sz w:val="16"/>
          <w:szCs w:val="16"/>
        </w:rPr>
        <w:t xml:space="preserve"> výrazně zasažen</w:t>
      </w:r>
      <w:r>
        <w:rPr>
          <w:color w:val="0D0D0D" w:themeColor="text1" w:themeTint="F2"/>
          <w:spacing w:val="-2"/>
          <w:sz w:val="16"/>
          <w:szCs w:val="16"/>
        </w:rPr>
        <w:t>o</w:t>
      </w:r>
      <w:r w:rsidRPr="004A0F58">
        <w:rPr>
          <w:color w:val="0D0D0D" w:themeColor="text1" w:themeTint="F2"/>
          <w:spacing w:val="-2"/>
          <w:sz w:val="16"/>
          <w:szCs w:val="16"/>
        </w:rPr>
        <w:t xml:space="preserve"> propadem poptávky během období pandemie, zahrnuje zejména zprostředkovatelské činnosti, návrhářské, překladatelské a fotografické služby, ale např. také činnosti stavebního dozoru.</w:t>
      </w:r>
    </w:p>
  </w:footnote>
  <w:footnote w:id="38">
    <w:p w14:paraId="0043542D" w14:textId="77777777" w:rsidR="00DD1A46" w:rsidRPr="004A0F58" w:rsidRDefault="00DD1A46" w:rsidP="00DD1A46">
      <w:pPr>
        <w:pStyle w:val="Textpoznpodarou"/>
        <w:rPr>
          <w:color w:val="0D0D0D" w:themeColor="text1" w:themeTint="F2"/>
          <w:sz w:val="16"/>
          <w:szCs w:val="16"/>
        </w:rPr>
      </w:pPr>
      <w:r w:rsidRPr="004A0F58">
        <w:rPr>
          <w:rStyle w:val="Znakapoznpodarou"/>
          <w:color w:val="0D0D0D" w:themeColor="text1" w:themeTint="F2"/>
          <w:sz w:val="16"/>
          <w:szCs w:val="16"/>
        </w:rPr>
        <w:footnoteRef/>
      </w:r>
      <w:r w:rsidRPr="004A0F58">
        <w:rPr>
          <w:color w:val="0D0D0D" w:themeColor="text1" w:themeTint="F2"/>
          <w:sz w:val="16"/>
          <w:szCs w:val="16"/>
        </w:rPr>
        <w:t xml:space="preserve"> Ty zahrnutí různorodé aktivity, vč. manipulace s nákladem.</w:t>
      </w:r>
    </w:p>
  </w:footnote>
  <w:footnote w:id="39">
    <w:p w14:paraId="3200F9B9" w14:textId="77777777" w:rsidR="00DD1A46" w:rsidRPr="004A0F58" w:rsidRDefault="00DD1A46" w:rsidP="00DD1A46">
      <w:pPr>
        <w:pStyle w:val="Textpoznpodarou"/>
        <w:jc w:val="both"/>
        <w:rPr>
          <w:color w:val="0D0D0D" w:themeColor="text1" w:themeTint="F2"/>
          <w:sz w:val="16"/>
          <w:szCs w:val="16"/>
        </w:rPr>
      </w:pPr>
      <w:r w:rsidRPr="004A0F58">
        <w:rPr>
          <w:rStyle w:val="Znakapoznpodarou"/>
          <w:color w:val="0D0D0D" w:themeColor="text1" w:themeTint="F2"/>
          <w:sz w:val="16"/>
          <w:szCs w:val="16"/>
        </w:rPr>
        <w:footnoteRef/>
      </w:r>
      <w:r w:rsidRPr="004A0F58">
        <w:rPr>
          <w:color w:val="0D0D0D" w:themeColor="text1" w:themeTint="F2"/>
          <w:sz w:val="16"/>
          <w:szCs w:val="16"/>
        </w:rPr>
        <w:t xml:space="preserve"> Ty </w:t>
      </w:r>
      <w:r w:rsidRPr="004A0F58">
        <w:rPr>
          <w:color w:val="0D0D0D" w:themeColor="text1" w:themeTint="F2"/>
          <w:spacing w:val="-6"/>
          <w:sz w:val="16"/>
          <w:szCs w:val="16"/>
        </w:rPr>
        <w:t>zahrnují zejména programování, poradenství v oblasti informačních technologií či správu počítačového vybavení.</w:t>
      </w:r>
    </w:p>
  </w:footnote>
  <w:footnote w:id="40">
    <w:p w14:paraId="6A78EA99" w14:textId="77777777" w:rsidR="00DD1A46" w:rsidRPr="004A0F58" w:rsidRDefault="00DD1A46" w:rsidP="00DD1A46">
      <w:pPr>
        <w:pStyle w:val="Textpoznpodarou"/>
        <w:jc w:val="both"/>
        <w:rPr>
          <w:color w:val="0D0D0D" w:themeColor="text1" w:themeTint="F2"/>
        </w:rPr>
      </w:pPr>
      <w:r w:rsidRPr="004A0F58">
        <w:rPr>
          <w:rStyle w:val="Znakapoznpodarou"/>
          <w:color w:val="0D0D0D" w:themeColor="text1" w:themeTint="F2"/>
          <w:sz w:val="16"/>
          <w:szCs w:val="16"/>
        </w:rPr>
        <w:footnoteRef/>
      </w:r>
      <w:r w:rsidRPr="004A0F58">
        <w:rPr>
          <w:color w:val="0D0D0D" w:themeColor="text1" w:themeTint="F2"/>
          <w:sz w:val="16"/>
          <w:szCs w:val="16"/>
        </w:rPr>
        <w:t xml:space="preserve"> Jde především o činnosti webových portálů, zpravodajských tiskových kanceláří a agentur či zpracování dat a hosting. Ve druhé polovině minulé dekády, ale i během „pandemického období“ patřil přitom růst poptávky v tomto oboru v rámci služeb k nejvyšším. V letech 2022 až 2024 zde ovšem tržby celkově spíše stagnovaly a loni nastalo jen dílčí oživení. </w:t>
      </w:r>
    </w:p>
  </w:footnote>
  <w:footnote w:id="41">
    <w:p w14:paraId="3BCCE73E" w14:textId="77777777" w:rsidR="00DD1A46" w:rsidRPr="00281626" w:rsidRDefault="00DD1A46" w:rsidP="00DD1A46">
      <w:pPr>
        <w:pStyle w:val="Textpoznpodarou"/>
        <w:rPr>
          <w:sz w:val="16"/>
          <w:szCs w:val="16"/>
        </w:rPr>
      </w:pPr>
      <w:r w:rsidRPr="00281626">
        <w:rPr>
          <w:rStyle w:val="Znakapoznpodarou"/>
          <w:sz w:val="16"/>
          <w:szCs w:val="16"/>
        </w:rPr>
        <w:footnoteRef/>
      </w:r>
      <w:r w:rsidRPr="00281626">
        <w:rPr>
          <w:sz w:val="16"/>
          <w:szCs w:val="16"/>
        </w:rPr>
        <w:t xml:space="preserve"> </w:t>
      </w:r>
      <w:r w:rsidRPr="000E7FBC">
        <w:rPr>
          <w:spacing w:val="-2"/>
          <w:sz w:val="16"/>
          <w:szCs w:val="16"/>
        </w:rPr>
        <w:t>Zároveň přetrvával poměrně svižný růst cen těchto služeb. V nominálním vyjádření se zde tržby v</w:t>
      </w:r>
      <w:r>
        <w:rPr>
          <w:spacing w:val="-2"/>
          <w:sz w:val="16"/>
          <w:szCs w:val="16"/>
        </w:rPr>
        <w:t> </w:t>
      </w:r>
      <w:r w:rsidRPr="000E7FBC">
        <w:rPr>
          <w:spacing w:val="-2"/>
          <w:sz w:val="16"/>
          <w:szCs w:val="16"/>
        </w:rPr>
        <w:t>1</w:t>
      </w:r>
      <w:r>
        <w:rPr>
          <w:spacing w:val="-2"/>
          <w:sz w:val="16"/>
          <w:szCs w:val="16"/>
        </w:rPr>
        <w:t>.</w:t>
      </w:r>
      <w:r w:rsidRPr="000E7FBC">
        <w:rPr>
          <w:spacing w:val="-2"/>
          <w:sz w:val="16"/>
          <w:szCs w:val="16"/>
        </w:rPr>
        <w:t xml:space="preserve"> pololetí meziročně zvýšily o 11,9 %.</w:t>
      </w:r>
      <w:r w:rsidRPr="00281626">
        <w:rPr>
          <w:sz w:val="16"/>
          <w:szCs w:val="16"/>
        </w:rPr>
        <w:t xml:space="preserve"> </w:t>
      </w:r>
    </w:p>
  </w:footnote>
  <w:footnote w:id="42">
    <w:p w14:paraId="3ED0126F" w14:textId="77777777" w:rsidR="00DD1A46" w:rsidRPr="0093242F" w:rsidRDefault="00DD1A46" w:rsidP="00DD1A46">
      <w:pPr>
        <w:pStyle w:val="Textpoznpodarou"/>
        <w:jc w:val="both"/>
        <w:rPr>
          <w:color w:val="0D0D0D" w:themeColor="text1" w:themeTint="F2"/>
          <w:sz w:val="16"/>
          <w:szCs w:val="16"/>
        </w:rPr>
      </w:pPr>
      <w:r w:rsidRPr="004A0F58">
        <w:rPr>
          <w:rStyle w:val="Znakapoznpodarou"/>
          <w:color w:val="0D0D0D" w:themeColor="text1" w:themeTint="F2"/>
          <w:sz w:val="16"/>
          <w:szCs w:val="16"/>
        </w:rPr>
        <w:footnoteRef/>
      </w:r>
      <w:r w:rsidRPr="004A0F58">
        <w:rPr>
          <w:color w:val="0D0D0D" w:themeColor="text1" w:themeTint="F2"/>
          <w:sz w:val="16"/>
          <w:szCs w:val="16"/>
        </w:rPr>
        <w:t xml:space="preserve"> </w:t>
      </w:r>
      <w:r w:rsidRPr="004A0F58">
        <w:rPr>
          <w:rFonts w:cs="Arial"/>
          <w:color w:val="0D0D0D" w:themeColor="text1" w:themeTint="F2"/>
          <w:sz w:val="16"/>
          <w:szCs w:val="16"/>
        </w:rPr>
        <w:t xml:space="preserve">Dle údajů </w:t>
      </w:r>
      <w:r w:rsidRPr="004A0F58">
        <w:rPr>
          <w:color w:val="0D0D0D" w:themeColor="text1" w:themeTint="F2"/>
          <w:sz w:val="16"/>
          <w:szCs w:val="16"/>
        </w:rPr>
        <w:t xml:space="preserve">Unie filmových distributorů vzrostly v 1. </w:t>
      </w:r>
      <w:r>
        <w:rPr>
          <w:color w:val="0D0D0D" w:themeColor="text1" w:themeTint="F2"/>
          <w:sz w:val="16"/>
          <w:szCs w:val="16"/>
        </w:rPr>
        <w:t>pololetí</w:t>
      </w:r>
      <w:r w:rsidRPr="004A0F58">
        <w:rPr>
          <w:color w:val="0D0D0D" w:themeColor="text1" w:themeTint="F2"/>
          <w:sz w:val="16"/>
          <w:szCs w:val="16"/>
        </w:rPr>
        <w:t xml:space="preserve"> 2026 hrubé nominální tržby provozovatelů kin v Česku meziročně </w:t>
      </w:r>
      <w:r>
        <w:rPr>
          <w:color w:val="0D0D0D" w:themeColor="text1" w:themeTint="F2"/>
          <w:sz w:val="16"/>
          <w:szCs w:val="16"/>
        </w:rPr>
        <w:t xml:space="preserve">pouze </w:t>
      </w:r>
      <w:r>
        <w:rPr>
          <w:color w:val="0D0D0D" w:themeColor="text1" w:themeTint="F2"/>
          <w:sz w:val="16"/>
          <w:szCs w:val="16"/>
        </w:rPr>
        <w:br/>
      </w:r>
      <w:r w:rsidRPr="004A0F58">
        <w:rPr>
          <w:color w:val="0D0D0D" w:themeColor="text1" w:themeTint="F2"/>
          <w:sz w:val="16"/>
          <w:szCs w:val="16"/>
        </w:rPr>
        <w:t xml:space="preserve">o </w:t>
      </w:r>
      <w:r>
        <w:rPr>
          <w:color w:val="0D0D0D" w:themeColor="text1" w:themeTint="F2"/>
          <w:sz w:val="16"/>
          <w:szCs w:val="16"/>
        </w:rPr>
        <w:t>0</w:t>
      </w:r>
      <w:r w:rsidRPr="004A0F58">
        <w:rPr>
          <w:color w:val="0D0D0D" w:themeColor="text1" w:themeTint="F2"/>
          <w:sz w:val="16"/>
          <w:szCs w:val="16"/>
        </w:rPr>
        <w:t>,</w:t>
      </w:r>
      <w:r>
        <w:rPr>
          <w:color w:val="0D0D0D" w:themeColor="text1" w:themeTint="F2"/>
          <w:sz w:val="16"/>
          <w:szCs w:val="16"/>
        </w:rPr>
        <w:t>7</w:t>
      </w:r>
      <w:r w:rsidRPr="004A0F58">
        <w:rPr>
          <w:color w:val="0D0D0D" w:themeColor="text1" w:themeTint="F2"/>
          <w:sz w:val="16"/>
          <w:szCs w:val="16"/>
        </w:rPr>
        <w:t xml:space="preserve"> %, a to při </w:t>
      </w:r>
      <w:r>
        <w:rPr>
          <w:color w:val="0D0D0D" w:themeColor="text1" w:themeTint="F2"/>
          <w:sz w:val="16"/>
          <w:szCs w:val="16"/>
        </w:rPr>
        <w:t>3%</w:t>
      </w:r>
      <w:r w:rsidRPr="004A0F58">
        <w:rPr>
          <w:color w:val="0D0D0D" w:themeColor="text1" w:themeTint="F2"/>
          <w:sz w:val="16"/>
          <w:szCs w:val="16"/>
        </w:rPr>
        <w:t xml:space="preserve"> </w:t>
      </w:r>
      <w:r>
        <w:rPr>
          <w:color w:val="0D0D0D" w:themeColor="text1" w:themeTint="F2"/>
          <w:sz w:val="16"/>
          <w:szCs w:val="16"/>
        </w:rPr>
        <w:t xml:space="preserve">poklesu </w:t>
      </w:r>
      <w:r w:rsidRPr="004A0F58">
        <w:rPr>
          <w:color w:val="0D0D0D" w:themeColor="text1" w:themeTint="F2"/>
          <w:sz w:val="16"/>
          <w:szCs w:val="16"/>
        </w:rPr>
        <w:t xml:space="preserve">celkové návštěvnosti. Oproti roku 2019, kdy většina výkonových ukazatelů dosáhla maxima, byla aktuální návštěvnost kin (při </w:t>
      </w:r>
      <w:r>
        <w:rPr>
          <w:color w:val="0D0D0D" w:themeColor="text1" w:themeTint="F2"/>
          <w:sz w:val="16"/>
          <w:szCs w:val="16"/>
        </w:rPr>
        <w:t>stagnaci</w:t>
      </w:r>
      <w:r w:rsidRPr="004A0F58">
        <w:rPr>
          <w:color w:val="0D0D0D" w:themeColor="text1" w:themeTint="F2"/>
          <w:sz w:val="16"/>
          <w:szCs w:val="16"/>
        </w:rPr>
        <w:t xml:space="preserve"> počtu odehraných představení) nižší o</w:t>
      </w:r>
      <w:r>
        <w:rPr>
          <w:color w:val="0D0D0D" w:themeColor="text1" w:themeTint="F2"/>
          <w:sz w:val="16"/>
          <w:szCs w:val="16"/>
        </w:rPr>
        <w:t xml:space="preserve"> 34</w:t>
      </w:r>
      <w:r w:rsidRPr="004A0F58">
        <w:rPr>
          <w:color w:val="0D0D0D" w:themeColor="text1" w:themeTint="F2"/>
          <w:sz w:val="16"/>
          <w:szCs w:val="16"/>
        </w:rPr>
        <w:t xml:space="preserve"> % a trž</w:t>
      </w:r>
      <w:r>
        <w:rPr>
          <w:color w:val="0D0D0D" w:themeColor="text1" w:themeTint="F2"/>
          <w:sz w:val="16"/>
          <w:szCs w:val="16"/>
        </w:rPr>
        <w:t>by</w:t>
      </w:r>
      <w:r w:rsidRPr="004A0F58">
        <w:rPr>
          <w:color w:val="0D0D0D" w:themeColor="text1" w:themeTint="F2"/>
          <w:sz w:val="16"/>
          <w:szCs w:val="16"/>
        </w:rPr>
        <w:t xml:space="preserve"> o </w:t>
      </w:r>
      <w:r>
        <w:rPr>
          <w:color w:val="0D0D0D" w:themeColor="text1" w:themeTint="F2"/>
          <w:sz w:val="16"/>
          <w:szCs w:val="16"/>
        </w:rPr>
        <w:t>15</w:t>
      </w:r>
      <w:r w:rsidRPr="004A0F58">
        <w:rPr>
          <w:color w:val="0D0D0D" w:themeColor="text1" w:themeTint="F2"/>
          <w:sz w:val="16"/>
          <w:szCs w:val="16"/>
        </w:rPr>
        <w:t xml:space="preserve"> %.</w:t>
      </w:r>
    </w:p>
  </w:footnote>
  <w:footnote w:id="43">
    <w:p w14:paraId="4F600F27" w14:textId="77777777" w:rsidR="00DD1A46" w:rsidRPr="004A0F58" w:rsidRDefault="00DD1A46" w:rsidP="00DD1A46">
      <w:pPr>
        <w:pStyle w:val="Textpoznpodarou"/>
        <w:jc w:val="both"/>
        <w:rPr>
          <w:color w:val="0D0D0D" w:themeColor="text1" w:themeTint="F2"/>
          <w:spacing w:val="-2"/>
          <w:sz w:val="16"/>
          <w:szCs w:val="16"/>
        </w:rPr>
      </w:pPr>
      <w:r w:rsidRPr="004A0F58">
        <w:rPr>
          <w:rStyle w:val="Znakapoznpodarou"/>
          <w:color w:val="0D0D0D" w:themeColor="text1" w:themeTint="F2"/>
          <w:sz w:val="16"/>
          <w:szCs w:val="16"/>
        </w:rPr>
        <w:footnoteRef/>
      </w:r>
      <w:r w:rsidRPr="004A0F58">
        <w:rPr>
          <w:color w:val="0D0D0D" w:themeColor="text1" w:themeTint="F2"/>
          <w:sz w:val="16"/>
          <w:szCs w:val="16"/>
        </w:rPr>
        <w:t xml:space="preserve"> </w:t>
      </w:r>
      <w:r w:rsidRPr="004A0F58">
        <w:rPr>
          <w:color w:val="0D0D0D" w:themeColor="text1" w:themeTint="F2"/>
          <w:spacing w:val="-2"/>
          <w:sz w:val="16"/>
          <w:szCs w:val="16"/>
        </w:rPr>
        <w:t>V</w:t>
      </w:r>
      <w:r>
        <w:rPr>
          <w:color w:val="0D0D0D" w:themeColor="text1" w:themeTint="F2"/>
          <w:spacing w:val="-2"/>
          <w:sz w:val="16"/>
          <w:szCs w:val="16"/>
        </w:rPr>
        <w:t>e</w:t>
      </w:r>
      <w:r w:rsidRPr="004A0F58">
        <w:rPr>
          <w:color w:val="0D0D0D" w:themeColor="text1" w:themeTint="F2"/>
          <w:spacing w:val="-2"/>
          <w:sz w:val="16"/>
          <w:szCs w:val="16"/>
        </w:rPr>
        <w:t> </w:t>
      </w:r>
      <w:r>
        <w:rPr>
          <w:color w:val="0D0D0D" w:themeColor="text1" w:themeTint="F2"/>
          <w:spacing w:val="-2"/>
          <w:sz w:val="16"/>
          <w:szCs w:val="16"/>
        </w:rPr>
        <w:t>2</w:t>
      </w:r>
      <w:r w:rsidRPr="004A0F58">
        <w:rPr>
          <w:color w:val="0D0D0D" w:themeColor="text1" w:themeTint="F2"/>
          <w:spacing w:val="-2"/>
          <w:sz w:val="16"/>
          <w:szCs w:val="16"/>
        </w:rPr>
        <w:t>. čtvrtletí 2026 se zvýšily ceny ubytovacích služeb meziročně o 6,</w:t>
      </w:r>
      <w:r>
        <w:rPr>
          <w:color w:val="0D0D0D" w:themeColor="text1" w:themeTint="F2"/>
          <w:spacing w:val="-2"/>
          <w:sz w:val="16"/>
          <w:szCs w:val="16"/>
        </w:rPr>
        <w:t>4</w:t>
      </w:r>
      <w:r w:rsidRPr="004A0F58">
        <w:rPr>
          <w:color w:val="0D0D0D" w:themeColor="text1" w:themeTint="F2"/>
          <w:spacing w:val="-2"/>
          <w:sz w:val="16"/>
          <w:szCs w:val="16"/>
        </w:rPr>
        <w:t xml:space="preserve"> % a stravovacích služeb o 4,</w:t>
      </w:r>
      <w:r>
        <w:rPr>
          <w:color w:val="0D0D0D" w:themeColor="text1" w:themeTint="F2"/>
          <w:spacing w:val="-2"/>
          <w:sz w:val="16"/>
          <w:szCs w:val="16"/>
        </w:rPr>
        <w:t>1</w:t>
      </w:r>
      <w:r w:rsidRPr="004A0F58">
        <w:rPr>
          <w:color w:val="0D0D0D" w:themeColor="text1" w:themeTint="F2"/>
          <w:spacing w:val="-2"/>
          <w:sz w:val="16"/>
          <w:szCs w:val="16"/>
        </w:rPr>
        <w:t xml:space="preserve"> %. Proti roku 2015 byly v úhrnu za oba segmenty vyšší o </w:t>
      </w:r>
      <w:r>
        <w:rPr>
          <w:color w:val="0D0D0D" w:themeColor="text1" w:themeTint="F2"/>
          <w:spacing w:val="-2"/>
          <w:sz w:val="16"/>
          <w:szCs w:val="16"/>
        </w:rPr>
        <w:t>více než 100</w:t>
      </w:r>
      <w:r w:rsidRPr="004A0F58">
        <w:rPr>
          <w:color w:val="0D0D0D" w:themeColor="text1" w:themeTint="F2"/>
          <w:spacing w:val="-2"/>
          <w:sz w:val="16"/>
          <w:szCs w:val="16"/>
        </w:rPr>
        <w:t xml:space="preserve"> %, kdežto ceny v celém spotřebitelském koši se za stejné období navýšily „pouze“ o </w:t>
      </w:r>
      <w:r>
        <w:rPr>
          <w:color w:val="0D0D0D" w:themeColor="text1" w:themeTint="F2"/>
          <w:spacing w:val="-2"/>
          <w:sz w:val="16"/>
          <w:szCs w:val="16"/>
        </w:rPr>
        <w:t xml:space="preserve">necelých 60 </w:t>
      </w:r>
      <w:r w:rsidRPr="004A0F58">
        <w:rPr>
          <w:color w:val="0D0D0D" w:themeColor="text1" w:themeTint="F2"/>
          <w:spacing w:val="-2"/>
          <w:sz w:val="16"/>
          <w:szCs w:val="16"/>
        </w:rPr>
        <w:t>%.</w:t>
      </w:r>
    </w:p>
  </w:footnote>
  <w:footnote w:id="44">
    <w:p w14:paraId="33323B69" w14:textId="77777777" w:rsidR="00DD1A46" w:rsidRPr="004A0F58" w:rsidRDefault="00DD1A46" w:rsidP="00DD1A46">
      <w:pPr>
        <w:pStyle w:val="Textpoznpodarou"/>
        <w:jc w:val="both"/>
        <w:rPr>
          <w:color w:val="0D0D0D" w:themeColor="text1" w:themeTint="F2"/>
          <w:sz w:val="16"/>
          <w:szCs w:val="16"/>
        </w:rPr>
      </w:pPr>
      <w:r w:rsidRPr="004A0F58">
        <w:rPr>
          <w:rStyle w:val="Znakapoznpodarou"/>
          <w:color w:val="0D0D0D" w:themeColor="text1" w:themeTint="F2"/>
          <w:sz w:val="16"/>
          <w:szCs w:val="16"/>
        </w:rPr>
        <w:footnoteRef/>
      </w:r>
      <w:r w:rsidRPr="004A0F58">
        <w:rPr>
          <w:color w:val="0D0D0D" w:themeColor="text1" w:themeTint="F2"/>
          <w:sz w:val="16"/>
          <w:szCs w:val="16"/>
        </w:rPr>
        <w:t xml:space="preserve"> Ty zahrnují např. pořádání konferencí a výstav, inkasní činnosti, ověřování solventnosti zákazníka, ale také např. činnosti call-center. </w:t>
      </w:r>
    </w:p>
  </w:footnote>
  <w:footnote w:id="45">
    <w:p w14:paraId="291E08BB" w14:textId="77777777" w:rsidR="00DD1A46" w:rsidRPr="008D2DFF" w:rsidRDefault="00DD1A46" w:rsidP="00DD1A46">
      <w:pPr>
        <w:spacing w:after="0" w:line="240" w:lineRule="auto"/>
        <w:rPr>
          <w:bCs/>
          <w:color w:val="0D0D0D" w:themeColor="text1" w:themeTint="F2"/>
          <w:spacing w:val="-4"/>
          <w:sz w:val="16"/>
          <w:szCs w:val="16"/>
        </w:rPr>
      </w:pPr>
      <w:r w:rsidRPr="004A0F58">
        <w:rPr>
          <w:rStyle w:val="Znakapoznpodarou"/>
          <w:color w:val="0D0D0D" w:themeColor="text1" w:themeTint="F2"/>
          <w:sz w:val="16"/>
          <w:szCs w:val="16"/>
        </w:rPr>
        <w:footnoteRef/>
      </w:r>
      <w:r w:rsidRPr="004A0F58">
        <w:rPr>
          <w:color w:val="0D0D0D" w:themeColor="text1" w:themeTint="F2"/>
          <w:sz w:val="16"/>
          <w:szCs w:val="16"/>
        </w:rPr>
        <w:t xml:space="preserve"> </w:t>
      </w:r>
      <w:r w:rsidRPr="004A0F58">
        <w:rPr>
          <w:bCs/>
          <w:color w:val="0D0D0D" w:themeColor="text1" w:themeTint="F2"/>
          <w:spacing w:val="-4"/>
          <w:sz w:val="16"/>
          <w:szCs w:val="16"/>
        </w:rPr>
        <w:t xml:space="preserve">Ty zahrnují především čištění a úklid budov a </w:t>
      </w:r>
      <w:r w:rsidRPr="008D2DFF">
        <w:rPr>
          <w:bCs/>
          <w:color w:val="0D0D0D" w:themeColor="text1" w:themeTint="F2"/>
          <w:spacing w:val="-4"/>
          <w:sz w:val="16"/>
          <w:szCs w:val="16"/>
        </w:rPr>
        <w:t>průmyslových zařízení.</w:t>
      </w:r>
    </w:p>
  </w:footnote>
  <w:footnote w:id="46">
    <w:p w14:paraId="0041C2C2" w14:textId="77777777" w:rsidR="00DD1A46" w:rsidRPr="004A0F58" w:rsidRDefault="00DD1A46" w:rsidP="00DD1A46">
      <w:pPr>
        <w:pStyle w:val="Textpoznpodarou"/>
        <w:jc w:val="both"/>
        <w:rPr>
          <w:color w:val="0D0D0D" w:themeColor="text1" w:themeTint="F2"/>
          <w:sz w:val="16"/>
          <w:szCs w:val="16"/>
        </w:rPr>
      </w:pPr>
      <w:r w:rsidRPr="008D2DFF">
        <w:rPr>
          <w:rStyle w:val="Znakapoznpodarou"/>
          <w:color w:val="0D0D0D" w:themeColor="text1" w:themeTint="F2"/>
          <w:sz w:val="16"/>
          <w:szCs w:val="16"/>
        </w:rPr>
        <w:footnoteRef/>
      </w:r>
      <w:r w:rsidRPr="008D2DFF">
        <w:rPr>
          <w:color w:val="0D0D0D" w:themeColor="text1" w:themeTint="F2"/>
          <w:sz w:val="16"/>
          <w:szCs w:val="16"/>
        </w:rPr>
        <w:t xml:space="preserve"> </w:t>
      </w:r>
      <w:r>
        <w:rPr>
          <w:color w:val="0D0D0D" w:themeColor="text1" w:themeTint="F2"/>
          <w:sz w:val="16"/>
          <w:szCs w:val="16"/>
        </w:rPr>
        <w:t xml:space="preserve">Tržby v nominálním vyjádření již však letos zřetelně rostly (+7,0 %). </w:t>
      </w:r>
      <w:r w:rsidRPr="008D2DFF">
        <w:rPr>
          <w:color w:val="0D0D0D" w:themeColor="text1" w:themeTint="F2"/>
          <w:sz w:val="16"/>
          <w:szCs w:val="16"/>
        </w:rPr>
        <w:t>K</w:t>
      </w:r>
      <w:r>
        <w:rPr>
          <w:color w:val="0D0D0D" w:themeColor="text1" w:themeTint="F2"/>
          <w:sz w:val="16"/>
          <w:szCs w:val="16"/>
        </w:rPr>
        <w:t xml:space="preserve"> </w:t>
      </w:r>
      <w:r w:rsidRPr="008D2DFF">
        <w:rPr>
          <w:color w:val="0D0D0D" w:themeColor="text1" w:themeTint="F2"/>
          <w:sz w:val="16"/>
          <w:szCs w:val="16"/>
        </w:rPr>
        <w:t xml:space="preserve">poklesu </w:t>
      </w:r>
      <w:r>
        <w:rPr>
          <w:color w:val="0D0D0D" w:themeColor="text1" w:themeTint="F2"/>
          <w:sz w:val="16"/>
          <w:szCs w:val="16"/>
        </w:rPr>
        <w:t xml:space="preserve">reálných </w:t>
      </w:r>
      <w:r w:rsidRPr="008D2DFF">
        <w:rPr>
          <w:color w:val="0D0D0D" w:themeColor="text1" w:themeTint="F2"/>
          <w:sz w:val="16"/>
          <w:szCs w:val="16"/>
        </w:rPr>
        <w:t xml:space="preserve">tržeb došlo i při vysokém růstu počtu pracujících cizinců v ČR. Na něm se v posledních čtyřech letech významně podíleli uprchlíci z Ukrajiny. Vzhledem ke statutu dočasné ochrany, který byl těmto osobám přiznán, je jejich zaměstnávání v tuzemsku administrativně jednodušší (oproti ostatním skupinám migrantů z tzv. třetích zemí) a ti tak mohou snáze </w:t>
      </w:r>
      <w:r w:rsidRPr="004A0F58">
        <w:rPr>
          <w:color w:val="0D0D0D" w:themeColor="text1" w:themeTint="F2"/>
          <w:sz w:val="16"/>
          <w:szCs w:val="16"/>
        </w:rPr>
        <w:t xml:space="preserve">nalézt práci „napřímo“ (bez zprostředkovatele). </w:t>
      </w:r>
    </w:p>
  </w:footnote>
  <w:footnote w:id="47">
    <w:p w14:paraId="75D93143" w14:textId="77777777" w:rsidR="00DD1A46" w:rsidRPr="009A2781" w:rsidRDefault="00DD1A46" w:rsidP="00DD1A46">
      <w:pPr>
        <w:pStyle w:val="Textpoznpodarou"/>
        <w:rPr>
          <w:sz w:val="16"/>
          <w:szCs w:val="16"/>
        </w:rPr>
      </w:pPr>
      <w:r w:rsidRPr="009A2781">
        <w:rPr>
          <w:rStyle w:val="Znakapoznpodarou"/>
          <w:sz w:val="16"/>
          <w:szCs w:val="16"/>
        </w:rPr>
        <w:footnoteRef/>
      </w:r>
      <w:r w:rsidRPr="009A2781">
        <w:rPr>
          <w:sz w:val="16"/>
          <w:szCs w:val="16"/>
        </w:rPr>
        <w:t xml:space="preserve"> To dokládá i fakt, že ve srovnání s 1. pololetí</w:t>
      </w:r>
      <w:r>
        <w:rPr>
          <w:sz w:val="16"/>
          <w:szCs w:val="16"/>
        </w:rPr>
        <w:t>m</w:t>
      </w:r>
      <w:r w:rsidRPr="009A2781">
        <w:rPr>
          <w:sz w:val="16"/>
          <w:szCs w:val="16"/>
        </w:rPr>
        <w:t xml:space="preserve"> 2019 zde byly letos tržby o desetinu nižší.</w:t>
      </w:r>
    </w:p>
  </w:footnote>
  <w:footnote w:id="48">
    <w:p w14:paraId="2843DEAA" w14:textId="77777777" w:rsidR="00DD1A46" w:rsidRPr="00D169CA" w:rsidRDefault="00DD1A46" w:rsidP="00DD1A46">
      <w:pPr>
        <w:spacing w:after="0" w:line="240" w:lineRule="auto"/>
        <w:jc w:val="left"/>
        <w:rPr>
          <w:color w:val="0D0D0D" w:themeColor="text1" w:themeTint="F2"/>
          <w:spacing w:val="-2"/>
        </w:rPr>
      </w:pPr>
      <w:r w:rsidRPr="004A0F58">
        <w:rPr>
          <w:rStyle w:val="Znakapoznpodarou"/>
          <w:color w:val="0D0D0D" w:themeColor="text1" w:themeTint="F2"/>
          <w:spacing w:val="-2"/>
          <w:sz w:val="16"/>
          <w:szCs w:val="16"/>
        </w:rPr>
        <w:footnoteRef/>
      </w:r>
      <w:r w:rsidRPr="004A0F58">
        <w:rPr>
          <w:color w:val="0D0D0D" w:themeColor="text1" w:themeTint="F2"/>
          <w:spacing w:val="-2"/>
          <w:sz w:val="16"/>
          <w:szCs w:val="16"/>
        </w:rPr>
        <w:t xml:space="preserve"> </w:t>
      </w:r>
      <w:r w:rsidRPr="00D169CA">
        <w:rPr>
          <w:color w:val="0D0D0D" w:themeColor="text1" w:themeTint="F2"/>
          <w:spacing w:val="-2"/>
          <w:sz w:val="16"/>
          <w:szCs w:val="16"/>
        </w:rPr>
        <w:t>Všechna meziroční tempa tržeb za maloobchod jsou uvedena ve stálých cenách a očištěna o kalendářní vlivy, mezičtvrtletní tempa jsou očištěna o sezónní vlivy (včetně vlivu počtu pracovních dnů). Maloobchod zahrnuje pouze odvětví CZ-NACE 47.</w:t>
      </w:r>
    </w:p>
  </w:footnote>
  <w:footnote w:id="49">
    <w:p w14:paraId="4EC1E345" w14:textId="77777777" w:rsidR="00DD1A46" w:rsidRPr="00D169CA" w:rsidRDefault="00DD1A46" w:rsidP="00DD1A46">
      <w:pPr>
        <w:pStyle w:val="Textpoznpodarou"/>
        <w:rPr>
          <w:color w:val="0D0D0D" w:themeColor="text1" w:themeTint="F2"/>
          <w:spacing w:val="-2"/>
          <w:sz w:val="16"/>
          <w:szCs w:val="16"/>
        </w:rPr>
      </w:pPr>
      <w:r w:rsidRPr="00D169CA">
        <w:rPr>
          <w:rStyle w:val="Znakapoznpodarou"/>
          <w:color w:val="0D0D0D" w:themeColor="text1" w:themeTint="F2"/>
          <w:spacing w:val="-2"/>
          <w:sz w:val="16"/>
          <w:szCs w:val="16"/>
        </w:rPr>
        <w:footnoteRef/>
      </w:r>
      <w:r w:rsidRPr="00D169CA">
        <w:rPr>
          <w:color w:val="0D0D0D" w:themeColor="text1" w:themeTint="F2"/>
          <w:spacing w:val="-2"/>
          <w:sz w:val="16"/>
          <w:szCs w:val="16"/>
        </w:rPr>
        <w:t xml:space="preserve"> Vedle toho byl pátý rok v řadě patrný růst tržeb v okrajovém segmentu </w:t>
      </w:r>
      <w:r w:rsidRPr="00D169CA">
        <w:rPr>
          <w:rFonts w:cs="Arial"/>
          <w:color w:val="0D0D0D" w:themeColor="text1" w:themeTint="F2"/>
          <w:spacing w:val="-2"/>
          <w:sz w:val="16"/>
          <w:szCs w:val="16"/>
        </w:rPr>
        <w:t>nespecializovaných prodejen s převahou nepotravinářského zboží (aktuálně o 6,8 %). Ten se zaměřuje na nabídku různorodého, spíše drobnějšího zboží za diskontní ceny a v posledních letech postupně v Česku rozšiřoval svou obchodní sítˇ.</w:t>
      </w:r>
    </w:p>
  </w:footnote>
  <w:footnote w:id="50">
    <w:p w14:paraId="7F389ACA" w14:textId="77777777" w:rsidR="00DD1A46" w:rsidRPr="00D169CA" w:rsidRDefault="00DD1A46" w:rsidP="00DD1A46">
      <w:pPr>
        <w:pStyle w:val="Textpoznpodarou"/>
        <w:rPr>
          <w:color w:val="0D0D0D" w:themeColor="text1" w:themeTint="F2"/>
          <w:spacing w:val="-2"/>
          <w:sz w:val="16"/>
          <w:szCs w:val="16"/>
        </w:rPr>
      </w:pPr>
      <w:r w:rsidRPr="00D169CA">
        <w:rPr>
          <w:rStyle w:val="Znakapoznpodarou"/>
          <w:color w:val="0D0D0D" w:themeColor="text1" w:themeTint="F2"/>
          <w:spacing w:val="-2"/>
          <w:sz w:val="16"/>
          <w:szCs w:val="16"/>
        </w:rPr>
        <w:footnoteRef/>
      </w:r>
      <w:r w:rsidRPr="00D169CA">
        <w:rPr>
          <w:color w:val="0D0D0D" w:themeColor="text1" w:themeTint="F2"/>
          <w:spacing w:val="-2"/>
          <w:sz w:val="16"/>
          <w:szCs w:val="16"/>
        </w:rPr>
        <w:t xml:space="preserve"> V něm tradičně dominují prodejny se sportovními potřebami. Patří sem ale také provozovny s hrami a hračkami, knihami, novin</w:t>
      </w:r>
      <w:r>
        <w:rPr>
          <w:color w:val="0D0D0D" w:themeColor="text1" w:themeTint="F2"/>
          <w:spacing w:val="-2"/>
          <w:sz w:val="16"/>
          <w:szCs w:val="16"/>
        </w:rPr>
        <w:t>ami</w:t>
      </w:r>
      <w:r w:rsidRPr="00D169CA">
        <w:rPr>
          <w:color w:val="0D0D0D" w:themeColor="text1" w:themeTint="F2"/>
          <w:spacing w:val="-2"/>
          <w:sz w:val="16"/>
          <w:szCs w:val="16"/>
        </w:rPr>
        <w:t>, časopisy a papírenským zbožím.</w:t>
      </w:r>
    </w:p>
  </w:footnote>
  <w:footnote w:id="51">
    <w:p w14:paraId="39973796" w14:textId="77777777" w:rsidR="00DD1A46" w:rsidRPr="00D169CA" w:rsidRDefault="00DD1A46" w:rsidP="00DD1A46">
      <w:pPr>
        <w:pStyle w:val="Textpoznpodarou"/>
        <w:rPr>
          <w:color w:val="0D0D0D" w:themeColor="text1" w:themeTint="F2"/>
          <w:spacing w:val="-2"/>
          <w:sz w:val="16"/>
          <w:szCs w:val="16"/>
        </w:rPr>
      </w:pPr>
      <w:r w:rsidRPr="00D169CA">
        <w:rPr>
          <w:rStyle w:val="Znakapoznpodarou"/>
          <w:color w:val="0D0D0D" w:themeColor="text1" w:themeTint="F2"/>
          <w:spacing w:val="-2"/>
          <w:sz w:val="16"/>
          <w:szCs w:val="16"/>
        </w:rPr>
        <w:footnoteRef/>
      </w:r>
      <w:r w:rsidRPr="00D169CA">
        <w:rPr>
          <w:color w:val="0D0D0D" w:themeColor="text1" w:themeTint="F2"/>
          <w:spacing w:val="-2"/>
          <w:sz w:val="16"/>
          <w:szCs w:val="16"/>
        </w:rPr>
        <w:t xml:space="preserve"> Zahrnují hlavně </w:t>
      </w:r>
      <w:r w:rsidRPr="00D169CA">
        <w:rPr>
          <w:rStyle w:val="normaltextrun"/>
          <w:rFonts w:eastAsia="MS Gothic" w:cs="Arial"/>
          <w:color w:val="0D0D0D" w:themeColor="text1" w:themeTint="F2"/>
          <w:spacing w:val="-2"/>
          <w:sz w:val="16"/>
          <w:szCs w:val="16"/>
        </w:rPr>
        <w:t>železářské zboží, stavebniny, barvy, sklo, potřeby pro kutily, elektrospotřebiče, elektronik</w:t>
      </w:r>
      <w:r>
        <w:rPr>
          <w:rStyle w:val="normaltextrun"/>
          <w:rFonts w:eastAsia="MS Gothic" w:cs="Arial"/>
          <w:color w:val="0D0D0D" w:themeColor="text1" w:themeTint="F2"/>
          <w:spacing w:val="-2"/>
          <w:sz w:val="16"/>
          <w:szCs w:val="16"/>
        </w:rPr>
        <w:t>u</w:t>
      </w:r>
      <w:r w:rsidRPr="00D169CA">
        <w:rPr>
          <w:rStyle w:val="normaltextrun"/>
          <w:rFonts w:eastAsia="MS Gothic" w:cs="Arial"/>
          <w:color w:val="0D0D0D" w:themeColor="text1" w:themeTint="F2"/>
          <w:spacing w:val="-2"/>
          <w:sz w:val="16"/>
          <w:szCs w:val="16"/>
        </w:rPr>
        <w:t>, nábytek,</w:t>
      </w:r>
      <w:r w:rsidRPr="00D169CA">
        <w:rPr>
          <w:rFonts w:cs="Arial"/>
          <w:color w:val="0D0D0D" w:themeColor="text1" w:themeTint="F2"/>
          <w:spacing w:val="-2"/>
          <w:sz w:val="16"/>
          <w:szCs w:val="16"/>
        </w:rPr>
        <w:t xml:space="preserve"> </w:t>
      </w:r>
      <w:r w:rsidRPr="00D169CA">
        <w:rPr>
          <w:rStyle w:val="normaltextrun"/>
          <w:rFonts w:eastAsia="MS Gothic" w:cs="Arial"/>
          <w:color w:val="0D0D0D" w:themeColor="text1" w:themeTint="F2"/>
          <w:spacing w:val="-2"/>
          <w:sz w:val="16"/>
          <w:szCs w:val="16"/>
        </w:rPr>
        <w:t xml:space="preserve">svítidla, </w:t>
      </w:r>
      <w:r w:rsidRPr="00D169CA">
        <w:rPr>
          <w:rFonts w:cs="Arial"/>
          <w:color w:val="0D0D0D" w:themeColor="text1" w:themeTint="F2"/>
          <w:spacing w:val="-2"/>
          <w:sz w:val="16"/>
          <w:szCs w:val="16"/>
        </w:rPr>
        <w:t>koberce či bytový textil.</w:t>
      </w:r>
    </w:p>
  </w:footnote>
  <w:footnote w:id="52">
    <w:p w14:paraId="793C473C" w14:textId="77777777" w:rsidR="00DD1A46" w:rsidRPr="00D169CA" w:rsidRDefault="00DD1A46" w:rsidP="00DD1A46">
      <w:pPr>
        <w:pStyle w:val="Textpoznpodarou"/>
        <w:rPr>
          <w:spacing w:val="-2"/>
          <w:sz w:val="16"/>
          <w:szCs w:val="16"/>
        </w:rPr>
      </w:pPr>
      <w:r w:rsidRPr="00D169CA">
        <w:rPr>
          <w:rStyle w:val="Znakapoznpodarou"/>
          <w:spacing w:val="-2"/>
          <w:sz w:val="16"/>
          <w:szCs w:val="16"/>
        </w:rPr>
        <w:footnoteRef/>
      </w:r>
      <w:r w:rsidRPr="00D169CA">
        <w:rPr>
          <w:spacing w:val="-2"/>
          <w:sz w:val="16"/>
          <w:szCs w:val="16"/>
        </w:rPr>
        <w:t xml:space="preserve"> </w:t>
      </w:r>
      <w:r w:rsidRPr="00D169CA">
        <w:rPr>
          <w:color w:val="0D0D0D" w:themeColor="text1" w:themeTint="F2"/>
          <w:spacing w:val="-2"/>
          <w:sz w:val="16"/>
          <w:szCs w:val="16"/>
        </w:rPr>
        <w:t>Lze předpokládat, že stále významnější část poptávky po počítačových a komunikačních zařízeních je realizována zpravidla ve větších provozovnách náležících (dle své převažující činnosti) do internetového prodeje.</w:t>
      </w:r>
    </w:p>
  </w:footnote>
  <w:footnote w:id="53">
    <w:p w14:paraId="1885CF85" w14:textId="77777777" w:rsidR="00DD1A46" w:rsidRPr="00D169CA" w:rsidRDefault="00DD1A46" w:rsidP="00DD1A46">
      <w:pPr>
        <w:pStyle w:val="Textpoznpodarou"/>
        <w:rPr>
          <w:spacing w:val="-2"/>
        </w:rPr>
      </w:pPr>
      <w:r w:rsidRPr="00D169CA">
        <w:rPr>
          <w:rStyle w:val="Znakapoznpodarou"/>
          <w:color w:val="0D0D0D" w:themeColor="text1" w:themeTint="F2"/>
          <w:spacing w:val="-2"/>
          <w:sz w:val="16"/>
          <w:szCs w:val="16"/>
        </w:rPr>
        <w:footnoteRef/>
      </w:r>
      <w:r w:rsidRPr="00D169CA">
        <w:rPr>
          <w:color w:val="0D0D0D" w:themeColor="text1" w:themeTint="F2"/>
          <w:spacing w:val="-2"/>
          <w:sz w:val="16"/>
          <w:szCs w:val="16"/>
        </w:rPr>
        <w:t xml:space="preserve"> Ty zahrnují např. masné výrobky, pečivo, cukrářské výrobky, nápoje či ov</w:t>
      </w:r>
      <w:r>
        <w:rPr>
          <w:color w:val="0D0D0D" w:themeColor="text1" w:themeTint="F2"/>
          <w:spacing w:val="-2"/>
          <w:sz w:val="16"/>
          <w:szCs w:val="16"/>
        </w:rPr>
        <w:t>o</w:t>
      </w:r>
      <w:r w:rsidRPr="00D169CA">
        <w:rPr>
          <w:color w:val="0D0D0D" w:themeColor="text1" w:themeTint="F2"/>
          <w:spacing w:val="-2"/>
          <w:sz w:val="16"/>
          <w:szCs w:val="16"/>
        </w:rPr>
        <w:t>ce a zeleninu. Největší váhu zde však v posledních letech mají prodejny s tabákovými výrobky, jejichž role roste zejména na úkor prodejen s masem.</w:t>
      </w:r>
    </w:p>
  </w:footnote>
  <w:footnote w:id="54">
    <w:p w14:paraId="6076EB92" w14:textId="77777777" w:rsidR="00DD1A46" w:rsidRPr="00D169CA" w:rsidRDefault="00DD1A46" w:rsidP="00DD1A46">
      <w:pPr>
        <w:pStyle w:val="Textpoznpodarou"/>
        <w:rPr>
          <w:sz w:val="16"/>
          <w:szCs w:val="16"/>
        </w:rPr>
      </w:pPr>
      <w:r w:rsidRPr="00D169CA">
        <w:rPr>
          <w:rStyle w:val="Znakapoznpodarou"/>
          <w:spacing w:val="-2"/>
          <w:sz w:val="16"/>
          <w:szCs w:val="16"/>
        </w:rPr>
        <w:footnoteRef/>
      </w:r>
      <w:r w:rsidRPr="00D169CA">
        <w:rPr>
          <w:spacing w:val="-2"/>
          <w:sz w:val="16"/>
          <w:szCs w:val="16"/>
        </w:rPr>
        <w:t xml:space="preserve"> Jednalo se</w:t>
      </w:r>
      <w:r>
        <w:rPr>
          <w:spacing w:val="-2"/>
          <w:sz w:val="16"/>
          <w:szCs w:val="16"/>
        </w:rPr>
        <w:t xml:space="preserve"> o</w:t>
      </w:r>
      <w:r w:rsidRPr="00D169CA">
        <w:rPr>
          <w:spacing w:val="-2"/>
          <w:sz w:val="16"/>
          <w:szCs w:val="16"/>
        </w:rPr>
        <w:t xml:space="preserve"> mimořádnou cenovou regulaci a </w:t>
      </w:r>
      <w:proofErr w:type="spellStart"/>
      <w:r w:rsidRPr="00D169CA">
        <w:rPr>
          <w:spacing w:val="-2"/>
          <w:sz w:val="16"/>
          <w:szCs w:val="16"/>
        </w:rPr>
        <w:t>zastropování</w:t>
      </w:r>
      <w:proofErr w:type="spellEnd"/>
      <w:r w:rsidRPr="00D169CA">
        <w:rPr>
          <w:spacing w:val="-2"/>
          <w:sz w:val="16"/>
          <w:szCs w:val="16"/>
        </w:rPr>
        <w:t xml:space="preserve"> marží prodejců pohonných hmot v Česk</w:t>
      </w:r>
      <w:r>
        <w:rPr>
          <w:spacing w:val="-2"/>
          <w:sz w:val="16"/>
          <w:szCs w:val="16"/>
        </w:rPr>
        <w:t>u</w:t>
      </w:r>
      <w:r w:rsidRPr="00D169CA">
        <w:rPr>
          <w:spacing w:val="-2"/>
          <w:sz w:val="16"/>
          <w:szCs w:val="16"/>
        </w:rPr>
        <w:t>, jež platilo od středy 8. dubna 2026 do neděle 19. července 2026.</w:t>
      </w:r>
    </w:p>
  </w:footnote>
  <w:footnote w:id="55">
    <w:p w14:paraId="301902FD" w14:textId="77777777" w:rsidR="006B1AFC" w:rsidRPr="001F1881" w:rsidRDefault="006B1AFC" w:rsidP="009324EF">
      <w:pPr>
        <w:pStyle w:val="Textpoznpodarou"/>
        <w:rPr>
          <w:rFonts w:cs="Arial"/>
          <w:iCs/>
          <w:sz w:val="16"/>
          <w:szCs w:val="16"/>
        </w:rPr>
      </w:pPr>
      <w:r w:rsidRPr="00B6522D">
        <w:rPr>
          <w:rStyle w:val="Znakapoznpodarou"/>
          <w:rFonts w:cs="Arial"/>
          <w:i/>
          <w:sz w:val="16"/>
          <w:szCs w:val="16"/>
        </w:rPr>
        <w:footnoteRef/>
      </w:r>
      <w:r>
        <w:rPr>
          <w:sz w:val="16"/>
          <w:szCs w:val="16"/>
        </w:rPr>
        <w:t>Není-li uveden</w:t>
      </w:r>
      <w:r w:rsidRPr="00B6522D">
        <w:rPr>
          <w:sz w:val="16"/>
          <w:szCs w:val="16"/>
        </w:rPr>
        <w:t>o jinak, jsou všechny údaje</w:t>
      </w:r>
      <w:r w:rsidRPr="001F1881">
        <w:rPr>
          <w:sz w:val="16"/>
          <w:szCs w:val="16"/>
        </w:rPr>
        <w:t xml:space="preserve"> sezónně neočištěné a v běžných cenách.</w:t>
      </w:r>
    </w:p>
  </w:footnote>
  <w:footnote w:id="56">
    <w:p w14:paraId="4A946699" w14:textId="77777777" w:rsidR="006B1AFC" w:rsidRPr="007B30CA" w:rsidRDefault="006B1AFC" w:rsidP="009324EF">
      <w:pPr>
        <w:pStyle w:val="Textpoznpodarou"/>
        <w:rPr>
          <w:sz w:val="16"/>
          <w:szCs w:val="16"/>
        </w:rPr>
      </w:pPr>
      <w:r w:rsidRPr="00386FF1">
        <w:rPr>
          <w:rStyle w:val="Znakapoznpodarou"/>
          <w:sz w:val="16"/>
          <w:szCs w:val="16"/>
        </w:rPr>
        <w:footnoteRef/>
      </w:r>
      <w:r w:rsidRPr="00386FF1">
        <w:rPr>
          <w:sz w:val="16"/>
          <w:szCs w:val="16"/>
        </w:rPr>
        <w:t xml:space="preserve"> Ceny vývozu zboží za 2. čtvrtletí meziročně vzrostly o 0,7 % poté, co v 1. čtvrtletí meziročně klesly o 3,4 %. Mezičtvrtletně ceny vývozu vzrostly o 2,4 % (v 1. čtvrtletí o 0,8 %).</w:t>
      </w:r>
      <w:r>
        <w:rPr>
          <w:sz w:val="16"/>
          <w:szCs w:val="16"/>
        </w:rPr>
        <w:t xml:space="preserve"> Ve 2. čtvrtletí meziročně </w:t>
      </w:r>
      <w:r w:rsidRPr="006C51D2">
        <w:rPr>
          <w:sz w:val="16"/>
          <w:szCs w:val="16"/>
        </w:rPr>
        <w:t>vzrostly ceny koksu a rafinovaných ropných produktů o 43,2 %, elektřiny o 15,5 % a ceny</w:t>
      </w:r>
      <w:r>
        <w:rPr>
          <w:sz w:val="16"/>
          <w:szCs w:val="16"/>
        </w:rPr>
        <w:t xml:space="preserve"> </w:t>
      </w:r>
      <w:r w:rsidRPr="006C51D2">
        <w:rPr>
          <w:sz w:val="16"/>
          <w:szCs w:val="16"/>
        </w:rPr>
        <w:t>produktů lesnictví a těžby dřeva o 14,0 %</w:t>
      </w:r>
      <w:r>
        <w:rPr>
          <w:sz w:val="16"/>
          <w:szCs w:val="16"/>
        </w:rPr>
        <w:t>.</w:t>
      </w:r>
    </w:p>
  </w:footnote>
  <w:footnote w:id="57">
    <w:p w14:paraId="3A30C862" w14:textId="77777777" w:rsidR="006B1AFC" w:rsidRPr="00A057AB" w:rsidRDefault="006B1AFC" w:rsidP="009324EF">
      <w:pPr>
        <w:pStyle w:val="Textpoznpodarou"/>
        <w:rPr>
          <w:sz w:val="16"/>
          <w:szCs w:val="16"/>
        </w:rPr>
      </w:pPr>
      <w:r w:rsidRPr="00A057AB">
        <w:rPr>
          <w:rStyle w:val="Znakapoznpodarou"/>
          <w:sz w:val="16"/>
          <w:szCs w:val="16"/>
        </w:rPr>
        <w:footnoteRef/>
      </w:r>
      <w:r w:rsidRPr="00A057AB">
        <w:rPr>
          <w:sz w:val="16"/>
          <w:szCs w:val="16"/>
        </w:rPr>
        <w:t xml:space="preserve"> </w:t>
      </w:r>
      <w:r>
        <w:rPr>
          <w:sz w:val="16"/>
          <w:szCs w:val="16"/>
        </w:rPr>
        <w:t>R</w:t>
      </w:r>
      <w:r w:rsidRPr="00A057AB">
        <w:rPr>
          <w:sz w:val="16"/>
          <w:szCs w:val="16"/>
        </w:rPr>
        <w:t xml:space="preserve">ostla </w:t>
      </w:r>
      <w:r>
        <w:rPr>
          <w:sz w:val="16"/>
          <w:szCs w:val="16"/>
        </w:rPr>
        <w:t xml:space="preserve">zejména </w:t>
      </w:r>
      <w:r w:rsidRPr="00A057AB">
        <w:rPr>
          <w:sz w:val="16"/>
          <w:szCs w:val="16"/>
        </w:rPr>
        <w:t>hodnota exportu elektřiny a motorových vozidel.</w:t>
      </w:r>
    </w:p>
  </w:footnote>
  <w:footnote w:id="58">
    <w:p w14:paraId="7C843868" w14:textId="77777777" w:rsidR="006B1AFC" w:rsidRPr="00797C9C" w:rsidRDefault="006B1AFC" w:rsidP="009324EF">
      <w:pPr>
        <w:pStyle w:val="Textpoznpodarou"/>
        <w:rPr>
          <w:sz w:val="16"/>
          <w:szCs w:val="16"/>
        </w:rPr>
      </w:pPr>
      <w:r w:rsidRPr="00797C9C">
        <w:rPr>
          <w:rStyle w:val="Znakapoznpodarou"/>
          <w:sz w:val="16"/>
          <w:szCs w:val="16"/>
        </w:rPr>
        <w:footnoteRef/>
      </w:r>
      <w:r w:rsidRPr="00797C9C">
        <w:rPr>
          <w:sz w:val="16"/>
          <w:szCs w:val="16"/>
        </w:rPr>
        <w:t xml:space="preserve"> </w:t>
      </w:r>
      <w:r>
        <w:rPr>
          <w:sz w:val="16"/>
          <w:szCs w:val="16"/>
        </w:rPr>
        <w:t>Většina z pololetního navýšení připadla na 2. čtvrtletí. Posílil zde hlavně vývoz motorových vozidel, elektrických zařízení nebo strojů a zařízení.</w:t>
      </w:r>
    </w:p>
  </w:footnote>
  <w:footnote w:id="59">
    <w:p w14:paraId="7774E1B1" w14:textId="77777777" w:rsidR="006B1AFC" w:rsidRPr="00146057" w:rsidRDefault="006B1AFC" w:rsidP="009324EF">
      <w:pPr>
        <w:pStyle w:val="Textpoznpodarou"/>
        <w:rPr>
          <w:sz w:val="16"/>
          <w:szCs w:val="16"/>
        </w:rPr>
      </w:pPr>
      <w:r w:rsidRPr="00146057">
        <w:rPr>
          <w:rStyle w:val="Znakapoznpodarou"/>
          <w:sz w:val="16"/>
          <w:szCs w:val="16"/>
        </w:rPr>
        <w:footnoteRef/>
      </w:r>
      <w:r w:rsidRPr="00146057">
        <w:rPr>
          <w:sz w:val="16"/>
          <w:szCs w:val="16"/>
        </w:rPr>
        <w:t xml:space="preserve"> </w:t>
      </w:r>
      <w:r>
        <w:rPr>
          <w:sz w:val="16"/>
          <w:szCs w:val="16"/>
        </w:rPr>
        <w:t xml:space="preserve">Většina z poklesu proběhla už v 1. čtvrtletí, kdy plošně klesl vývoz </w:t>
      </w:r>
      <w:r w:rsidRPr="00146057">
        <w:rPr>
          <w:sz w:val="16"/>
          <w:szCs w:val="16"/>
        </w:rPr>
        <w:t xml:space="preserve">napříč celou klasifikací produkce. </w:t>
      </w:r>
      <w:r>
        <w:rPr>
          <w:sz w:val="16"/>
          <w:szCs w:val="16"/>
        </w:rPr>
        <w:t xml:space="preserve">Ve 2. čtvrtletí se udržel největší propad u </w:t>
      </w:r>
      <w:r w:rsidRPr="00146057">
        <w:rPr>
          <w:sz w:val="16"/>
          <w:szCs w:val="16"/>
        </w:rPr>
        <w:t>počítačů, elektronických a optických přístrojů a zařízení</w:t>
      </w:r>
      <w:r>
        <w:rPr>
          <w:sz w:val="16"/>
          <w:szCs w:val="16"/>
        </w:rPr>
        <w:t xml:space="preserve"> a</w:t>
      </w:r>
      <w:r w:rsidRPr="00146057">
        <w:rPr>
          <w:sz w:val="16"/>
          <w:szCs w:val="16"/>
        </w:rPr>
        <w:t xml:space="preserve"> ostatních dopravních prostředků.</w:t>
      </w:r>
    </w:p>
  </w:footnote>
  <w:footnote w:id="60">
    <w:p w14:paraId="5A034380" w14:textId="77777777" w:rsidR="006B1AFC" w:rsidRPr="00E86C64" w:rsidRDefault="006B1AFC" w:rsidP="009324EF">
      <w:pPr>
        <w:pStyle w:val="Textpoznpodarou"/>
        <w:rPr>
          <w:sz w:val="16"/>
          <w:szCs w:val="16"/>
        </w:rPr>
      </w:pPr>
      <w:r w:rsidRPr="00E86C64">
        <w:rPr>
          <w:rStyle w:val="Znakapoznpodarou"/>
          <w:sz w:val="16"/>
          <w:szCs w:val="16"/>
        </w:rPr>
        <w:footnoteRef/>
      </w:r>
      <w:r w:rsidRPr="00E86C64">
        <w:rPr>
          <w:sz w:val="16"/>
          <w:szCs w:val="16"/>
        </w:rPr>
        <w:t xml:space="preserve"> Přestal klesat vývoz elektřiny a elektrických zařízení.</w:t>
      </w:r>
    </w:p>
  </w:footnote>
  <w:footnote w:id="61">
    <w:p w14:paraId="4A417D9C" w14:textId="77777777" w:rsidR="006B1AFC" w:rsidRPr="000A5229" w:rsidRDefault="006B1AFC" w:rsidP="009324EF">
      <w:pPr>
        <w:pStyle w:val="Textpoznpodarou"/>
        <w:rPr>
          <w:sz w:val="16"/>
          <w:szCs w:val="16"/>
        </w:rPr>
      </w:pPr>
      <w:r w:rsidRPr="00880676">
        <w:rPr>
          <w:rStyle w:val="Znakapoznpodarou"/>
          <w:sz w:val="16"/>
          <w:szCs w:val="16"/>
        </w:rPr>
        <w:footnoteRef/>
      </w:r>
      <w:r w:rsidRPr="00880676">
        <w:rPr>
          <w:sz w:val="16"/>
          <w:szCs w:val="16"/>
        </w:rPr>
        <w:t xml:space="preserve"> Ceny dovozu</w:t>
      </w:r>
      <w:r>
        <w:rPr>
          <w:sz w:val="16"/>
          <w:szCs w:val="16"/>
        </w:rPr>
        <w:t xml:space="preserve"> ve 2. čtvrtletí meziročně vzrostly o 2,8 % (v 1. čtvrtletí meziročně klesly o 4,4 %). Mezičtvrtletně byly ceny dovozu ve 2. kvartálu vyšší o 4,7 % (v 1. čtvrtletí rostly o 1,0 %). </w:t>
      </w:r>
      <w:r w:rsidRPr="000A3F70">
        <w:rPr>
          <w:sz w:val="16"/>
          <w:szCs w:val="16"/>
        </w:rPr>
        <w:t xml:space="preserve">Nejvýrazněji se zvýšily ceny koksu a rafinovaných ropných produktů o 59,9 %, </w:t>
      </w:r>
      <w:r>
        <w:rPr>
          <w:sz w:val="16"/>
          <w:szCs w:val="16"/>
        </w:rPr>
        <w:t>e</w:t>
      </w:r>
      <w:r w:rsidRPr="000A3F70">
        <w:rPr>
          <w:sz w:val="16"/>
          <w:szCs w:val="16"/>
        </w:rPr>
        <w:t xml:space="preserve">lektřiny o 27,9 % </w:t>
      </w:r>
      <w:r>
        <w:rPr>
          <w:sz w:val="16"/>
          <w:szCs w:val="16"/>
        </w:rPr>
        <w:t>a</w:t>
      </w:r>
      <w:r w:rsidRPr="000A3F70">
        <w:rPr>
          <w:sz w:val="16"/>
          <w:szCs w:val="16"/>
        </w:rPr>
        <w:t xml:space="preserve"> ceny ropy a zemního plynu o 25,7 %.</w:t>
      </w:r>
    </w:p>
  </w:footnote>
  <w:footnote w:id="62">
    <w:p w14:paraId="4D7CAA07" w14:textId="77777777" w:rsidR="006B1AFC" w:rsidRPr="0001750A" w:rsidRDefault="006B1AFC" w:rsidP="009324EF">
      <w:pPr>
        <w:pStyle w:val="Textpoznpodarou"/>
        <w:rPr>
          <w:sz w:val="16"/>
          <w:szCs w:val="16"/>
        </w:rPr>
      </w:pPr>
      <w:r w:rsidRPr="0001750A">
        <w:rPr>
          <w:rStyle w:val="Znakapoznpodarou"/>
          <w:sz w:val="16"/>
          <w:szCs w:val="16"/>
        </w:rPr>
        <w:footnoteRef/>
      </w:r>
      <w:r w:rsidRPr="0001750A">
        <w:rPr>
          <w:sz w:val="16"/>
          <w:szCs w:val="16"/>
        </w:rPr>
        <w:t xml:space="preserve"> Výrazné oživení dovozu z Německa bylo soustředěno hlavně do 2. kvartálu. Posílil zejména dovoz koksu a rafinovaných ropných produktů, </w:t>
      </w:r>
      <w:r>
        <w:rPr>
          <w:sz w:val="16"/>
          <w:szCs w:val="16"/>
        </w:rPr>
        <w:t xml:space="preserve">kovodělných výrobků, chemických látek a produktů, strojů a zařízení a elektrických zařízení. </w:t>
      </w:r>
    </w:p>
  </w:footnote>
  <w:footnote w:id="63">
    <w:p w14:paraId="4293BF03" w14:textId="77777777" w:rsidR="006B1AFC" w:rsidRPr="0001314F" w:rsidRDefault="006B1AFC" w:rsidP="009324EF">
      <w:pPr>
        <w:pStyle w:val="Textpoznpodarou"/>
        <w:rPr>
          <w:sz w:val="16"/>
          <w:szCs w:val="16"/>
        </w:rPr>
      </w:pPr>
      <w:r w:rsidRPr="0001314F">
        <w:rPr>
          <w:rStyle w:val="Znakapoznpodarou"/>
          <w:sz w:val="16"/>
          <w:szCs w:val="16"/>
        </w:rPr>
        <w:footnoteRef/>
      </w:r>
      <w:r w:rsidRPr="0001314F">
        <w:rPr>
          <w:sz w:val="16"/>
          <w:szCs w:val="16"/>
        </w:rPr>
        <w:t xml:space="preserve"> </w:t>
      </w:r>
      <w:r>
        <w:rPr>
          <w:sz w:val="16"/>
          <w:szCs w:val="16"/>
        </w:rPr>
        <w:t>Navýšil se zde zejména dovoz u položky p</w:t>
      </w:r>
      <w:r w:rsidRPr="0001314F">
        <w:rPr>
          <w:sz w:val="16"/>
          <w:szCs w:val="16"/>
        </w:rPr>
        <w:t>očítače, elektronické a optické přístroje a zařízení.</w:t>
      </w:r>
      <w:r>
        <w:rPr>
          <w:sz w:val="16"/>
          <w:szCs w:val="16"/>
        </w:rPr>
        <w:t xml:space="preserve"> Ze stejného důvodu posílil ve 2. čtvrtletí také dovoz z Malajsie.</w:t>
      </w:r>
    </w:p>
  </w:footnote>
  <w:footnote w:id="64">
    <w:p w14:paraId="3913A238" w14:textId="77777777" w:rsidR="006B1AFC" w:rsidRPr="0052427E" w:rsidRDefault="006B1AFC" w:rsidP="009324EF">
      <w:pPr>
        <w:pStyle w:val="Textpoznpodarou"/>
        <w:rPr>
          <w:sz w:val="16"/>
          <w:szCs w:val="16"/>
        </w:rPr>
      </w:pPr>
      <w:r w:rsidRPr="0052427E">
        <w:rPr>
          <w:rStyle w:val="Znakapoznpodarou"/>
          <w:sz w:val="16"/>
          <w:szCs w:val="16"/>
        </w:rPr>
        <w:footnoteRef/>
      </w:r>
      <w:r w:rsidRPr="0052427E">
        <w:rPr>
          <w:sz w:val="16"/>
          <w:szCs w:val="16"/>
        </w:rPr>
        <w:t xml:space="preserve"> </w:t>
      </w:r>
      <w:r>
        <w:rPr>
          <w:sz w:val="16"/>
          <w:szCs w:val="16"/>
        </w:rPr>
        <w:t xml:space="preserve">Většina z poklesu za 1. pololetí se odehrála v 1. čtvrtletí. Dovoz z Ruska už během loňského roku klesl na jednotky mld. Kč, když se </w:t>
      </w:r>
      <w:r w:rsidRPr="0052427E">
        <w:rPr>
          <w:sz w:val="16"/>
          <w:szCs w:val="16"/>
        </w:rPr>
        <w:t xml:space="preserve">projevilo </w:t>
      </w:r>
      <w:r>
        <w:rPr>
          <w:sz w:val="16"/>
          <w:szCs w:val="16"/>
        </w:rPr>
        <w:t xml:space="preserve">značné </w:t>
      </w:r>
      <w:r w:rsidRPr="0052427E">
        <w:rPr>
          <w:sz w:val="16"/>
          <w:szCs w:val="16"/>
        </w:rPr>
        <w:t>omezení dovozu ropy prostřednictvím ropovodu Družba.</w:t>
      </w:r>
      <w:r>
        <w:rPr>
          <w:sz w:val="16"/>
          <w:szCs w:val="16"/>
        </w:rPr>
        <w:t xml:space="preserve"> Hodnot nad 1 mld. korun za kvartál dosahuje aktuálně jen dovoz chemických látek a přípravků a základních kovů.</w:t>
      </w:r>
    </w:p>
  </w:footnote>
  <w:footnote w:id="65">
    <w:p w14:paraId="414306CD" w14:textId="77777777" w:rsidR="006B1AFC" w:rsidRPr="001B3719" w:rsidRDefault="006B1AFC" w:rsidP="009324EF">
      <w:pPr>
        <w:pStyle w:val="Textpoznpodarou"/>
        <w:rPr>
          <w:sz w:val="16"/>
          <w:szCs w:val="16"/>
        </w:rPr>
      </w:pPr>
      <w:r w:rsidRPr="001B3719">
        <w:rPr>
          <w:rStyle w:val="Znakapoznpodarou"/>
          <w:sz w:val="16"/>
          <w:szCs w:val="16"/>
        </w:rPr>
        <w:footnoteRef/>
      </w:r>
      <w:r w:rsidRPr="001B3719">
        <w:rPr>
          <w:sz w:val="16"/>
          <w:szCs w:val="16"/>
        </w:rPr>
        <w:t xml:space="preserve"> Na </w:t>
      </w:r>
      <w:r>
        <w:rPr>
          <w:sz w:val="16"/>
          <w:szCs w:val="16"/>
        </w:rPr>
        <w:t>posílení růstu</w:t>
      </w:r>
      <w:r w:rsidRPr="001B3719">
        <w:rPr>
          <w:sz w:val="16"/>
          <w:szCs w:val="16"/>
        </w:rPr>
        <w:t xml:space="preserve"> se projevilo 2mld. navýšení dovozu ropy a zemního plynu</w:t>
      </w:r>
      <w:r>
        <w:rPr>
          <w:sz w:val="16"/>
          <w:szCs w:val="16"/>
        </w:rPr>
        <w:t>, vyšší dovoz počítačů, elektronických a optických přístrojů nebo ostatních dopravních prostředků a zařízení</w:t>
      </w:r>
      <w:r w:rsidRPr="001B3719">
        <w:rPr>
          <w:sz w:val="16"/>
          <w:szCs w:val="16"/>
        </w:rPr>
        <w:t>.</w:t>
      </w:r>
    </w:p>
  </w:footnote>
  <w:footnote w:id="66">
    <w:p w14:paraId="4368B2C0" w14:textId="77777777" w:rsidR="006B1AFC" w:rsidRPr="009E239A" w:rsidRDefault="006B1AFC" w:rsidP="009324EF">
      <w:pPr>
        <w:pStyle w:val="Textpoznpodarou"/>
        <w:rPr>
          <w:sz w:val="16"/>
          <w:szCs w:val="16"/>
        </w:rPr>
      </w:pPr>
      <w:r w:rsidRPr="009E239A">
        <w:rPr>
          <w:rStyle w:val="Znakapoznpodarou"/>
          <w:sz w:val="16"/>
          <w:szCs w:val="16"/>
        </w:rPr>
        <w:footnoteRef/>
      </w:r>
      <w:r w:rsidRPr="009E239A">
        <w:rPr>
          <w:sz w:val="16"/>
          <w:szCs w:val="16"/>
        </w:rPr>
        <w:t xml:space="preserve"> Vyšší byl hlavně dovoz farmaceutických výrobků a přípravků.</w:t>
      </w:r>
    </w:p>
  </w:footnote>
  <w:footnote w:id="67">
    <w:p w14:paraId="229E4625" w14:textId="77777777" w:rsidR="006B1AFC" w:rsidRPr="00D84C29" w:rsidRDefault="006B1AFC" w:rsidP="009324EF">
      <w:pPr>
        <w:pStyle w:val="Textpoznpodarou"/>
        <w:rPr>
          <w:sz w:val="16"/>
          <w:szCs w:val="16"/>
        </w:rPr>
      </w:pPr>
      <w:r w:rsidRPr="00D84C29">
        <w:rPr>
          <w:rStyle w:val="Znakapoznpodarou"/>
          <w:sz w:val="16"/>
          <w:szCs w:val="16"/>
        </w:rPr>
        <w:footnoteRef/>
      </w:r>
      <w:r w:rsidRPr="00D84C29">
        <w:rPr>
          <w:sz w:val="16"/>
          <w:szCs w:val="16"/>
        </w:rPr>
        <w:t xml:space="preserve"> U této položky šlo o největší zaznamenaný přírůstek za první polovinu roku. Výrazné vzedmutí je spojeno</w:t>
      </w:r>
      <w:r>
        <w:rPr>
          <w:sz w:val="16"/>
          <w:szCs w:val="16"/>
        </w:rPr>
        <w:t xml:space="preserve"> s</w:t>
      </w:r>
      <w:r w:rsidRPr="00D84C29">
        <w:rPr>
          <w:sz w:val="16"/>
          <w:szCs w:val="16"/>
        </w:rPr>
        <w:t> importem součástek pro výrobce operující na českém území</w:t>
      </w:r>
      <w:r>
        <w:rPr>
          <w:sz w:val="16"/>
          <w:szCs w:val="16"/>
        </w:rPr>
        <w:t xml:space="preserve"> – produkce počítačů, elektronických a optických přístrojů a zařízení v 1. a 2. čtvrtletí vzrostla postupně meziročně o 3,6 % a 13,1 %. Výrazné zastoupení v nárůstu dovozu mají mimo jiné paměťové jednotky a zařízení pro automatizované zpracování dat.</w:t>
      </w:r>
    </w:p>
  </w:footnote>
  <w:footnote w:id="68">
    <w:p w14:paraId="2CF5BD7A" w14:textId="77777777" w:rsidR="006B1AFC" w:rsidRPr="007F7671" w:rsidRDefault="006B1AFC" w:rsidP="009324EF">
      <w:pPr>
        <w:pStyle w:val="Textpoznpodarou"/>
        <w:rPr>
          <w:sz w:val="16"/>
          <w:szCs w:val="16"/>
        </w:rPr>
      </w:pPr>
      <w:r w:rsidRPr="007F7671">
        <w:rPr>
          <w:rStyle w:val="Znakapoznpodarou"/>
          <w:sz w:val="16"/>
          <w:szCs w:val="16"/>
        </w:rPr>
        <w:footnoteRef/>
      </w:r>
      <w:r w:rsidRPr="007F7671">
        <w:rPr>
          <w:sz w:val="16"/>
          <w:szCs w:val="16"/>
        </w:rPr>
        <w:t xml:space="preserve"> Od ledna 2026 jsou detailní indexy spotřebitelských cen počítány na základě aktualizované klasifikace COICOP 2018. Váhy jsou od ledna roku 2026 zaktualizovány na základě výdajů domácností statistiky národních účtů. </w:t>
      </w:r>
      <w:r>
        <w:rPr>
          <w:sz w:val="16"/>
          <w:szCs w:val="16"/>
        </w:rPr>
        <w:t>V</w:t>
      </w:r>
      <w:r w:rsidRPr="007F7671">
        <w:rPr>
          <w:sz w:val="16"/>
          <w:szCs w:val="16"/>
        </w:rPr>
        <w:t>ýznamnou změnou je rozdělení původního oddílu 12 Ostatní zboží a služby na dva oddíly 12 Pojištění a finanční služby a 13 Osobní a sociální péče, různé zboží a služby.</w:t>
      </w:r>
      <w:r>
        <w:rPr>
          <w:sz w:val="16"/>
          <w:szCs w:val="16"/>
        </w:rPr>
        <w:t xml:space="preserve"> Více na </w:t>
      </w:r>
      <w:hyperlink r:id="rId1" w:history="1">
        <w:r w:rsidRPr="00B74B39">
          <w:rPr>
            <w:rStyle w:val="Hypertextovodkaz"/>
            <w:sz w:val="16"/>
            <w:szCs w:val="16"/>
          </w:rPr>
          <w:t>https://csu.gov.cz/kdyz_se_rekne_inflace_resp_mira_inflace</w:t>
        </w:r>
      </w:hyperlink>
      <w:r>
        <w:rPr>
          <w:sz w:val="16"/>
          <w:szCs w:val="16"/>
        </w:rPr>
        <w:t xml:space="preserve"> a </w:t>
      </w:r>
      <w:hyperlink r:id="rId2" w:history="1">
        <w:r w:rsidRPr="00EC58C0">
          <w:rPr>
            <w:rStyle w:val="Hypertextovodkaz"/>
            <w:sz w:val="16"/>
            <w:szCs w:val="16"/>
          </w:rPr>
          <w:t>https://csu.gov.cz/indexy_spotrebitelskych_cen_revize</w:t>
        </w:r>
      </w:hyperlink>
      <w:r>
        <w:rPr>
          <w:sz w:val="16"/>
          <w:szCs w:val="16"/>
        </w:rPr>
        <w:t xml:space="preserve"> </w:t>
      </w:r>
    </w:p>
  </w:footnote>
  <w:footnote w:id="69">
    <w:p w14:paraId="6A72C876" w14:textId="77777777" w:rsidR="006B1AFC" w:rsidRDefault="006B1AFC" w:rsidP="009324EF">
      <w:pPr>
        <w:pStyle w:val="Textpoznpodarou"/>
        <w:rPr>
          <w:sz w:val="16"/>
          <w:szCs w:val="16"/>
        </w:rPr>
      </w:pPr>
      <w:r>
        <w:rPr>
          <w:rStyle w:val="Znakapoznpodarou"/>
          <w:sz w:val="16"/>
          <w:szCs w:val="16"/>
        </w:rPr>
        <w:footnoteRef/>
      </w:r>
      <w:r>
        <w:rPr>
          <w:sz w:val="16"/>
          <w:szCs w:val="16"/>
        </w:rPr>
        <w:t xml:space="preserve"> Imputované nájemné vyjadřuje náklady vlastnického bydlení. Kromě samotných cen bydlení zahrnuje i náklady na výstavbu a renovace a další poplatky. Více na: </w:t>
      </w:r>
      <w:hyperlink r:id="rId3" w:history="1">
        <w:r>
          <w:rPr>
            <w:rStyle w:val="Hypertextovodkaz"/>
            <w:sz w:val="16"/>
            <w:szCs w:val="16"/>
          </w:rPr>
          <w:t>https://csu.gov.cz/metodicka-poznamka-k-indexu-spotrebitelskych-cen-imputovane-najemne</w:t>
        </w:r>
      </w:hyperlink>
      <w:r>
        <w:rPr>
          <w:rStyle w:val="Hypertextovodkaz"/>
          <w:sz w:val="16"/>
          <w:szCs w:val="16"/>
        </w:rPr>
        <w:t>.</w:t>
      </w:r>
    </w:p>
  </w:footnote>
  <w:footnote w:id="70">
    <w:p w14:paraId="50813A39" w14:textId="77777777" w:rsidR="006B1AFC" w:rsidRDefault="006B1AFC" w:rsidP="009324EF">
      <w:pPr>
        <w:pStyle w:val="Textpoznpodarou"/>
        <w:rPr>
          <w:sz w:val="16"/>
          <w:szCs w:val="16"/>
        </w:rPr>
      </w:pPr>
      <w:r>
        <w:rPr>
          <w:rStyle w:val="Znakapoznpodarou"/>
          <w:sz w:val="16"/>
          <w:szCs w:val="16"/>
        </w:rPr>
        <w:footnoteRef/>
      </w:r>
      <w:r>
        <w:rPr>
          <w:sz w:val="16"/>
          <w:szCs w:val="16"/>
        </w:rPr>
        <w:t xml:space="preserve"> Oproti indexu spotřebitelských cen, který ČSÚ pro českou ekonomiku sestavuje, HICP neobsahuje imputované nájemné, což bývá zdrojem rozdílů mezi HICP a Indexem spotřebitelských cen.</w:t>
      </w:r>
    </w:p>
  </w:footnote>
  <w:footnote w:id="71">
    <w:p w14:paraId="08A37101" w14:textId="77777777" w:rsidR="006B1AFC" w:rsidRPr="00546CF0" w:rsidRDefault="006B1AFC" w:rsidP="009324EF">
      <w:pPr>
        <w:pStyle w:val="Textpoznpodarou"/>
        <w:rPr>
          <w:sz w:val="16"/>
          <w:szCs w:val="16"/>
        </w:rPr>
      </w:pPr>
      <w:r w:rsidRPr="00546CF0">
        <w:rPr>
          <w:rStyle w:val="Znakapoznpodarou"/>
          <w:sz w:val="16"/>
          <w:szCs w:val="16"/>
        </w:rPr>
        <w:footnoteRef/>
      </w:r>
      <w:r w:rsidRPr="00546CF0">
        <w:rPr>
          <w:sz w:val="16"/>
          <w:szCs w:val="16"/>
        </w:rPr>
        <w:t xml:space="preserve"> Individuální data</w:t>
      </w:r>
    </w:p>
  </w:footnote>
  <w:footnote w:id="72">
    <w:p w14:paraId="0132F41B" w14:textId="77777777" w:rsidR="006B1AFC" w:rsidRDefault="006B1AFC" w:rsidP="009324EF">
      <w:pPr>
        <w:pStyle w:val="Textpoznpodarou"/>
        <w:rPr>
          <w:sz w:val="16"/>
          <w:szCs w:val="16"/>
        </w:rPr>
      </w:pPr>
      <w:r>
        <w:rPr>
          <w:rStyle w:val="Znakapoznpodarou"/>
          <w:sz w:val="16"/>
          <w:szCs w:val="16"/>
        </w:rPr>
        <w:footnoteRef/>
      </w:r>
      <w:r>
        <w:rPr>
          <w:sz w:val="16"/>
          <w:szCs w:val="16"/>
        </w:rPr>
        <w:t xml:space="preserve"> Bez cen zásobování vodou a služeb souvisejících s odpadními vodami.</w:t>
      </w:r>
    </w:p>
  </w:footnote>
  <w:footnote w:id="73">
    <w:p w14:paraId="1ACB60E4" w14:textId="77777777" w:rsidR="006B1AFC" w:rsidRDefault="006B1AFC" w:rsidP="009324EF">
      <w:pPr>
        <w:pStyle w:val="Textpoznpodarou"/>
        <w:rPr>
          <w:sz w:val="16"/>
          <w:szCs w:val="16"/>
        </w:rPr>
      </w:pPr>
      <w:r>
        <w:rPr>
          <w:rStyle w:val="Znakapoznpodarou"/>
          <w:sz w:val="16"/>
          <w:szCs w:val="16"/>
        </w:rPr>
        <w:footnoteRef/>
      </w:r>
      <w:r>
        <w:rPr>
          <w:sz w:val="16"/>
          <w:szCs w:val="16"/>
        </w:rPr>
        <w:t xml:space="preserve"> Podle údajů ČNB dosáhl ve 2. čtvrtletí 2026 průměrný kurz koruny vůči euru 24,298 CZK/EUR ve srovnání s 24,328 CZK/EUR </w:t>
      </w:r>
      <w:r>
        <w:rPr>
          <w:sz w:val="16"/>
          <w:szCs w:val="16"/>
        </w:rPr>
        <w:br/>
        <w:t>v 1. čtvrtletí 2026 a 24,921 CZK/EUR ve 2. čtvrtletí 2025. Kurz vůči dolaru ve 2. čtvrtletí dosahoval 20,899 CZK/USD oproti 20,790 CZK/USD v 1. čtvrtletí 2026 a 21,985 CZK/USD ve 2. čtvrtletí 2025.</w:t>
      </w:r>
    </w:p>
  </w:footnote>
  <w:footnote w:id="74">
    <w:p w14:paraId="640B05A8" w14:textId="77777777" w:rsidR="00AD1119" w:rsidRPr="00F72E52" w:rsidRDefault="00AD1119" w:rsidP="00AD1119">
      <w:pPr>
        <w:pStyle w:val="Textpoznpodarou"/>
        <w:rPr>
          <w:color w:val="0D0D0D" w:themeColor="text1" w:themeTint="F2"/>
          <w:spacing w:val="-2"/>
          <w:sz w:val="16"/>
          <w:szCs w:val="16"/>
        </w:rPr>
      </w:pPr>
      <w:r w:rsidRPr="00F72E52">
        <w:rPr>
          <w:rStyle w:val="Znakapoznpodarou"/>
          <w:color w:val="0D0D0D" w:themeColor="text1" w:themeTint="F2"/>
          <w:spacing w:val="-2"/>
          <w:sz w:val="16"/>
          <w:szCs w:val="16"/>
        </w:rPr>
        <w:footnoteRef/>
      </w:r>
      <w:r w:rsidRPr="00F72E52">
        <w:rPr>
          <w:color w:val="0D0D0D" w:themeColor="text1" w:themeTint="F2"/>
          <w:spacing w:val="-2"/>
          <w:sz w:val="16"/>
          <w:szCs w:val="16"/>
        </w:rPr>
        <w:t xml:space="preserve"> Údaje </w:t>
      </w:r>
      <w:r>
        <w:rPr>
          <w:color w:val="0D0D0D" w:themeColor="text1" w:themeTint="F2"/>
          <w:spacing w:val="-2"/>
          <w:sz w:val="16"/>
          <w:szCs w:val="16"/>
        </w:rPr>
        <w:t xml:space="preserve">o zaměstnanosti </w:t>
      </w:r>
      <w:r w:rsidRPr="00F72E52">
        <w:rPr>
          <w:color w:val="0D0D0D" w:themeColor="text1" w:themeTint="F2"/>
          <w:spacing w:val="-2"/>
          <w:sz w:val="16"/>
          <w:szCs w:val="16"/>
        </w:rPr>
        <w:t>vycház</w:t>
      </w:r>
      <w:r>
        <w:rPr>
          <w:color w:val="0D0D0D" w:themeColor="text1" w:themeTint="F2"/>
          <w:spacing w:val="-2"/>
          <w:sz w:val="16"/>
          <w:szCs w:val="16"/>
        </w:rPr>
        <w:t>ej</w:t>
      </w:r>
      <w:r w:rsidRPr="00F72E52">
        <w:rPr>
          <w:color w:val="0D0D0D" w:themeColor="text1" w:themeTint="F2"/>
          <w:spacing w:val="-2"/>
          <w:sz w:val="16"/>
          <w:szCs w:val="16"/>
        </w:rPr>
        <w:t>í z</w:t>
      </w:r>
      <w:r>
        <w:rPr>
          <w:color w:val="0D0D0D" w:themeColor="text1" w:themeTint="F2"/>
          <w:spacing w:val="-2"/>
          <w:sz w:val="16"/>
          <w:szCs w:val="16"/>
        </w:rPr>
        <w:t> </w:t>
      </w:r>
      <w:r w:rsidRPr="00F72E52">
        <w:rPr>
          <w:color w:val="0D0D0D" w:themeColor="text1" w:themeTint="F2"/>
          <w:spacing w:val="-2"/>
          <w:sz w:val="16"/>
          <w:szCs w:val="16"/>
        </w:rPr>
        <w:t>pojetí národních účtů. Jsou vyjádřeny ve fyzických osobách a</w:t>
      </w:r>
      <w:r>
        <w:rPr>
          <w:color w:val="0D0D0D" w:themeColor="text1" w:themeTint="F2"/>
          <w:spacing w:val="-2"/>
          <w:sz w:val="16"/>
          <w:szCs w:val="16"/>
        </w:rPr>
        <w:t> </w:t>
      </w:r>
      <w:r w:rsidRPr="00F72E52">
        <w:rPr>
          <w:color w:val="0D0D0D" w:themeColor="text1" w:themeTint="F2"/>
          <w:spacing w:val="-2"/>
          <w:sz w:val="16"/>
          <w:szCs w:val="16"/>
        </w:rPr>
        <w:t>očištěny o sezónní vlivy.</w:t>
      </w:r>
      <w:r>
        <w:rPr>
          <w:color w:val="0D0D0D" w:themeColor="text1" w:themeTint="F2"/>
          <w:spacing w:val="-2"/>
          <w:sz w:val="16"/>
          <w:szCs w:val="16"/>
        </w:rPr>
        <w:t xml:space="preserve"> Na rozdíl od údajů z podnikové statistiky či z </w:t>
      </w:r>
      <w:r w:rsidRPr="00946AFA">
        <w:rPr>
          <w:sz w:val="16"/>
          <w:szCs w:val="16"/>
        </w:rPr>
        <w:t xml:space="preserve">výběrového šetření pracovních sil </w:t>
      </w:r>
      <w:r>
        <w:rPr>
          <w:sz w:val="16"/>
          <w:szCs w:val="16"/>
        </w:rPr>
        <w:t>(VŠPS) zahrnují např. i odhad vlivu šedé ekonomiky.</w:t>
      </w:r>
    </w:p>
  </w:footnote>
  <w:footnote w:id="75">
    <w:p w14:paraId="15E4D95F" w14:textId="77777777" w:rsidR="00AD1119" w:rsidRPr="000412D4" w:rsidRDefault="00AD1119" w:rsidP="00AD1119">
      <w:pPr>
        <w:pStyle w:val="Textpoznpodarou"/>
        <w:rPr>
          <w:sz w:val="16"/>
          <w:szCs w:val="16"/>
        </w:rPr>
      </w:pPr>
      <w:r w:rsidRPr="000412D4">
        <w:rPr>
          <w:rStyle w:val="Znakapoznpodarou"/>
          <w:sz w:val="16"/>
          <w:szCs w:val="16"/>
        </w:rPr>
        <w:footnoteRef/>
      </w:r>
      <w:r w:rsidRPr="000412D4">
        <w:rPr>
          <w:sz w:val="16"/>
          <w:szCs w:val="16"/>
        </w:rPr>
        <w:t xml:space="preserve"> V odvětví veřejná správa a obrana, vzdělávání, zdravotní a sociální péče</w:t>
      </w:r>
      <w:r>
        <w:rPr>
          <w:sz w:val="16"/>
          <w:szCs w:val="16"/>
        </w:rPr>
        <w:t xml:space="preserve"> bylo letos ve 2. čtvrtletí ve srovnání s koncem roku 2018 zaměstnáno o 13 % (+135 tis.) osob více. Významný vliv mělo i navýšení v profesních</w:t>
      </w:r>
      <w:r w:rsidRPr="00591EF5">
        <w:rPr>
          <w:sz w:val="16"/>
          <w:szCs w:val="16"/>
        </w:rPr>
        <w:t>, vě</w:t>
      </w:r>
      <w:r>
        <w:rPr>
          <w:sz w:val="16"/>
          <w:szCs w:val="16"/>
        </w:rPr>
        <w:t>deckých, technických a administrativních činnostech (+10 %), i</w:t>
      </w:r>
      <w:r w:rsidRPr="00591EF5">
        <w:rPr>
          <w:sz w:val="16"/>
          <w:szCs w:val="16"/>
        </w:rPr>
        <w:t>nformační</w:t>
      </w:r>
      <w:r>
        <w:rPr>
          <w:sz w:val="16"/>
          <w:szCs w:val="16"/>
        </w:rPr>
        <w:t>ch</w:t>
      </w:r>
      <w:r w:rsidRPr="00591EF5">
        <w:rPr>
          <w:sz w:val="16"/>
          <w:szCs w:val="16"/>
        </w:rPr>
        <w:t xml:space="preserve"> a komunikační</w:t>
      </w:r>
      <w:r>
        <w:rPr>
          <w:sz w:val="16"/>
          <w:szCs w:val="16"/>
        </w:rPr>
        <w:t>ch činnostech (+23 %) a též v oblasti nemovitostí. Z tradičních odvětví hmotné výroby se zvýšila pouze zaměstnanost ve stavebnictví (+10 %, resp. +39 tis. osob), v průmyslu pracovníků citelně ubylo (</w:t>
      </w:r>
      <w:r w:rsidRPr="00ED60FF">
        <w:rPr>
          <w:color w:val="0D0D0D" w:themeColor="text1" w:themeTint="F2"/>
          <w:spacing w:val="-2"/>
          <w:sz w:val="16"/>
          <w:szCs w:val="16"/>
        </w:rPr>
        <w:t>−</w:t>
      </w:r>
      <w:r>
        <w:rPr>
          <w:sz w:val="16"/>
          <w:szCs w:val="16"/>
        </w:rPr>
        <w:t xml:space="preserve">7 %, </w:t>
      </w:r>
      <w:r w:rsidRPr="00ED60FF">
        <w:rPr>
          <w:color w:val="0D0D0D" w:themeColor="text1" w:themeTint="F2"/>
          <w:spacing w:val="-2"/>
          <w:sz w:val="16"/>
          <w:szCs w:val="16"/>
        </w:rPr>
        <w:t>−</w:t>
      </w:r>
      <w:r>
        <w:rPr>
          <w:color w:val="0D0D0D" w:themeColor="text1" w:themeTint="F2"/>
          <w:spacing w:val="-2"/>
          <w:sz w:val="16"/>
          <w:szCs w:val="16"/>
        </w:rPr>
        <w:t>1</w:t>
      </w:r>
      <w:r>
        <w:rPr>
          <w:sz w:val="16"/>
          <w:szCs w:val="16"/>
        </w:rPr>
        <w:t>02 tis.).</w:t>
      </w:r>
    </w:p>
  </w:footnote>
  <w:footnote w:id="76">
    <w:p w14:paraId="0773D51A" w14:textId="77777777" w:rsidR="00AD1119" w:rsidRPr="0012394D" w:rsidRDefault="00AD1119" w:rsidP="00AD1119">
      <w:pPr>
        <w:pStyle w:val="Textpoznpodarou"/>
        <w:rPr>
          <w:sz w:val="16"/>
          <w:szCs w:val="16"/>
        </w:rPr>
      </w:pPr>
      <w:r w:rsidRPr="0012394D">
        <w:rPr>
          <w:rStyle w:val="Znakapoznpodarou"/>
          <w:sz w:val="16"/>
          <w:szCs w:val="16"/>
        </w:rPr>
        <w:footnoteRef/>
      </w:r>
      <w:r w:rsidRPr="0012394D">
        <w:rPr>
          <w:sz w:val="16"/>
          <w:szCs w:val="16"/>
        </w:rPr>
        <w:t xml:space="preserve"> </w:t>
      </w:r>
      <w:r w:rsidRPr="00340C8C">
        <w:rPr>
          <w:spacing w:val="-2"/>
          <w:sz w:val="16"/>
          <w:szCs w:val="16"/>
        </w:rPr>
        <w:t>Letošní růst zaměstnanosti byl v Česku, stejně jako po celý loňský rok, svižnější než v EU. Ten v Unii v 1. pololetí 2026 činil pouze 0,5 %, mj. i vlivem přetrvávajícího poklesu v Německu (</w:t>
      </w:r>
      <w:r w:rsidRPr="00340C8C">
        <w:rPr>
          <w:color w:val="0D0D0D" w:themeColor="text1" w:themeTint="F2"/>
          <w:spacing w:val="-2"/>
          <w:sz w:val="16"/>
          <w:szCs w:val="16"/>
        </w:rPr>
        <w:t>−</w:t>
      </w:r>
      <w:r w:rsidRPr="00340C8C">
        <w:rPr>
          <w:spacing w:val="-2"/>
          <w:sz w:val="16"/>
          <w:szCs w:val="16"/>
        </w:rPr>
        <w:t>0,5 %) či Rumunsku (</w:t>
      </w:r>
      <w:r w:rsidRPr="00340C8C">
        <w:rPr>
          <w:color w:val="0D0D0D" w:themeColor="text1" w:themeTint="F2"/>
          <w:spacing w:val="-2"/>
          <w:sz w:val="16"/>
          <w:szCs w:val="16"/>
        </w:rPr>
        <w:t>−</w:t>
      </w:r>
      <w:r w:rsidRPr="00340C8C">
        <w:rPr>
          <w:spacing w:val="-2"/>
          <w:sz w:val="16"/>
          <w:szCs w:val="16"/>
        </w:rPr>
        <w:t>1,3 %). Ze středoevropských států zaznamenalo dále růst již pouze Polsko (+0,8 %). Vyšším tempem než v tuzemsku přibývalo pracovníků jen v šesti členských státech – např. v Itálii (+1,3 %) či Španělsku (+2,3 %). Meziroční vývoj zaměstnanosti z pohledu odvětví byl v Unii velmi podobný jako v Česku – celkový růst byl tažen drtivou většinou služeb (vyjma oblasti ICT) a stavebnictvím. Pokles postihl průmysl (</w:t>
      </w:r>
      <w:r w:rsidRPr="00340C8C">
        <w:rPr>
          <w:color w:val="0D0D0D" w:themeColor="text1" w:themeTint="F2"/>
          <w:spacing w:val="-2"/>
          <w:sz w:val="16"/>
          <w:szCs w:val="16"/>
        </w:rPr>
        <w:t>−</w:t>
      </w:r>
      <w:r w:rsidRPr="00340C8C">
        <w:rPr>
          <w:spacing w:val="-2"/>
          <w:sz w:val="16"/>
          <w:szCs w:val="16"/>
        </w:rPr>
        <w:t>0,5 %) a primární sektor ekonomiky (</w:t>
      </w:r>
      <w:r w:rsidRPr="00340C8C">
        <w:rPr>
          <w:color w:val="0D0D0D" w:themeColor="text1" w:themeTint="F2"/>
          <w:spacing w:val="-2"/>
          <w:sz w:val="16"/>
          <w:szCs w:val="16"/>
        </w:rPr>
        <w:t>−</w:t>
      </w:r>
      <w:r w:rsidRPr="00340C8C">
        <w:rPr>
          <w:spacing w:val="-2"/>
          <w:sz w:val="16"/>
          <w:szCs w:val="16"/>
        </w:rPr>
        <w:t>3,0 %).</w:t>
      </w:r>
    </w:p>
  </w:footnote>
  <w:footnote w:id="77">
    <w:p w14:paraId="01C2F3C8" w14:textId="77777777" w:rsidR="00AD1119" w:rsidRPr="00554A6A" w:rsidRDefault="00AD1119" w:rsidP="00AD1119">
      <w:pPr>
        <w:pStyle w:val="Textpoznpodarou"/>
        <w:rPr>
          <w:sz w:val="16"/>
          <w:szCs w:val="16"/>
        </w:rPr>
      </w:pPr>
      <w:r w:rsidRPr="00554A6A">
        <w:rPr>
          <w:rStyle w:val="Znakapoznpodarou"/>
          <w:sz w:val="16"/>
          <w:szCs w:val="16"/>
        </w:rPr>
        <w:footnoteRef/>
      </w:r>
      <w:r w:rsidRPr="00554A6A">
        <w:rPr>
          <w:sz w:val="16"/>
          <w:szCs w:val="16"/>
        </w:rPr>
        <w:t xml:space="preserve"> Pro zjednodušení </w:t>
      </w:r>
      <w:r w:rsidRPr="00554A6A">
        <w:rPr>
          <w:spacing w:val="-2"/>
          <w:sz w:val="16"/>
          <w:szCs w:val="16"/>
        </w:rPr>
        <w:t>zde zahrnují uskupení odvětví Veřejná správa a obrana, Vzdělávání, Zdravotní a sociální péče.</w:t>
      </w:r>
    </w:p>
  </w:footnote>
  <w:footnote w:id="78">
    <w:p w14:paraId="2F0EEF03" w14:textId="77777777" w:rsidR="00AD1119" w:rsidRDefault="00AD1119" w:rsidP="00AD1119">
      <w:pPr>
        <w:pStyle w:val="Textpoznpodarou"/>
      </w:pPr>
      <w:r w:rsidRPr="00554A6A">
        <w:rPr>
          <w:rStyle w:val="Znakapoznpodarou"/>
          <w:sz w:val="16"/>
          <w:szCs w:val="16"/>
        </w:rPr>
        <w:footnoteRef/>
      </w:r>
      <w:r w:rsidRPr="00554A6A">
        <w:rPr>
          <w:sz w:val="16"/>
          <w:szCs w:val="16"/>
        </w:rPr>
        <w:t xml:space="preserve"> </w:t>
      </w:r>
      <w:r w:rsidRPr="00032F35">
        <w:rPr>
          <w:spacing w:val="-4"/>
          <w:sz w:val="16"/>
          <w:szCs w:val="16"/>
        </w:rPr>
        <w:t>Jejich počet v 1. pololet</w:t>
      </w:r>
      <w:r>
        <w:rPr>
          <w:spacing w:val="-4"/>
          <w:sz w:val="16"/>
          <w:szCs w:val="16"/>
        </w:rPr>
        <w:t>í</w:t>
      </w:r>
      <w:r w:rsidRPr="00032F35">
        <w:rPr>
          <w:spacing w:val="-4"/>
          <w:sz w:val="16"/>
          <w:szCs w:val="16"/>
        </w:rPr>
        <w:t xml:space="preserve"> vzrostl o 8,3 % (nejvíce po roce 2003), což </w:t>
      </w:r>
      <w:r>
        <w:rPr>
          <w:spacing w:val="-4"/>
          <w:sz w:val="16"/>
          <w:szCs w:val="16"/>
        </w:rPr>
        <w:t>zde</w:t>
      </w:r>
      <w:r w:rsidRPr="00032F35">
        <w:rPr>
          <w:spacing w:val="-4"/>
          <w:sz w:val="16"/>
          <w:szCs w:val="16"/>
        </w:rPr>
        <w:t xml:space="preserve"> kontrastovalo se slabým zvýšením u zaměstnanců (+0,3 %). Nelze </w:t>
      </w:r>
      <w:r w:rsidRPr="00040608">
        <w:rPr>
          <w:spacing w:val="-5"/>
          <w:sz w:val="16"/>
          <w:szCs w:val="16"/>
        </w:rPr>
        <w:t>vyloučit, že docházelo k přechodu osob mezi těmito formami zaměstnanosti. Obdobný proces v posledních letech patrně probíhá i ve finančnictví.</w:t>
      </w:r>
      <w:r>
        <w:rPr>
          <w:sz w:val="16"/>
          <w:szCs w:val="16"/>
        </w:rPr>
        <w:t xml:space="preserve"> </w:t>
      </w:r>
    </w:p>
  </w:footnote>
  <w:footnote w:id="79">
    <w:p w14:paraId="6AF41823" w14:textId="77777777" w:rsidR="00AD1119" w:rsidRDefault="00AD1119" w:rsidP="00AD1119">
      <w:pPr>
        <w:pStyle w:val="Textpoznpodarou"/>
      </w:pPr>
      <w:r w:rsidRPr="00AF2AB5">
        <w:rPr>
          <w:rStyle w:val="Znakapoznpodarou"/>
          <w:sz w:val="16"/>
          <w:szCs w:val="16"/>
        </w:rPr>
        <w:footnoteRef/>
      </w:r>
      <w:r w:rsidRPr="00AF2AB5">
        <w:rPr>
          <w:sz w:val="16"/>
          <w:szCs w:val="16"/>
        </w:rPr>
        <w:t xml:space="preserve"> </w:t>
      </w:r>
      <w:r w:rsidRPr="00B85732">
        <w:rPr>
          <w:spacing w:val="-2"/>
          <w:sz w:val="16"/>
          <w:szCs w:val="16"/>
        </w:rPr>
        <w:t xml:space="preserve">Ty zahrnují vedle kulturních, zábavních a rekreačních činností např. různé služby pro domácnosti (opravy výrobků, kadeřnické </w:t>
      </w:r>
      <w:r>
        <w:rPr>
          <w:spacing w:val="-2"/>
          <w:sz w:val="16"/>
          <w:szCs w:val="16"/>
        </w:rPr>
        <w:br/>
      </w:r>
      <w:r w:rsidRPr="00B85732">
        <w:rPr>
          <w:spacing w:val="-2"/>
          <w:sz w:val="16"/>
          <w:szCs w:val="16"/>
        </w:rPr>
        <w:t>a kosmetické</w:t>
      </w:r>
      <w:r w:rsidRPr="00180D79">
        <w:rPr>
          <w:sz w:val="16"/>
          <w:szCs w:val="16"/>
        </w:rPr>
        <w:t xml:space="preserve"> činnosti aj.). Zaměstnanost </w:t>
      </w:r>
      <w:r>
        <w:rPr>
          <w:sz w:val="16"/>
          <w:szCs w:val="16"/>
        </w:rPr>
        <w:t xml:space="preserve">je </w:t>
      </w:r>
      <w:r w:rsidRPr="00180D79">
        <w:rPr>
          <w:sz w:val="16"/>
          <w:szCs w:val="16"/>
        </w:rPr>
        <w:t>v</w:t>
      </w:r>
      <w:r>
        <w:rPr>
          <w:sz w:val="16"/>
          <w:szCs w:val="16"/>
        </w:rPr>
        <w:t> </w:t>
      </w:r>
      <w:r w:rsidRPr="00180D79">
        <w:rPr>
          <w:sz w:val="16"/>
          <w:szCs w:val="16"/>
        </w:rPr>
        <w:t>t</w:t>
      </w:r>
      <w:r>
        <w:rPr>
          <w:sz w:val="16"/>
          <w:szCs w:val="16"/>
        </w:rPr>
        <w:t xml:space="preserve">omto odvětví tvořená z více než třetiny </w:t>
      </w:r>
      <w:r w:rsidRPr="00180D79">
        <w:rPr>
          <w:sz w:val="16"/>
          <w:szCs w:val="16"/>
        </w:rPr>
        <w:t>drobnými podnikateli</w:t>
      </w:r>
      <w:r>
        <w:rPr>
          <w:sz w:val="16"/>
          <w:szCs w:val="16"/>
        </w:rPr>
        <w:t xml:space="preserve"> (resp. </w:t>
      </w:r>
      <w:proofErr w:type="spellStart"/>
      <w:r>
        <w:rPr>
          <w:sz w:val="16"/>
          <w:szCs w:val="16"/>
        </w:rPr>
        <w:t>sebezaměstnanými</w:t>
      </w:r>
      <w:proofErr w:type="spellEnd"/>
      <w:r>
        <w:rPr>
          <w:sz w:val="16"/>
          <w:szCs w:val="16"/>
        </w:rPr>
        <w:t>).</w:t>
      </w:r>
    </w:p>
  </w:footnote>
  <w:footnote w:id="80">
    <w:p w14:paraId="314EE396" w14:textId="77777777" w:rsidR="00AD1119" w:rsidRPr="001D433F" w:rsidRDefault="00AD1119" w:rsidP="00AD1119">
      <w:pPr>
        <w:pStyle w:val="Textpoznpodarou"/>
        <w:rPr>
          <w:sz w:val="16"/>
          <w:szCs w:val="16"/>
        </w:rPr>
      </w:pPr>
      <w:r w:rsidRPr="001D433F">
        <w:rPr>
          <w:rStyle w:val="Znakapoznpodarou"/>
          <w:sz w:val="16"/>
          <w:szCs w:val="16"/>
        </w:rPr>
        <w:footnoteRef/>
      </w:r>
      <w:r w:rsidRPr="001D433F">
        <w:rPr>
          <w:sz w:val="16"/>
          <w:szCs w:val="16"/>
        </w:rPr>
        <w:t xml:space="preserve"> Vysoké tempo zaměstnanosti zde může souviset i s</w:t>
      </w:r>
      <w:r>
        <w:rPr>
          <w:sz w:val="16"/>
          <w:szCs w:val="16"/>
        </w:rPr>
        <w:t xml:space="preserve"> častějšími změnami zařazení </w:t>
      </w:r>
      <w:r w:rsidRPr="001D433F">
        <w:rPr>
          <w:sz w:val="16"/>
          <w:szCs w:val="16"/>
        </w:rPr>
        <w:t>podniků (při jejich za</w:t>
      </w:r>
      <w:r>
        <w:rPr>
          <w:sz w:val="16"/>
          <w:szCs w:val="16"/>
        </w:rPr>
        <w:t>třídění</w:t>
      </w:r>
      <w:r w:rsidRPr="001D433F">
        <w:rPr>
          <w:sz w:val="16"/>
          <w:szCs w:val="16"/>
        </w:rPr>
        <w:t xml:space="preserve"> do odvětví je zohledněna převažující činností na základě předběžných údajů o tržbách, ty mohou být následně</w:t>
      </w:r>
      <w:r>
        <w:rPr>
          <w:sz w:val="16"/>
          <w:szCs w:val="16"/>
        </w:rPr>
        <w:t xml:space="preserve"> zpřesněny</w:t>
      </w:r>
      <w:r w:rsidRPr="001D433F">
        <w:rPr>
          <w:sz w:val="16"/>
          <w:szCs w:val="16"/>
        </w:rPr>
        <w:t xml:space="preserve"> při využití podrobnějších údajů).</w:t>
      </w:r>
    </w:p>
  </w:footnote>
  <w:footnote w:id="81">
    <w:p w14:paraId="3A7DC87C" w14:textId="77777777" w:rsidR="00AD1119" w:rsidRPr="00515FFB" w:rsidRDefault="00AD1119" w:rsidP="00AD1119">
      <w:pPr>
        <w:pStyle w:val="Textpoznpodarou"/>
        <w:rPr>
          <w:sz w:val="16"/>
          <w:szCs w:val="16"/>
        </w:rPr>
      </w:pPr>
      <w:r w:rsidRPr="00515FFB">
        <w:rPr>
          <w:rStyle w:val="Znakapoznpodarou"/>
          <w:sz w:val="16"/>
          <w:szCs w:val="16"/>
        </w:rPr>
        <w:footnoteRef/>
      </w:r>
      <w:r w:rsidRPr="00515FFB">
        <w:rPr>
          <w:sz w:val="16"/>
          <w:szCs w:val="16"/>
        </w:rPr>
        <w:t xml:space="preserve"> </w:t>
      </w:r>
      <w:r w:rsidRPr="00487E79">
        <w:rPr>
          <w:spacing w:val="-4"/>
          <w:sz w:val="16"/>
          <w:szCs w:val="16"/>
        </w:rPr>
        <w:t xml:space="preserve">Oblasti ICT, stejně jako </w:t>
      </w:r>
      <w:r>
        <w:rPr>
          <w:spacing w:val="-4"/>
          <w:sz w:val="16"/>
          <w:szCs w:val="16"/>
        </w:rPr>
        <w:t xml:space="preserve">v </w:t>
      </w:r>
      <w:r w:rsidRPr="00487E79">
        <w:rPr>
          <w:spacing w:val="-4"/>
          <w:sz w:val="16"/>
          <w:szCs w:val="16"/>
        </w:rPr>
        <w:t>peněžnictví a pojišťovnictví</w:t>
      </w:r>
      <w:r>
        <w:rPr>
          <w:spacing w:val="-4"/>
          <w:sz w:val="16"/>
          <w:szCs w:val="16"/>
        </w:rPr>
        <w:t>,</w:t>
      </w:r>
      <w:r w:rsidRPr="00487E79">
        <w:rPr>
          <w:spacing w:val="-4"/>
          <w:sz w:val="16"/>
          <w:szCs w:val="16"/>
        </w:rPr>
        <w:t xml:space="preserve"> čelí v dynamicky se měnícím technologickém prostředí výzvám, jak udržet konkurenceschopnost i vysokou produktivitu a současně efektivně využít relativně nákladnou, a ne vždy snadno dostupnou práci specialistů.</w:t>
      </w:r>
    </w:p>
  </w:footnote>
  <w:footnote w:id="82">
    <w:p w14:paraId="06811278" w14:textId="77777777" w:rsidR="00AD1119" w:rsidRPr="00D202F4" w:rsidRDefault="00AD1119" w:rsidP="00AD1119">
      <w:pPr>
        <w:pStyle w:val="Textpoznpodarou"/>
        <w:rPr>
          <w:sz w:val="16"/>
          <w:szCs w:val="16"/>
        </w:rPr>
      </w:pPr>
      <w:r w:rsidRPr="00D202F4">
        <w:rPr>
          <w:rStyle w:val="Znakapoznpodarou"/>
          <w:sz w:val="16"/>
          <w:szCs w:val="16"/>
        </w:rPr>
        <w:footnoteRef/>
      </w:r>
      <w:r w:rsidRPr="00D202F4">
        <w:rPr>
          <w:sz w:val="16"/>
          <w:szCs w:val="16"/>
        </w:rPr>
        <w:t xml:space="preserve"> Počet </w:t>
      </w:r>
      <w:proofErr w:type="spellStart"/>
      <w:r w:rsidRPr="00D202F4">
        <w:rPr>
          <w:sz w:val="16"/>
          <w:szCs w:val="16"/>
        </w:rPr>
        <w:t>sebezaměstnaných</w:t>
      </w:r>
      <w:proofErr w:type="spellEnd"/>
      <w:r w:rsidRPr="00D202F4">
        <w:rPr>
          <w:sz w:val="16"/>
          <w:szCs w:val="16"/>
        </w:rPr>
        <w:t xml:space="preserve"> ve zpracovatelském průmyslu se v 1. pololetí meziročně zvýšil o 1,2 %.</w:t>
      </w:r>
    </w:p>
  </w:footnote>
  <w:footnote w:id="83">
    <w:p w14:paraId="20AE3BC5" w14:textId="77777777" w:rsidR="00AD1119" w:rsidRPr="00443624" w:rsidRDefault="00AD1119" w:rsidP="00AD1119">
      <w:pPr>
        <w:pStyle w:val="Textpoznpodarou"/>
        <w:rPr>
          <w:sz w:val="16"/>
          <w:szCs w:val="16"/>
        </w:rPr>
      </w:pPr>
      <w:r w:rsidRPr="00443624">
        <w:rPr>
          <w:rStyle w:val="Znakapoznpodarou"/>
          <w:sz w:val="16"/>
          <w:szCs w:val="16"/>
        </w:rPr>
        <w:footnoteRef/>
      </w:r>
      <w:r w:rsidRPr="00443624">
        <w:rPr>
          <w:sz w:val="16"/>
          <w:szCs w:val="16"/>
        </w:rPr>
        <w:t xml:space="preserve"> Údaje </w:t>
      </w:r>
      <w:r w:rsidRPr="00443624">
        <w:rPr>
          <w:color w:val="0D0D0D" w:themeColor="text1" w:themeTint="F2"/>
          <w:spacing w:val="-2"/>
          <w:sz w:val="16"/>
          <w:szCs w:val="16"/>
        </w:rPr>
        <w:t>vycházejí z pojetí národních účtů</w:t>
      </w:r>
      <w:r>
        <w:rPr>
          <w:color w:val="0D0D0D" w:themeColor="text1" w:themeTint="F2"/>
          <w:spacing w:val="-2"/>
          <w:sz w:val="16"/>
          <w:szCs w:val="16"/>
        </w:rPr>
        <w:t xml:space="preserve"> a jsou </w:t>
      </w:r>
      <w:r w:rsidRPr="00F72E52">
        <w:rPr>
          <w:color w:val="0D0D0D" w:themeColor="text1" w:themeTint="F2"/>
          <w:spacing w:val="-2"/>
          <w:sz w:val="16"/>
          <w:szCs w:val="16"/>
        </w:rPr>
        <w:t>očištěny o sezónní vlivy</w:t>
      </w:r>
      <w:r>
        <w:rPr>
          <w:color w:val="0D0D0D" w:themeColor="text1" w:themeTint="F2"/>
          <w:spacing w:val="-2"/>
          <w:sz w:val="16"/>
          <w:szCs w:val="16"/>
        </w:rPr>
        <w:t>.</w:t>
      </w:r>
    </w:p>
  </w:footnote>
  <w:footnote w:id="84">
    <w:p w14:paraId="5737B48E" w14:textId="77777777" w:rsidR="00AD1119" w:rsidRPr="00B358BA" w:rsidRDefault="00AD1119" w:rsidP="00AD1119">
      <w:pPr>
        <w:pStyle w:val="Textpoznpodarou"/>
        <w:jc w:val="both"/>
        <w:rPr>
          <w:sz w:val="16"/>
          <w:szCs w:val="16"/>
        </w:rPr>
      </w:pPr>
      <w:r w:rsidRPr="00B358BA">
        <w:rPr>
          <w:rStyle w:val="Znakapoznpodarou"/>
          <w:sz w:val="16"/>
          <w:szCs w:val="16"/>
        </w:rPr>
        <w:footnoteRef/>
      </w:r>
      <w:r w:rsidRPr="00B358BA">
        <w:rPr>
          <w:sz w:val="16"/>
          <w:szCs w:val="16"/>
        </w:rPr>
        <w:t xml:space="preserve"> </w:t>
      </w:r>
      <w:r w:rsidRPr="00B358BA">
        <w:rPr>
          <w:spacing w:val="-4"/>
          <w:sz w:val="16"/>
          <w:szCs w:val="16"/>
        </w:rPr>
        <w:t>Ve srovnání s</w:t>
      </w:r>
      <w:r>
        <w:rPr>
          <w:spacing w:val="-4"/>
          <w:sz w:val="16"/>
          <w:szCs w:val="16"/>
        </w:rPr>
        <w:t xml:space="preserve"> 1. pololetím roku </w:t>
      </w:r>
      <w:r w:rsidRPr="00B358BA">
        <w:rPr>
          <w:spacing w:val="-4"/>
          <w:sz w:val="16"/>
          <w:szCs w:val="16"/>
        </w:rPr>
        <w:t>2019 byl l</w:t>
      </w:r>
      <w:r>
        <w:rPr>
          <w:spacing w:val="-4"/>
          <w:sz w:val="16"/>
          <w:szCs w:val="16"/>
        </w:rPr>
        <w:t>etos</w:t>
      </w:r>
      <w:r w:rsidRPr="00B358BA">
        <w:rPr>
          <w:spacing w:val="-4"/>
          <w:sz w:val="16"/>
          <w:szCs w:val="16"/>
        </w:rPr>
        <w:t xml:space="preserve"> počet odpracovaných hodin v ekonomice vyšší o </w:t>
      </w:r>
      <w:r>
        <w:rPr>
          <w:spacing w:val="-4"/>
          <w:sz w:val="16"/>
          <w:szCs w:val="16"/>
        </w:rPr>
        <w:t>5,1</w:t>
      </w:r>
      <w:r w:rsidRPr="00B358BA">
        <w:rPr>
          <w:spacing w:val="-4"/>
          <w:sz w:val="16"/>
          <w:szCs w:val="16"/>
        </w:rPr>
        <w:t xml:space="preserve"> %, z toho u </w:t>
      </w:r>
      <w:proofErr w:type="spellStart"/>
      <w:r w:rsidRPr="00B358BA">
        <w:rPr>
          <w:spacing w:val="-4"/>
          <w:sz w:val="16"/>
          <w:szCs w:val="16"/>
        </w:rPr>
        <w:t>sebezaměstnaných</w:t>
      </w:r>
      <w:proofErr w:type="spellEnd"/>
      <w:r w:rsidRPr="00B358BA">
        <w:rPr>
          <w:spacing w:val="-4"/>
          <w:sz w:val="16"/>
          <w:szCs w:val="16"/>
        </w:rPr>
        <w:t xml:space="preserve"> o </w:t>
      </w:r>
      <w:r>
        <w:rPr>
          <w:spacing w:val="-4"/>
          <w:sz w:val="16"/>
          <w:szCs w:val="16"/>
        </w:rPr>
        <w:t>7,1</w:t>
      </w:r>
      <w:r w:rsidRPr="00B358BA">
        <w:rPr>
          <w:spacing w:val="-4"/>
          <w:sz w:val="16"/>
          <w:szCs w:val="16"/>
        </w:rPr>
        <w:t xml:space="preserve"> %. </w:t>
      </w:r>
      <w:r w:rsidRPr="00B358BA">
        <w:rPr>
          <w:sz w:val="16"/>
          <w:szCs w:val="16"/>
        </w:rPr>
        <w:t xml:space="preserve">Analogické navýšení u počtu fyzických pracovníků činilo </w:t>
      </w:r>
      <w:r>
        <w:rPr>
          <w:sz w:val="16"/>
          <w:szCs w:val="16"/>
        </w:rPr>
        <w:t>4,1</w:t>
      </w:r>
      <w:r w:rsidRPr="00B358BA">
        <w:rPr>
          <w:sz w:val="16"/>
          <w:szCs w:val="16"/>
        </w:rPr>
        <w:t xml:space="preserve"> %, z toho u </w:t>
      </w:r>
      <w:proofErr w:type="spellStart"/>
      <w:r w:rsidRPr="00B358BA">
        <w:rPr>
          <w:sz w:val="16"/>
          <w:szCs w:val="16"/>
        </w:rPr>
        <w:t>sebezaměstnaných</w:t>
      </w:r>
      <w:proofErr w:type="spellEnd"/>
      <w:r w:rsidRPr="00B358BA">
        <w:rPr>
          <w:sz w:val="16"/>
          <w:szCs w:val="16"/>
        </w:rPr>
        <w:t xml:space="preserve"> </w:t>
      </w:r>
      <w:r>
        <w:rPr>
          <w:sz w:val="16"/>
          <w:szCs w:val="16"/>
        </w:rPr>
        <w:t>6,1</w:t>
      </w:r>
      <w:r w:rsidRPr="00B358BA">
        <w:rPr>
          <w:sz w:val="16"/>
          <w:szCs w:val="16"/>
        </w:rPr>
        <w:t xml:space="preserve"> %.</w:t>
      </w:r>
      <w:r>
        <w:rPr>
          <w:sz w:val="16"/>
          <w:szCs w:val="16"/>
        </w:rPr>
        <w:t xml:space="preserve"> Svižný letošní celkový růst odpracovaných hodin v ekonomice byl podpořen i nárůstem práce na dohody (DPP, DPČ). Dle experimentální statistiky ČSÚ vzrostl letos v 1. pololetí počet takto odpracovaných hodin meziročně o 14 % (mírně vyšší tempem se zvyšoval i po celý loňský rok). </w:t>
      </w:r>
    </w:p>
  </w:footnote>
  <w:footnote w:id="85">
    <w:p w14:paraId="0F168A13" w14:textId="77777777" w:rsidR="00AD1119" w:rsidRPr="00515478" w:rsidRDefault="00AD1119" w:rsidP="00AD1119">
      <w:pPr>
        <w:pStyle w:val="Textpoznpodarou"/>
        <w:rPr>
          <w:sz w:val="16"/>
          <w:szCs w:val="16"/>
        </w:rPr>
      </w:pPr>
      <w:r w:rsidRPr="00515478">
        <w:rPr>
          <w:rStyle w:val="Znakapoznpodarou"/>
          <w:sz w:val="16"/>
          <w:szCs w:val="16"/>
        </w:rPr>
        <w:footnoteRef/>
      </w:r>
      <w:r w:rsidRPr="00515478">
        <w:rPr>
          <w:sz w:val="16"/>
          <w:szCs w:val="16"/>
        </w:rPr>
        <w:t xml:space="preserve"> Z toho u </w:t>
      </w:r>
      <w:proofErr w:type="spellStart"/>
      <w:r w:rsidRPr="00515478">
        <w:rPr>
          <w:sz w:val="16"/>
          <w:szCs w:val="16"/>
        </w:rPr>
        <w:t>sebezaměstna</w:t>
      </w:r>
      <w:r>
        <w:rPr>
          <w:sz w:val="16"/>
          <w:szCs w:val="16"/>
        </w:rPr>
        <w:t>n</w:t>
      </w:r>
      <w:r w:rsidRPr="00515478">
        <w:rPr>
          <w:sz w:val="16"/>
          <w:szCs w:val="16"/>
        </w:rPr>
        <w:t>ých</w:t>
      </w:r>
      <w:proofErr w:type="spellEnd"/>
      <w:r w:rsidRPr="00515478">
        <w:rPr>
          <w:sz w:val="16"/>
          <w:szCs w:val="16"/>
        </w:rPr>
        <w:t xml:space="preserve"> činil meziroční růst odpracované doby 9,1 % (při zvýšení </w:t>
      </w:r>
      <w:r>
        <w:rPr>
          <w:sz w:val="16"/>
          <w:szCs w:val="16"/>
        </w:rPr>
        <w:t xml:space="preserve">fyzického </w:t>
      </w:r>
      <w:r w:rsidRPr="00515478">
        <w:rPr>
          <w:sz w:val="16"/>
          <w:szCs w:val="16"/>
        </w:rPr>
        <w:t>počtu zaměstnanců o 1,2 %).</w:t>
      </w:r>
    </w:p>
  </w:footnote>
  <w:footnote w:id="86">
    <w:p w14:paraId="6EBBB040" w14:textId="77777777" w:rsidR="00AD1119" w:rsidRPr="00164965" w:rsidRDefault="00AD1119" w:rsidP="00AD1119">
      <w:pPr>
        <w:pStyle w:val="Textpoznpodarou"/>
        <w:jc w:val="both"/>
        <w:rPr>
          <w:sz w:val="16"/>
          <w:szCs w:val="16"/>
        </w:rPr>
      </w:pPr>
      <w:r w:rsidRPr="00164965">
        <w:rPr>
          <w:rStyle w:val="Znakapoznpodarou"/>
          <w:sz w:val="16"/>
          <w:szCs w:val="16"/>
        </w:rPr>
        <w:footnoteRef/>
      </w:r>
      <w:r w:rsidRPr="00164965">
        <w:rPr>
          <w:sz w:val="16"/>
          <w:szCs w:val="16"/>
        </w:rPr>
        <w:t xml:space="preserve"> Vyjadřuje sezónně očištěné HDP</w:t>
      </w:r>
      <w:r>
        <w:rPr>
          <w:sz w:val="16"/>
          <w:szCs w:val="16"/>
        </w:rPr>
        <w:t>, resp. hrubou přidanou hodnotu na úrovni jednotlivých odvětví (</w:t>
      </w:r>
      <w:r w:rsidRPr="00164965">
        <w:rPr>
          <w:sz w:val="16"/>
          <w:szCs w:val="16"/>
        </w:rPr>
        <w:t>ve s</w:t>
      </w:r>
      <w:r>
        <w:rPr>
          <w:sz w:val="16"/>
          <w:szCs w:val="16"/>
        </w:rPr>
        <w:t xml:space="preserve">rovnatelných cenách roku 2020) </w:t>
      </w:r>
      <w:r w:rsidRPr="00164965">
        <w:rPr>
          <w:sz w:val="16"/>
          <w:szCs w:val="16"/>
        </w:rPr>
        <w:t>na o</w:t>
      </w:r>
      <w:r>
        <w:rPr>
          <w:sz w:val="16"/>
          <w:szCs w:val="16"/>
        </w:rPr>
        <w:t>d</w:t>
      </w:r>
      <w:r w:rsidRPr="00164965">
        <w:rPr>
          <w:sz w:val="16"/>
          <w:szCs w:val="16"/>
        </w:rPr>
        <w:t>pracovanou hodinu zaměstnanými osobami (po sezónním očištění).</w:t>
      </w:r>
    </w:p>
  </w:footnote>
  <w:footnote w:id="87">
    <w:p w14:paraId="31656DAE" w14:textId="77777777" w:rsidR="00AD1119" w:rsidRDefault="00AD1119" w:rsidP="00AD1119">
      <w:pPr>
        <w:pStyle w:val="Textpoznpodarou"/>
      </w:pPr>
      <w:r w:rsidRPr="00B57963">
        <w:rPr>
          <w:rStyle w:val="Znakapoznpodarou"/>
          <w:sz w:val="16"/>
          <w:szCs w:val="16"/>
        </w:rPr>
        <w:footnoteRef/>
      </w:r>
      <w:r w:rsidRPr="00B57963">
        <w:rPr>
          <w:sz w:val="16"/>
          <w:szCs w:val="16"/>
        </w:rPr>
        <w:t xml:space="preserve"> Z údajů VŠPS plyne, že </w:t>
      </w:r>
      <w:r w:rsidRPr="00B85F94">
        <w:rPr>
          <w:color w:val="0D0D0D" w:themeColor="text1" w:themeTint="F2"/>
          <w:sz w:val="16"/>
          <w:szCs w:val="16"/>
        </w:rPr>
        <w:t>počet ekonomicky neaktivních osob, které si práci nehledají, ale přitom uvádějí, že by chtěl</w:t>
      </w:r>
      <w:r>
        <w:rPr>
          <w:color w:val="0D0D0D" w:themeColor="text1" w:themeTint="F2"/>
          <w:sz w:val="16"/>
          <w:szCs w:val="16"/>
        </w:rPr>
        <w:t>y</w:t>
      </w:r>
      <w:r w:rsidRPr="00B85F94">
        <w:rPr>
          <w:color w:val="0D0D0D" w:themeColor="text1" w:themeTint="F2"/>
          <w:sz w:val="16"/>
          <w:szCs w:val="16"/>
        </w:rPr>
        <w:t xml:space="preserve"> pracovat, dosáhl letos v 1. čtvrtletí 73 tis., meziročně o 8 % méně </w:t>
      </w:r>
      <w:r>
        <w:rPr>
          <w:color w:val="0D0D0D" w:themeColor="text1" w:themeTint="F2"/>
          <w:sz w:val="16"/>
          <w:szCs w:val="16"/>
        </w:rPr>
        <w:t>(</w:t>
      </w:r>
      <w:r w:rsidRPr="00B85F94">
        <w:rPr>
          <w:color w:val="0D0D0D" w:themeColor="text1" w:themeTint="F2"/>
          <w:sz w:val="16"/>
          <w:szCs w:val="16"/>
        </w:rPr>
        <w:t>a za posledních pět let činil pokles dokonce 28 %).</w:t>
      </w:r>
      <w:r w:rsidRPr="00B85F94">
        <w:rPr>
          <w:color w:val="0D0D0D" w:themeColor="text1" w:themeTint="F2"/>
        </w:rPr>
        <w:t xml:space="preserve"> </w:t>
      </w:r>
      <w:r w:rsidRPr="00B85F94">
        <w:rPr>
          <w:color w:val="0D0D0D" w:themeColor="text1" w:themeTint="F2"/>
          <w:sz w:val="16"/>
          <w:szCs w:val="16"/>
        </w:rPr>
        <w:t xml:space="preserve">Navíc pouze </w:t>
      </w:r>
      <w:r>
        <w:rPr>
          <w:sz w:val="16"/>
          <w:szCs w:val="16"/>
        </w:rPr>
        <w:t>necelá pětina z tohoto počtu byla ovšem schop</w:t>
      </w:r>
      <w:r w:rsidRPr="004A5CB3">
        <w:rPr>
          <w:sz w:val="16"/>
          <w:szCs w:val="16"/>
        </w:rPr>
        <w:t>n</w:t>
      </w:r>
      <w:r>
        <w:rPr>
          <w:sz w:val="16"/>
          <w:szCs w:val="16"/>
        </w:rPr>
        <w:t>a</w:t>
      </w:r>
      <w:r w:rsidRPr="004A5CB3">
        <w:rPr>
          <w:sz w:val="16"/>
          <w:szCs w:val="16"/>
        </w:rPr>
        <w:t xml:space="preserve"> </w:t>
      </w:r>
      <w:r>
        <w:rPr>
          <w:sz w:val="16"/>
          <w:szCs w:val="16"/>
        </w:rPr>
        <w:t xml:space="preserve">nastoupit </w:t>
      </w:r>
      <w:r w:rsidRPr="004A5CB3">
        <w:rPr>
          <w:sz w:val="16"/>
          <w:szCs w:val="16"/>
        </w:rPr>
        <w:t xml:space="preserve">bezprostředně </w:t>
      </w:r>
      <w:r>
        <w:rPr>
          <w:sz w:val="16"/>
          <w:szCs w:val="16"/>
        </w:rPr>
        <w:t xml:space="preserve">(do 14 dnů) </w:t>
      </w:r>
      <w:r w:rsidRPr="004A5CB3">
        <w:rPr>
          <w:sz w:val="16"/>
          <w:szCs w:val="16"/>
        </w:rPr>
        <w:t>do práce</w:t>
      </w:r>
      <w:r>
        <w:rPr>
          <w:sz w:val="16"/>
          <w:szCs w:val="16"/>
        </w:rPr>
        <w:t xml:space="preserve"> (v</w:t>
      </w:r>
      <w:r w:rsidRPr="004A5CB3">
        <w:rPr>
          <w:sz w:val="16"/>
          <w:szCs w:val="16"/>
        </w:rPr>
        <w:t>ýznamnou část p</w:t>
      </w:r>
      <w:r>
        <w:rPr>
          <w:sz w:val="16"/>
          <w:szCs w:val="16"/>
        </w:rPr>
        <w:t>otenciálních p</w:t>
      </w:r>
      <w:r w:rsidRPr="004A5CB3">
        <w:rPr>
          <w:sz w:val="16"/>
          <w:szCs w:val="16"/>
        </w:rPr>
        <w:t>racovních rezerv totiž tvoří studenti a ženy na rodičovské dovolené</w:t>
      </w:r>
      <w:r>
        <w:rPr>
          <w:sz w:val="16"/>
          <w:szCs w:val="16"/>
        </w:rPr>
        <w:t>)</w:t>
      </w:r>
      <w:r w:rsidRPr="004A5CB3">
        <w:rPr>
          <w:sz w:val="16"/>
          <w:szCs w:val="16"/>
        </w:rPr>
        <w:t>.</w:t>
      </w:r>
    </w:p>
  </w:footnote>
  <w:footnote w:id="88">
    <w:p w14:paraId="1B2D6B61" w14:textId="77777777" w:rsidR="00AD1119" w:rsidRDefault="00AD1119" w:rsidP="00AD1119">
      <w:pPr>
        <w:pStyle w:val="Textpoznpodarou"/>
      </w:pPr>
      <w:r w:rsidRPr="00432D0C">
        <w:rPr>
          <w:rStyle w:val="Znakapoznpodarou"/>
          <w:sz w:val="16"/>
          <w:szCs w:val="16"/>
        </w:rPr>
        <w:footnoteRef/>
      </w:r>
      <w:r w:rsidRPr="00432D0C">
        <w:rPr>
          <w:sz w:val="16"/>
          <w:szCs w:val="16"/>
        </w:rPr>
        <w:t xml:space="preserve"> </w:t>
      </w:r>
      <w:r w:rsidRPr="00590A80">
        <w:rPr>
          <w:color w:val="0D0D0D" w:themeColor="text1" w:themeTint="F2"/>
          <w:sz w:val="16"/>
          <w:szCs w:val="16"/>
        </w:rPr>
        <w:t xml:space="preserve">Vedle toho </w:t>
      </w:r>
      <w:r w:rsidRPr="00C47864">
        <w:rPr>
          <w:color w:val="0D0D0D" w:themeColor="text1" w:themeTint="F2"/>
          <w:sz w:val="16"/>
          <w:szCs w:val="16"/>
        </w:rPr>
        <w:t xml:space="preserve">evidovalo MPO ve stejném období 145 tis. cizích státních příslušníků s živnostenským oprávněním v Česku (meziročně </w:t>
      </w:r>
      <w:r w:rsidRPr="00C47864">
        <w:rPr>
          <w:color w:val="0D0D0D" w:themeColor="text1" w:themeTint="F2"/>
          <w:sz w:val="16"/>
          <w:szCs w:val="16"/>
        </w:rPr>
        <w:br/>
        <w:t xml:space="preserve">o desetinu více). Na tomto růstu se ze dvou třetin podíleli </w:t>
      </w:r>
      <w:r w:rsidRPr="00590A80">
        <w:rPr>
          <w:color w:val="0D0D0D" w:themeColor="text1" w:themeTint="F2"/>
          <w:sz w:val="16"/>
          <w:szCs w:val="16"/>
        </w:rPr>
        <w:t xml:space="preserve">Ukrajinci, jichž v Česku podnikalo </w:t>
      </w:r>
      <w:r>
        <w:rPr>
          <w:color w:val="0D0D0D" w:themeColor="text1" w:themeTint="F2"/>
          <w:sz w:val="16"/>
          <w:szCs w:val="16"/>
        </w:rPr>
        <w:t>51</w:t>
      </w:r>
      <w:r w:rsidRPr="00590A80">
        <w:rPr>
          <w:color w:val="0D0D0D" w:themeColor="text1" w:themeTint="F2"/>
          <w:sz w:val="16"/>
          <w:szCs w:val="16"/>
        </w:rPr>
        <w:t xml:space="preserve"> tis., s odstupem následovali Slováci </w:t>
      </w:r>
      <w:r>
        <w:rPr>
          <w:color w:val="0D0D0D" w:themeColor="text1" w:themeTint="F2"/>
          <w:sz w:val="16"/>
          <w:szCs w:val="16"/>
        </w:rPr>
        <w:br/>
      </w:r>
      <w:r w:rsidRPr="00590A80">
        <w:rPr>
          <w:color w:val="0D0D0D" w:themeColor="text1" w:themeTint="F2"/>
          <w:sz w:val="16"/>
          <w:szCs w:val="16"/>
        </w:rPr>
        <w:t>(2</w:t>
      </w:r>
      <w:r>
        <w:rPr>
          <w:color w:val="0D0D0D" w:themeColor="text1" w:themeTint="F2"/>
          <w:sz w:val="16"/>
          <w:szCs w:val="16"/>
        </w:rPr>
        <w:t>8</w:t>
      </w:r>
      <w:r w:rsidRPr="00590A80">
        <w:rPr>
          <w:color w:val="0D0D0D" w:themeColor="text1" w:themeTint="F2"/>
          <w:sz w:val="16"/>
          <w:szCs w:val="16"/>
        </w:rPr>
        <w:t xml:space="preserve"> tis.)</w:t>
      </w:r>
      <w:r>
        <w:rPr>
          <w:color w:val="0D0D0D" w:themeColor="text1" w:themeTint="F2"/>
          <w:sz w:val="16"/>
          <w:szCs w:val="16"/>
        </w:rPr>
        <w:t>,</w:t>
      </w:r>
      <w:r w:rsidRPr="00590A80">
        <w:rPr>
          <w:color w:val="0D0D0D" w:themeColor="text1" w:themeTint="F2"/>
          <w:sz w:val="16"/>
          <w:szCs w:val="16"/>
        </w:rPr>
        <w:t xml:space="preserve"> Vietnamci (2</w:t>
      </w:r>
      <w:r>
        <w:rPr>
          <w:color w:val="0D0D0D" w:themeColor="text1" w:themeTint="F2"/>
          <w:sz w:val="16"/>
          <w:szCs w:val="16"/>
        </w:rPr>
        <w:t>1</w:t>
      </w:r>
      <w:r w:rsidRPr="00590A80">
        <w:rPr>
          <w:color w:val="0D0D0D" w:themeColor="text1" w:themeTint="F2"/>
          <w:sz w:val="16"/>
          <w:szCs w:val="16"/>
        </w:rPr>
        <w:t xml:space="preserve"> tis.)</w:t>
      </w:r>
      <w:r>
        <w:rPr>
          <w:color w:val="0D0D0D" w:themeColor="text1" w:themeTint="F2"/>
          <w:sz w:val="16"/>
          <w:szCs w:val="16"/>
        </w:rPr>
        <w:t xml:space="preserve"> a s výraznějším odstupem Rusové, Rumuni, Němci a Poláci. </w:t>
      </w:r>
    </w:p>
  </w:footnote>
  <w:footnote w:id="89">
    <w:p w14:paraId="387D206F" w14:textId="77777777" w:rsidR="00AD1119" w:rsidRPr="009F19B2" w:rsidRDefault="00AD1119" w:rsidP="00AD1119">
      <w:pPr>
        <w:pStyle w:val="Textpoznpodarou"/>
        <w:rPr>
          <w:sz w:val="16"/>
          <w:szCs w:val="16"/>
        </w:rPr>
      </w:pPr>
      <w:r w:rsidRPr="009F19B2">
        <w:rPr>
          <w:rStyle w:val="Znakapoznpodarou"/>
          <w:sz w:val="16"/>
          <w:szCs w:val="16"/>
        </w:rPr>
        <w:footnoteRef/>
      </w:r>
      <w:r w:rsidRPr="009F19B2">
        <w:rPr>
          <w:sz w:val="16"/>
          <w:szCs w:val="16"/>
        </w:rPr>
        <w:t xml:space="preserve"> To se týkalo </w:t>
      </w:r>
      <w:r>
        <w:rPr>
          <w:sz w:val="16"/>
          <w:szCs w:val="16"/>
        </w:rPr>
        <w:t xml:space="preserve">např. </w:t>
      </w:r>
      <w:r w:rsidRPr="009F19B2">
        <w:rPr>
          <w:sz w:val="16"/>
          <w:szCs w:val="16"/>
        </w:rPr>
        <w:t xml:space="preserve">občanů </w:t>
      </w:r>
      <w:r w:rsidRPr="009F19B2">
        <w:rPr>
          <w:color w:val="0D0D0D" w:themeColor="text1" w:themeTint="F2"/>
          <w:spacing w:val="-4"/>
          <w:sz w:val="16"/>
          <w:szCs w:val="16"/>
        </w:rPr>
        <w:t xml:space="preserve">Makedonie, Srbska a Bosny a Hercegoviny </w:t>
      </w:r>
      <w:r>
        <w:rPr>
          <w:color w:val="0D0D0D" w:themeColor="text1" w:themeTint="F2"/>
          <w:spacing w:val="-4"/>
          <w:sz w:val="16"/>
          <w:szCs w:val="16"/>
        </w:rPr>
        <w:t>či</w:t>
      </w:r>
      <w:r w:rsidRPr="009F19B2">
        <w:rPr>
          <w:color w:val="0D0D0D" w:themeColor="text1" w:themeTint="F2"/>
          <w:spacing w:val="-4"/>
          <w:sz w:val="16"/>
          <w:szCs w:val="16"/>
        </w:rPr>
        <w:t xml:space="preserve"> Běloruska.</w:t>
      </w:r>
    </w:p>
  </w:footnote>
  <w:footnote w:id="90">
    <w:p w14:paraId="33522502" w14:textId="77777777" w:rsidR="00AD1119" w:rsidRPr="00601E0A" w:rsidRDefault="00AD1119" w:rsidP="00AD1119">
      <w:pPr>
        <w:pStyle w:val="Textpoznpodarou"/>
        <w:rPr>
          <w:sz w:val="16"/>
          <w:szCs w:val="16"/>
        </w:rPr>
      </w:pPr>
      <w:r w:rsidRPr="00601E0A">
        <w:rPr>
          <w:rStyle w:val="Znakapoznpodarou"/>
          <w:sz w:val="16"/>
          <w:szCs w:val="16"/>
        </w:rPr>
        <w:footnoteRef/>
      </w:r>
      <w:r w:rsidRPr="00601E0A">
        <w:rPr>
          <w:sz w:val="16"/>
          <w:szCs w:val="16"/>
        </w:rPr>
        <w:t xml:space="preserve"> </w:t>
      </w:r>
      <w:r>
        <w:rPr>
          <w:sz w:val="16"/>
          <w:szCs w:val="16"/>
        </w:rPr>
        <w:t xml:space="preserve">Česko v rámci EU dlouhodobě patří k zemím s vysokou mírou zaměstnanosti. Dle aktuálních dat za 1. čtvrtletí 2026 byla tato míra </w:t>
      </w:r>
      <w:r>
        <w:rPr>
          <w:sz w:val="16"/>
          <w:szCs w:val="16"/>
        </w:rPr>
        <w:br/>
        <w:t xml:space="preserve">u osob ve věku 15 až 64 let za muže pátá nejvyšší v Unii (průměrnou úroveň EU převyšovala o 5,1 p. b.) a za ženy jedenáctá nejvyšší (+4,4 p. b.). Nicméně za Nizozemskem, které mezi členskými státy dosahuje nejvyšší zaměstnanosti, Česko zřetelně zaostávalo </w:t>
      </w:r>
      <w:r>
        <w:rPr>
          <w:sz w:val="16"/>
          <w:szCs w:val="16"/>
        </w:rPr>
        <w:br/>
        <w:t xml:space="preserve">(u mužů o 5,3 p. b. a žen o 7,6 p. b.). V rámci členských států, jež vstoupily do EU až po roce 2000, Česko předčily jen některé malé ekonomiky (Malta, Kypr) a u žen i pobaltské státy. Z pohledu věku je v Česku oproti EU celková míra zaměstnanosti nižší pouze u 15 až 24letých, u žen ale rovněž ve skupině 25–39 let.  </w:t>
      </w:r>
    </w:p>
  </w:footnote>
  <w:footnote w:id="91">
    <w:p w14:paraId="716279AB" w14:textId="77777777" w:rsidR="00AD1119" w:rsidRPr="001F6C8C" w:rsidRDefault="00AD1119" w:rsidP="00AD1119">
      <w:pPr>
        <w:pStyle w:val="Textpoznpodarou"/>
        <w:rPr>
          <w:sz w:val="16"/>
          <w:szCs w:val="16"/>
        </w:rPr>
      </w:pPr>
      <w:r w:rsidRPr="001F6C8C">
        <w:rPr>
          <w:rStyle w:val="Znakapoznpodarou"/>
          <w:sz w:val="16"/>
          <w:szCs w:val="16"/>
        </w:rPr>
        <w:footnoteRef/>
      </w:r>
      <w:r w:rsidRPr="001F6C8C">
        <w:rPr>
          <w:sz w:val="16"/>
          <w:szCs w:val="16"/>
        </w:rPr>
        <w:t xml:space="preserve"> Jde o regiony</w:t>
      </w:r>
      <w:r>
        <w:rPr>
          <w:sz w:val="16"/>
          <w:szCs w:val="16"/>
        </w:rPr>
        <w:t xml:space="preserve"> na</w:t>
      </w:r>
      <w:r w:rsidRPr="001F6C8C">
        <w:rPr>
          <w:sz w:val="16"/>
          <w:szCs w:val="16"/>
        </w:rPr>
        <w:t xml:space="preserve"> úrovni NUTS-2 (dle nomenklatury EU). Od letošního roku jsou čtvrtletní údaje z</w:t>
      </w:r>
      <w:r>
        <w:rPr>
          <w:sz w:val="16"/>
          <w:szCs w:val="16"/>
        </w:rPr>
        <w:t> </w:t>
      </w:r>
      <w:r w:rsidRPr="001F6C8C">
        <w:rPr>
          <w:sz w:val="16"/>
          <w:szCs w:val="16"/>
        </w:rPr>
        <w:t>VŠPS</w:t>
      </w:r>
      <w:r>
        <w:rPr>
          <w:sz w:val="16"/>
          <w:szCs w:val="16"/>
        </w:rPr>
        <w:t xml:space="preserve"> k</w:t>
      </w:r>
      <w:r w:rsidRPr="001F6C8C">
        <w:rPr>
          <w:sz w:val="16"/>
          <w:szCs w:val="16"/>
        </w:rPr>
        <w:t xml:space="preserve"> dispozici </w:t>
      </w:r>
      <w:r>
        <w:rPr>
          <w:sz w:val="16"/>
          <w:szCs w:val="16"/>
        </w:rPr>
        <w:t>pouze</w:t>
      </w:r>
      <w:r w:rsidRPr="001F6C8C">
        <w:rPr>
          <w:sz w:val="16"/>
          <w:szCs w:val="16"/>
        </w:rPr>
        <w:t xml:space="preserve"> na této </w:t>
      </w:r>
      <w:r>
        <w:rPr>
          <w:sz w:val="16"/>
          <w:szCs w:val="16"/>
        </w:rPr>
        <w:br/>
      </w:r>
      <w:r w:rsidRPr="001F6C8C">
        <w:rPr>
          <w:sz w:val="16"/>
          <w:szCs w:val="16"/>
        </w:rPr>
        <w:t>(a nikoli dříve publikované) krajské úrovni</w:t>
      </w:r>
      <w:r>
        <w:rPr>
          <w:sz w:val="16"/>
          <w:szCs w:val="16"/>
        </w:rPr>
        <w:t xml:space="preserve"> (NUTS-3).</w:t>
      </w:r>
    </w:p>
  </w:footnote>
  <w:footnote w:id="92">
    <w:p w14:paraId="69E27AF2" w14:textId="77777777" w:rsidR="00AD1119" w:rsidRPr="00FF570F" w:rsidRDefault="00AD1119" w:rsidP="00AD1119">
      <w:pPr>
        <w:pStyle w:val="Textpoznpodarou"/>
        <w:rPr>
          <w:spacing w:val="-2"/>
          <w:sz w:val="16"/>
          <w:szCs w:val="16"/>
        </w:rPr>
      </w:pPr>
      <w:r w:rsidRPr="00FF570F">
        <w:rPr>
          <w:rStyle w:val="Znakapoznpodarou"/>
          <w:spacing w:val="-2"/>
          <w:sz w:val="16"/>
          <w:szCs w:val="16"/>
        </w:rPr>
        <w:footnoteRef/>
      </w:r>
      <w:r w:rsidRPr="00FF570F">
        <w:rPr>
          <w:spacing w:val="-2"/>
          <w:sz w:val="16"/>
          <w:szCs w:val="16"/>
        </w:rPr>
        <w:t xml:space="preserve"> Na meziročním přírůstku počtu osob se zkrácenými pracovními úvazky ve 2. čtvrtletí 2026 (+49 tis.) se z 80 % podílely ženy, a to především posílením těchto úvazků u nejmladší pracovní skupiny (15</w:t>
      </w:r>
      <w:r>
        <w:rPr>
          <w:spacing w:val="-2"/>
          <w:sz w:val="16"/>
          <w:szCs w:val="16"/>
        </w:rPr>
        <w:t>–</w:t>
      </w:r>
      <w:r w:rsidRPr="00FF570F">
        <w:rPr>
          <w:spacing w:val="-2"/>
          <w:sz w:val="16"/>
          <w:szCs w:val="16"/>
        </w:rPr>
        <w:t>24 let) i té nejstarší (60 a více let). To souviselo také s obecnějšími změnami na pracovním trhu po ústupu pandemie covidu-19 a také se státní politikou zaměstnanosti, jež od roku 2023 stimulovala nabídku těchto úvazků (zejména formou slevy na pojistném u zaměstnavatelů, jež se týká vybraných skupin zaměstnanců, např. osob pečující</w:t>
      </w:r>
      <w:r>
        <w:rPr>
          <w:spacing w:val="-2"/>
          <w:sz w:val="16"/>
          <w:szCs w:val="16"/>
        </w:rPr>
        <w:t>ch</w:t>
      </w:r>
      <w:r w:rsidRPr="00FF570F">
        <w:rPr>
          <w:spacing w:val="-2"/>
          <w:sz w:val="16"/>
          <w:szCs w:val="16"/>
        </w:rPr>
        <w:t xml:space="preserve"> </w:t>
      </w:r>
      <w:r>
        <w:rPr>
          <w:spacing w:val="-2"/>
          <w:sz w:val="16"/>
          <w:szCs w:val="16"/>
        </w:rPr>
        <w:br/>
      </w:r>
      <w:r w:rsidRPr="00FF570F">
        <w:rPr>
          <w:spacing w:val="-2"/>
          <w:sz w:val="16"/>
          <w:szCs w:val="16"/>
        </w:rPr>
        <w:t>o dítě do 10 let, osob starších 55 let, osob se zdravotním postižením či studentů).</w:t>
      </w:r>
    </w:p>
  </w:footnote>
  <w:footnote w:id="93">
    <w:p w14:paraId="3093906C" w14:textId="77777777" w:rsidR="00AD1119" w:rsidRPr="00126939" w:rsidRDefault="00AD1119" w:rsidP="00AD1119">
      <w:pPr>
        <w:pStyle w:val="Textpoznpodarou"/>
        <w:rPr>
          <w:sz w:val="16"/>
          <w:szCs w:val="16"/>
        </w:rPr>
      </w:pPr>
      <w:r w:rsidRPr="00126939">
        <w:rPr>
          <w:rStyle w:val="Znakapoznpodarou"/>
          <w:sz w:val="16"/>
          <w:szCs w:val="16"/>
        </w:rPr>
        <w:footnoteRef/>
      </w:r>
      <w:r w:rsidRPr="00126939">
        <w:rPr>
          <w:sz w:val="16"/>
          <w:szCs w:val="16"/>
        </w:rPr>
        <w:t xml:space="preserve"> </w:t>
      </w:r>
      <w:r>
        <w:rPr>
          <w:sz w:val="16"/>
          <w:szCs w:val="16"/>
        </w:rPr>
        <w:t>Není-li uvedeno jinak, jsou dále použity</w:t>
      </w:r>
      <w:r w:rsidRPr="00126939">
        <w:rPr>
          <w:sz w:val="16"/>
          <w:szCs w:val="16"/>
        </w:rPr>
        <w:t xml:space="preserve"> sezónně očištěné údaje.</w:t>
      </w:r>
    </w:p>
  </w:footnote>
  <w:footnote w:id="94">
    <w:p w14:paraId="28185867" w14:textId="77777777" w:rsidR="00AD1119" w:rsidRPr="00630BA3" w:rsidRDefault="00AD1119" w:rsidP="00AD1119">
      <w:pPr>
        <w:pStyle w:val="Textpoznpodarou"/>
        <w:rPr>
          <w:color w:val="0D0D0D" w:themeColor="text1" w:themeTint="F2"/>
          <w:spacing w:val="-3"/>
          <w:sz w:val="16"/>
          <w:szCs w:val="16"/>
        </w:rPr>
      </w:pPr>
      <w:r w:rsidRPr="00630BA3">
        <w:rPr>
          <w:rStyle w:val="Znakapoznpodarou"/>
          <w:sz w:val="16"/>
          <w:szCs w:val="16"/>
        </w:rPr>
        <w:footnoteRef/>
      </w:r>
      <w:r w:rsidRPr="00630BA3">
        <w:rPr>
          <w:sz w:val="16"/>
          <w:szCs w:val="16"/>
        </w:rPr>
        <w:t xml:space="preserve"> </w:t>
      </w:r>
      <w:r w:rsidRPr="00630BA3">
        <w:rPr>
          <w:color w:val="0D0D0D" w:themeColor="text1" w:themeTint="F2"/>
          <w:spacing w:val="-3"/>
          <w:sz w:val="16"/>
          <w:szCs w:val="16"/>
        </w:rPr>
        <w:t>Dle konjunkturálního průzkumu z</w:t>
      </w:r>
      <w:r>
        <w:rPr>
          <w:color w:val="0D0D0D" w:themeColor="text1" w:themeTint="F2"/>
          <w:spacing w:val="-3"/>
          <w:sz w:val="16"/>
          <w:szCs w:val="16"/>
        </w:rPr>
        <w:t>e srpna</w:t>
      </w:r>
      <w:r w:rsidRPr="00630BA3">
        <w:rPr>
          <w:color w:val="0D0D0D" w:themeColor="text1" w:themeTint="F2"/>
          <w:spacing w:val="-3"/>
          <w:sz w:val="16"/>
          <w:szCs w:val="16"/>
        </w:rPr>
        <w:t xml:space="preserve"> </w:t>
      </w:r>
      <w:r w:rsidRPr="00630BA3">
        <w:rPr>
          <w:rFonts w:cs="Arial"/>
          <w:sz w:val="16"/>
          <w:szCs w:val="16"/>
        </w:rPr>
        <w:t xml:space="preserve">předpokládalo (bez zohlednění sezónnosti) v tříměsíčním horizontu snižování počtu </w:t>
      </w:r>
      <w:r w:rsidRPr="00AC1D53">
        <w:rPr>
          <w:color w:val="0D0D0D" w:themeColor="text1" w:themeTint="F2"/>
          <w:spacing w:val="-3"/>
          <w:sz w:val="16"/>
          <w:szCs w:val="16"/>
        </w:rPr>
        <w:t xml:space="preserve">zaměstnanců 19 % firem ve službách, zhruba desetina shodně v průmyslu i stavebnictví (ale v obchodu jen 7 %). Naopak úmysl </w:t>
      </w:r>
      <w:r>
        <w:rPr>
          <w:color w:val="0D0D0D" w:themeColor="text1" w:themeTint="F2"/>
          <w:spacing w:val="-3"/>
          <w:sz w:val="16"/>
          <w:szCs w:val="16"/>
        </w:rPr>
        <w:t>navyšovat</w:t>
      </w:r>
      <w:r w:rsidRPr="00AC1D53">
        <w:rPr>
          <w:color w:val="0D0D0D" w:themeColor="text1" w:themeTint="F2"/>
          <w:spacing w:val="-3"/>
          <w:sz w:val="16"/>
          <w:szCs w:val="16"/>
        </w:rPr>
        <w:t xml:space="preserve"> stavy pracovníků byl nejzřetelnější ve stavebnictví (14 %), dále s mírný</w:t>
      </w:r>
      <w:r>
        <w:rPr>
          <w:color w:val="0D0D0D" w:themeColor="text1" w:themeTint="F2"/>
          <w:spacing w:val="-3"/>
          <w:sz w:val="16"/>
          <w:szCs w:val="16"/>
        </w:rPr>
        <w:t>m</w:t>
      </w:r>
      <w:r w:rsidRPr="00AC1D53">
        <w:rPr>
          <w:color w:val="0D0D0D" w:themeColor="text1" w:themeTint="F2"/>
          <w:spacing w:val="-3"/>
          <w:sz w:val="16"/>
          <w:szCs w:val="16"/>
        </w:rPr>
        <w:t xml:space="preserve"> odstupem v průmyslu (11 %) obchodě (10 %) a službách (8 % firem).</w:t>
      </w:r>
    </w:p>
  </w:footnote>
  <w:footnote w:id="95">
    <w:p w14:paraId="490420BD" w14:textId="77777777" w:rsidR="00AD1119" w:rsidRPr="00170701" w:rsidRDefault="00AD1119" w:rsidP="00AD1119">
      <w:pPr>
        <w:pStyle w:val="Textpoznpodarou"/>
        <w:rPr>
          <w:color w:val="0D0D0D" w:themeColor="text1" w:themeTint="F2"/>
          <w:spacing w:val="-2"/>
          <w:sz w:val="16"/>
          <w:szCs w:val="16"/>
        </w:rPr>
      </w:pPr>
      <w:r w:rsidRPr="001C07D2">
        <w:rPr>
          <w:rStyle w:val="Znakapoznpodarou"/>
          <w:color w:val="0D0D0D" w:themeColor="text1" w:themeTint="F2"/>
          <w:sz w:val="16"/>
          <w:szCs w:val="16"/>
        </w:rPr>
        <w:footnoteRef/>
      </w:r>
      <w:r w:rsidRPr="001C07D2">
        <w:rPr>
          <w:color w:val="0D0D0D" w:themeColor="text1" w:themeTint="F2"/>
          <w:sz w:val="16"/>
          <w:szCs w:val="16"/>
        </w:rPr>
        <w:t xml:space="preserve"> </w:t>
      </w:r>
      <w:r w:rsidRPr="001C07D2">
        <w:rPr>
          <w:color w:val="0D0D0D" w:themeColor="text1" w:themeTint="F2"/>
          <w:spacing w:val="-2"/>
          <w:sz w:val="16"/>
          <w:szCs w:val="16"/>
        </w:rPr>
        <w:t xml:space="preserve">Převažující negativní očekávání zaměstnanosti vyjádřily </w:t>
      </w:r>
      <w:r>
        <w:rPr>
          <w:color w:val="0D0D0D" w:themeColor="text1" w:themeTint="F2"/>
          <w:spacing w:val="-2"/>
          <w:sz w:val="16"/>
          <w:szCs w:val="16"/>
        </w:rPr>
        <w:t xml:space="preserve">letos v srpnu </w:t>
      </w:r>
      <w:r w:rsidRPr="00A82316">
        <w:rPr>
          <w:color w:val="0D0D0D" w:themeColor="text1" w:themeTint="F2"/>
          <w:spacing w:val="-2"/>
          <w:sz w:val="16"/>
          <w:szCs w:val="16"/>
        </w:rPr>
        <w:t xml:space="preserve">podniky </w:t>
      </w:r>
      <w:r>
        <w:rPr>
          <w:color w:val="0D0D0D" w:themeColor="text1" w:themeTint="F2"/>
          <w:spacing w:val="-2"/>
          <w:sz w:val="16"/>
          <w:szCs w:val="16"/>
        </w:rPr>
        <w:t>ve třetině</w:t>
      </w:r>
      <w:r w:rsidRPr="00A82316">
        <w:rPr>
          <w:color w:val="0D0D0D" w:themeColor="text1" w:themeTint="F2"/>
          <w:spacing w:val="-2"/>
          <w:sz w:val="16"/>
          <w:szCs w:val="16"/>
        </w:rPr>
        <w:t xml:space="preserve"> </w:t>
      </w:r>
      <w:r w:rsidRPr="00170701">
        <w:rPr>
          <w:i/>
          <w:iCs/>
          <w:color w:val="0D0D0D" w:themeColor="text1" w:themeTint="F2"/>
          <w:spacing w:val="-2"/>
          <w:sz w:val="16"/>
          <w:szCs w:val="16"/>
        </w:rPr>
        <w:t>zpracovatelských průmyslových oborů</w:t>
      </w:r>
      <w:r w:rsidRPr="00A82316">
        <w:rPr>
          <w:color w:val="0D0D0D" w:themeColor="text1" w:themeTint="F2"/>
          <w:spacing w:val="-2"/>
          <w:sz w:val="16"/>
          <w:szCs w:val="16"/>
        </w:rPr>
        <w:t xml:space="preserve">. Nejhorší vyhlídky měly </w:t>
      </w:r>
      <w:r>
        <w:rPr>
          <w:color w:val="0D0D0D" w:themeColor="text1" w:themeTint="F2"/>
          <w:spacing w:val="-2"/>
          <w:sz w:val="16"/>
          <w:szCs w:val="16"/>
        </w:rPr>
        <w:t>hutnictví, elektronický průmysl a strojírenství, z menších oborů kožedělný, dřevozpracující a papírenský průmysl.</w:t>
      </w:r>
      <w:r w:rsidRPr="00A73603">
        <w:rPr>
          <w:color w:val="0D0D0D" w:themeColor="text1" w:themeTint="F2"/>
          <w:spacing w:val="-4"/>
          <w:sz w:val="16"/>
          <w:szCs w:val="16"/>
        </w:rPr>
        <w:t xml:space="preserve"> Naopak pozitivní výhledy přetrvávaly hlavně v</w:t>
      </w:r>
      <w:r>
        <w:rPr>
          <w:color w:val="0D0D0D" w:themeColor="text1" w:themeTint="F2"/>
          <w:spacing w:val="-4"/>
          <w:sz w:val="16"/>
          <w:szCs w:val="16"/>
        </w:rPr>
        <w:t xml:space="preserve"> elektrotechnice, kovodělném průmyslu, opravách strojů a zařízení, ostatním průmyslu (např. výroba sportovních potřeb), </w:t>
      </w:r>
      <w:r w:rsidRPr="00A82316">
        <w:rPr>
          <w:color w:val="0D0D0D" w:themeColor="text1" w:themeTint="F2"/>
          <w:spacing w:val="-2"/>
          <w:sz w:val="16"/>
          <w:szCs w:val="16"/>
        </w:rPr>
        <w:t>potravinářství</w:t>
      </w:r>
      <w:r>
        <w:rPr>
          <w:color w:val="0D0D0D" w:themeColor="text1" w:themeTint="F2"/>
          <w:spacing w:val="-2"/>
          <w:sz w:val="16"/>
          <w:szCs w:val="16"/>
        </w:rPr>
        <w:t>,</w:t>
      </w:r>
      <w:r>
        <w:rPr>
          <w:color w:val="0D0D0D" w:themeColor="text1" w:themeTint="F2"/>
          <w:spacing w:val="-4"/>
          <w:sz w:val="16"/>
          <w:szCs w:val="16"/>
        </w:rPr>
        <w:t xml:space="preserve"> farmacii a tiskárenství</w:t>
      </w:r>
      <w:r>
        <w:rPr>
          <w:color w:val="0D0D0D" w:themeColor="text1" w:themeTint="F2"/>
          <w:spacing w:val="-2"/>
          <w:sz w:val="16"/>
          <w:szCs w:val="16"/>
        </w:rPr>
        <w:t xml:space="preserve">. </w:t>
      </w:r>
      <w:r w:rsidRPr="00A82316">
        <w:rPr>
          <w:color w:val="0D0D0D" w:themeColor="text1" w:themeTint="F2"/>
          <w:spacing w:val="-2"/>
          <w:sz w:val="16"/>
          <w:szCs w:val="16"/>
        </w:rPr>
        <w:t xml:space="preserve">Ve </w:t>
      </w:r>
      <w:r w:rsidRPr="00170701">
        <w:rPr>
          <w:i/>
          <w:iCs/>
          <w:color w:val="0D0D0D" w:themeColor="text1" w:themeTint="F2"/>
          <w:spacing w:val="-2"/>
          <w:sz w:val="16"/>
          <w:szCs w:val="16"/>
        </w:rPr>
        <w:t>službách</w:t>
      </w:r>
      <w:r w:rsidRPr="00A82316">
        <w:rPr>
          <w:color w:val="0D0D0D" w:themeColor="text1" w:themeTint="F2"/>
          <w:spacing w:val="-2"/>
          <w:sz w:val="16"/>
          <w:szCs w:val="16"/>
        </w:rPr>
        <w:t xml:space="preserve"> převažovala negativní očekávání </w:t>
      </w:r>
      <w:r>
        <w:rPr>
          <w:color w:val="0D0D0D" w:themeColor="text1" w:themeTint="F2"/>
          <w:spacing w:val="-2"/>
          <w:sz w:val="16"/>
          <w:szCs w:val="16"/>
        </w:rPr>
        <w:t>také ve třetině</w:t>
      </w:r>
      <w:r w:rsidRPr="00A82316">
        <w:rPr>
          <w:color w:val="0D0D0D" w:themeColor="text1" w:themeTint="F2"/>
          <w:spacing w:val="-2"/>
          <w:sz w:val="16"/>
          <w:szCs w:val="16"/>
        </w:rPr>
        <w:t xml:space="preserve"> dílčích odvětví</w:t>
      </w:r>
      <w:r>
        <w:rPr>
          <w:color w:val="0D0D0D" w:themeColor="text1" w:themeTint="F2"/>
          <w:spacing w:val="-2"/>
          <w:sz w:val="16"/>
          <w:szCs w:val="16"/>
        </w:rPr>
        <w:t xml:space="preserve"> –</w:t>
      </w:r>
      <w:r w:rsidRPr="00A82316">
        <w:rPr>
          <w:color w:val="0D0D0D" w:themeColor="text1" w:themeTint="F2"/>
          <w:spacing w:val="-2"/>
          <w:sz w:val="16"/>
          <w:szCs w:val="16"/>
        </w:rPr>
        <w:t xml:space="preserve"> </w:t>
      </w:r>
      <w:r>
        <w:rPr>
          <w:color w:val="0D0D0D" w:themeColor="text1" w:themeTint="F2"/>
          <w:spacing w:val="-2"/>
          <w:sz w:val="16"/>
          <w:szCs w:val="16"/>
        </w:rPr>
        <w:t>n</w:t>
      </w:r>
      <w:r w:rsidRPr="00A82316">
        <w:rPr>
          <w:color w:val="0D0D0D" w:themeColor="text1" w:themeTint="F2"/>
          <w:spacing w:val="-2"/>
          <w:sz w:val="16"/>
          <w:szCs w:val="16"/>
        </w:rPr>
        <w:t>ejvíce</w:t>
      </w:r>
      <w:r>
        <w:rPr>
          <w:color w:val="0D0D0D" w:themeColor="text1" w:themeTint="F2"/>
          <w:spacing w:val="-2"/>
          <w:sz w:val="16"/>
          <w:szCs w:val="16"/>
        </w:rPr>
        <w:t xml:space="preserve"> </w:t>
      </w:r>
      <w:r w:rsidRPr="00A82316">
        <w:rPr>
          <w:color w:val="0D0D0D" w:themeColor="text1" w:themeTint="F2"/>
          <w:spacing w:val="-2"/>
          <w:sz w:val="16"/>
          <w:szCs w:val="16"/>
        </w:rPr>
        <w:t>v</w:t>
      </w:r>
      <w:r>
        <w:rPr>
          <w:color w:val="0D0D0D" w:themeColor="text1" w:themeTint="F2"/>
          <w:spacing w:val="-2"/>
          <w:sz w:val="16"/>
          <w:szCs w:val="16"/>
        </w:rPr>
        <w:t xml:space="preserve"> telekomunikacích, peněžnictví, reklamě, veterinárních činnostech a některých administrativních a podpůrných činnostech. </w:t>
      </w:r>
      <w:r w:rsidRPr="00A82316">
        <w:rPr>
          <w:color w:val="0D0D0D" w:themeColor="text1" w:themeTint="F2"/>
          <w:spacing w:val="-2"/>
          <w:sz w:val="16"/>
          <w:szCs w:val="16"/>
        </w:rPr>
        <w:t xml:space="preserve">Naopak optimismus převládal </w:t>
      </w:r>
      <w:r>
        <w:rPr>
          <w:color w:val="0D0D0D" w:themeColor="text1" w:themeTint="F2"/>
          <w:spacing w:val="-2"/>
          <w:sz w:val="16"/>
          <w:szCs w:val="16"/>
        </w:rPr>
        <w:t>v</w:t>
      </w:r>
      <w:r w:rsidRPr="00BA5CE9">
        <w:rPr>
          <w:color w:val="0D0D0D" w:themeColor="text1" w:themeTint="F2"/>
          <w:spacing w:val="-6"/>
          <w:sz w:val="16"/>
          <w:szCs w:val="16"/>
        </w:rPr>
        <w:t xml:space="preserve"> informačních činnostech</w:t>
      </w:r>
      <w:r>
        <w:rPr>
          <w:color w:val="0D0D0D" w:themeColor="text1" w:themeTint="F2"/>
          <w:spacing w:val="-6"/>
          <w:sz w:val="16"/>
          <w:szCs w:val="16"/>
        </w:rPr>
        <w:t>, právních a účetnických</w:t>
      </w:r>
      <w:r w:rsidRPr="00BA5CE9">
        <w:rPr>
          <w:color w:val="0D0D0D" w:themeColor="text1" w:themeTint="F2"/>
          <w:spacing w:val="-6"/>
          <w:sz w:val="16"/>
          <w:szCs w:val="16"/>
        </w:rPr>
        <w:t xml:space="preserve"> činnostech</w:t>
      </w:r>
      <w:r>
        <w:rPr>
          <w:color w:val="0D0D0D" w:themeColor="text1" w:themeTint="F2"/>
          <w:spacing w:val="-6"/>
          <w:sz w:val="16"/>
          <w:szCs w:val="16"/>
        </w:rPr>
        <w:t>,</w:t>
      </w:r>
      <w:r w:rsidRPr="00BA5CE9">
        <w:rPr>
          <w:color w:val="0D0D0D" w:themeColor="text1" w:themeTint="F2"/>
          <w:spacing w:val="-6"/>
          <w:sz w:val="16"/>
          <w:szCs w:val="16"/>
        </w:rPr>
        <w:t xml:space="preserve"> vedení podniků a poradenství v oblasti řízení, </w:t>
      </w:r>
      <w:r>
        <w:rPr>
          <w:color w:val="0D0D0D" w:themeColor="text1" w:themeTint="F2"/>
          <w:spacing w:val="-6"/>
          <w:sz w:val="16"/>
          <w:szCs w:val="16"/>
        </w:rPr>
        <w:t xml:space="preserve">pracovních agenturách, pozemní dopravě, skladování či </w:t>
      </w:r>
      <w:r w:rsidRPr="00BA5CE9">
        <w:rPr>
          <w:color w:val="0D0D0D" w:themeColor="text1" w:themeTint="F2"/>
          <w:spacing w:val="-6"/>
          <w:sz w:val="16"/>
          <w:szCs w:val="16"/>
        </w:rPr>
        <w:t>bezpečnostních a pátracích činnostech</w:t>
      </w:r>
      <w:r>
        <w:rPr>
          <w:color w:val="0D0D0D" w:themeColor="text1" w:themeTint="F2"/>
          <w:spacing w:val="-6"/>
          <w:sz w:val="16"/>
          <w:szCs w:val="16"/>
        </w:rPr>
        <w:t>.</w:t>
      </w:r>
    </w:p>
  </w:footnote>
  <w:footnote w:id="96">
    <w:p w14:paraId="3E68CAC7" w14:textId="77777777" w:rsidR="00AD1119" w:rsidRPr="00A4613D" w:rsidRDefault="00AD1119" w:rsidP="00AD1119">
      <w:pPr>
        <w:pStyle w:val="Textpoznpodarou"/>
        <w:rPr>
          <w:sz w:val="16"/>
          <w:szCs w:val="16"/>
        </w:rPr>
      </w:pPr>
      <w:r w:rsidRPr="00A82316">
        <w:rPr>
          <w:rStyle w:val="Znakapoznpodarou"/>
          <w:color w:val="0D0D0D" w:themeColor="text1" w:themeTint="F2"/>
          <w:sz w:val="16"/>
          <w:szCs w:val="16"/>
        </w:rPr>
        <w:footnoteRef/>
      </w:r>
      <w:r w:rsidRPr="00A82316">
        <w:rPr>
          <w:color w:val="0D0D0D" w:themeColor="text1" w:themeTint="F2"/>
          <w:sz w:val="16"/>
          <w:szCs w:val="16"/>
        </w:rPr>
        <w:t xml:space="preserve"> Podniky mohly uvést více bariér současně.</w:t>
      </w:r>
    </w:p>
  </w:footnote>
  <w:footnote w:id="97">
    <w:p w14:paraId="5537FF25" w14:textId="77777777" w:rsidR="00AD1119" w:rsidRPr="00A378F8" w:rsidRDefault="00AD1119" w:rsidP="00AD1119">
      <w:pPr>
        <w:pStyle w:val="Textpoznpodarou"/>
        <w:rPr>
          <w:sz w:val="16"/>
          <w:szCs w:val="16"/>
        </w:rPr>
      </w:pPr>
      <w:r w:rsidRPr="00A378F8">
        <w:rPr>
          <w:rStyle w:val="Znakapoznpodarou"/>
          <w:sz w:val="16"/>
          <w:szCs w:val="16"/>
        </w:rPr>
        <w:footnoteRef/>
      </w:r>
      <w:r w:rsidRPr="00A378F8">
        <w:rPr>
          <w:sz w:val="16"/>
          <w:szCs w:val="16"/>
        </w:rPr>
        <w:t xml:space="preserve"> Jednalo se o výrobu ostatních dopravních prostředků, opravy strojů a zařízen</w:t>
      </w:r>
      <w:r>
        <w:rPr>
          <w:sz w:val="16"/>
          <w:szCs w:val="16"/>
        </w:rPr>
        <w:t>í</w:t>
      </w:r>
      <w:r w:rsidRPr="00A378F8">
        <w:rPr>
          <w:sz w:val="16"/>
          <w:szCs w:val="16"/>
        </w:rPr>
        <w:t xml:space="preserve"> a také ostatní průmysl (např. výroba sportovních potřeb, her a hraček aj.). V rámci služeb sem patřily </w:t>
      </w:r>
      <w:r>
        <w:rPr>
          <w:sz w:val="16"/>
          <w:szCs w:val="16"/>
        </w:rPr>
        <w:t xml:space="preserve">pozemní doprava, stravování a pohostinství, architektonické a inženýrské činnosti, bezpečnostní a pátrací činnosti, </w:t>
      </w:r>
      <w:r>
        <w:rPr>
          <w:color w:val="0D0D0D" w:themeColor="text1" w:themeTint="F2"/>
          <w:spacing w:val="-6"/>
          <w:sz w:val="16"/>
          <w:szCs w:val="16"/>
        </w:rPr>
        <w:t>úklidové činnosti, pracovní agentury a p</w:t>
      </w:r>
      <w:r w:rsidRPr="003E371B">
        <w:rPr>
          <w:color w:val="0D0D0D" w:themeColor="text1" w:themeTint="F2"/>
          <w:spacing w:val="-6"/>
          <w:sz w:val="16"/>
          <w:szCs w:val="16"/>
        </w:rPr>
        <w:t>oskytování ostatních osobních služe</w:t>
      </w:r>
      <w:r>
        <w:rPr>
          <w:color w:val="0D0D0D" w:themeColor="text1" w:themeTint="F2"/>
          <w:spacing w:val="-6"/>
          <w:sz w:val="16"/>
          <w:szCs w:val="16"/>
        </w:rPr>
        <w:t>b.</w:t>
      </w:r>
    </w:p>
  </w:footnote>
  <w:footnote w:id="98">
    <w:p w14:paraId="604419E3" w14:textId="77777777" w:rsidR="00AD1119" w:rsidRPr="004E68B1" w:rsidRDefault="00AD1119" w:rsidP="00AD1119">
      <w:pPr>
        <w:pStyle w:val="Textpoznpodarou"/>
        <w:rPr>
          <w:spacing w:val="-3"/>
          <w:sz w:val="16"/>
          <w:szCs w:val="16"/>
        </w:rPr>
      </w:pPr>
      <w:r w:rsidRPr="004E68B1">
        <w:rPr>
          <w:rStyle w:val="Znakapoznpodarou"/>
          <w:spacing w:val="-3"/>
          <w:sz w:val="16"/>
          <w:szCs w:val="16"/>
        </w:rPr>
        <w:footnoteRef/>
      </w:r>
      <w:r>
        <w:rPr>
          <w:spacing w:val="-3"/>
          <w:sz w:val="16"/>
          <w:szCs w:val="16"/>
        </w:rPr>
        <w:t xml:space="preserve"> Ú</w:t>
      </w:r>
      <w:r w:rsidRPr="004E68B1">
        <w:rPr>
          <w:spacing w:val="-3"/>
          <w:sz w:val="16"/>
          <w:szCs w:val="16"/>
        </w:rPr>
        <w:t>daje o </w:t>
      </w:r>
      <w:r>
        <w:rPr>
          <w:spacing w:val="-3"/>
          <w:sz w:val="16"/>
          <w:szCs w:val="16"/>
        </w:rPr>
        <w:t xml:space="preserve">mírách </w:t>
      </w:r>
      <w:r w:rsidRPr="004E68B1">
        <w:rPr>
          <w:spacing w:val="-3"/>
          <w:sz w:val="16"/>
          <w:szCs w:val="16"/>
        </w:rPr>
        <w:t xml:space="preserve">nezaměstnanosti </w:t>
      </w:r>
      <w:r>
        <w:rPr>
          <w:spacing w:val="-3"/>
          <w:sz w:val="16"/>
          <w:szCs w:val="16"/>
        </w:rPr>
        <w:t xml:space="preserve">v Česku vycházejí </w:t>
      </w:r>
      <w:r w:rsidRPr="004E68B1">
        <w:rPr>
          <w:spacing w:val="-3"/>
          <w:sz w:val="16"/>
          <w:szCs w:val="16"/>
        </w:rPr>
        <w:t>z</w:t>
      </w:r>
      <w:r>
        <w:rPr>
          <w:spacing w:val="-3"/>
          <w:sz w:val="16"/>
          <w:szCs w:val="16"/>
        </w:rPr>
        <w:t> VŠPS (dle metodiky ILO) a jsou sezónně očištěny pomocí trendcyklu.</w:t>
      </w:r>
    </w:p>
  </w:footnote>
  <w:footnote w:id="99">
    <w:p w14:paraId="2FA20570" w14:textId="77777777" w:rsidR="00AD1119" w:rsidRPr="00B57D4E" w:rsidRDefault="00AD1119" w:rsidP="00AD1119">
      <w:pPr>
        <w:pStyle w:val="Textpoznpodarou"/>
        <w:rPr>
          <w:sz w:val="16"/>
          <w:szCs w:val="16"/>
        </w:rPr>
      </w:pPr>
      <w:r w:rsidRPr="00B57D4E">
        <w:rPr>
          <w:rStyle w:val="Znakapoznpodarou"/>
          <w:sz w:val="16"/>
          <w:szCs w:val="16"/>
        </w:rPr>
        <w:footnoteRef/>
      </w:r>
      <w:r w:rsidRPr="00B57D4E">
        <w:rPr>
          <w:sz w:val="16"/>
          <w:szCs w:val="16"/>
        </w:rPr>
        <w:t xml:space="preserve"> Počet ekonomicky neaktivních osob, které práci aktivně nehledají, ale současně uvádějí ochotu pracovat</w:t>
      </w:r>
      <w:r>
        <w:rPr>
          <w:sz w:val="16"/>
          <w:szCs w:val="16"/>
        </w:rPr>
        <w:t>,</w:t>
      </w:r>
      <w:r w:rsidRPr="00B57D4E">
        <w:rPr>
          <w:sz w:val="16"/>
          <w:szCs w:val="16"/>
        </w:rPr>
        <w:t xml:space="preserve"> dosáhl letos v</w:t>
      </w:r>
      <w:r>
        <w:rPr>
          <w:sz w:val="16"/>
          <w:szCs w:val="16"/>
        </w:rPr>
        <w:t> </w:t>
      </w:r>
      <w:r w:rsidRPr="00B57D4E">
        <w:rPr>
          <w:sz w:val="16"/>
          <w:szCs w:val="16"/>
        </w:rPr>
        <w:t>1</w:t>
      </w:r>
      <w:r>
        <w:rPr>
          <w:sz w:val="16"/>
          <w:szCs w:val="16"/>
        </w:rPr>
        <w:t>.</w:t>
      </w:r>
      <w:r w:rsidRPr="00B57D4E">
        <w:rPr>
          <w:sz w:val="16"/>
          <w:szCs w:val="16"/>
        </w:rPr>
        <w:t xml:space="preserve"> pololetí </w:t>
      </w:r>
      <w:r>
        <w:rPr>
          <w:sz w:val="16"/>
          <w:szCs w:val="16"/>
        </w:rPr>
        <w:br/>
      </w:r>
      <w:r w:rsidRPr="00B57D4E">
        <w:rPr>
          <w:sz w:val="16"/>
          <w:szCs w:val="16"/>
        </w:rPr>
        <w:t>76 tis. a tato skupina se meziročně snížila o 5 tis.</w:t>
      </w:r>
    </w:p>
  </w:footnote>
  <w:footnote w:id="100">
    <w:p w14:paraId="75B769B5" w14:textId="77777777" w:rsidR="00AD1119" w:rsidRPr="00300589" w:rsidRDefault="00AD1119" w:rsidP="00AD1119">
      <w:pPr>
        <w:pStyle w:val="Textpoznpodarou"/>
        <w:jc w:val="both"/>
        <w:rPr>
          <w:sz w:val="16"/>
          <w:szCs w:val="16"/>
        </w:rPr>
      </w:pPr>
      <w:r w:rsidRPr="00300589">
        <w:rPr>
          <w:rStyle w:val="Znakapoznpodarou"/>
          <w:sz w:val="16"/>
          <w:szCs w:val="16"/>
        </w:rPr>
        <w:footnoteRef/>
      </w:r>
      <w:r w:rsidRPr="00300589">
        <w:rPr>
          <w:sz w:val="16"/>
          <w:szCs w:val="16"/>
        </w:rPr>
        <w:t xml:space="preserve"> Letos v lednu </w:t>
      </w:r>
      <w:r>
        <w:rPr>
          <w:sz w:val="16"/>
          <w:szCs w:val="16"/>
        </w:rPr>
        <w:t xml:space="preserve">přitom </w:t>
      </w:r>
      <w:r w:rsidRPr="00300589">
        <w:rPr>
          <w:sz w:val="16"/>
          <w:szCs w:val="16"/>
        </w:rPr>
        <w:t>dosáhl 0,8 p. b., což</w:t>
      </w:r>
      <w:r>
        <w:rPr>
          <w:sz w:val="16"/>
          <w:szCs w:val="16"/>
        </w:rPr>
        <w:t xml:space="preserve"> tehdy</w:t>
      </w:r>
      <w:r w:rsidRPr="00300589">
        <w:rPr>
          <w:sz w:val="16"/>
          <w:szCs w:val="16"/>
        </w:rPr>
        <w:t xml:space="preserve"> představovalo </w:t>
      </w:r>
      <w:r w:rsidRPr="00300589">
        <w:rPr>
          <w:rStyle w:val="normaltextrun"/>
          <w:rFonts w:eastAsiaTheme="majorEastAsia" w:cs="Arial"/>
          <w:sz w:val="16"/>
          <w:szCs w:val="16"/>
        </w:rPr>
        <w:t>nejvýraznější zhoršení od vrcholu pandemie (</w:t>
      </w:r>
      <w:r>
        <w:rPr>
          <w:rStyle w:val="normaltextrun"/>
          <w:rFonts w:eastAsiaTheme="majorEastAsia" w:cs="Arial"/>
          <w:sz w:val="16"/>
          <w:szCs w:val="16"/>
        </w:rPr>
        <w:t xml:space="preserve">resp. </w:t>
      </w:r>
      <w:r w:rsidRPr="00300589">
        <w:rPr>
          <w:rStyle w:val="normaltextrun"/>
          <w:rFonts w:eastAsiaTheme="majorEastAsia" w:cs="Arial"/>
          <w:sz w:val="16"/>
          <w:szCs w:val="16"/>
        </w:rPr>
        <w:t>březn</w:t>
      </w:r>
      <w:r>
        <w:rPr>
          <w:rStyle w:val="normaltextrun"/>
          <w:rFonts w:eastAsiaTheme="majorEastAsia" w:cs="Arial"/>
          <w:sz w:val="16"/>
          <w:szCs w:val="16"/>
        </w:rPr>
        <w:t>a</w:t>
      </w:r>
      <w:r w:rsidRPr="00300589">
        <w:rPr>
          <w:rStyle w:val="normaltextrun"/>
          <w:rFonts w:eastAsiaTheme="majorEastAsia" w:cs="Arial"/>
          <w:sz w:val="16"/>
          <w:szCs w:val="16"/>
        </w:rPr>
        <w:t xml:space="preserve"> 2021).</w:t>
      </w:r>
    </w:p>
  </w:footnote>
  <w:footnote w:id="101">
    <w:p w14:paraId="185F44A9" w14:textId="77777777" w:rsidR="00AD1119" w:rsidRPr="00172BEF" w:rsidRDefault="00AD1119" w:rsidP="00AD1119">
      <w:pPr>
        <w:pStyle w:val="Textpoznpodarou"/>
        <w:rPr>
          <w:rFonts w:eastAsiaTheme="majorEastAsia"/>
          <w:color w:val="0D0D0D" w:themeColor="text1" w:themeTint="F2"/>
          <w:sz w:val="16"/>
          <w:szCs w:val="16"/>
        </w:rPr>
      </w:pPr>
      <w:r w:rsidRPr="00CC188E">
        <w:rPr>
          <w:rStyle w:val="Znakapoznpodarou"/>
          <w:color w:val="0D0D0D" w:themeColor="text1" w:themeTint="F2"/>
          <w:sz w:val="16"/>
          <w:szCs w:val="16"/>
        </w:rPr>
        <w:footnoteRef/>
      </w:r>
      <w:r w:rsidRPr="00CC188E">
        <w:rPr>
          <w:color w:val="0D0D0D" w:themeColor="text1" w:themeTint="F2"/>
          <w:sz w:val="16"/>
          <w:szCs w:val="16"/>
        </w:rPr>
        <w:t xml:space="preserve"> </w:t>
      </w:r>
      <w:r w:rsidRPr="00172BEF">
        <w:rPr>
          <w:rFonts w:cs="Arial"/>
          <w:color w:val="0D0D0D" w:themeColor="text1" w:themeTint="F2"/>
          <w:sz w:val="16"/>
          <w:szCs w:val="16"/>
        </w:rPr>
        <w:t>Nejvyšší podíl nezaměstnaných (k obyvatelstvu ve věku 15–64 let) měli letos v červenci muži v okrese Karviná (11,0 %) a ženy na Mostecku (12,0 %). Celková nezaměstnanost</w:t>
      </w:r>
      <w:r w:rsidRPr="00172BEF">
        <w:rPr>
          <w:sz w:val="16"/>
          <w:szCs w:val="16"/>
        </w:rPr>
        <w:t xml:space="preserve"> v pásmu 7 až 10 % sužovala okresy Bruntál, Ostrava, Sokolov, Chomutov, Ústí nad Labem, </w:t>
      </w:r>
      <w:r w:rsidRPr="00172BEF">
        <w:rPr>
          <w:spacing w:val="-2"/>
          <w:sz w:val="16"/>
          <w:szCs w:val="16"/>
        </w:rPr>
        <w:t>Děčín, Louny. Naopak nejnižší byla stále v okresech Praha</w:t>
      </w:r>
      <w:r>
        <w:rPr>
          <w:spacing w:val="-2"/>
          <w:sz w:val="16"/>
          <w:szCs w:val="16"/>
        </w:rPr>
        <w:t xml:space="preserve">-západ </w:t>
      </w:r>
      <w:r w:rsidRPr="00172BEF">
        <w:rPr>
          <w:spacing w:val="-2"/>
          <w:sz w:val="16"/>
          <w:szCs w:val="16"/>
        </w:rPr>
        <w:t xml:space="preserve">a </w:t>
      </w:r>
      <w:r>
        <w:rPr>
          <w:spacing w:val="-2"/>
          <w:sz w:val="16"/>
          <w:szCs w:val="16"/>
        </w:rPr>
        <w:t>Praha-východ</w:t>
      </w:r>
      <w:r w:rsidRPr="00172BEF">
        <w:rPr>
          <w:spacing w:val="-2"/>
          <w:sz w:val="16"/>
          <w:szCs w:val="16"/>
        </w:rPr>
        <w:t xml:space="preserve"> (2,0 %), Rychnov nad Kněžnou (2,9 %), Pelhřimov (3,0 %), Zlín (3,5 %),</w:t>
      </w:r>
      <w:r w:rsidRPr="00172BEF">
        <w:rPr>
          <w:sz w:val="16"/>
          <w:szCs w:val="16"/>
        </w:rPr>
        <w:t xml:space="preserve"> Kroměříž, Ústí nad Orlicí a Jindřichův Hradec (shodně 3,6 %). Meziročně se nezaměstnanost zvýšila ve všech okresech Česka – nejvíce vlivem útlumu těžby uhlí na Karvinsku (+1,1 p. b.), dále na Bruntálsku (+1,1 p. b.), Prostějovsku </w:t>
      </w:r>
      <w:r>
        <w:rPr>
          <w:sz w:val="16"/>
          <w:szCs w:val="16"/>
        </w:rPr>
        <w:br/>
      </w:r>
      <w:r w:rsidRPr="00172BEF">
        <w:rPr>
          <w:sz w:val="16"/>
          <w:szCs w:val="16"/>
        </w:rPr>
        <w:t xml:space="preserve">a Děčínsku (+0,8 až 0,9 p. b.). Mírně nadprůměrný růst nastal ale např. i v Plzni (z 3,5 % na 4,1 %) či </w:t>
      </w:r>
      <w:r>
        <w:rPr>
          <w:sz w:val="16"/>
          <w:szCs w:val="16"/>
        </w:rPr>
        <w:t xml:space="preserve">v </w:t>
      </w:r>
      <w:r w:rsidRPr="00172BEF">
        <w:rPr>
          <w:sz w:val="16"/>
          <w:szCs w:val="16"/>
        </w:rPr>
        <w:t>Praze (z 3,4 % na 3,9 %)</w:t>
      </w:r>
      <w:r>
        <w:rPr>
          <w:sz w:val="16"/>
          <w:szCs w:val="16"/>
        </w:rPr>
        <w:t>.</w:t>
      </w:r>
    </w:p>
  </w:footnote>
  <w:footnote w:id="102">
    <w:p w14:paraId="19D9BD45" w14:textId="77777777" w:rsidR="00AD1119" w:rsidRPr="00BC4EF9" w:rsidRDefault="00AD1119" w:rsidP="00AD1119">
      <w:pPr>
        <w:pStyle w:val="Textpoznpodarou"/>
        <w:rPr>
          <w:sz w:val="16"/>
          <w:szCs w:val="16"/>
        </w:rPr>
      </w:pPr>
      <w:r w:rsidRPr="00BC4EF9">
        <w:rPr>
          <w:rStyle w:val="Znakapoznpodarou"/>
          <w:sz w:val="16"/>
          <w:szCs w:val="16"/>
        </w:rPr>
        <w:footnoteRef/>
      </w:r>
      <w:r w:rsidRPr="00BC4EF9">
        <w:rPr>
          <w:sz w:val="16"/>
          <w:szCs w:val="16"/>
        </w:rPr>
        <w:t xml:space="preserve"> U</w:t>
      </w:r>
      <w:r w:rsidRPr="00BC4EF9">
        <w:rPr>
          <w:color w:val="0D0D0D" w:themeColor="text1" w:themeTint="F2"/>
          <w:sz w:val="16"/>
          <w:szCs w:val="16"/>
        </w:rPr>
        <w:t xml:space="preserve"> tří čtvrtin </w:t>
      </w:r>
      <w:r>
        <w:rPr>
          <w:color w:val="0D0D0D" w:themeColor="text1" w:themeTint="F2"/>
          <w:sz w:val="16"/>
          <w:szCs w:val="16"/>
        </w:rPr>
        <w:t xml:space="preserve">nabízených </w:t>
      </w:r>
      <w:r w:rsidRPr="00BC4EF9">
        <w:rPr>
          <w:color w:val="0D0D0D" w:themeColor="text1" w:themeTint="F2"/>
          <w:sz w:val="16"/>
          <w:szCs w:val="16"/>
        </w:rPr>
        <w:t>volných pracovních míst postačovalo uchazečům pouze základní vzdělání</w:t>
      </w:r>
      <w:r>
        <w:rPr>
          <w:color w:val="0D0D0D" w:themeColor="text1" w:themeTint="F2"/>
          <w:sz w:val="16"/>
          <w:szCs w:val="16"/>
        </w:rPr>
        <w:t xml:space="preserve"> a u 90 % středoškolské bez maturity.</w:t>
      </w:r>
      <w:r w:rsidRPr="00BC4EF9">
        <w:rPr>
          <w:color w:val="0D0D0D" w:themeColor="text1" w:themeTint="F2"/>
          <w:sz w:val="16"/>
          <w:szCs w:val="16"/>
        </w:rPr>
        <w:t xml:space="preserve"> Naopak více než třetina všech registrovaných uchazečů o práci disponuje alespoň maturitním vzděláním</w:t>
      </w:r>
      <w:r>
        <w:rPr>
          <w:color w:val="0D0D0D" w:themeColor="text1" w:themeTint="F2"/>
          <w:sz w:val="16"/>
          <w:szCs w:val="16"/>
        </w:rPr>
        <w:t xml:space="preserve"> a celých 70 % uchazečů dosáhlo alespoň nižší formy středoškolského vzdělání. Nelze však opomenout fakt, že lépe placená místa pro uchazeče s vyšší kvalifikací jsou často primárně nabízena jinou formou než prostřednictvím úřadů práce. </w:t>
      </w:r>
    </w:p>
  </w:footnote>
  <w:footnote w:id="103">
    <w:p w14:paraId="513ECA8B" w14:textId="77777777" w:rsidR="00AD1119" w:rsidRPr="00F157D3" w:rsidRDefault="00AD1119" w:rsidP="00AD1119">
      <w:pPr>
        <w:pStyle w:val="paragraph"/>
        <w:spacing w:before="0" w:beforeAutospacing="0" w:after="0" w:afterAutospacing="0"/>
        <w:textAlignment w:val="baseline"/>
        <w:rPr>
          <w:rFonts w:ascii="Arial" w:eastAsiaTheme="majorEastAsia" w:hAnsi="Arial" w:cs="Arial"/>
          <w:sz w:val="16"/>
          <w:szCs w:val="16"/>
        </w:rPr>
      </w:pPr>
      <w:r w:rsidRPr="00F157D3">
        <w:rPr>
          <w:rStyle w:val="Znakapoznpodarou"/>
          <w:rFonts w:ascii="Arial" w:hAnsi="Arial" w:cs="Arial"/>
          <w:sz w:val="16"/>
          <w:szCs w:val="16"/>
        </w:rPr>
        <w:footnoteRef/>
      </w:r>
      <w:r w:rsidRPr="00F157D3">
        <w:rPr>
          <w:rFonts w:ascii="Arial" w:hAnsi="Arial" w:cs="Arial"/>
          <w:sz w:val="16"/>
          <w:szCs w:val="16"/>
        </w:rPr>
        <w:t xml:space="preserve"> Nejvíce uchazečů na místo připadá tradičně v „hornických okresech“ Karviná (19,1) a Sokolov (18,3), dále pak Ústí nad Labem (17,1), Děčín (16,4), Bruntál (10,5), Jablonec n. Nisou (9,5) a Ostrava (8,6). Naopak téměř vyrovnaný poměr mezi uchazeči a místy byl </w:t>
      </w:r>
      <w:r>
        <w:rPr>
          <w:rFonts w:ascii="Arial" w:hAnsi="Arial" w:cs="Arial"/>
          <w:sz w:val="16"/>
          <w:szCs w:val="16"/>
        </w:rPr>
        <w:br/>
      </w:r>
      <w:r w:rsidRPr="00F157D3">
        <w:rPr>
          <w:rFonts w:ascii="Arial" w:hAnsi="Arial" w:cs="Arial"/>
          <w:sz w:val="16"/>
          <w:szCs w:val="16"/>
        </w:rPr>
        <w:t xml:space="preserve">v okresech Tachov (1,2), Praha-východ a </w:t>
      </w:r>
      <w:r>
        <w:rPr>
          <w:rFonts w:ascii="Arial" w:hAnsi="Arial" w:cs="Arial"/>
          <w:sz w:val="16"/>
          <w:szCs w:val="16"/>
        </w:rPr>
        <w:t>Praha-</w:t>
      </w:r>
      <w:r w:rsidRPr="00F157D3">
        <w:rPr>
          <w:rFonts w:ascii="Arial" w:hAnsi="Arial" w:cs="Arial"/>
          <w:sz w:val="16"/>
          <w:szCs w:val="16"/>
        </w:rPr>
        <w:t xml:space="preserve">západ, Mladá Boleslav a Prachatice (shodně 1,3), relativně příznivý byl např. i v Praze (1,7) či </w:t>
      </w:r>
      <w:r>
        <w:rPr>
          <w:rFonts w:ascii="Arial" w:hAnsi="Arial" w:cs="Arial"/>
          <w:sz w:val="16"/>
          <w:szCs w:val="16"/>
        </w:rPr>
        <w:t xml:space="preserve">v </w:t>
      </w:r>
      <w:r w:rsidRPr="00F157D3">
        <w:rPr>
          <w:rFonts w:ascii="Arial" w:hAnsi="Arial" w:cs="Arial"/>
          <w:sz w:val="16"/>
          <w:szCs w:val="16"/>
        </w:rPr>
        <w:t xml:space="preserve">okolí Plzně. Tlak uchazečů na volná místa se meziročně zvýšil v 60 % okresů, nejvíce v Ústí nad Labem (z 8,8 na 17,0, a to hlavně kvůli absolutnímu úbytku míst) a Děčín (z 13,8 na 16,4), mezi kraji nejvíce na Liberecku a </w:t>
      </w:r>
      <w:r>
        <w:rPr>
          <w:rFonts w:ascii="Arial" w:hAnsi="Arial" w:cs="Arial"/>
          <w:sz w:val="16"/>
          <w:szCs w:val="16"/>
        </w:rPr>
        <w:t>ve s</w:t>
      </w:r>
      <w:r w:rsidRPr="00F157D3">
        <w:rPr>
          <w:rFonts w:ascii="Arial" w:hAnsi="Arial" w:cs="Arial"/>
          <w:sz w:val="16"/>
          <w:szCs w:val="16"/>
        </w:rPr>
        <w:t>tředních Čechách. Mezi okresy naopak klesl zejména v Hodoníně (z 12,2 na 7,4) a Karviné (z 24,4 na 19,1), mezi kraji hlavně v</w:t>
      </w:r>
      <w:r>
        <w:rPr>
          <w:rFonts w:ascii="Arial" w:hAnsi="Arial" w:cs="Arial"/>
          <w:sz w:val="16"/>
          <w:szCs w:val="16"/>
        </w:rPr>
        <w:t> </w:t>
      </w:r>
      <w:r w:rsidRPr="00F157D3">
        <w:rPr>
          <w:rFonts w:ascii="Arial" w:hAnsi="Arial" w:cs="Arial"/>
          <w:sz w:val="16"/>
          <w:szCs w:val="16"/>
        </w:rPr>
        <w:t>Jihomoravském</w:t>
      </w:r>
      <w:r>
        <w:rPr>
          <w:rFonts w:ascii="Arial" w:hAnsi="Arial" w:cs="Arial"/>
          <w:sz w:val="16"/>
          <w:szCs w:val="16"/>
        </w:rPr>
        <w:t xml:space="preserve"> kraji</w:t>
      </w:r>
      <w:r w:rsidRPr="00F157D3">
        <w:rPr>
          <w:rFonts w:ascii="Arial" w:hAnsi="Arial" w:cs="Arial"/>
          <w:sz w:val="16"/>
          <w:szCs w:val="16"/>
        </w:rPr>
        <w:t xml:space="preserve"> a </w:t>
      </w:r>
      <w:r>
        <w:rPr>
          <w:rFonts w:ascii="Arial" w:hAnsi="Arial" w:cs="Arial"/>
          <w:sz w:val="16"/>
          <w:szCs w:val="16"/>
        </w:rPr>
        <w:t xml:space="preserve">v Kraji </w:t>
      </w:r>
      <w:r w:rsidRPr="00F157D3">
        <w:rPr>
          <w:rFonts w:ascii="Arial" w:hAnsi="Arial" w:cs="Arial"/>
          <w:sz w:val="16"/>
          <w:szCs w:val="16"/>
        </w:rPr>
        <w:t>Vysočin</w:t>
      </w:r>
      <w:r>
        <w:rPr>
          <w:rFonts w:ascii="Arial" w:hAnsi="Arial" w:cs="Arial"/>
          <w:sz w:val="16"/>
          <w:szCs w:val="16"/>
        </w:rPr>
        <w:t>a</w:t>
      </w:r>
      <w:r w:rsidRPr="00F157D3">
        <w:rPr>
          <w:rFonts w:ascii="Arial" w:hAnsi="Arial" w:cs="Arial"/>
          <w:sz w:val="16"/>
          <w:szCs w:val="16"/>
        </w:rPr>
        <w:t>.</w:t>
      </w:r>
    </w:p>
  </w:footnote>
  <w:footnote w:id="104">
    <w:p w14:paraId="70ED2576" w14:textId="77777777" w:rsidR="00AD1119" w:rsidRPr="003E1845" w:rsidRDefault="00AD1119" w:rsidP="00AD1119">
      <w:pPr>
        <w:pStyle w:val="Textpoznpodarou"/>
        <w:rPr>
          <w:spacing w:val="-4"/>
          <w:sz w:val="16"/>
          <w:szCs w:val="16"/>
        </w:rPr>
      </w:pPr>
      <w:r w:rsidRPr="003E1845">
        <w:rPr>
          <w:rStyle w:val="Znakapoznpodarou"/>
          <w:spacing w:val="-4"/>
          <w:sz w:val="16"/>
          <w:szCs w:val="16"/>
        </w:rPr>
        <w:footnoteRef/>
      </w:r>
      <w:r w:rsidRPr="003E1845">
        <w:rPr>
          <w:spacing w:val="-4"/>
          <w:sz w:val="16"/>
          <w:szCs w:val="16"/>
        </w:rPr>
        <w:t xml:space="preserve"> </w:t>
      </w:r>
      <w:r w:rsidRPr="002654D8">
        <w:rPr>
          <w:color w:val="0D0D0D" w:themeColor="text1" w:themeTint="F2"/>
          <w:spacing w:val="-2"/>
          <w:sz w:val="16"/>
          <w:szCs w:val="16"/>
        </w:rPr>
        <w:t xml:space="preserve">U čistých výdělků promlouvá do jejich vývoje nepříznivě mírné zvýšení daňového zatížení práce vlivem znovuzavedení zaměstnaneckých odvodů na nemocenské pojištění (celkový odvod sociálního pojištění za zaměstnance se zvýšil z 6,5 % na 7,1 %), jež bylo schváleno </w:t>
      </w:r>
      <w:r>
        <w:rPr>
          <w:color w:val="0D0D0D" w:themeColor="text1" w:themeTint="F2"/>
          <w:spacing w:val="-2"/>
          <w:sz w:val="16"/>
          <w:szCs w:val="16"/>
        </w:rPr>
        <w:br/>
      </w:r>
      <w:r w:rsidRPr="002654D8">
        <w:rPr>
          <w:color w:val="0D0D0D" w:themeColor="text1" w:themeTint="F2"/>
          <w:spacing w:val="-2"/>
          <w:sz w:val="16"/>
          <w:szCs w:val="16"/>
        </w:rPr>
        <w:t>v rámci vládního konsolidačního balíčku (s účinností od ledna 2024). K růstu kupní síly výdělků naopak významně přispělo zrušení superhrubé mzdy (</w:t>
      </w:r>
      <w:r>
        <w:rPr>
          <w:color w:val="0D0D0D" w:themeColor="text1" w:themeTint="F2"/>
          <w:spacing w:val="-2"/>
          <w:sz w:val="16"/>
          <w:szCs w:val="16"/>
        </w:rPr>
        <w:t>od l</w:t>
      </w:r>
      <w:r w:rsidRPr="002654D8">
        <w:rPr>
          <w:color w:val="0D0D0D" w:themeColor="text1" w:themeTint="F2"/>
          <w:spacing w:val="-2"/>
          <w:sz w:val="16"/>
          <w:szCs w:val="16"/>
        </w:rPr>
        <w:t>edna 2021).</w:t>
      </w:r>
    </w:p>
  </w:footnote>
  <w:footnote w:id="105">
    <w:p w14:paraId="54C32071" w14:textId="77777777" w:rsidR="00AD1119" w:rsidRPr="00D73105" w:rsidRDefault="00AD1119" w:rsidP="00AD1119">
      <w:pPr>
        <w:pStyle w:val="Textpoznpodarou"/>
        <w:rPr>
          <w:sz w:val="16"/>
          <w:szCs w:val="16"/>
        </w:rPr>
      </w:pPr>
      <w:r w:rsidRPr="00D73105">
        <w:rPr>
          <w:rStyle w:val="Znakapoznpodarou"/>
          <w:sz w:val="16"/>
          <w:szCs w:val="16"/>
        </w:rPr>
        <w:footnoteRef/>
      </w:r>
      <w:r w:rsidRPr="00D73105">
        <w:rPr>
          <w:sz w:val="16"/>
          <w:szCs w:val="16"/>
        </w:rPr>
        <w:t xml:space="preserve"> Ta se od ledna 2026 zvýšila meziročně o 7,7 % na 22 400 tis. korun.  </w:t>
      </w:r>
    </w:p>
  </w:footnote>
  <w:footnote w:id="106">
    <w:p w14:paraId="5CC08390" w14:textId="77777777" w:rsidR="00AD1119" w:rsidRPr="00C274E8" w:rsidRDefault="00AD1119" w:rsidP="00AD1119">
      <w:pPr>
        <w:pStyle w:val="Textpoznpodarou"/>
        <w:rPr>
          <w:sz w:val="16"/>
          <w:szCs w:val="16"/>
        </w:rPr>
      </w:pPr>
      <w:r w:rsidRPr="00C274E8">
        <w:rPr>
          <w:rStyle w:val="Znakapoznpodarou"/>
          <w:sz w:val="16"/>
          <w:szCs w:val="16"/>
        </w:rPr>
        <w:footnoteRef/>
      </w:r>
      <w:r w:rsidRPr="00C274E8">
        <w:rPr>
          <w:sz w:val="16"/>
          <w:szCs w:val="16"/>
        </w:rPr>
        <w:t xml:space="preserve"> Od letošního ledna </w:t>
      </w:r>
      <w:r>
        <w:rPr>
          <w:sz w:val="16"/>
          <w:szCs w:val="16"/>
        </w:rPr>
        <w:t>se</w:t>
      </w:r>
      <w:r w:rsidRPr="00C274E8">
        <w:rPr>
          <w:sz w:val="16"/>
          <w:szCs w:val="16"/>
        </w:rPr>
        <w:t> posíl</w:t>
      </w:r>
      <w:r>
        <w:rPr>
          <w:sz w:val="16"/>
          <w:szCs w:val="16"/>
        </w:rPr>
        <w:t>ily</w:t>
      </w:r>
      <w:r w:rsidRPr="00C274E8">
        <w:rPr>
          <w:sz w:val="16"/>
          <w:szCs w:val="16"/>
        </w:rPr>
        <w:t xml:space="preserve"> výdaj</w:t>
      </w:r>
      <w:r>
        <w:rPr>
          <w:sz w:val="16"/>
          <w:szCs w:val="16"/>
        </w:rPr>
        <w:t>e</w:t>
      </w:r>
      <w:r w:rsidRPr="00C274E8">
        <w:rPr>
          <w:sz w:val="16"/>
          <w:szCs w:val="16"/>
        </w:rPr>
        <w:t xml:space="preserve"> na platy pracovníků ve školství, vojáků a bezpečnostních sborů. Od dubna došlo u zaměstnanců odměňovaných podle zákona o státní službě a zákoníku práce k valorizaci platových tarifů: u státních zaměstnanců a dalších administrativních profesí včetně kultury (o 9 %)</w:t>
      </w:r>
      <w:r>
        <w:rPr>
          <w:sz w:val="16"/>
          <w:szCs w:val="16"/>
        </w:rPr>
        <w:t>,</w:t>
      </w:r>
      <w:r w:rsidRPr="00C274E8">
        <w:rPr>
          <w:sz w:val="16"/>
          <w:szCs w:val="16"/>
        </w:rPr>
        <w:t xml:space="preserve"> u zdravotnických pracovníků a zaměstnanců v sociálních službách (o 5 %) a u lékařů </w:t>
      </w:r>
      <w:r>
        <w:rPr>
          <w:sz w:val="16"/>
          <w:szCs w:val="16"/>
        </w:rPr>
        <w:br/>
      </w:r>
      <w:r w:rsidRPr="00C274E8">
        <w:rPr>
          <w:sz w:val="16"/>
          <w:szCs w:val="16"/>
        </w:rPr>
        <w:t>a zubařů (o 2 %</w:t>
      </w:r>
      <w:r>
        <w:rPr>
          <w:sz w:val="16"/>
          <w:szCs w:val="16"/>
        </w:rPr>
        <w:t>).</w:t>
      </w:r>
    </w:p>
  </w:footnote>
  <w:footnote w:id="107">
    <w:p w14:paraId="60841675" w14:textId="77777777" w:rsidR="00AD1119" w:rsidRDefault="00AD1119" w:rsidP="00AD1119">
      <w:pPr>
        <w:pStyle w:val="Textpoznpodarou"/>
      </w:pPr>
      <w:r w:rsidRPr="003A4185">
        <w:rPr>
          <w:rStyle w:val="Znakapoznpodarou"/>
          <w:sz w:val="16"/>
          <w:szCs w:val="16"/>
        </w:rPr>
        <w:footnoteRef/>
      </w:r>
      <w:r w:rsidRPr="003A4185">
        <w:rPr>
          <w:sz w:val="16"/>
          <w:szCs w:val="16"/>
        </w:rPr>
        <w:t xml:space="preserve"> Ty zahrnují především různorodé </w:t>
      </w:r>
      <w:r w:rsidRPr="003A4185">
        <w:rPr>
          <w:spacing w:val="-2"/>
          <w:sz w:val="16"/>
          <w:szCs w:val="16"/>
        </w:rPr>
        <w:t>služby pro domácnosti (opravy výrobků</w:t>
      </w:r>
      <w:r w:rsidRPr="00B85732">
        <w:rPr>
          <w:spacing w:val="-2"/>
          <w:sz w:val="16"/>
          <w:szCs w:val="16"/>
        </w:rPr>
        <w:t>, kadeřnické a kosmetické</w:t>
      </w:r>
      <w:r w:rsidRPr="00180D79">
        <w:rPr>
          <w:sz w:val="16"/>
          <w:szCs w:val="16"/>
        </w:rPr>
        <w:t xml:space="preserve"> činnosti</w:t>
      </w:r>
      <w:r>
        <w:rPr>
          <w:sz w:val="16"/>
          <w:szCs w:val="16"/>
        </w:rPr>
        <w:t xml:space="preserve"> aj.).</w:t>
      </w:r>
    </w:p>
  </w:footnote>
  <w:footnote w:id="108">
    <w:p w14:paraId="465E7CF7" w14:textId="77777777" w:rsidR="00AD1119" w:rsidRPr="00135EBA" w:rsidRDefault="00AD1119" w:rsidP="00AD1119">
      <w:pPr>
        <w:pStyle w:val="Textpoznpodarou"/>
        <w:rPr>
          <w:sz w:val="16"/>
          <w:szCs w:val="16"/>
        </w:rPr>
      </w:pPr>
      <w:r w:rsidRPr="00135EBA">
        <w:rPr>
          <w:rStyle w:val="Znakapoznpodarou"/>
          <w:sz w:val="16"/>
          <w:szCs w:val="16"/>
        </w:rPr>
        <w:footnoteRef/>
      </w:r>
      <w:r w:rsidRPr="00135EBA">
        <w:rPr>
          <w:sz w:val="16"/>
          <w:szCs w:val="16"/>
        </w:rPr>
        <w:t xml:space="preserve"> </w:t>
      </w:r>
      <w:r>
        <w:rPr>
          <w:sz w:val="16"/>
          <w:szCs w:val="16"/>
        </w:rPr>
        <w:t>Výdělky zaměstnanců</w:t>
      </w:r>
      <w:r w:rsidRPr="00135EBA">
        <w:rPr>
          <w:sz w:val="16"/>
          <w:szCs w:val="16"/>
        </w:rPr>
        <w:t xml:space="preserve"> byd</w:t>
      </w:r>
      <w:r>
        <w:rPr>
          <w:sz w:val="16"/>
          <w:szCs w:val="16"/>
        </w:rPr>
        <w:t>l</w:t>
      </w:r>
      <w:r w:rsidRPr="00135EBA">
        <w:rPr>
          <w:sz w:val="16"/>
          <w:szCs w:val="16"/>
        </w:rPr>
        <w:t>ící</w:t>
      </w:r>
      <w:r>
        <w:rPr>
          <w:sz w:val="16"/>
          <w:szCs w:val="16"/>
        </w:rPr>
        <w:t>ch</w:t>
      </w:r>
      <w:r w:rsidRPr="00135EBA">
        <w:rPr>
          <w:sz w:val="16"/>
          <w:szCs w:val="16"/>
        </w:rPr>
        <w:t xml:space="preserve"> v tomto malém kraji</w:t>
      </w:r>
      <w:r>
        <w:rPr>
          <w:sz w:val="16"/>
          <w:szCs w:val="16"/>
        </w:rPr>
        <w:t xml:space="preserve"> však mohou být ve skutečnosti vyšší díky dojížďce za prací do ostatních regionů Česka a také díky práci v Německu.</w:t>
      </w:r>
    </w:p>
  </w:footnote>
  <w:footnote w:id="109">
    <w:p w14:paraId="0D2C198F" w14:textId="77777777" w:rsidR="006B1AFC" w:rsidRDefault="006B1AFC" w:rsidP="009324EF">
      <w:pPr>
        <w:pStyle w:val="Textpoznpodarou"/>
        <w:rPr>
          <w:sz w:val="16"/>
          <w:szCs w:val="16"/>
        </w:rPr>
      </w:pPr>
      <w:r>
        <w:rPr>
          <w:rStyle w:val="Znakapoznpodarou"/>
          <w:sz w:val="16"/>
          <w:szCs w:val="16"/>
        </w:rPr>
        <w:footnoteRef/>
      </w:r>
      <w:r>
        <w:rPr>
          <w:sz w:val="16"/>
          <w:szCs w:val="16"/>
        </w:rPr>
        <w:t xml:space="preserve"> Zdrojem údajů v této kapitole je databáze ARAD České národní banky. Hodnoty směnných kurzů jsou rovněž převzaty od ČNB.</w:t>
      </w:r>
    </w:p>
  </w:footnote>
  <w:footnote w:id="110">
    <w:p w14:paraId="6FDD3633" w14:textId="77777777" w:rsidR="006B1AFC" w:rsidRPr="001F5F82" w:rsidRDefault="006B1AFC" w:rsidP="009324EF">
      <w:pPr>
        <w:pStyle w:val="Textpoznpodarou"/>
        <w:rPr>
          <w:sz w:val="16"/>
          <w:szCs w:val="16"/>
        </w:rPr>
      </w:pPr>
      <w:r w:rsidRPr="001F5F82">
        <w:rPr>
          <w:rStyle w:val="Znakapoznpodarou"/>
          <w:sz w:val="16"/>
          <w:szCs w:val="16"/>
        </w:rPr>
        <w:footnoteRef/>
      </w:r>
      <w:r w:rsidRPr="001F5F82">
        <w:rPr>
          <w:sz w:val="16"/>
          <w:szCs w:val="16"/>
        </w:rPr>
        <w:t xml:space="preserve"> Není</w:t>
      </w:r>
      <w:r>
        <w:rPr>
          <w:sz w:val="16"/>
          <w:szCs w:val="16"/>
        </w:rPr>
        <w:t>-</w:t>
      </w:r>
      <w:r w:rsidRPr="001F5F82">
        <w:rPr>
          <w:sz w:val="16"/>
          <w:szCs w:val="16"/>
        </w:rPr>
        <w:t>li uvedeno jinak, je změnou úrokových sazeb myšlen rozdíl mezi hodnotou ke dni 3</w:t>
      </w:r>
      <w:r>
        <w:rPr>
          <w:sz w:val="16"/>
          <w:szCs w:val="16"/>
        </w:rPr>
        <w:t>1. 3. 2026</w:t>
      </w:r>
      <w:r w:rsidRPr="001F5F82">
        <w:rPr>
          <w:sz w:val="16"/>
          <w:szCs w:val="16"/>
        </w:rPr>
        <w:t xml:space="preserve"> a</w:t>
      </w:r>
      <w:r>
        <w:rPr>
          <w:sz w:val="16"/>
          <w:szCs w:val="16"/>
        </w:rPr>
        <w:t> </w:t>
      </w:r>
      <w:r w:rsidRPr="001F5F82">
        <w:rPr>
          <w:sz w:val="16"/>
          <w:szCs w:val="16"/>
        </w:rPr>
        <w:t>3</w:t>
      </w:r>
      <w:r>
        <w:rPr>
          <w:sz w:val="16"/>
          <w:szCs w:val="16"/>
        </w:rPr>
        <w:t>1. 12</w:t>
      </w:r>
      <w:r w:rsidRPr="001F5F82">
        <w:rPr>
          <w:sz w:val="16"/>
          <w:szCs w:val="16"/>
        </w:rPr>
        <w:t>.</w:t>
      </w:r>
      <w:r>
        <w:rPr>
          <w:sz w:val="16"/>
          <w:szCs w:val="16"/>
        </w:rPr>
        <w:t xml:space="preserve"> 2025.</w:t>
      </w:r>
    </w:p>
  </w:footnote>
  <w:footnote w:id="111">
    <w:p w14:paraId="147525A9" w14:textId="77777777" w:rsidR="006B1AFC" w:rsidRPr="00651A71" w:rsidRDefault="006B1AFC" w:rsidP="009324EF">
      <w:pPr>
        <w:pStyle w:val="Textpoznpodarou"/>
        <w:rPr>
          <w:sz w:val="16"/>
          <w:szCs w:val="16"/>
        </w:rPr>
      </w:pPr>
      <w:r w:rsidRPr="00651A71">
        <w:rPr>
          <w:rStyle w:val="Znakapoznpodarou"/>
          <w:sz w:val="16"/>
          <w:szCs w:val="16"/>
        </w:rPr>
        <w:footnoteRef/>
      </w:r>
      <w:r w:rsidRPr="00651A71">
        <w:rPr>
          <w:sz w:val="16"/>
          <w:szCs w:val="16"/>
        </w:rPr>
        <w:t xml:space="preserve"> O</w:t>
      </w:r>
      <w:r w:rsidRPr="00651A71">
        <w:rPr>
          <w:spacing w:val="-3"/>
          <w:sz w:val="16"/>
          <w:szCs w:val="16"/>
          <w:lang w:eastAsia="en-US"/>
        </w:rPr>
        <w:t>byvatelstvo</w:t>
      </w:r>
      <w:r>
        <w:rPr>
          <w:spacing w:val="-3"/>
          <w:sz w:val="16"/>
          <w:szCs w:val="16"/>
          <w:lang w:eastAsia="en-US"/>
        </w:rPr>
        <w:t xml:space="preserve"> včetně </w:t>
      </w:r>
      <w:r w:rsidRPr="00651A71">
        <w:rPr>
          <w:spacing w:val="-3"/>
          <w:sz w:val="16"/>
          <w:szCs w:val="16"/>
          <w:lang w:eastAsia="en-US"/>
        </w:rPr>
        <w:t>živnostníků.</w:t>
      </w:r>
    </w:p>
  </w:footnote>
  <w:footnote w:id="112">
    <w:p w14:paraId="6D3283DB" w14:textId="77777777" w:rsidR="006B1AFC" w:rsidRPr="00284DA5" w:rsidRDefault="006B1AFC" w:rsidP="009324EF">
      <w:pPr>
        <w:pStyle w:val="Textpoznpodarou"/>
        <w:rPr>
          <w:sz w:val="16"/>
          <w:szCs w:val="16"/>
        </w:rPr>
      </w:pPr>
      <w:r w:rsidRPr="00284DA5">
        <w:rPr>
          <w:rStyle w:val="Znakapoznpodarou"/>
          <w:sz w:val="16"/>
          <w:szCs w:val="16"/>
        </w:rPr>
        <w:footnoteRef/>
      </w:r>
      <w:r w:rsidRPr="00284DA5">
        <w:rPr>
          <w:sz w:val="16"/>
          <w:szCs w:val="16"/>
        </w:rPr>
        <w:t xml:space="preserve"> V nových smlouvách jsou zahrnuty i</w:t>
      </w:r>
      <w:r>
        <w:rPr>
          <w:sz w:val="16"/>
          <w:szCs w:val="16"/>
        </w:rPr>
        <w:t> </w:t>
      </w:r>
      <w:r w:rsidRPr="00284DA5">
        <w:rPr>
          <w:sz w:val="16"/>
          <w:szCs w:val="16"/>
        </w:rPr>
        <w:t>refinancované úvěry a</w:t>
      </w:r>
      <w:r>
        <w:rPr>
          <w:sz w:val="16"/>
          <w:szCs w:val="16"/>
        </w:rPr>
        <w:t> </w:t>
      </w:r>
      <w:r w:rsidRPr="00284DA5">
        <w:rPr>
          <w:sz w:val="16"/>
          <w:szCs w:val="16"/>
        </w:rPr>
        <w:t>ostatní ujednání.</w:t>
      </w:r>
      <w:r>
        <w:rPr>
          <w:sz w:val="16"/>
          <w:szCs w:val="16"/>
        </w:rPr>
        <w:t xml:space="preserve"> Refinancované úvěry zahrnují stávající smlouvy sjednané nově u jiné banky, zatímco ostatní nová ujednání jsou stávající smlouvy sjednané s novými podmínkami u stejné banky.</w:t>
      </w:r>
    </w:p>
  </w:footnote>
  <w:footnote w:id="113">
    <w:p w14:paraId="45F962FE" w14:textId="77777777" w:rsidR="006B1AFC" w:rsidRPr="006A0671" w:rsidRDefault="006B1AFC" w:rsidP="009324EF">
      <w:pPr>
        <w:pStyle w:val="Textpoznpodarou"/>
        <w:rPr>
          <w:color w:val="0D0D0D" w:themeColor="text1" w:themeTint="F2"/>
          <w:sz w:val="16"/>
          <w:szCs w:val="16"/>
        </w:rPr>
      </w:pPr>
      <w:r w:rsidRPr="003405C2">
        <w:rPr>
          <w:rStyle w:val="Znakapoznpodarou"/>
          <w:color w:val="0D0D0D" w:themeColor="text1" w:themeTint="F2"/>
          <w:sz w:val="16"/>
          <w:szCs w:val="16"/>
        </w:rPr>
        <w:footnoteRef/>
      </w:r>
      <w:r w:rsidRPr="003405C2">
        <w:rPr>
          <w:color w:val="0D0D0D" w:themeColor="text1" w:themeTint="F2"/>
          <w:sz w:val="16"/>
          <w:szCs w:val="16"/>
        </w:rPr>
        <w:t xml:space="preserve"> </w:t>
      </w:r>
      <w:r w:rsidRPr="00BC5365">
        <w:rPr>
          <w:color w:val="0D0D0D" w:themeColor="text1" w:themeTint="F2"/>
          <w:sz w:val="16"/>
          <w:szCs w:val="16"/>
        </w:rPr>
        <w:t xml:space="preserve">Údaje </w:t>
      </w:r>
      <w:r w:rsidRPr="006A0671">
        <w:rPr>
          <w:color w:val="0D0D0D" w:themeColor="text1" w:themeTint="F2"/>
          <w:sz w:val="16"/>
          <w:szCs w:val="16"/>
        </w:rPr>
        <w:t xml:space="preserve">o hospodaření sektoru vládních institucí v Česku za 2. čtvrtletí 2026 zveřejní ČSÚ 1. října 2026, Eurostat za členské státy Unie potom 21. října. Širší zhodnocení tuzemského vývoje za 1. čtvrtletí 2026 nabízí publikace </w:t>
      </w:r>
      <w:hyperlink r:id="rId4" w:history="1">
        <w:r w:rsidRPr="006A0671">
          <w:rPr>
            <w:rStyle w:val="Hypertextovodkaz"/>
            <w:i/>
            <w:color w:val="0D0D0D" w:themeColor="text1" w:themeTint="F2"/>
            <w:sz w:val="16"/>
            <w:szCs w:val="16"/>
          </w:rPr>
          <w:t>Analýza sektorových účtů</w:t>
        </w:r>
      </w:hyperlink>
      <w:r w:rsidRPr="006A0671">
        <w:rPr>
          <w:color w:val="0D0D0D" w:themeColor="text1" w:themeTint="F2"/>
          <w:sz w:val="16"/>
          <w:szCs w:val="16"/>
        </w:rPr>
        <w:t>.</w:t>
      </w:r>
    </w:p>
  </w:footnote>
  <w:footnote w:id="114">
    <w:p w14:paraId="0B577CA0" w14:textId="77777777" w:rsidR="006B1AFC" w:rsidRPr="003405C2" w:rsidRDefault="006B1AFC" w:rsidP="009324EF">
      <w:pPr>
        <w:pStyle w:val="Textpoznpodarou"/>
        <w:rPr>
          <w:color w:val="0D0D0D" w:themeColor="text1" w:themeTint="F2"/>
          <w:sz w:val="16"/>
          <w:szCs w:val="16"/>
        </w:rPr>
      </w:pPr>
      <w:r w:rsidRPr="006A0671">
        <w:rPr>
          <w:rStyle w:val="Znakapoznpodarou"/>
          <w:color w:val="0D0D0D" w:themeColor="text1" w:themeTint="F2"/>
          <w:sz w:val="16"/>
          <w:szCs w:val="16"/>
        </w:rPr>
        <w:footnoteRef/>
      </w:r>
      <w:r w:rsidRPr="006A0671">
        <w:rPr>
          <w:color w:val="0D0D0D" w:themeColor="text1" w:themeTint="F2"/>
          <w:sz w:val="16"/>
          <w:szCs w:val="16"/>
        </w:rPr>
        <w:t xml:space="preserve"> Není-li uvedeno jinak, jsou údaje</w:t>
      </w:r>
      <w:r w:rsidRPr="003405C2">
        <w:rPr>
          <w:color w:val="0D0D0D" w:themeColor="text1" w:themeTint="F2"/>
          <w:sz w:val="16"/>
          <w:szCs w:val="16"/>
        </w:rPr>
        <w:t xml:space="preserve"> o hospodaření sektoru VI v ČR vyjádřeny v nominálním vyjádření a bez sezónního očištění.</w:t>
      </w:r>
    </w:p>
  </w:footnote>
  <w:footnote w:id="115">
    <w:p w14:paraId="3654AB24" w14:textId="77777777" w:rsidR="006B1AFC" w:rsidRPr="002F2349" w:rsidRDefault="006B1AFC" w:rsidP="009324EF">
      <w:pPr>
        <w:pStyle w:val="Textpoznpodarou"/>
        <w:rPr>
          <w:sz w:val="16"/>
          <w:szCs w:val="16"/>
        </w:rPr>
      </w:pPr>
      <w:r w:rsidRPr="003405C2">
        <w:rPr>
          <w:rStyle w:val="Znakapoznpodarou"/>
          <w:color w:val="0D0D0D" w:themeColor="text1" w:themeTint="F2"/>
          <w:sz w:val="16"/>
          <w:szCs w:val="16"/>
        </w:rPr>
        <w:footnoteRef/>
      </w:r>
      <w:r w:rsidRPr="003405C2">
        <w:rPr>
          <w:color w:val="0D0D0D" w:themeColor="text1" w:themeTint="F2"/>
          <w:sz w:val="16"/>
          <w:szCs w:val="16"/>
        </w:rPr>
        <w:t xml:space="preserve"> Za tímto zhoršením stál </w:t>
      </w:r>
      <w:r>
        <w:rPr>
          <w:color w:val="0D0D0D" w:themeColor="text1" w:themeTint="F2"/>
          <w:sz w:val="16"/>
          <w:szCs w:val="16"/>
        </w:rPr>
        <w:t xml:space="preserve">výhradně </w:t>
      </w:r>
      <w:proofErr w:type="spellStart"/>
      <w:r>
        <w:rPr>
          <w:color w:val="0D0D0D" w:themeColor="text1" w:themeTint="F2"/>
          <w:sz w:val="16"/>
          <w:szCs w:val="16"/>
        </w:rPr>
        <w:t>subsektor</w:t>
      </w:r>
      <w:proofErr w:type="spellEnd"/>
      <w:r>
        <w:rPr>
          <w:color w:val="0D0D0D" w:themeColor="text1" w:themeTint="F2"/>
          <w:sz w:val="16"/>
          <w:szCs w:val="16"/>
        </w:rPr>
        <w:t xml:space="preserve"> </w:t>
      </w:r>
      <w:r w:rsidRPr="003405C2">
        <w:rPr>
          <w:color w:val="0D0D0D" w:themeColor="text1" w:themeTint="F2"/>
          <w:sz w:val="16"/>
          <w:szCs w:val="16"/>
        </w:rPr>
        <w:t>místní</w:t>
      </w:r>
      <w:r>
        <w:rPr>
          <w:color w:val="0D0D0D" w:themeColor="text1" w:themeTint="F2"/>
          <w:sz w:val="16"/>
          <w:szCs w:val="16"/>
        </w:rPr>
        <w:t>ch</w:t>
      </w:r>
      <w:r w:rsidRPr="003405C2">
        <w:rPr>
          <w:color w:val="0D0D0D" w:themeColor="text1" w:themeTint="F2"/>
          <w:sz w:val="16"/>
          <w:szCs w:val="16"/>
        </w:rPr>
        <w:t xml:space="preserve"> vládní</w:t>
      </w:r>
      <w:r>
        <w:rPr>
          <w:color w:val="0D0D0D" w:themeColor="text1" w:themeTint="F2"/>
          <w:sz w:val="16"/>
          <w:szCs w:val="16"/>
        </w:rPr>
        <w:t xml:space="preserve">ch </w:t>
      </w:r>
      <w:r w:rsidRPr="003405C2">
        <w:rPr>
          <w:color w:val="0D0D0D" w:themeColor="text1" w:themeTint="F2"/>
          <w:sz w:val="16"/>
          <w:szCs w:val="16"/>
        </w:rPr>
        <w:t>instituc</w:t>
      </w:r>
      <w:r>
        <w:rPr>
          <w:color w:val="0D0D0D" w:themeColor="text1" w:themeTint="F2"/>
          <w:sz w:val="16"/>
          <w:szCs w:val="16"/>
        </w:rPr>
        <w:t>í</w:t>
      </w:r>
      <w:r w:rsidRPr="003405C2">
        <w:rPr>
          <w:color w:val="0D0D0D" w:themeColor="text1" w:themeTint="F2"/>
          <w:sz w:val="16"/>
          <w:szCs w:val="16"/>
        </w:rPr>
        <w:t>, je</w:t>
      </w:r>
      <w:r>
        <w:rPr>
          <w:color w:val="0D0D0D" w:themeColor="text1" w:themeTint="F2"/>
          <w:sz w:val="16"/>
          <w:szCs w:val="16"/>
        </w:rPr>
        <w:t>ho</w:t>
      </w:r>
      <w:r w:rsidRPr="003405C2">
        <w:rPr>
          <w:color w:val="0D0D0D" w:themeColor="text1" w:themeTint="F2"/>
          <w:sz w:val="16"/>
          <w:szCs w:val="16"/>
        </w:rPr>
        <w:t xml:space="preserve">ž přebytek hospodaření </w:t>
      </w:r>
      <w:r>
        <w:rPr>
          <w:color w:val="0D0D0D" w:themeColor="text1" w:themeTint="F2"/>
          <w:sz w:val="16"/>
          <w:szCs w:val="16"/>
        </w:rPr>
        <w:t xml:space="preserve">se </w:t>
      </w:r>
      <w:r w:rsidRPr="003405C2">
        <w:rPr>
          <w:color w:val="0D0D0D" w:themeColor="text1" w:themeTint="F2"/>
          <w:sz w:val="16"/>
          <w:szCs w:val="16"/>
        </w:rPr>
        <w:t xml:space="preserve">zejména </w:t>
      </w:r>
      <w:r>
        <w:rPr>
          <w:color w:val="0D0D0D" w:themeColor="text1" w:themeTint="F2"/>
          <w:sz w:val="16"/>
          <w:szCs w:val="16"/>
        </w:rPr>
        <w:t>vlivem poklesu dotací do regionálního školství</w:t>
      </w:r>
      <w:r w:rsidRPr="003405C2">
        <w:rPr>
          <w:color w:val="0D0D0D" w:themeColor="text1" w:themeTint="F2"/>
          <w:sz w:val="16"/>
          <w:szCs w:val="16"/>
        </w:rPr>
        <w:t xml:space="preserve"> </w:t>
      </w:r>
      <w:r>
        <w:rPr>
          <w:color w:val="0D0D0D" w:themeColor="text1" w:themeTint="F2"/>
          <w:sz w:val="16"/>
          <w:szCs w:val="16"/>
        </w:rPr>
        <w:t>meziročně snížil</w:t>
      </w:r>
      <w:r w:rsidRPr="003405C2">
        <w:rPr>
          <w:color w:val="0D0D0D" w:themeColor="text1" w:themeTint="F2"/>
          <w:sz w:val="16"/>
          <w:szCs w:val="16"/>
        </w:rPr>
        <w:t xml:space="preserve"> o </w:t>
      </w:r>
      <w:r>
        <w:rPr>
          <w:color w:val="0D0D0D" w:themeColor="text1" w:themeTint="F2"/>
          <w:sz w:val="16"/>
          <w:szCs w:val="16"/>
        </w:rPr>
        <w:t>bezmála dvě třetiny, a to</w:t>
      </w:r>
      <w:r w:rsidRPr="003405C2">
        <w:rPr>
          <w:color w:val="0D0D0D" w:themeColor="text1" w:themeTint="F2"/>
          <w:sz w:val="16"/>
          <w:szCs w:val="16"/>
        </w:rPr>
        <w:t xml:space="preserve"> na </w:t>
      </w:r>
      <w:r>
        <w:rPr>
          <w:color w:val="0D0D0D" w:themeColor="text1" w:themeTint="F2"/>
          <w:sz w:val="16"/>
          <w:szCs w:val="16"/>
        </w:rPr>
        <w:t>12</w:t>
      </w:r>
      <w:r w:rsidRPr="003405C2">
        <w:rPr>
          <w:color w:val="0D0D0D" w:themeColor="text1" w:themeTint="F2"/>
          <w:sz w:val="16"/>
          <w:szCs w:val="16"/>
        </w:rPr>
        <w:t xml:space="preserve"> mld. korun (</w:t>
      </w:r>
      <w:r>
        <w:rPr>
          <w:color w:val="0D0D0D" w:themeColor="text1" w:themeTint="F2"/>
          <w:sz w:val="16"/>
          <w:szCs w:val="16"/>
        </w:rPr>
        <w:t xml:space="preserve">celkové příjmy tohoto </w:t>
      </w:r>
      <w:proofErr w:type="spellStart"/>
      <w:r>
        <w:rPr>
          <w:color w:val="0D0D0D" w:themeColor="text1" w:themeTint="F2"/>
          <w:sz w:val="16"/>
          <w:szCs w:val="16"/>
        </w:rPr>
        <w:t>subsektoru</w:t>
      </w:r>
      <w:proofErr w:type="spellEnd"/>
      <w:r>
        <w:rPr>
          <w:color w:val="0D0D0D" w:themeColor="text1" w:themeTint="F2"/>
          <w:sz w:val="16"/>
          <w:szCs w:val="16"/>
        </w:rPr>
        <w:t xml:space="preserve"> současně klesly, v rámci 1. čtvrtletí poprvé po 14 letech</w:t>
      </w:r>
      <w:r w:rsidRPr="003405C2">
        <w:rPr>
          <w:color w:val="0D0D0D" w:themeColor="text1" w:themeTint="F2"/>
          <w:sz w:val="16"/>
          <w:szCs w:val="16"/>
        </w:rPr>
        <w:t>). Naopak schodek ústředních vládních institucí, který v posledních letech tradičně dominantně přispíval ke zhoršení salda hospodaření sektoru VI, se meziročně zmírnil o</w:t>
      </w:r>
      <w:r>
        <w:rPr>
          <w:color w:val="0D0D0D" w:themeColor="text1" w:themeTint="F2"/>
          <w:sz w:val="16"/>
          <w:szCs w:val="16"/>
        </w:rPr>
        <w:t xml:space="preserve"> šestinu </w:t>
      </w:r>
      <w:r w:rsidRPr="006B20B5">
        <w:rPr>
          <w:spacing w:val="-2"/>
          <w:sz w:val="16"/>
          <w:szCs w:val="16"/>
        </w:rPr>
        <w:t>–</w:t>
      </w:r>
      <w:r>
        <w:rPr>
          <w:color w:val="0D0D0D" w:themeColor="text1" w:themeTint="F2"/>
          <w:sz w:val="16"/>
          <w:szCs w:val="16"/>
        </w:rPr>
        <w:t xml:space="preserve"> tedy</w:t>
      </w:r>
      <w:r w:rsidRPr="003405C2">
        <w:rPr>
          <w:color w:val="0D0D0D" w:themeColor="text1" w:themeTint="F2"/>
          <w:sz w:val="16"/>
          <w:szCs w:val="16"/>
        </w:rPr>
        <w:t xml:space="preserve"> na </w:t>
      </w:r>
      <w:r>
        <w:rPr>
          <w:color w:val="0D0D0D" w:themeColor="text1" w:themeTint="F2"/>
          <w:sz w:val="16"/>
          <w:szCs w:val="16"/>
        </w:rPr>
        <w:t>83</w:t>
      </w:r>
      <w:r w:rsidRPr="003405C2">
        <w:rPr>
          <w:color w:val="0D0D0D" w:themeColor="text1" w:themeTint="F2"/>
          <w:sz w:val="16"/>
          <w:szCs w:val="16"/>
        </w:rPr>
        <w:t xml:space="preserve"> mld. (nejlepší výsledek za poslední</w:t>
      </w:r>
      <w:r>
        <w:rPr>
          <w:color w:val="0D0D0D" w:themeColor="text1" w:themeTint="F2"/>
          <w:sz w:val="16"/>
          <w:szCs w:val="16"/>
        </w:rPr>
        <w:t xml:space="preserve"> čtyři roky</w:t>
      </w:r>
      <w:r w:rsidRPr="003405C2">
        <w:rPr>
          <w:color w:val="0D0D0D" w:themeColor="text1" w:themeTint="F2"/>
          <w:sz w:val="16"/>
          <w:szCs w:val="16"/>
        </w:rPr>
        <w:t xml:space="preserve">). </w:t>
      </w:r>
      <w:r>
        <w:rPr>
          <w:color w:val="0D0D0D" w:themeColor="text1" w:themeTint="F2"/>
          <w:sz w:val="16"/>
          <w:szCs w:val="16"/>
        </w:rPr>
        <w:t>Velmi mírný d</w:t>
      </w:r>
      <w:r w:rsidRPr="003405C2">
        <w:rPr>
          <w:color w:val="0D0D0D" w:themeColor="text1" w:themeTint="F2"/>
          <w:sz w:val="16"/>
          <w:szCs w:val="16"/>
        </w:rPr>
        <w:t xml:space="preserve">eficit zdravotních pojišťoven </w:t>
      </w:r>
      <w:r>
        <w:rPr>
          <w:color w:val="0D0D0D" w:themeColor="text1" w:themeTint="F2"/>
          <w:sz w:val="16"/>
          <w:szCs w:val="16"/>
        </w:rPr>
        <w:t xml:space="preserve">se </w:t>
      </w:r>
      <w:r w:rsidRPr="003405C2">
        <w:rPr>
          <w:color w:val="0D0D0D" w:themeColor="text1" w:themeTint="F2"/>
          <w:sz w:val="16"/>
          <w:szCs w:val="16"/>
        </w:rPr>
        <w:t xml:space="preserve">meziročně </w:t>
      </w:r>
      <w:r>
        <w:rPr>
          <w:color w:val="0D0D0D" w:themeColor="text1" w:themeTint="F2"/>
          <w:sz w:val="16"/>
          <w:szCs w:val="16"/>
        </w:rPr>
        <w:t>podstatně nezměnil.</w:t>
      </w:r>
    </w:p>
  </w:footnote>
  <w:footnote w:id="116">
    <w:p w14:paraId="69365393" w14:textId="77777777" w:rsidR="006B1AFC" w:rsidRPr="008C0A29" w:rsidRDefault="006B1AFC" w:rsidP="009324EF">
      <w:pPr>
        <w:pStyle w:val="Textpoznpodarou"/>
        <w:rPr>
          <w:sz w:val="16"/>
          <w:szCs w:val="16"/>
        </w:rPr>
      </w:pPr>
      <w:r w:rsidRPr="008C0A29">
        <w:rPr>
          <w:rStyle w:val="Znakapoznpodarou"/>
          <w:sz w:val="16"/>
          <w:szCs w:val="16"/>
        </w:rPr>
        <w:footnoteRef/>
      </w:r>
      <w:r w:rsidRPr="008C0A29">
        <w:rPr>
          <w:sz w:val="16"/>
          <w:szCs w:val="16"/>
        </w:rPr>
        <w:t xml:space="preserve"> Ty tvoří v posledních letech více než pětinu veškerých výdajů vládních institucí. </w:t>
      </w:r>
      <w:r>
        <w:rPr>
          <w:sz w:val="16"/>
          <w:szCs w:val="16"/>
        </w:rPr>
        <w:t>Mírně nadpoloviční objem vyplacených náhrad připadá stabilně na zaměstnance místních vládních institucí (52 až 53 %).</w:t>
      </w:r>
    </w:p>
  </w:footnote>
  <w:footnote w:id="117">
    <w:p w14:paraId="643123E3" w14:textId="77777777" w:rsidR="006B1AFC" w:rsidRPr="00AC3B32" w:rsidRDefault="006B1AFC" w:rsidP="009324EF">
      <w:pPr>
        <w:pStyle w:val="Textpoznpodarou"/>
        <w:rPr>
          <w:sz w:val="16"/>
          <w:szCs w:val="16"/>
        </w:rPr>
      </w:pPr>
      <w:r w:rsidRPr="00AC3B32">
        <w:rPr>
          <w:rStyle w:val="Znakapoznpodarou"/>
          <w:sz w:val="16"/>
          <w:szCs w:val="16"/>
        </w:rPr>
        <w:footnoteRef/>
      </w:r>
      <w:r w:rsidRPr="00AC3B32">
        <w:rPr>
          <w:sz w:val="16"/>
          <w:szCs w:val="16"/>
        </w:rPr>
        <w:t xml:space="preserve"> Ty zahrnují např. dotace poskytnuté na pokrytí provozních a běžných ztrát podnikatelských subjektů, finanční podpory určené na útlum těžby nebo uzavírání nadbytečných výrobních kapacit a dále </w:t>
      </w:r>
      <w:r>
        <w:rPr>
          <w:sz w:val="16"/>
          <w:szCs w:val="16"/>
        </w:rPr>
        <w:t>i</w:t>
      </w:r>
      <w:r w:rsidRPr="00AC3B32">
        <w:rPr>
          <w:sz w:val="16"/>
          <w:szCs w:val="16"/>
        </w:rPr>
        <w:t xml:space="preserve"> příspěvky a podpory podnikům, které zaměstnávají osoby se změněnou pracovní schopností.</w:t>
      </w:r>
      <w:r>
        <w:rPr>
          <w:sz w:val="16"/>
          <w:szCs w:val="16"/>
        </w:rPr>
        <w:t xml:space="preserve"> Nepatří sem naopak dotace na produkty, jejichž vyplacený objem v 1. čtvrtletí nadále svižně rostl (+10 %).</w:t>
      </w:r>
    </w:p>
  </w:footnote>
  <w:footnote w:id="118">
    <w:p w14:paraId="4C3AB479" w14:textId="77777777" w:rsidR="006B1AFC" w:rsidRPr="00F0024E" w:rsidRDefault="006B1AFC" w:rsidP="009324EF">
      <w:pPr>
        <w:pStyle w:val="Textpoznpodarou"/>
        <w:rPr>
          <w:sz w:val="16"/>
          <w:szCs w:val="16"/>
        </w:rPr>
      </w:pPr>
      <w:r w:rsidRPr="003405C2">
        <w:rPr>
          <w:rStyle w:val="Znakapoznpodarou"/>
          <w:color w:val="0D0D0D" w:themeColor="text1" w:themeTint="F2"/>
          <w:sz w:val="16"/>
          <w:szCs w:val="16"/>
        </w:rPr>
        <w:footnoteRef/>
      </w:r>
      <w:r w:rsidRPr="003405C2">
        <w:rPr>
          <w:color w:val="0D0D0D" w:themeColor="text1" w:themeTint="F2"/>
          <w:sz w:val="16"/>
          <w:szCs w:val="16"/>
        </w:rPr>
        <w:t xml:space="preserve"> Všechny níže uvedené údaje o příjmech, výdajích a saldu jsou vyjádřeny po očištění o sezónnost i pracovní dny.</w:t>
      </w:r>
    </w:p>
  </w:footnote>
  <w:footnote w:id="119">
    <w:p w14:paraId="032A6D36" w14:textId="77777777" w:rsidR="006B1AFC" w:rsidRPr="002F2349" w:rsidRDefault="006B1AFC" w:rsidP="009324EF">
      <w:pPr>
        <w:pStyle w:val="Textpoznpodarou"/>
        <w:rPr>
          <w:sz w:val="16"/>
          <w:szCs w:val="16"/>
        </w:rPr>
      </w:pPr>
      <w:r w:rsidRPr="002F2349">
        <w:rPr>
          <w:rStyle w:val="Znakapoznpodarou"/>
          <w:sz w:val="16"/>
          <w:szCs w:val="16"/>
        </w:rPr>
        <w:footnoteRef/>
      </w:r>
      <w:r w:rsidRPr="002F2349">
        <w:rPr>
          <w:sz w:val="16"/>
          <w:szCs w:val="16"/>
        </w:rPr>
        <w:t xml:space="preserve"> Jde o zahájení tzv. procesu řízení o nadměrném schodku kvůli porušení rozpočtových pravidel. Tato standardní procedura byla po dočasném přerušení v letech 2020 až 2023 (v důsledku pandemie covid</w:t>
      </w:r>
      <w:r>
        <w:rPr>
          <w:sz w:val="16"/>
          <w:szCs w:val="16"/>
        </w:rPr>
        <w:t>u</w:t>
      </w:r>
      <w:r w:rsidRPr="002F2349">
        <w:rPr>
          <w:sz w:val="16"/>
          <w:szCs w:val="16"/>
        </w:rPr>
        <w:t xml:space="preserve">-19) obnovena. </w:t>
      </w:r>
      <w:r>
        <w:rPr>
          <w:sz w:val="16"/>
          <w:szCs w:val="16"/>
        </w:rPr>
        <w:t xml:space="preserve">Aktuálně tomuto procesu čelí Rumunsko, Maďarsko, Slovensko, Polsko, Rakousko, Itálie, Francie, </w:t>
      </w:r>
      <w:r w:rsidRPr="002F2349">
        <w:rPr>
          <w:sz w:val="16"/>
          <w:szCs w:val="16"/>
        </w:rPr>
        <w:t>Belgi</w:t>
      </w:r>
      <w:r>
        <w:rPr>
          <w:sz w:val="16"/>
          <w:szCs w:val="16"/>
        </w:rPr>
        <w:t>e a v letošním roce nově</w:t>
      </w:r>
      <w:r w:rsidRPr="002F2349">
        <w:rPr>
          <w:sz w:val="16"/>
          <w:szCs w:val="16"/>
        </w:rPr>
        <w:t> </w:t>
      </w:r>
      <w:r>
        <w:rPr>
          <w:sz w:val="16"/>
          <w:szCs w:val="16"/>
        </w:rPr>
        <w:t xml:space="preserve">také </w:t>
      </w:r>
      <w:r w:rsidRPr="002F2349">
        <w:rPr>
          <w:sz w:val="16"/>
          <w:szCs w:val="16"/>
        </w:rPr>
        <w:t>Finsk</w:t>
      </w:r>
      <w:r>
        <w:rPr>
          <w:sz w:val="16"/>
          <w:szCs w:val="16"/>
        </w:rPr>
        <w:t>o s Bulharskem</w:t>
      </w:r>
      <w:r w:rsidRPr="002F2349">
        <w:rPr>
          <w:sz w:val="16"/>
          <w:szCs w:val="16"/>
        </w:rPr>
        <w:t>.</w:t>
      </w:r>
    </w:p>
  </w:footnote>
  <w:footnote w:id="120">
    <w:p w14:paraId="0DAC6FA3" w14:textId="77777777" w:rsidR="006B1AFC" w:rsidRPr="005D3101" w:rsidRDefault="006B1AFC" w:rsidP="009324EF">
      <w:pPr>
        <w:pStyle w:val="Textpoznpodarou"/>
        <w:rPr>
          <w:sz w:val="16"/>
          <w:szCs w:val="16"/>
        </w:rPr>
      </w:pPr>
      <w:r w:rsidRPr="005D3101">
        <w:rPr>
          <w:rStyle w:val="Znakapoznpodarou"/>
          <w:sz w:val="16"/>
          <w:szCs w:val="16"/>
        </w:rPr>
        <w:footnoteRef/>
      </w:r>
      <w:r w:rsidRPr="005D3101">
        <w:rPr>
          <w:sz w:val="16"/>
          <w:szCs w:val="16"/>
        </w:rPr>
        <w:t xml:space="preserve"> Samotná nominální výše dluhu v EU činila </w:t>
      </w:r>
      <w:r>
        <w:rPr>
          <w:sz w:val="16"/>
          <w:szCs w:val="16"/>
        </w:rPr>
        <w:t xml:space="preserve">letos na konci 1. čtvrtletí </w:t>
      </w:r>
      <w:r w:rsidRPr="005D3101">
        <w:rPr>
          <w:sz w:val="16"/>
          <w:szCs w:val="16"/>
        </w:rPr>
        <w:t xml:space="preserve">15,705 bilionů eur, mezikvartálně </w:t>
      </w:r>
      <w:r>
        <w:rPr>
          <w:sz w:val="16"/>
          <w:szCs w:val="16"/>
        </w:rPr>
        <w:t xml:space="preserve">vzrostla </w:t>
      </w:r>
      <w:r w:rsidRPr="005D3101">
        <w:rPr>
          <w:sz w:val="16"/>
          <w:szCs w:val="16"/>
        </w:rPr>
        <w:t xml:space="preserve">o 2,1 %. </w:t>
      </w:r>
    </w:p>
  </w:footnote>
  <w:footnote w:id="121">
    <w:p w14:paraId="2B436A7A" w14:textId="77777777" w:rsidR="006B1AFC" w:rsidRPr="002607D0" w:rsidRDefault="006B1AFC" w:rsidP="009324EF">
      <w:pPr>
        <w:pStyle w:val="Textpoznpodarou"/>
        <w:rPr>
          <w:sz w:val="16"/>
          <w:szCs w:val="16"/>
        </w:rPr>
      </w:pPr>
      <w:r w:rsidRPr="002607D0">
        <w:rPr>
          <w:rStyle w:val="Znakapoznpodarou"/>
          <w:sz w:val="16"/>
          <w:szCs w:val="16"/>
        </w:rPr>
        <w:footnoteRef/>
      </w:r>
      <w:r w:rsidRPr="002607D0">
        <w:rPr>
          <w:sz w:val="16"/>
          <w:szCs w:val="16"/>
        </w:rPr>
        <w:t xml:space="preserve"> Nominální dluh vládních institucí </w:t>
      </w:r>
      <w:r>
        <w:rPr>
          <w:sz w:val="16"/>
          <w:szCs w:val="16"/>
        </w:rPr>
        <w:t xml:space="preserve">v Česku </w:t>
      </w:r>
      <w:r w:rsidRPr="002607D0">
        <w:rPr>
          <w:sz w:val="16"/>
          <w:szCs w:val="16"/>
        </w:rPr>
        <w:t xml:space="preserve">meziročně stoupl o 292,6 mld. </w:t>
      </w:r>
      <w:r>
        <w:rPr>
          <w:sz w:val="16"/>
          <w:szCs w:val="16"/>
        </w:rPr>
        <w:t>korun</w:t>
      </w:r>
      <w:r w:rsidRPr="002607D0">
        <w:rPr>
          <w:sz w:val="16"/>
          <w:szCs w:val="16"/>
        </w:rPr>
        <w:t xml:space="preserve"> na 3 827,9 mld. a představoval jediný faktor</w:t>
      </w:r>
      <w:r>
        <w:rPr>
          <w:sz w:val="16"/>
          <w:szCs w:val="16"/>
        </w:rPr>
        <w:t xml:space="preserve"> </w:t>
      </w:r>
      <w:r w:rsidRPr="002607D0">
        <w:rPr>
          <w:sz w:val="16"/>
          <w:szCs w:val="16"/>
        </w:rPr>
        <w:t>přispívající (+3,3 p. b.) k meziročnímu navýšení míry zadlužení. Naopak rostoucí nominální HDP zadluženost snižoval (</w:t>
      </w:r>
      <w:r w:rsidRPr="002607D0">
        <w:rPr>
          <w:spacing w:val="-2"/>
          <w:sz w:val="16"/>
          <w:szCs w:val="16"/>
        </w:rPr>
        <w:t>–</w:t>
      </w:r>
      <w:r w:rsidRPr="002607D0">
        <w:rPr>
          <w:sz w:val="16"/>
          <w:szCs w:val="16"/>
        </w:rPr>
        <w:t xml:space="preserve">2,5 p. b.). </w:t>
      </w:r>
    </w:p>
  </w:footnote>
  <w:footnote w:id="122">
    <w:p w14:paraId="5458A5E2" w14:textId="77777777" w:rsidR="006B1AFC" w:rsidRPr="00F6255D" w:rsidRDefault="006B1AFC" w:rsidP="009324EF">
      <w:pPr>
        <w:pStyle w:val="Textpoznpodarou"/>
        <w:rPr>
          <w:sz w:val="16"/>
          <w:szCs w:val="16"/>
        </w:rPr>
      </w:pPr>
      <w:r w:rsidRPr="00F6255D">
        <w:rPr>
          <w:rStyle w:val="Znakapoznpodarou"/>
          <w:sz w:val="16"/>
          <w:szCs w:val="16"/>
        </w:rPr>
        <w:footnoteRef/>
      </w:r>
      <w:r w:rsidRPr="00F6255D">
        <w:rPr>
          <w:sz w:val="16"/>
          <w:szCs w:val="16"/>
        </w:rPr>
        <w:t xml:space="preserve"> </w:t>
      </w:r>
      <w:r w:rsidRPr="00F6255D">
        <w:rPr>
          <w:color w:val="0D0D0D" w:themeColor="text1" w:themeTint="F2"/>
          <w:spacing w:val="-4"/>
          <w:sz w:val="16"/>
          <w:szCs w:val="16"/>
        </w:rPr>
        <w:t>Tento nelichotivý primát drží již od 2. čtvrtletí 2008, kdy v pozici nejzadluženějšího státu EU (v současném vymezení) předčilo Itálii.</w:t>
      </w:r>
    </w:p>
  </w:footnote>
  <w:footnote w:id="123">
    <w:p w14:paraId="67E0A797" w14:textId="77777777" w:rsidR="006B1AFC" w:rsidRPr="00CC32B6" w:rsidRDefault="006B1AFC" w:rsidP="009324EF">
      <w:pPr>
        <w:pStyle w:val="Textpoznpodarou"/>
        <w:rPr>
          <w:sz w:val="16"/>
          <w:szCs w:val="16"/>
        </w:rPr>
      </w:pPr>
      <w:r w:rsidRPr="00CC32B6">
        <w:rPr>
          <w:rStyle w:val="Znakapoznpodarou"/>
          <w:sz w:val="16"/>
          <w:szCs w:val="16"/>
        </w:rPr>
        <w:footnoteRef/>
      </w:r>
      <w:r w:rsidRPr="00CC32B6">
        <w:rPr>
          <w:sz w:val="16"/>
          <w:szCs w:val="16"/>
        </w:rPr>
        <w:t xml:space="preserve"> Jeho zadluženost byla i tak nejvyšší v dostupné řadě od roku 2000. Stejně na tom byly i </w:t>
      </w:r>
      <w:r>
        <w:rPr>
          <w:sz w:val="16"/>
          <w:szCs w:val="16"/>
        </w:rPr>
        <w:t>Finsko, Polsko, Rumunsko a Lucembursko.</w:t>
      </w:r>
    </w:p>
  </w:footnote>
  <w:footnote w:id="124">
    <w:p w14:paraId="308A398D" w14:textId="77777777" w:rsidR="006B1AFC" w:rsidRPr="00773501" w:rsidRDefault="006B1AFC" w:rsidP="009324EF">
      <w:pPr>
        <w:pStyle w:val="Textpoznpodarou"/>
        <w:jc w:val="both"/>
        <w:rPr>
          <w:sz w:val="16"/>
          <w:szCs w:val="16"/>
        </w:rPr>
      </w:pPr>
      <w:r w:rsidRPr="00773501">
        <w:rPr>
          <w:rStyle w:val="Znakapoznpodarou"/>
          <w:spacing w:val="-2"/>
          <w:sz w:val="16"/>
          <w:szCs w:val="16"/>
        </w:rPr>
        <w:footnoteRef/>
      </w:r>
      <w:r w:rsidRPr="00773501">
        <w:rPr>
          <w:spacing w:val="-2"/>
          <w:sz w:val="16"/>
          <w:szCs w:val="16"/>
        </w:rPr>
        <w:t xml:space="preserve"> </w:t>
      </w:r>
      <w:r w:rsidRPr="00773501">
        <w:rPr>
          <w:color w:val="0D0D0D" w:themeColor="text1" w:themeTint="F2"/>
          <w:sz w:val="16"/>
          <w:szCs w:val="16"/>
        </w:rPr>
        <w:t xml:space="preserve">Není-li uvedeno jinak, vycházejí všechny údaje týkající se státního rozpočtu </w:t>
      </w:r>
      <w:r w:rsidRPr="00773501">
        <w:rPr>
          <w:rFonts w:cs="Arial"/>
          <w:color w:val="0D0D0D" w:themeColor="text1" w:themeTint="F2"/>
          <w:sz w:val="16"/>
          <w:szCs w:val="16"/>
        </w:rPr>
        <w:t>z dat Ministerstva financí (MF) ČR o pokladním plnění.</w:t>
      </w:r>
    </w:p>
  </w:footnote>
  <w:footnote w:id="125">
    <w:p w14:paraId="41CEAD11" w14:textId="77777777" w:rsidR="006B1AFC" w:rsidRDefault="006B1AFC" w:rsidP="009324EF">
      <w:pPr>
        <w:pStyle w:val="Textpoznpodarou"/>
      </w:pPr>
      <w:r w:rsidRPr="00773501">
        <w:rPr>
          <w:rStyle w:val="Znakapoznpodarou"/>
          <w:sz w:val="16"/>
          <w:szCs w:val="16"/>
        </w:rPr>
        <w:footnoteRef/>
      </w:r>
      <w:r w:rsidRPr="00773501">
        <w:rPr>
          <w:sz w:val="16"/>
          <w:szCs w:val="16"/>
        </w:rPr>
        <w:t xml:space="preserve"> </w:t>
      </w:r>
      <w:r w:rsidRPr="00CC32B6">
        <w:rPr>
          <w:spacing w:val="-4"/>
          <w:sz w:val="16"/>
          <w:szCs w:val="16"/>
        </w:rPr>
        <w:t>Jde o prostředky na programy</w:t>
      </w:r>
      <w:r w:rsidRPr="00CC32B6">
        <w:rPr>
          <w:rFonts w:cs="Arial"/>
          <w:spacing w:val="-4"/>
          <w:sz w:val="16"/>
          <w:szCs w:val="16"/>
        </w:rPr>
        <w:t xml:space="preserve"> z rozpočtu EU a Finančních mechanismů</w:t>
      </w:r>
      <w:r>
        <w:rPr>
          <w:rFonts w:cs="Arial"/>
          <w:spacing w:val="-4"/>
          <w:sz w:val="16"/>
          <w:szCs w:val="16"/>
        </w:rPr>
        <w:t xml:space="preserve"> </w:t>
      </w:r>
      <w:r w:rsidRPr="00CC32B6">
        <w:rPr>
          <w:rFonts w:cs="Arial"/>
          <w:spacing w:val="-4"/>
          <w:sz w:val="16"/>
          <w:szCs w:val="16"/>
        </w:rPr>
        <w:t>předfinancované ze SR a poté proplacené z</w:t>
      </w:r>
      <w:r>
        <w:rPr>
          <w:spacing w:val="-4"/>
          <w:sz w:val="16"/>
          <w:szCs w:val="16"/>
        </w:rPr>
        <w:t> </w:t>
      </w:r>
      <w:r>
        <w:rPr>
          <w:rFonts w:cs="Arial"/>
          <w:spacing w:val="-4"/>
          <w:sz w:val="16"/>
          <w:szCs w:val="16"/>
        </w:rPr>
        <w:t>uvedených zdrojů.</w:t>
      </w:r>
    </w:p>
  </w:footnote>
  <w:footnote w:id="126">
    <w:p w14:paraId="30D22CA9" w14:textId="77777777" w:rsidR="006B1AFC" w:rsidRPr="00773501" w:rsidRDefault="006B1AFC" w:rsidP="009324EF">
      <w:pPr>
        <w:pStyle w:val="Textpoznpodarou"/>
        <w:rPr>
          <w:sz w:val="16"/>
          <w:szCs w:val="16"/>
        </w:rPr>
      </w:pPr>
      <w:r w:rsidRPr="00773501">
        <w:rPr>
          <w:rStyle w:val="Znakapoznpodarou"/>
          <w:sz w:val="16"/>
          <w:szCs w:val="16"/>
        </w:rPr>
        <w:footnoteRef/>
      </w:r>
      <w:r w:rsidRPr="00773501">
        <w:rPr>
          <w:sz w:val="16"/>
          <w:szCs w:val="16"/>
        </w:rPr>
        <w:t xml:space="preserve"> V 1. pololetí </w:t>
      </w:r>
      <w:r>
        <w:rPr>
          <w:sz w:val="16"/>
          <w:szCs w:val="16"/>
        </w:rPr>
        <w:t xml:space="preserve">2026 </w:t>
      </w:r>
      <w:r w:rsidRPr="00773501">
        <w:rPr>
          <w:sz w:val="16"/>
          <w:szCs w:val="16"/>
        </w:rPr>
        <w:t>dosáhl takto očištěn</w:t>
      </w:r>
      <w:r>
        <w:rPr>
          <w:sz w:val="16"/>
          <w:szCs w:val="16"/>
        </w:rPr>
        <w:t>ý</w:t>
      </w:r>
      <w:r w:rsidRPr="00773501">
        <w:rPr>
          <w:sz w:val="16"/>
          <w:szCs w:val="16"/>
        </w:rPr>
        <w:t xml:space="preserve"> schodek SR 203,6 mld. korun, o rok dříve </w:t>
      </w:r>
      <w:r>
        <w:rPr>
          <w:sz w:val="16"/>
          <w:szCs w:val="16"/>
        </w:rPr>
        <w:t xml:space="preserve">„pouze“ </w:t>
      </w:r>
      <w:r w:rsidRPr="00773501">
        <w:rPr>
          <w:sz w:val="16"/>
          <w:szCs w:val="16"/>
        </w:rPr>
        <w:t>150,8 mld.</w:t>
      </w:r>
    </w:p>
  </w:footnote>
  <w:footnote w:id="127">
    <w:p w14:paraId="0A080DD0" w14:textId="77777777" w:rsidR="006B1AFC" w:rsidRPr="00FC6700" w:rsidRDefault="006B1AFC" w:rsidP="009324EF">
      <w:pPr>
        <w:pStyle w:val="Textpoznpodarou"/>
        <w:rPr>
          <w:sz w:val="16"/>
          <w:szCs w:val="16"/>
        </w:rPr>
      </w:pPr>
      <w:r w:rsidRPr="00FC6700">
        <w:rPr>
          <w:rStyle w:val="Znakapoznpodarou"/>
          <w:sz w:val="16"/>
          <w:szCs w:val="16"/>
        </w:rPr>
        <w:footnoteRef/>
      </w:r>
      <w:r w:rsidRPr="00FC6700">
        <w:rPr>
          <w:sz w:val="16"/>
          <w:szCs w:val="16"/>
        </w:rPr>
        <w:t xml:space="preserve"> Od ledna 202</w:t>
      </w:r>
      <w:r>
        <w:rPr>
          <w:sz w:val="16"/>
          <w:szCs w:val="16"/>
        </w:rPr>
        <w:t>6</w:t>
      </w:r>
      <w:r w:rsidRPr="00FC6700">
        <w:rPr>
          <w:sz w:val="16"/>
          <w:szCs w:val="16"/>
        </w:rPr>
        <w:t xml:space="preserve"> </w:t>
      </w:r>
      <w:r>
        <w:rPr>
          <w:sz w:val="16"/>
          <w:szCs w:val="16"/>
        </w:rPr>
        <w:t>došlo ke s</w:t>
      </w:r>
      <w:r w:rsidRPr="002E413D">
        <w:rPr>
          <w:sz w:val="16"/>
          <w:szCs w:val="16"/>
        </w:rPr>
        <w:t xml:space="preserve">nížení podílu </w:t>
      </w:r>
      <w:r>
        <w:rPr>
          <w:sz w:val="16"/>
          <w:szCs w:val="16"/>
        </w:rPr>
        <w:t>státu</w:t>
      </w:r>
      <w:r w:rsidRPr="002E413D">
        <w:rPr>
          <w:sz w:val="16"/>
          <w:szCs w:val="16"/>
        </w:rPr>
        <w:t xml:space="preserve"> na výnosech </w:t>
      </w:r>
      <w:r>
        <w:rPr>
          <w:sz w:val="16"/>
          <w:szCs w:val="16"/>
        </w:rPr>
        <w:t>DPH</w:t>
      </w:r>
      <w:r w:rsidRPr="002E413D">
        <w:rPr>
          <w:sz w:val="16"/>
          <w:szCs w:val="16"/>
        </w:rPr>
        <w:t xml:space="preserve"> a z příjmů právnických a fyzických osob o 2,55 p</w:t>
      </w:r>
      <w:r>
        <w:rPr>
          <w:sz w:val="16"/>
          <w:szCs w:val="16"/>
        </w:rPr>
        <w:t>. b.</w:t>
      </w:r>
      <w:r w:rsidRPr="002E413D">
        <w:rPr>
          <w:sz w:val="16"/>
          <w:szCs w:val="16"/>
        </w:rPr>
        <w:t xml:space="preserve"> ve prospěch obcí a krajů</w:t>
      </w:r>
      <w:r>
        <w:rPr>
          <w:sz w:val="16"/>
          <w:szCs w:val="16"/>
        </w:rPr>
        <w:t>, což</w:t>
      </w:r>
      <w:r w:rsidRPr="002E413D">
        <w:rPr>
          <w:sz w:val="16"/>
          <w:szCs w:val="16"/>
        </w:rPr>
        <w:t xml:space="preserve"> mělo na konci </w:t>
      </w:r>
      <w:r>
        <w:rPr>
          <w:sz w:val="16"/>
          <w:szCs w:val="16"/>
        </w:rPr>
        <w:t xml:space="preserve">června na SR negativní </w:t>
      </w:r>
      <w:r w:rsidRPr="002E413D">
        <w:rPr>
          <w:sz w:val="16"/>
          <w:szCs w:val="16"/>
        </w:rPr>
        <w:t xml:space="preserve">dopad ve výši </w:t>
      </w:r>
      <w:r>
        <w:rPr>
          <w:sz w:val="16"/>
          <w:szCs w:val="16"/>
        </w:rPr>
        <w:t>16</w:t>
      </w:r>
      <w:r w:rsidRPr="002E413D">
        <w:rPr>
          <w:sz w:val="16"/>
          <w:szCs w:val="16"/>
        </w:rPr>
        <w:t xml:space="preserve">,7 mld. </w:t>
      </w:r>
      <w:r>
        <w:rPr>
          <w:sz w:val="16"/>
          <w:szCs w:val="16"/>
        </w:rPr>
        <w:t>korun. V předchozích dvou letech naopak ze změny rozpočtového určení daní profitoval SR (např. za celý rok 2025 dle odhadu MF 13,3 mld. korun).</w:t>
      </w:r>
    </w:p>
  </w:footnote>
  <w:footnote w:id="128">
    <w:p w14:paraId="7206A3CD" w14:textId="77777777" w:rsidR="006B1AFC" w:rsidRPr="00824A5B" w:rsidRDefault="006B1AFC" w:rsidP="009324EF">
      <w:pPr>
        <w:pStyle w:val="Textpoznpodarou"/>
        <w:rPr>
          <w:sz w:val="16"/>
          <w:szCs w:val="16"/>
        </w:rPr>
      </w:pPr>
      <w:r w:rsidRPr="00824A5B">
        <w:rPr>
          <w:rStyle w:val="Znakapoznpodarou"/>
          <w:sz w:val="16"/>
          <w:szCs w:val="16"/>
        </w:rPr>
        <w:footnoteRef/>
      </w:r>
      <w:r w:rsidRPr="00824A5B">
        <w:rPr>
          <w:sz w:val="16"/>
          <w:szCs w:val="16"/>
        </w:rPr>
        <w:t xml:space="preserve"> Rozpočtové provizorium bylo </w:t>
      </w:r>
      <w:r>
        <w:rPr>
          <w:sz w:val="16"/>
          <w:szCs w:val="16"/>
        </w:rPr>
        <w:t>letos ukončeno 20. března, a to naby</w:t>
      </w:r>
      <w:r w:rsidRPr="00824A5B">
        <w:rPr>
          <w:sz w:val="16"/>
          <w:szCs w:val="16"/>
        </w:rPr>
        <w:t>tím účinnosti zákona o státním rozpočtu ČR na rok 202</w:t>
      </w:r>
      <w:r>
        <w:rPr>
          <w:sz w:val="16"/>
          <w:szCs w:val="16"/>
        </w:rPr>
        <w:t>6</w:t>
      </w:r>
      <w:r w:rsidRPr="00824A5B">
        <w:rPr>
          <w:sz w:val="16"/>
          <w:szCs w:val="16"/>
        </w:rPr>
        <w:t>.</w:t>
      </w:r>
      <w:r>
        <w:rPr>
          <w:sz w:val="16"/>
          <w:szCs w:val="16"/>
        </w:rPr>
        <w:t xml:space="preserve"> V režimu rozpočtového provizoria hospodařil v minulosti tuzemský státní rozpočet rovněž na počátku let 1999, 2000 a 2022.</w:t>
      </w:r>
    </w:p>
  </w:footnote>
  <w:footnote w:id="129">
    <w:p w14:paraId="03C6D501" w14:textId="77777777" w:rsidR="006B1AFC" w:rsidRPr="00FC6700" w:rsidRDefault="006B1AFC" w:rsidP="009324EF">
      <w:pPr>
        <w:pStyle w:val="Textpoznpodarou"/>
        <w:rPr>
          <w:sz w:val="16"/>
          <w:szCs w:val="16"/>
        </w:rPr>
      </w:pPr>
      <w:r w:rsidRPr="00FC6700">
        <w:rPr>
          <w:rStyle w:val="Znakapoznpodarou"/>
          <w:sz w:val="16"/>
          <w:szCs w:val="16"/>
        </w:rPr>
        <w:footnoteRef/>
      </w:r>
      <w:r w:rsidRPr="00FC6700">
        <w:rPr>
          <w:sz w:val="16"/>
          <w:szCs w:val="16"/>
        </w:rPr>
        <w:t xml:space="preserve"> Zákon o státním rozpočtu na rok 202</w:t>
      </w:r>
      <w:r>
        <w:rPr>
          <w:sz w:val="16"/>
          <w:szCs w:val="16"/>
        </w:rPr>
        <w:t>6</w:t>
      </w:r>
      <w:r w:rsidRPr="00FC6700">
        <w:rPr>
          <w:sz w:val="16"/>
          <w:szCs w:val="16"/>
        </w:rPr>
        <w:t xml:space="preserve"> (vycházející z makroekonomické predikce MF z </w:t>
      </w:r>
      <w:r>
        <w:rPr>
          <w:sz w:val="16"/>
          <w:szCs w:val="16"/>
        </w:rPr>
        <w:t>ledna</w:t>
      </w:r>
      <w:r w:rsidRPr="00FC6700">
        <w:rPr>
          <w:sz w:val="16"/>
          <w:szCs w:val="16"/>
        </w:rPr>
        <w:t xml:space="preserve"> 202</w:t>
      </w:r>
      <w:r>
        <w:rPr>
          <w:sz w:val="16"/>
          <w:szCs w:val="16"/>
        </w:rPr>
        <w:t>6</w:t>
      </w:r>
      <w:r w:rsidRPr="00FC6700">
        <w:rPr>
          <w:sz w:val="16"/>
          <w:szCs w:val="16"/>
        </w:rPr>
        <w:t>) počít</w:t>
      </w:r>
      <w:r>
        <w:rPr>
          <w:sz w:val="16"/>
          <w:szCs w:val="16"/>
        </w:rPr>
        <w:t>al pro letošní rok</w:t>
      </w:r>
      <w:r w:rsidRPr="00FC6700">
        <w:rPr>
          <w:sz w:val="16"/>
          <w:szCs w:val="16"/>
        </w:rPr>
        <w:t xml:space="preserve"> </w:t>
      </w:r>
      <w:r>
        <w:rPr>
          <w:sz w:val="16"/>
          <w:szCs w:val="16"/>
        </w:rPr>
        <w:t>oproti loňské skutečnosti s růstem celkových příjmů o 1,8 % a výdajů o 2,4 %. Rozpočtový</w:t>
      </w:r>
      <w:r w:rsidRPr="00FC6700">
        <w:rPr>
          <w:sz w:val="16"/>
          <w:szCs w:val="16"/>
        </w:rPr>
        <w:t xml:space="preserve"> schod</w:t>
      </w:r>
      <w:r>
        <w:rPr>
          <w:sz w:val="16"/>
          <w:szCs w:val="16"/>
        </w:rPr>
        <w:t>ek</w:t>
      </w:r>
      <w:r w:rsidRPr="00FC6700">
        <w:rPr>
          <w:sz w:val="16"/>
          <w:szCs w:val="16"/>
        </w:rPr>
        <w:t xml:space="preserve"> </w:t>
      </w:r>
      <w:r>
        <w:rPr>
          <w:sz w:val="16"/>
          <w:szCs w:val="16"/>
        </w:rPr>
        <w:t>by měl činit 310</w:t>
      </w:r>
      <w:r w:rsidRPr="00FC6700">
        <w:rPr>
          <w:sz w:val="16"/>
          <w:szCs w:val="16"/>
        </w:rPr>
        <w:t xml:space="preserve"> mld. korun, což je </w:t>
      </w:r>
      <w:r>
        <w:rPr>
          <w:sz w:val="16"/>
          <w:szCs w:val="16"/>
        </w:rPr>
        <w:br/>
      </w:r>
      <w:r w:rsidRPr="00FC6700">
        <w:rPr>
          <w:sz w:val="16"/>
          <w:szCs w:val="16"/>
        </w:rPr>
        <w:t xml:space="preserve">o </w:t>
      </w:r>
      <w:r>
        <w:rPr>
          <w:sz w:val="16"/>
          <w:szCs w:val="16"/>
        </w:rPr>
        <w:t>19,3</w:t>
      </w:r>
      <w:r w:rsidRPr="00FC6700">
        <w:rPr>
          <w:sz w:val="16"/>
          <w:szCs w:val="16"/>
        </w:rPr>
        <w:t xml:space="preserve"> mld. </w:t>
      </w:r>
      <w:r>
        <w:rPr>
          <w:sz w:val="16"/>
          <w:szCs w:val="16"/>
        </w:rPr>
        <w:t>vyš</w:t>
      </w:r>
      <w:r w:rsidRPr="00FC6700">
        <w:rPr>
          <w:sz w:val="16"/>
          <w:szCs w:val="16"/>
        </w:rPr>
        <w:t>ší deficit než skutečně dosažený v roce 202</w:t>
      </w:r>
      <w:r>
        <w:rPr>
          <w:sz w:val="16"/>
          <w:szCs w:val="16"/>
        </w:rPr>
        <w:t>5</w:t>
      </w:r>
      <w:r w:rsidRPr="00FC6700">
        <w:rPr>
          <w:sz w:val="16"/>
          <w:szCs w:val="16"/>
        </w:rPr>
        <w:t>.</w:t>
      </w:r>
    </w:p>
  </w:footnote>
  <w:footnote w:id="130">
    <w:p w14:paraId="7DE63FA2" w14:textId="77777777" w:rsidR="006B1AFC" w:rsidRPr="003049F7" w:rsidRDefault="006B1AFC" w:rsidP="009324EF">
      <w:pPr>
        <w:pStyle w:val="Textpoznpodarou"/>
        <w:rPr>
          <w:sz w:val="16"/>
          <w:szCs w:val="16"/>
        </w:rPr>
      </w:pPr>
      <w:r w:rsidRPr="003049F7">
        <w:rPr>
          <w:rStyle w:val="Znakapoznpodarou"/>
          <w:sz w:val="16"/>
          <w:szCs w:val="16"/>
        </w:rPr>
        <w:footnoteRef/>
      </w:r>
      <w:r w:rsidRPr="003049F7">
        <w:rPr>
          <w:sz w:val="16"/>
          <w:szCs w:val="16"/>
        </w:rPr>
        <w:t xml:space="preserve"> </w:t>
      </w:r>
      <w:r w:rsidRPr="003049F7">
        <w:rPr>
          <w:color w:val="0D0D0D" w:themeColor="text1" w:themeTint="F2"/>
          <w:spacing w:val="-2"/>
          <w:sz w:val="16"/>
          <w:szCs w:val="16"/>
        </w:rPr>
        <w:t xml:space="preserve">Celostátní daňové inkaso (zohledňující příjmy na úrovni všech veřejných rozpočtů) ale vzrostlo o 5,0 % (po odečtení výše uvedených mimořádných firemních daní dokonce o 8,1 %) a rostlo tak mírně vyšším </w:t>
      </w:r>
      <w:r w:rsidRPr="003049F7">
        <w:rPr>
          <w:color w:val="0D0D0D" w:themeColor="text1" w:themeTint="F2"/>
          <w:spacing w:val="-4"/>
          <w:sz w:val="16"/>
          <w:szCs w:val="16"/>
        </w:rPr>
        <w:t>tempem než v úhrnu za loňský rok</w:t>
      </w:r>
      <w:r w:rsidRPr="003049F7">
        <w:rPr>
          <w:spacing w:val="-4"/>
          <w:sz w:val="16"/>
          <w:szCs w:val="16"/>
        </w:rPr>
        <w:t>.</w:t>
      </w:r>
    </w:p>
  </w:footnote>
  <w:footnote w:id="131">
    <w:p w14:paraId="05241381" w14:textId="77777777" w:rsidR="006B1AFC" w:rsidRPr="00536BF0" w:rsidRDefault="006B1AFC" w:rsidP="009324EF">
      <w:pPr>
        <w:pStyle w:val="Textpoznpodarou"/>
        <w:rPr>
          <w:sz w:val="16"/>
          <w:szCs w:val="16"/>
        </w:rPr>
      </w:pPr>
      <w:r w:rsidRPr="00536BF0">
        <w:rPr>
          <w:rStyle w:val="Znakapoznpodarou"/>
          <w:sz w:val="16"/>
          <w:szCs w:val="16"/>
        </w:rPr>
        <w:footnoteRef/>
      </w:r>
      <w:r w:rsidRPr="00536BF0">
        <w:rPr>
          <w:sz w:val="16"/>
          <w:szCs w:val="16"/>
        </w:rPr>
        <w:t xml:space="preserve"> Intenzita předzásobení prodejců tabákovými výrobky nebyla na počátku letošního roku zdaleka tak silná jako v předešlých dvou letech. </w:t>
      </w:r>
      <w:r>
        <w:rPr>
          <w:sz w:val="16"/>
          <w:szCs w:val="16"/>
        </w:rPr>
        <w:t xml:space="preserve">Vliv měly dále patrně i dlouhodobější změny ve struktuře spotřeby (přesun k alternativním, dosud relativně méně zdaněným tabákovým produktům) a patrně i přetrvávající vyšší obliba přeshraničních nákupů (zejména v Polsku). </w:t>
      </w:r>
    </w:p>
  </w:footnote>
  <w:footnote w:id="132">
    <w:p w14:paraId="540CF3D5" w14:textId="77777777" w:rsidR="006B1AFC" w:rsidRPr="00CE4510" w:rsidRDefault="006B1AFC" w:rsidP="009324EF">
      <w:pPr>
        <w:pStyle w:val="Textpoznpodarou"/>
        <w:rPr>
          <w:sz w:val="16"/>
          <w:szCs w:val="16"/>
        </w:rPr>
      </w:pPr>
      <w:r w:rsidRPr="00CE4510">
        <w:rPr>
          <w:rStyle w:val="Znakapoznpodarou"/>
          <w:sz w:val="16"/>
          <w:szCs w:val="16"/>
        </w:rPr>
        <w:footnoteRef/>
      </w:r>
      <w:r w:rsidRPr="00CE4510">
        <w:rPr>
          <w:sz w:val="16"/>
          <w:szCs w:val="16"/>
        </w:rPr>
        <w:t xml:space="preserve"> </w:t>
      </w:r>
      <w:r w:rsidRPr="00CD4841">
        <w:rPr>
          <w:spacing w:val="-6"/>
          <w:sz w:val="16"/>
          <w:szCs w:val="16"/>
        </w:rPr>
        <w:t>Z toho ve 2. čtvrtletí 2026 celkové inkaso daně z minerálních olejů meziročně vzrostlo pouze o 1,5 % (v samotném červnu již dokonce klesalo).</w:t>
      </w:r>
    </w:p>
  </w:footnote>
  <w:footnote w:id="133">
    <w:p w14:paraId="0FF32685" w14:textId="77777777" w:rsidR="006B1AFC" w:rsidRPr="002A1132" w:rsidRDefault="006B1AFC" w:rsidP="009324EF">
      <w:pPr>
        <w:pStyle w:val="Textpoznpodarou"/>
        <w:rPr>
          <w:sz w:val="16"/>
          <w:szCs w:val="16"/>
        </w:rPr>
      </w:pPr>
      <w:r w:rsidRPr="002A1132">
        <w:rPr>
          <w:rStyle w:val="Znakapoznpodarou"/>
          <w:sz w:val="16"/>
          <w:szCs w:val="16"/>
        </w:rPr>
        <w:footnoteRef/>
      </w:r>
      <w:r w:rsidRPr="002A1132">
        <w:rPr>
          <w:sz w:val="16"/>
          <w:szCs w:val="16"/>
        </w:rPr>
        <w:t xml:space="preserve"> Šlo především o </w:t>
      </w:r>
      <w:r w:rsidRPr="002A1132">
        <w:rPr>
          <w:color w:val="0D0D0D" w:themeColor="text1" w:themeTint="F2"/>
          <w:sz w:val="16"/>
          <w:szCs w:val="16"/>
        </w:rPr>
        <w:t>snížení hranice příjmů pro druhou, vyšší daňovou sazbu, zrušení či omezení některých daňových slev.</w:t>
      </w:r>
    </w:p>
  </w:footnote>
  <w:footnote w:id="134">
    <w:p w14:paraId="7E19849E" w14:textId="77777777" w:rsidR="006B1AFC" w:rsidRPr="005C53E9" w:rsidRDefault="006B1AFC" w:rsidP="009324EF">
      <w:pPr>
        <w:pStyle w:val="Textpoznpodarou"/>
        <w:rPr>
          <w:sz w:val="16"/>
          <w:szCs w:val="16"/>
        </w:rPr>
      </w:pPr>
      <w:r w:rsidRPr="005C53E9">
        <w:rPr>
          <w:rStyle w:val="Znakapoznpodarou"/>
          <w:sz w:val="16"/>
          <w:szCs w:val="16"/>
        </w:rPr>
        <w:footnoteRef/>
      </w:r>
      <w:r w:rsidRPr="005C53E9">
        <w:rPr>
          <w:sz w:val="16"/>
          <w:szCs w:val="16"/>
        </w:rPr>
        <w:t xml:space="preserve"> </w:t>
      </w:r>
      <w:r w:rsidRPr="005C53E9">
        <w:rPr>
          <w:spacing w:val="-2"/>
          <w:sz w:val="16"/>
          <w:szCs w:val="16"/>
        </w:rPr>
        <w:t>Jde o daně z nadměrných příjmů a neočekávaných zisků. Jejich pozitivní vliv na příjmy SR kulminoval v roce 2023. Letos již je zcela zanedbatelný (nepočítá se již s dalšími zálohami těchto daní, pouze v druhé polovině tohoto roku proběhne vyrovnání daně za rok 2025).</w:t>
      </w:r>
    </w:p>
  </w:footnote>
  <w:footnote w:id="135">
    <w:p w14:paraId="3401AC77" w14:textId="77777777" w:rsidR="006B1AFC" w:rsidRPr="00E3744F" w:rsidRDefault="006B1AFC" w:rsidP="009324EF">
      <w:pPr>
        <w:pStyle w:val="Textpoznpodarou"/>
        <w:rPr>
          <w:sz w:val="16"/>
          <w:szCs w:val="16"/>
        </w:rPr>
      </w:pPr>
      <w:r w:rsidRPr="00E3744F">
        <w:rPr>
          <w:rStyle w:val="Znakapoznpodarou"/>
          <w:sz w:val="16"/>
          <w:szCs w:val="16"/>
        </w:rPr>
        <w:footnoteRef/>
      </w:r>
      <w:r w:rsidRPr="00E3744F">
        <w:rPr>
          <w:sz w:val="16"/>
          <w:szCs w:val="16"/>
        </w:rPr>
        <w:t xml:space="preserve"> Ten se projevil zejména dubnovou platbou </w:t>
      </w:r>
      <w:r>
        <w:rPr>
          <w:sz w:val="16"/>
          <w:szCs w:val="16"/>
        </w:rPr>
        <w:t>(</w:t>
      </w:r>
      <w:r w:rsidRPr="00E3744F">
        <w:rPr>
          <w:sz w:val="16"/>
          <w:szCs w:val="16"/>
        </w:rPr>
        <w:t>ve výši 17,0 mld korun</w:t>
      </w:r>
      <w:r>
        <w:rPr>
          <w:sz w:val="16"/>
          <w:szCs w:val="16"/>
        </w:rPr>
        <w:t>) získanou z N</w:t>
      </w:r>
      <w:r w:rsidRPr="00E3744F">
        <w:rPr>
          <w:sz w:val="16"/>
          <w:szCs w:val="16"/>
        </w:rPr>
        <w:t>ástroje pro oživení a odolnost, který vznikl na podporu ekonomik po pandemii covidu-19</w:t>
      </w:r>
      <w:r>
        <w:rPr>
          <w:sz w:val="16"/>
          <w:szCs w:val="16"/>
        </w:rPr>
        <w:t>.</w:t>
      </w:r>
    </w:p>
  </w:footnote>
  <w:footnote w:id="136">
    <w:p w14:paraId="3F422FDE" w14:textId="77777777" w:rsidR="006B1AFC" w:rsidRPr="008A33C1" w:rsidRDefault="006B1AFC" w:rsidP="009324EF">
      <w:pPr>
        <w:pStyle w:val="Textpoznpodarou"/>
        <w:rPr>
          <w:sz w:val="16"/>
          <w:szCs w:val="16"/>
        </w:rPr>
      </w:pPr>
      <w:r w:rsidRPr="008A33C1">
        <w:rPr>
          <w:rStyle w:val="Znakapoznpodarou"/>
          <w:sz w:val="16"/>
          <w:szCs w:val="16"/>
        </w:rPr>
        <w:footnoteRef/>
      </w:r>
      <w:r w:rsidRPr="008A33C1">
        <w:rPr>
          <w:sz w:val="16"/>
          <w:szCs w:val="16"/>
        </w:rPr>
        <w:t xml:space="preserve"> Tato tradičně váhově významná položka v 1. pololetí 2026 tvořila 39,0 % všech výdajů SR. Šlo o srovnatelný podíl jako v předchozích dvou letech a ten se současně významně neodlišoval od dlouhodobého průměru.</w:t>
      </w:r>
    </w:p>
  </w:footnote>
  <w:footnote w:id="137">
    <w:p w14:paraId="69331AEF" w14:textId="77777777" w:rsidR="006B1AFC" w:rsidRPr="00857E9B" w:rsidRDefault="006B1AFC" w:rsidP="009324EF">
      <w:pPr>
        <w:pStyle w:val="Textpoznpodarou"/>
        <w:rPr>
          <w:sz w:val="16"/>
          <w:szCs w:val="16"/>
        </w:rPr>
      </w:pPr>
      <w:r w:rsidRPr="00857E9B">
        <w:rPr>
          <w:rStyle w:val="Znakapoznpodarou"/>
          <w:sz w:val="16"/>
          <w:szCs w:val="16"/>
        </w:rPr>
        <w:footnoteRef/>
      </w:r>
      <w:r w:rsidRPr="00857E9B">
        <w:rPr>
          <w:sz w:val="16"/>
          <w:szCs w:val="16"/>
        </w:rPr>
        <w:t xml:space="preserve"> Z váhově významnějších kategorií </w:t>
      </w:r>
      <w:r>
        <w:rPr>
          <w:sz w:val="16"/>
          <w:szCs w:val="16"/>
        </w:rPr>
        <w:t>se zvýšil</w:t>
      </w:r>
      <w:r w:rsidRPr="00857E9B">
        <w:rPr>
          <w:sz w:val="16"/>
          <w:szCs w:val="16"/>
        </w:rPr>
        <w:t xml:space="preserve"> pouze počet invalidních důchodců (+0,9 %, zejména v nižších stupních invalidity). </w:t>
      </w:r>
      <w:r>
        <w:rPr>
          <w:sz w:val="16"/>
          <w:szCs w:val="16"/>
        </w:rPr>
        <w:t xml:space="preserve">Poměrně nízký zůstal růst trvale krácených starobních důchodů (+0,8 %, </w:t>
      </w:r>
      <w:r w:rsidRPr="003405C2">
        <w:rPr>
          <w:rFonts w:cs="Verdana"/>
          <w:color w:val="0D0D0D" w:themeColor="text1" w:themeTint="F2"/>
          <w:spacing w:val="-2"/>
          <w:sz w:val="16"/>
          <w:szCs w:val="16"/>
        </w:rPr>
        <w:t xml:space="preserve">na celkovém počtu starobních důchodců </w:t>
      </w:r>
      <w:r>
        <w:rPr>
          <w:rFonts w:cs="Verdana"/>
          <w:color w:val="0D0D0D" w:themeColor="text1" w:themeTint="F2"/>
          <w:spacing w:val="-2"/>
          <w:sz w:val="16"/>
          <w:szCs w:val="16"/>
        </w:rPr>
        <w:t xml:space="preserve">se ale tyto osoby </w:t>
      </w:r>
      <w:r w:rsidRPr="003405C2">
        <w:rPr>
          <w:rFonts w:cs="Verdana"/>
          <w:color w:val="0D0D0D" w:themeColor="text1" w:themeTint="F2"/>
          <w:spacing w:val="-2"/>
          <w:sz w:val="16"/>
          <w:szCs w:val="16"/>
        </w:rPr>
        <w:t>podílel</w:t>
      </w:r>
      <w:r>
        <w:rPr>
          <w:rFonts w:cs="Verdana"/>
          <w:color w:val="0D0D0D" w:themeColor="text1" w:themeTint="F2"/>
          <w:spacing w:val="-2"/>
          <w:sz w:val="16"/>
          <w:szCs w:val="16"/>
        </w:rPr>
        <w:t>y</w:t>
      </w:r>
      <w:r w:rsidRPr="003405C2">
        <w:rPr>
          <w:rFonts w:cs="Verdana"/>
          <w:color w:val="0D0D0D" w:themeColor="text1" w:themeTint="F2"/>
          <w:spacing w:val="-2"/>
          <w:sz w:val="16"/>
          <w:szCs w:val="16"/>
        </w:rPr>
        <w:t xml:space="preserve"> </w:t>
      </w:r>
      <w:r>
        <w:rPr>
          <w:rFonts w:cs="Verdana"/>
          <w:color w:val="0D0D0D" w:themeColor="text1" w:themeTint="F2"/>
          <w:spacing w:val="-2"/>
          <w:sz w:val="16"/>
          <w:szCs w:val="16"/>
        </w:rPr>
        <w:t>celou</w:t>
      </w:r>
      <w:r w:rsidRPr="003405C2">
        <w:rPr>
          <w:rFonts w:cs="Verdana"/>
          <w:color w:val="0D0D0D" w:themeColor="text1" w:themeTint="F2"/>
          <w:spacing w:val="-2"/>
          <w:sz w:val="16"/>
          <w:szCs w:val="16"/>
        </w:rPr>
        <w:t xml:space="preserve"> třetin</w:t>
      </w:r>
      <w:r>
        <w:rPr>
          <w:rFonts w:cs="Verdana"/>
          <w:color w:val="0D0D0D" w:themeColor="text1" w:themeTint="F2"/>
          <w:spacing w:val="-2"/>
          <w:sz w:val="16"/>
          <w:szCs w:val="16"/>
        </w:rPr>
        <w:t xml:space="preserve">ou). To bylo způsobeno schválenými </w:t>
      </w:r>
      <w:r w:rsidRPr="00857E9B">
        <w:rPr>
          <w:rFonts w:cs="Verdana"/>
          <w:color w:val="0D0D0D" w:themeColor="text1" w:themeTint="F2"/>
          <w:spacing w:val="-2"/>
          <w:sz w:val="16"/>
          <w:szCs w:val="16"/>
        </w:rPr>
        <w:t>zpřísněnými pravidly pro odchod do předčasného důchodu</w:t>
      </w:r>
      <w:r>
        <w:rPr>
          <w:rFonts w:cs="Verdana"/>
          <w:color w:val="0D0D0D" w:themeColor="text1" w:themeTint="F2"/>
          <w:spacing w:val="-2"/>
          <w:sz w:val="16"/>
          <w:szCs w:val="16"/>
        </w:rPr>
        <w:t xml:space="preserve"> (o</w:t>
      </w:r>
      <w:r w:rsidRPr="003405C2">
        <w:rPr>
          <w:rFonts w:cs="Verdana"/>
          <w:color w:val="0D0D0D" w:themeColor="text1" w:themeTint="F2"/>
          <w:spacing w:val="-2"/>
          <w:sz w:val="16"/>
          <w:szCs w:val="16"/>
        </w:rPr>
        <w:t>d října 2024 se potřebná doba pojištění zvýšila z 35 na 40 let</w:t>
      </w:r>
      <w:r>
        <w:rPr>
          <w:rFonts w:cs="Verdana"/>
          <w:color w:val="0D0D0D" w:themeColor="text1" w:themeTint="F2"/>
          <w:spacing w:val="-2"/>
          <w:sz w:val="16"/>
          <w:szCs w:val="16"/>
        </w:rPr>
        <w:t>)</w:t>
      </w:r>
      <w:r w:rsidRPr="003405C2">
        <w:rPr>
          <w:rFonts w:cs="Verdana"/>
          <w:color w:val="0D0D0D" w:themeColor="text1" w:themeTint="F2"/>
          <w:spacing w:val="-2"/>
          <w:sz w:val="16"/>
          <w:szCs w:val="16"/>
        </w:rPr>
        <w:t xml:space="preserve">. Již dříve </w:t>
      </w:r>
      <w:r>
        <w:rPr>
          <w:rFonts w:cs="Verdana"/>
          <w:color w:val="0D0D0D" w:themeColor="text1" w:themeTint="F2"/>
          <w:spacing w:val="-2"/>
          <w:sz w:val="16"/>
          <w:szCs w:val="16"/>
        </w:rPr>
        <w:t xml:space="preserve">navíc </w:t>
      </w:r>
      <w:r w:rsidRPr="003405C2">
        <w:rPr>
          <w:rFonts w:cs="Verdana"/>
          <w:color w:val="0D0D0D" w:themeColor="text1" w:themeTint="F2"/>
          <w:spacing w:val="-2"/>
          <w:sz w:val="16"/>
          <w:szCs w:val="16"/>
        </w:rPr>
        <w:t>došlo k dalším zpřísněním: maximální doba předčasnosti se zkrátila z 5 let na 3 roky, zrušila se valorizace procentní výměry předčasného důchodu až do doby dosažení důchodového věku a výrazně vzrostlo krácení výše důchodu pro předčasnost</w:t>
      </w:r>
      <w:r>
        <w:rPr>
          <w:rFonts w:cs="Verdana"/>
          <w:color w:val="0D0D0D" w:themeColor="text1" w:themeTint="F2"/>
          <w:spacing w:val="-2"/>
          <w:sz w:val="16"/>
          <w:szCs w:val="16"/>
        </w:rPr>
        <w:t>. Nicméně o</w:t>
      </w:r>
      <w:r w:rsidRPr="00857E9B">
        <w:rPr>
          <w:rFonts w:cs="Verdana"/>
          <w:color w:val="0D0D0D" w:themeColor="text1" w:themeTint="F2"/>
          <w:spacing w:val="-2"/>
          <w:sz w:val="16"/>
          <w:szCs w:val="16"/>
        </w:rPr>
        <w:t>d roku 2026 pak na n</w:t>
      </w:r>
      <w:r>
        <w:rPr>
          <w:rFonts w:cs="Verdana"/>
          <w:color w:val="0D0D0D" w:themeColor="text1" w:themeTint="F2"/>
          <w:spacing w:val="-2"/>
          <w:sz w:val="16"/>
          <w:szCs w:val="16"/>
        </w:rPr>
        <w:t>ě</w:t>
      </w:r>
      <w:r w:rsidRPr="00857E9B">
        <w:rPr>
          <w:rFonts w:cs="Verdana"/>
          <w:color w:val="0D0D0D" w:themeColor="text1" w:themeTint="F2"/>
          <w:spacing w:val="-2"/>
          <w:sz w:val="16"/>
          <w:szCs w:val="16"/>
        </w:rPr>
        <w:t xml:space="preserve"> navázalo mírnější (poloviční) krácení pro ty, kdo dosáhli 45 a více let pojištěn</w:t>
      </w:r>
      <w:r>
        <w:rPr>
          <w:rFonts w:cs="Verdana"/>
          <w:color w:val="0D0D0D" w:themeColor="text1" w:themeTint="F2"/>
          <w:spacing w:val="-2"/>
          <w:sz w:val="16"/>
          <w:szCs w:val="16"/>
        </w:rPr>
        <w:t>í. To patrně vedlo k aktuálnímu nárůstu nových žádostí o předčasné důchody.</w:t>
      </w:r>
    </w:p>
  </w:footnote>
  <w:footnote w:id="138">
    <w:p w14:paraId="689D2102" w14:textId="77777777" w:rsidR="006B1AFC" w:rsidRDefault="006B1AFC" w:rsidP="009324EF">
      <w:pPr>
        <w:pStyle w:val="Textpoznpodarou"/>
      </w:pPr>
      <w:r w:rsidRPr="00857E9B">
        <w:rPr>
          <w:rStyle w:val="Znakapoznpodarou"/>
          <w:sz w:val="16"/>
          <w:szCs w:val="16"/>
        </w:rPr>
        <w:footnoteRef/>
      </w:r>
      <w:r w:rsidRPr="00857E9B">
        <w:rPr>
          <w:sz w:val="16"/>
          <w:szCs w:val="16"/>
        </w:rPr>
        <w:t xml:space="preserve"> </w:t>
      </w:r>
      <w:r w:rsidRPr="00857E9B">
        <w:rPr>
          <w:color w:val="0D0D0D" w:themeColor="text1" w:themeTint="F2"/>
          <w:spacing w:val="-2"/>
          <w:sz w:val="16"/>
          <w:szCs w:val="16"/>
        </w:rPr>
        <w:t>Průměrný měsíční</w:t>
      </w:r>
      <w:r w:rsidRPr="003405C2">
        <w:rPr>
          <w:color w:val="0D0D0D" w:themeColor="text1" w:themeTint="F2"/>
          <w:spacing w:val="-2"/>
          <w:sz w:val="16"/>
          <w:szCs w:val="16"/>
        </w:rPr>
        <w:t xml:space="preserve"> starobní důchod (bez souběhu s ostatními důchody) byl v </w:t>
      </w:r>
      <w:r>
        <w:rPr>
          <w:color w:val="0D0D0D" w:themeColor="text1" w:themeTint="F2"/>
          <w:spacing w:val="-2"/>
          <w:sz w:val="16"/>
          <w:szCs w:val="16"/>
        </w:rPr>
        <w:t>červnu</w:t>
      </w:r>
      <w:r w:rsidRPr="003405C2">
        <w:rPr>
          <w:color w:val="0D0D0D" w:themeColor="text1" w:themeTint="F2"/>
          <w:spacing w:val="-2"/>
          <w:sz w:val="16"/>
          <w:szCs w:val="16"/>
        </w:rPr>
        <w:t xml:space="preserve"> 202</w:t>
      </w:r>
      <w:r>
        <w:rPr>
          <w:color w:val="0D0D0D" w:themeColor="text1" w:themeTint="F2"/>
          <w:spacing w:val="-2"/>
          <w:sz w:val="16"/>
          <w:szCs w:val="16"/>
        </w:rPr>
        <w:t>6</w:t>
      </w:r>
      <w:r w:rsidRPr="003405C2">
        <w:rPr>
          <w:color w:val="0D0D0D" w:themeColor="text1" w:themeTint="F2"/>
          <w:spacing w:val="-2"/>
          <w:sz w:val="16"/>
          <w:szCs w:val="16"/>
        </w:rPr>
        <w:t xml:space="preserve"> meziročně vyšší o 3,5 % a činil 21,8 tis. korun</w:t>
      </w:r>
      <w:r w:rsidRPr="003405C2">
        <w:rPr>
          <w:color w:val="0D0D0D" w:themeColor="text1" w:themeTint="F2"/>
          <w:sz w:val="16"/>
          <w:szCs w:val="16"/>
        </w:rPr>
        <w:t xml:space="preserve"> (u mužů 23,1 tis. korun, u žen 20,6 tis. korun).</w:t>
      </w:r>
    </w:p>
  </w:footnote>
  <w:footnote w:id="139">
    <w:p w14:paraId="6F082FED" w14:textId="77777777" w:rsidR="006B1AFC" w:rsidRPr="00FC6700" w:rsidRDefault="006B1AFC" w:rsidP="009324EF">
      <w:pPr>
        <w:spacing w:after="0" w:line="240" w:lineRule="auto"/>
      </w:pPr>
      <w:r w:rsidRPr="003405C2">
        <w:rPr>
          <w:rStyle w:val="Znakapoznpodarou"/>
          <w:rFonts w:eastAsia="Calibri"/>
          <w:color w:val="0D0D0D" w:themeColor="text1" w:themeTint="F2"/>
          <w:sz w:val="16"/>
          <w:szCs w:val="16"/>
        </w:rPr>
        <w:footnoteRef/>
      </w:r>
      <w:r w:rsidRPr="003405C2">
        <w:rPr>
          <w:rStyle w:val="Znakapoznpodarou"/>
          <w:rFonts w:eastAsia="Calibri"/>
          <w:color w:val="0D0D0D" w:themeColor="text1" w:themeTint="F2"/>
          <w:sz w:val="16"/>
          <w:szCs w:val="16"/>
        </w:rPr>
        <w:t xml:space="preserve"> </w:t>
      </w:r>
      <w:r w:rsidRPr="003405C2">
        <w:rPr>
          <w:rFonts w:eastAsia="Calibri"/>
          <w:color w:val="0D0D0D" w:themeColor="text1" w:themeTint="F2"/>
          <w:sz w:val="16"/>
          <w:szCs w:val="16"/>
        </w:rPr>
        <w:t>Jde o rozdíl mezi příjmy z pojistného na důchodové pojištění a výdaji na tyto dávky (vč. výdajů na jejich správu</w:t>
      </w:r>
      <w:r>
        <w:rPr>
          <w:rFonts w:eastAsia="Calibri"/>
          <w:color w:val="0D0D0D" w:themeColor="text1" w:themeTint="F2"/>
          <w:sz w:val="16"/>
          <w:szCs w:val="16"/>
        </w:rPr>
        <w:t>, který v 1. pololetí činil 3,5 mld. korun</w:t>
      </w:r>
      <w:r w:rsidRPr="003405C2">
        <w:rPr>
          <w:rFonts w:eastAsia="Calibri"/>
          <w:color w:val="0D0D0D" w:themeColor="text1" w:themeTint="F2"/>
          <w:sz w:val="16"/>
          <w:szCs w:val="16"/>
        </w:rPr>
        <w:t xml:space="preserve">) </w:t>
      </w:r>
      <w:r w:rsidRPr="003405C2">
        <w:rPr>
          <w:rFonts w:cs="Arial"/>
          <w:color w:val="0D0D0D" w:themeColor="text1" w:themeTint="F2"/>
          <w:sz w:val="16"/>
          <w:szCs w:val="16"/>
        </w:rPr>
        <w:t xml:space="preserve">dle </w:t>
      </w:r>
      <w:r>
        <w:rPr>
          <w:rFonts w:cs="Arial"/>
          <w:color w:val="0D0D0D" w:themeColor="text1" w:themeTint="F2"/>
          <w:sz w:val="16"/>
          <w:szCs w:val="16"/>
        </w:rPr>
        <w:t xml:space="preserve">předběžné </w:t>
      </w:r>
      <w:r w:rsidRPr="003405C2">
        <w:rPr>
          <w:rFonts w:cs="Arial"/>
          <w:color w:val="0D0D0D" w:themeColor="text1" w:themeTint="F2"/>
          <w:sz w:val="16"/>
          <w:szCs w:val="16"/>
        </w:rPr>
        <w:t xml:space="preserve">účetní bilance </w:t>
      </w:r>
      <w:r w:rsidRPr="00FC6700">
        <w:rPr>
          <w:rFonts w:cs="Arial"/>
          <w:color w:val="000000" w:themeColor="text1"/>
          <w:sz w:val="16"/>
          <w:szCs w:val="16"/>
        </w:rPr>
        <w:t>MF.</w:t>
      </w:r>
    </w:p>
  </w:footnote>
  <w:footnote w:id="140">
    <w:p w14:paraId="28238E03" w14:textId="77777777" w:rsidR="006B1AFC" w:rsidRPr="007004A2" w:rsidRDefault="006B1AFC" w:rsidP="009324EF">
      <w:pPr>
        <w:pStyle w:val="Textpoznpodarou"/>
        <w:rPr>
          <w:sz w:val="16"/>
          <w:szCs w:val="16"/>
        </w:rPr>
      </w:pPr>
      <w:r w:rsidRPr="007004A2">
        <w:rPr>
          <w:rStyle w:val="Znakapoznpodarou"/>
          <w:sz w:val="16"/>
          <w:szCs w:val="16"/>
        </w:rPr>
        <w:footnoteRef/>
      </w:r>
      <w:r w:rsidRPr="007004A2">
        <w:rPr>
          <w:sz w:val="16"/>
          <w:szCs w:val="16"/>
        </w:rPr>
        <w:t xml:space="preserve"> Od ledna 2026 došlo k navýšení procentní sazby rozhodné pro výpočet podpory vyplácené v prvních měsících nezaměstnanosti.</w:t>
      </w:r>
      <w:r>
        <w:rPr>
          <w:sz w:val="16"/>
          <w:szCs w:val="16"/>
        </w:rPr>
        <w:t xml:space="preserve"> Zároveň se rozšířil i okruh osob majících nárok na podporu (ve vazbě na důvody ukončení posledního pracovního poměru).</w:t>
      </w:r>
    </w:p>
  </w:footnote>
  <w:footnote w:id="141">
    <w:p w14:paraId="770BC6C1" w14:textId="77777777" w:rsidR="006B1AFC" w:rsidRPr="009A42DC" w:rsidRDefault="006B1AFC" w:rsidP="009324EF">
      <w:pPr>
        <w:pStyle w:val="Textpoznpodarou"/>
        <w:rPr>
          <w:sz w:val="16"/>
          <w:szCs w:val="16"/>
        </w:rPr>
      </w:pPr>
      <w:r w:rsidRPr="009A42DC">
        <w:rPr>
          <w:rStyle w:val="Znakapoznpodarou"/>
          <w:sz w:val="16"/>
          <w:szCs w:val="16"/>
        </w:rPr>
        <w:footnoteRef/>
      </w:r>
      <w:r w:rsidRPr="009A42DC">
        <w:rPr>
          <w:sz w:val="16"/>
          <w:szCs w:val="16"/>
        </w:rPr>
        <w:t xml:space="preserve"> </w:t>
      </w:r>
      <w:r w:rsidRPr="009A42DC">
        <w:rPr>
          <w:color w:val="0D0D0D" w:themeColor="text1" w:themeTint="F2"/>
          <w:sz w:val="16"/>
          <w:szCs w:val="16"/>
        </w:rPr>
        <w:t>Počet uchazečů o práci s nárokem na podporu byl tak na konci letošního června meziročně vyšší o 14 tis. (dosahoval 97 tis</w:t>
      </w:r>
      <w:r>
        <w:rPr>
          <w:color w:val="0D0D0D" w:themeColor="text1" w:themeTint="F2"/>
          <w:sz w:val="16"/>
          <w:szCs w:val="16"/>
        </w:rPr>
        <w:t>. osob, resp.</w:t>
      </w:r>
      <w:r w:rsidRPr="009A42DC">
        <w:rPr>
          <w:color w:val="0D0D0D" w:themeColor="text1" w:themeTint="F2"/>
          <w:sz w:val="16"/>
          <w:szCs w:val="16"/>
        </w:rPr>
        <w:t xml:space="preserve"> </w:t>
      </w:r>
      <w:r>
        <w:rPr>
          <w:color w:val="0D0D0D" w:themeColor="text1" w:themeTint="F2"/>
          <w:sz w:val="16"/>
          <w:szCs w:val="16"/>
        </w:rPr>
        <w:t>27</w:t>
      </w:r>
      <w:r w:rsidRPr="009A42DC">
        <w:rPr>
          <w:color w:val="0D0D0D" w:themeColor="text1" w:themeTint="F2"/>
          <w:sz w:val="16"/>
          <w:szCs w:val="16"/>
        </w:rPr>
        <w:t xml:space="preserve"> % všech registrovaných uchazečů</w:t>
      </w:r>
      <w:r>
        <w:rPr>
          <w:color w:val="0D0D0D" w:themeColor="text1" w:themeTint="F2"/>
          <w:sz w:val="16"/>
          <w:szCs w:val="16"/>
        </w:rPr>
        <w:t xml:space="preserve"> a tento podíl se meziročně významně nezměnil</w:t>
      </w:r>
      <w:r w:rsidRPr="009A42DC">
        <w:rPr>
          <w:color w:val="0D0D0D" w:themeColor="text1" w:themeTint="F2"/>
          <w:sz w:val="16"/>
          <w:szCs w:val="16"/>
        </w:rPr>
        <w:t>).</w:t>
      </w:r>
    </w:p>
  </w:footnote>
  <w:footnote w:id="142">
    <w:p w14:paraId="19D4C6C3" w14:textId="77777777" w:rsidR="006B1AFC" w:rsidRPr="00491114" w:rsidRDefault="006B1AFC" w:rsidP="009324EF">
      <w:pPr>
        <w:pStyle w:val="Textpoznpodarou"/>
        <w:rPr>
          <w:sz w:val="16"/>
          <w:szCs w:val="16"/>
        </w:rPr>
      </w:pPr>
      <w:r w:rsidRPr="00491114">
        <w:rPr>
          <w:rStyle w:val="Znakapoznpodarou"/>
          <w:sz w:val="16"/>
          <w:szCs w:val="16"/>
        </w:rPr>
        <w:footnoteRef/>
      </w:r>
      <w:r w:rsidRPr="00491114">
        <w:rPr>
          <w:sz w:val="16"/>
          <w:szCs w:val="16"/>
        </w:rPr>
        <w:t xml:space="preserve"> Celková nemocnost se naopak snížila. Dle údajů ČSSZ klesl v 1. pololetí 2026 počet prostonaných dnů (z důvodů dočasné pracovní neschopnosti) meziročně o 5,3 % </w:t>
      </w:r>
    </w:p>
  </w:footnote>
  <w:footnote w:id="143">
    <w:p w14:paraId="12D9E901" w14:textId="77777777" w:rsidR="006B1AFC" w:rsidRPr="003405C2" w:rsidRDefault="006B1AFC" w:rsidP="009324EF">
      <w:pPr>
        <w:pStyle w:val="Textpoznpodarou"/>
        <w:rPr>
          <w:color w:val="0D0D0D" w:themeColor="text1" w:themeTint="F2"/>
          <w:sz w:val="16"/>
          <w:szCs w:val="16"/>
        </w:rPr>
      </w:pPr>
      <w:r w:rsidRPr="003405C2">
        <w:rPr>
          <w:rStyle w:val="Znakapoznpodarou"/>
          <w:color w:val="0D0D0D" w:themeColor="text1" w:themeTint="F2"/>
          <w:sz w:val="16"/>
          <w:szCs w:val="16"/>
        </w:rPr>
        <w:footnoteRef/>
      </w:r>
      <w:r w:rsidRPr="003405C2">
        <w:rPr>
          <w:color w:val="0D0D0D" w:themeColor="text1" w:themeTint="F2"/>
          <w:sz w:val="16"/>
          <w:szCs w:val="16"/>
        </w:rPr>
        <w:t xml:space="preserve"> To vyjadřuje r</w:t>
      </w:r>
      <w:r w:rsidRPr="003405C2">
        <w:rPr>
          <w:rFonts w:cs="Arial"/>
          <w:color w:val="0D0D0D" w:themeColor="text1" w:themeTint="F2"/>
          <w:sz w:val="16"/>
          <w:szCs w:val="16"/>
        </w:rPr>
        <w:t>ozdíl mezi příjmy z pojistného na nemocenské pojištění</w:t>
      </w:r>
      <w:r w:rsidRPr="003405C2">
        <w:rPr>
          <w:rFonts w:ascii="Segoe UI" w:eastAsia="Times New Roman" w:hAnsi="Segoe UI" w:cs="Segoe UI"/>
          <w:b/>
          <w:bCs/>
          <w:color w:val="0D0D0D" w:themeColor="text1" w:themeTint="F2"/>
          <w:sz w:val="16"/>
          <w:szCs w:val="16"/>
        </w:rPr>
        <w:t xml:space="preserve"> </w:t>
      </w:r>
      <w:r w:rsidRPr="003405C2">
        <w:rPr>
          <w:rFonts w:cs="Arial"/>
          <w:color w:val="0D0D0D" w:themeColor="text1" w:themeTint="F2"/>
          <w:sz w:val="16"/>
          <w:szCs w:val="16"/>
        </w:rPr>
        <w:t>a výdaji na dávky z tohoto pojištění dle účetní bilance ČSSZ.</w:t>
      </w:r>
    </w:p>
  </w:footnote>
  <w:footnote w:id="144">
    <w:p w14:paraId="4CCC8DC0" w14:textId="77777777" w:rsidR="006B1AFC" w:rsidRPr="003405C2" w:rsidRDefault="006B1AFC" w:rsidP="009324EF">
      <w:pPr>
        <w:pStyle w:val="Textpoznpodarou"/>
        <w:rPr>
          <w:color w:val="0D0D0D" w:themeColor="text1" w:themeTint="F2"/>
          <w:sz w:val="16"/>
          <w:szCs w:val="16"/>
        </w:rPr>
      </w:pPr>
      <w:r w:rsidRPr="003405C2">
        <w:rPr>
          <w:rStyle w:val="Znakapoznpodarou"/>
          <w:color w:val="0D0D0D" w:themeColor="text1" w:themeTint="F2"/>
          <w:sz w:val="16"/>
          <w:szCs w:val="16"/>
        </w:rPr>
        <w:footnoteRef/>
      </w:r>
      <w:r w:rsidRPr="003405C2">
        <w:rPr>
          <w:color w:val="0D0D0D" w:themeColor="text1" w:themeTint="F2"/>
          <w:sz w:val="16"/>
          <w:szCs w:val="16"/>
        </w:rPr>
        <w:t xml:space="preserve"> </w:t>
      </w:r>
      <w:r w:rsidRPr="003405C2">
        <w:rPr>
          <w:rFonts w:cs="Arial"/>
          <w:color w:val="0D0D0D" w:themeColor="text1" w:themeTint="F2"/>
          <w:sz w:val="16"/>
          <w:szCs w:val="16"/>
        </w:rPr>
        <w:t>U nové dávky státní sociální pomoci (</w:t>
      </w:r>
      <w:r>
        <w:rPr>
          <w:rFonts w:cs="Arial"/>
          <w:color w:val="0D0D0D" w:themeColor="text1" w:themeTint="F2"/>
          <w:sz w:val="16"/>
          <w:szCs w:val="16"/>
        </w:rPr>
        <w:t xml:space="preserve">tzv. </w:t>
      </w:r>
      <w:proofErr w:type="spellStart"/>
      <w:r>
        <w:rPr>
          <w:rFonts w:cs="Arial"/>
          <w:color w:val="0D0D0D" w:themeColor="text1" w:themeTint="F2"/>
          <w:sz w:val="16"/>
          <w:szCs w:val="16"/>
        </w:rPr>
        <w:t>superdávky</w:t>
      </w:r>
      <w:proofErr w:type="spellEnd"/>
      <w:r>
        <w:rPr>
          <w:rFonts w:cs="Arial"/>
          <w:color w:val="0D0D0D" w:themeColor="text1" w:themeTint="F2"/>
          <w:sz w:val="16"/>
          <w:szCs w:val="16"/>
        </w:rPr>
        <w:t xml:space="preserve">, </w:t>
      </w:r>
      <w:r w:rsidRPr="003405C2">
        <w:rPr>
          <w:rFonts w:cs="Arial"/>
          <w:color w:val="0D0D0D" w:themeColor="text1" w:themeTint="F2"/>
          <w:sz w:val="16"/>
          <w:szCs w:val="16"/>
        </w:rPr>
        <w:t>od 1. října 2025 nahrazující příspěvek na bydlení, přídavek na dítě, příspěvek na živobytí a doplatek na bydlení) probíh</w:t>
      </w:r>
      <w:r>
        <w:rPr>
          <w:rFonts w:cs="Arial"/>
          <w:color w:val="0D0D0D" w:themeColor="text1" w:themeTint="F2"/>
          <w:sz w:val="16"/>
          <w:szCs w:val="16"/>
        </w:rPr>
        <w:t>alo v 1. pololetí 2026</w:t>
      </w:r>
      <w:r w:rsidRPr="003405C2">
        <w:rPr>
          <w:rFonts w:cs="Arial"/>
          <w:color w:val="0D0D0D" w:themeColor="text1" w:themeTint="F2"/>
          <w:sz w:val="16"/>
          <w:szCs w:val="16"/>
        </w:rPr>
        <w:t xml:space="preserve"> přechodné období (pobírali j</w:t>
      </w:r>
      <w:r>
        <w:rPr>
          <w:rFonts w:cs="Arial"/>
          <w:color w:val="0D0D0D" w:themeColor="text1" w:themeTint="F2"/>
          <w:sz w:val="16"/>
          <w:szCs w:val="16"/>
        </w:rPr>
        <w:t>i</w:t>
      </w:r>
      <w:r w:rsidRPr="003405C2">
        <w:rPr>
          <w:rFonts w:cs="Arial"/>
          <w:color w:val="0D0D0D" w:themeColor="text1" w:themeTint="F2"/>
          <w:sz w:val="16"/>
          <w:szCs w:val="16"/>
        </w:rPr>
        <w:t xml:space="preserve"> </w:t>
      </w:r>
      <w:r>
        <w:rPr>
          <w:rFonts w:cs="Arial"/>
          <w:color w:val="0D0D0D" w:themeColor="text1" w:themeTint="F2"/>
          <w:sz w:val="16"/>
          <w:szCs w:val="16"/>
        </w:rPr>
        <w:t xml:space="preserve">v zásadě </w:t>
      </w:r>
      <w:r w:rsidRPr="003405C2">
        <w:rPr>
          <w:rFonts w:cs="Arial"/>
          <w:color w:val="0D0D0D" w:themeColor="text1" w:themeTint="F2"/>
          <w:sz w:val="16"/>
          <w:szCs w:val="16"/>
        </w:rPr>
        <w:t>pouze noví žadatelé, letos v </w:t>
      </w:r>
      <w:r>
        <w:rPr>
          <w:rFonts w:cs="Arial"/>
          <w:color w:val="0D0D0D" w:themeColor="text1" w:themeTint="F2"/>
          <w:sz w:val="16"/>
          <w:szCs w:val="16"/>
        </w:rPr>
        <w:t>červnu</w:t>
      </w:r>
      <w:r w:rsidRPr="003405C2">
        <w:rPr>
          <w:rFonts w:cs="Arial"/>
          <w:color w:val="0D0D0D" w:themeColor="text1" w:themeTint="F2"/>
          <w:sz w:val="16"/>
          <w:szCs w:val="16"/>
        </w:rPr>
        <w:t xml:space="preserve"> šlo o </w:t>
      </w:r>
      <w:r>
        <w:rPr>
          <w:rFonts w:cs="Arial"/>
          <w:color w:val="0D0D0D" w:themeColor="text1" w:themeTint="F2"/>
          <w:sz w:val="16"/>
          <w:szCs w:val="16"/>
        </w:rPr>
        <w:t>50</w:t>
      </w:r>
      <w:r w:rsidRPr="003405C2">
        <w:rPr>
          <w:rFonts w:cs="Arial"/>
          <w:color w:val="0D0D0D" w:themeColor="text1" w:themeTint="F2"/>
          <w:sz w:val="16"/>
          <w:szCs w:val="16"/>
        </w:rPr>
        <w:t xml:space="preserve"> tis. osob) a objem její výplaty činil </w:t>
      </w:r>
      <w:r>
        <w:rPr>
          <w:rFonts w:cs="Arial"/>
          <w:color w:val="0D0D0D" w:themeColor="text1" w:themeTint="F2"/>
          <w:sz w:val="16"/>
          <w:szCs w:val="16"/>
        </w:rPr>
        <w:t>1</w:t>
      </w:r>
      <w:r w:rsidRPr="003405C2">
        <w:rPr>
          <w:rFonts w:cs="Arial"/>
          <w:color w:val="0D0D0D" w:themeColor="text1" w:themeTint="F2"/>
          <w:sz w:val="16"/>
          <w:szCs w:val="16"/>
        </w:rPr>
        <w:t>,</w:t>
      </w:r>
      <w:r>
        <w:rPr>
          <w:rFonts w:cs="Arial"/>
          <w:color w:val="0D0D0D" w:themeColor="text1" w:themeTint="F2"/>
          <w:sz w:val="16"/>
          <w:szCs w:val="16"/>
        </w:rPr>
        <w:t>5</w:t>
      </w:r>
      <w:r w:rsidRPr="003405C2">
        <w:rPr>
          <w:rFonts w:cs="Arial"/>
          <w:color w:val="0D0D0D" w:themeColor="text1" w:themeTint="F2"/>
          <w:sz w:val="16"/>
          <w:szCs w:val="16"/>
        </w:rPr>
        <w:t xml:space="preserve"> mld. korun. Nahrazené dávky </w:t>
      </w:r>
      <w:r>
        <w:rPr>
          <w:rFonts w:cs="Arial"/>
          <w:color w:val="0D0D0D" w:themeColor="text1" w:themeTint="F2"/>
          <w:sz w:val="16"/>
          <w:szCs w:val="16"/>
        </w:rPr>
        <w:t xml:space="preserve">zhruba </w:t>
      </w:r>
      <w:r w:rsidRPr="003405C2">
        <w:rPr>
          <w:rFonts w:cs="Arial"/>
          <w:color w:val="0D0D0D" w:themeColor="text1" w:themeTint="F2"/>
          <w:sz w:val="16"/>
          <w:szCs w:val="16"/>
        </w:rPr>
        <w:t>o stejnou výši klesly. Stávajícím příjemcům těchto dávek (v </w:t>
      </w:r>
      <w:r>
        <w:rPr>
          <w:rFonts w:cs="Arial"/>
          <w:color w:val="0D0D0D" w:themeColor="text1" w:themeTint="F2"/>
          <w:sz w:val="16"/>
          <w:szCs w:val="16"/>
        </w:rPr>
        <w:t>červnu</w:t>
      </w:r>
      <w:r w:rsidRPr="003405C2">
        <w:rPr>
          <w:rFonts w:cs="Arial"/>
          <w:color w:val="0D0D0D" w:themeColor="text1" w:themeTint="F2"/>
          <w:sz w:val="16"/>
          <w:szCs w:val="16"/>
        </w:rPr>
        <w:t xml:space="preserve"> </w:t>
      </w:r>
      <w:r>
        <w:rPr>
          <w:rFonts w:cs="Arial"/>
          <w:color w:val="0D0D0D" w:themeColor="text1" w:themeTint="F2"/>
          <w:sz w:val="16"/>
          <w:szCs w:val="16"/>
        </w:rPr>
        <w:t>jich bylo</w:t>
      </w:r>
      <w:r w:rsidRPr="003405C2">
        <w:rPr>
          <w:rFonts w:cs="Arial"/>
          <w:color w:val="0D0D0D" w:themeColor="text1" w:themeTint="F2"/>
          <w:sz w:val="16"/>
          <w:szCs w:val="16"/>
        </w:rPr>
        <w:t xml:space="preserve"> </w:t>
      </w:r>
      <w:r>
        <w:rPr>
          <w:rFonts w:cs="Arial"/>
          <w:color w:val="0D0D0D" w:themeColor="text1" w:themeTint="F2"/>
          <w:sz w:val="16"/>
          <w:szCs w:val="16"/>
        </w:rPr>
        <w:t>ještě celkově vyplaceno</w:t>
      </w:r>
      <w:r w:rsidRPr="003405C2">
        <w:rPr>
          <w:rFonts w:cs="Arial"/>
          <w:color w:val="0D0D0D" w:themeColor="text1" w:themeTint="F2"/>
          <w:sz w:val="16"/>
          <w:szCs w:val="16"/>
        </w:rPr>
        <w:t xml:space="preserve"> 5</w:t>
      </w:r>
      <w:r>
        <w:rPr>
          <w:rFonts w:cs="Arial"/>
          <w:color w:val="0D0D0D" w:themeColor="text1" w:themeTint="F2"/>
          <w:sz w:val="16"/>
          <w:szCs w:val="16"/>
        </w:rPr>
        <w:t>58</w:t>
      </w:r>
      <w:r w:rsidRPr="003405C2">
        <w:rPr>
          <w:rFonts w:cs="Arial"/>
          <w:color w:val="0D0D0D" w:themeColor="text1" w:themeTint="F2"/>
          <w:sz w:val="16"/>
          <w:szCs w:val="16"/>
        </w:rPr>
        <w:t xml:space="preserve"> tis</w:t>
      </w:r>
      <w:r>
        <w:rPr>
          <w:rFonts w:cs="Arial"/>
          <w:color w:val="0D0D0D" w:themeColor="text1" w:themeTint="F2"/>
          <w:sz w:val="16"/>
          <w:szCs w:val="16"/>
        </w:rPr>
        <w:t>.,</w:t>
      </w:r>
      <w:r w:rsidRPr="003405C2">
        <w:rPr>
          <w:rFonts w:cs="Arial"/>
          <w:color w:val="0D0D0D" w:themeColor="text1" w:themeTint="F2"/>
          <w:sz w:val="16"/>
          <w:szCs w:val="16"/>
        </w:rPr>
        <w:t xml:space="preserve"> část </w:t>
      </w:r>
      <w:r>
        <w:rPr>
          <w:rFonts w:cs="Arial"/>
          <w:color w:val="0D0D0D" w:themeColor="text1" w:themeTint="F2"/>
          <w:sz w:val="16"/>
          <w:szCs w:val="16"/>
        </w:rPr>
        <w:t>příjemců pobírala</w:t>
      </w:r>
      <w:r w:rsidRPr="003405C2">
        <w:rPr>
          <w:rFonts w:cs="Arial"/>
          <w:color w:val="0D0D0D" w:themeColor="text1" w:themeTint="F2"/>
          <w:sz w:val="16"/>
          <w:szCs w:val="16"/>
        </w:rPr>
        <w:t xml:space="preserve"> více dávek současně) bylo </w:t>
      </w:r>
      <w:r>
        <w:rPr>
          <w:rFonts w:cs="Arial"/>
          <w:color w:val="0D0D0D" w:themeColor="text1" w:themeTint="F2"/>
          <w:sz w:val="16"/>
          <w:szCs w:val="16"/>
        </w:rPr>
        <w:br/>
      </w:r>
      <w:r w:rsidRPr="003405C2">
        <w:rPr>
          <w:rFonts w:cs="Arial"/>
          <w:color w:val="0D0D0D" w:themeColor="text1" w:themeTint="F2"/>
          <w:sz w:val="16"/>
          <w:szCs w:val="16"/>
        </w:rPr>
        <w:t xml:space="preserve">v 1. </w:t>
      </w:r>
      <w:r>
        <w:rPr>
          <w:rFonts w:cs="Arial"/>
          <w:color w:val="0D0D0D" w:themeColor="text1" w:themeTint="F2"/>
          <w:sz w:val="16"/>
          <w:szCs w:val="16"/>
        </w:rPr>
        <w:t>pololetí</w:t>
      </w:r>
      <w:r w:rsidRPr="003405C2">
        <w:rPr>
          <w:rFonts w:cs="Arial"/>
          <w:color w:val="0D0D0D" w:themeColor="text1" w:themeTint="F2"/>
          <w:sz w:val="16"/>
          <w:szCs w:val="16"/>
        </w:rPr>
        <w:t xml:space="preserve"> celkově v</w:t>
      </w:r>
      <w:r>
        <w:rPr>
          <w:rFonts w:cs="Arial"/>
          <w:color w:val="0D0D0D" w:themeColor="text1" w:themeTint="F2"/>
          <w:sz w:val="16"/>
          <w:szCs w:val="16"/>
        </w:rPr>
        <w:t>ydáno</w:t>
      </w:r>
      <w:r w:rsidRPr="003405C2">
        <w:rPr>
          <w:rFonts w:cs="Arial"/>
          <w:color w:val="0D0D0D" w:themeColor="text1" w:themeTint="F2"/>
          <w:sz w:val="16"/>
          <w:szCs w:val="16"/>
        </w:rPr>
        <w:t xml:space="preserve"> </w:t>
      </w:r>
      <w:r>
        <w:rPr>
          <w:rFonts w:cs="Arial"/>
          <w:color w:val="0D0D0D" w:themeColor="text1" w:themeTint="F2"/>
          <w:spacing w:val="-4"/>
          <w:sz w:val="16"/>
          <w:szCs w:val="16"/>
        </w:rPr>
        <w:t>15,3</w:t>
      </w:r>
      <w:r w:rsidRPr="003405C2">
        <w:rPr>
          <w:rFonts w:cs="Arial"/>
          <w:color w:val="0D0D0D" w:themeColor="text1" w:themeTint="F2"/>
          <w:spacing w:val="-4"/>
          <w:sz w:val="16"/>
          <w:szCs w:val="16"/>
        </w:rPr>
        <w:t xml:space="preserve"> mld. korun.</w:t>
      </w:r>
      <w:r>
        <w:rPr>
          <w:rFonts w:cs="Arial"/>
          <w:color w:val="0D0D0D" w:themeColor="text1" w:themeTint="F2"/>
          <w:spacing w:val="-4"/>
          <w:sz w:val="16"/>
          <w:szCs w:val="16"/>
        </w:rPr>
        <w:t xml:space="preserve"> Současně meziročně pětinásobně narostl objem vyplacených dávek mimořádné okamžité pomoci (na rekordních 0,5 mld. korun). To souviselo především s dočasnou podporou osob v hmotné nouzi, které se i po přechodu na novou </w:t>
      </w:r>
      <w:proofErr w:type="spellStart"/>
      <w:r>
        <w:rPr>
          <w:rFonts w:cs="Arial"/>
          <w:color w:val="0D0D0D" w:themeColor="text1" w:themeTint="F2"/>
          <w:spacing w:val="-4"/>
          <w:sz w:val="16"/>
          <w:szCs w:val="16"/>
        </w:rPr>
        <w:t>superdávku</w:t>
      </w:r>
      <w:proofErr w:type="spellEnd"/>
      <w:r>
        <w:rPr>
          <w:rFonts w:cs="Arial"/>
          <w:color w:val="0D0D0D" w:themeColor="text1" w:themeTint="F2"/>
          <w:spacing w:val="-4"/>
          <w:sz w:val="16"/>
          <w:szCs w:val="16"/>
        </w:rPr>
        <w:t xml:space="preserve"> nacházely v </w:t>
      </w:r>
      <w:r w:rsidRPr="00865239">
        <w:rPr>
          <w:rFonts w:cs="Arial"/>
          <w:color w:val="0D0D0D" w:themeColor="text1" w:themeTint="F2"/>
          <w:spacing w:val="-4"/>
          <w:sz w:val="16"/>
          <w:szCs w:val="16"/>
        </w:rPr>
        <w:t>nepříznivé finanční situac</w:t>
      </w:r>
      <w:r>
        <w:rPr>
          <w:rFonts w:cs="Arial"/>
          <w:color w:val="0D0D0D" w:themeColor="text1" w:themeTint="F2"/>
          <w:spacing w:val="-4"/>
          <w:sz w:val="16"/>
          <w:szCs w:val="16"/>
        </w:rPr>
        <w:t xml:space="preserve">i. </w:t>
      </w:r>
    </w:p>
  </w:footnote>
  <w:footnote w:id="145">
    <w:p w14:paraId="5E66D60A" w14:textId="77777777" w:rsidR="006B1AFC" w:rsidRPr="003405C2" w:rsidRDefault="006B1AFC" w:rsidP="009324EF">
      <w:pPr>
        <w:pStyle w:val="Textpoznpodarou"/>
        <w:rPr>
          <w:color w:val="0D0D0D" w:themeColor="text1" w:themeTint="F2"/>
          <w:sz w:val="16"/>
          <w:szCs w:val="16"/>
        </w:rPr>
      </w:pPr>
      <w:r w:rsidRPr="003405C2">
        <w:rPr>
          <w:rStyle w:val="Znakapoznpodarou"/>
          <w:color w:val="0D0D0D" w:themeColor="text1" w:themeTint="F2"/>
          <w:sz w:val="16"/>
          <w:szCs w:val="16"/>
        </w:rPr>
        <w:footnoteRef/>
      </w:r>
      <w:r w:rsidRPr="003405C2">
        <w:rPr>
          <w:color w:val="0D0D0D" w:themeColor="text1" w:themeTint="F2"/>
          <w:sz w:val="16"/>
          <w:szCs w:val="16"/>
        </w:rPr>
        <w:t xml:space="preserve"> </w:t>
      </w:r>
      <w:r>
        <w:rPr>
          <w:color w:val="0D0D0D" w:themeColor="text1" w:themeTint="F2"/>
          <w:sz w:val="16"/>
          <w:szCs w:val="16"/>
        </w:rPr>
        <w:t xml:space="preserve">Jde o </w:t>
      </w:r>
      <w:r w:rsidRPr="003405C2">
        <w:rPr>
          <w:color w:val="0D0D0D" w:themeColor="text1" w:themeTint="F2"/>
          <w:sz w:val="16"/>
          <w:szCs w:val="16"/>
        </w:rPr>
        <w:t>posílení měsíční platby veřejného zdravotního pojištění za tzv. státní pojištěnce (ta byla od 1. ledna 2026 valorizačním mechanismem navýšena z 2 127 korun na 2 188 korun, tj. o 2,9 %).</w:t>
      </w:r>
    </w:p>
  </w:footnote>
  <w:footnote w:id="146">
    <w:p w14:paraId="2A2E2EED" w14:textId="77777777" w:rsidR="006B1AFC" w:rsidRPr="004D279D" w:rsidRDefault="006B1AFC" w:rsidP="009324EF">
      <w:pPr>
        <w:pStyle w:val="Textpoznpodarou"/>
        <w:rPr>
          <w:sz w:val="16"/>
          <w:szCs w:val="16"/>
        </w:rPr>
      </w:pPr>
      <w:r w:rsidRPr="004D279D">
        <w:rPr>
          <w:rStyle w:val="Znakapoznpodarou"/>
          <w:sz w:val="16"/>
          <w:szCs w:val="16"/>
        </w:rPr>
        <w:footnoteRef/>
      </w:r>
      <w:r w:rsidRPr="004D279D">
        <w:rPr>
          <w:sz w:val="16"/>
          <w:szCs w:val="16"/>
        </w:rPr>
        <w:t xml:space="preserve"> Šlo zejména o úředníky a státní zaměstnance ve služebním poměru, nepedagogické pracovníky</w:t>
      </w:r>
      <w:r>
        <w:rPr>
          <w:sz w:val="16"/>
          <w:szCs w:val="16"/>
        </w:rPr>
        <w:t>,</w:t>
      </w:r>
      <w:r w:rsidRPr="004D279D">
        <w:rPr>
          <w:sz w:val="16"/>
          <w:szCs w:val="16"/>
        </w:rPr>
        <w:t xml:space="preserve"> zaměstnance v kultuře či údržbáře </w:t>
      </w:r>
      <w:r>
        <w:rPr>
          <w:sz w:val="16"/>
          <w:szCs w:val="16"/>
        </w:rPr>
        <w:br/>
      </w:r>
      <w:r w:rsidRPr="004D279D">
        <w:rPr>
          <w:sz w:val="16"/>
          <w:szCs w:val="16"/>
        </w:rPr>
        <w:t>a dále také zdravotnické nelékařské a sociální pracovníky.</w:t>
      </w:r>
    </w:p>
  </w:footnote>
  <w:footnote w:id="147">
    <w:p w14:paraId="48CB0626" w14:textId="77777777" w:rsidR="006B1AFC" w:rsidRPr="003405C2" w:rsidRDefault="006B1AFC" w:rsidP="009324EF">
      <w:pPr>
        <w:pStyle w:val="Textpoznpodarou"/>
        <w:rPr>
          <w:color w:val="0D0D0D" w:themeColor="text1" w:themeTint="F2"/>
          <w:sz w:val="16"/>
          <w:szCs w:val="16"/>
        </w:rPr>
      </w:pPr>
      <w:r w:rsidRPr="003405C2">
        <w:rPr>
          <w:rStyle w:val="Znakapoznpodarou"/>
          <w:color w:val="0D0D0D" w:themeColor="text1" w:themeTint="F2"/>
          <w:sz w:val="16"/>
          <w:szCs w:val="16"/>
        </w:rPr>
        <w:footnoteRef/>
      </w:r>
      <w:r w:rsidRPr="003405C2">
        <w:rPr>
          <w:color w:val="0D0D0D" w:themeColor="text1" w:themeTint="F2"/>
          <w:sz w:val="16"/>
          <w:szCs w:val="16"/>
        </w:rPr>
        <w:t xml:space="preserve"> Čisté výdaje odpovídají saldu rozpočtové kapitoly Státní dluh (č. 396).</w:t>
      </w:r>
    </w:p>
  </w:footnote>
  <w:footnote w:id="148">
    <w:p w14:paraId="2FB7C7A8" w14:textId="77777777" w:rsidR="006B1AFC" w:rsidRPr="00E04CFC" w:rsidRDefault="006B1AFC" w:rsidP="009324EF">
      <w:pPr>
        <w:pStyle w:val="Textpoznpodarou"/>
        <w:rPr>
          <w:sz w:val="16"/>
          <w:szCs w:val="16"/>
        </w:rPr>
      </w:pPr>
      <w:r w:rsidRPr="00E04CFC">
        <w:rPr>
          <w:rStyle w:val="Znakapoznpodarou"/>
          <w:sz w:val="16"/>
          <w:szCs w:val="16"/>
        </w:rPr>
        <w:footnoteRef/>
      </w:r>
      <w:r w:rsidRPr="00E04CFC">
        <w:rPr>
          <w:sz w:val="16"/>
          <w:szCs w:val="16"/>
        </w:rPr>
        <w:t xml:space="preserve"> </w:t>
      </w:r>
      <w:r w:rsidRPr="00E04CFC">
        <w:rPr>
          <w:color w:val="0D0D0D" w:themeColor="text1" w:themeTint="F2"/>
          <w:spacing w:val="4"/>
          <w:sz w:val="16"/>
          <w:szCs w:val="16"/>
        </w:rPr>
        <w:t xml:space="preserve">V celoročním pohledu by měl </w:t>
      </w:r>
      <w:r>
        <w:rPr>
          <w:color w:val="0D0D0D" w:themeColor="text1" w:themeTint="F2"/>
          <w:spacing w:val="4"/>
          <w:sz w:val="16"/>
          <w:szCs w:val="16"/>
        </w:rPr>
        <w:t xml:space="preserve">letos </w:t>
      </w:r>
      <w:r w:rsidRPr="00E04CFC">
        <w:rPr>
          <w:color w:val="0D0D0D" w:themeColor="text1" w:themeTint="F2"/>
          <w:spacing w:val="4"/>
          <w:sz w:val="16"/>
          <w:szCs w:val="16"/>
        </w:rPr>
        <w:t xml:space="preserve">dle schváleného SR jejich objem dosáhnout 110 mld., </w:t>
      </w:r>
      <w:r>
        <w:rPr>
          <w:color w:val="0D0D0D" w:themeColor="text1" w:themeTint="F2"/>
          <w:spacing w:val="4"/>
          <w:sz w:val="16"/>
          <w:szCs w:val="16"/>
        </w:rPr>
        <w:t xml:space="preserve">a to </w:t>
      </w:r>
      <w:r w:rsidRPr="00E04CFC">
        <w:rPr>
          <w:color w:val="0D0D0D" w:themeColor="text1" w:themeTint="F2"/>
          <w:spacing w:val="4"/>
          <w:sz w:val="16"/>
          <w:szCs w:val="16"/>
        </w:rPr>
        <w:t>při meziročním růstu o 12</w:t>
      </w:r>
      <w:r>
        <w:rPr>
          <w:color w:val="0D0D0D" w:themeColor="text1" w:themeTint="F2"/>
          <w:spacing w:val="4"/>
          <w:sz w:val="16"/>
          <w:szCs w:val="16"/>
        </w:rPr>
        <w:t>,1</w:t>
      </w:r>
      <w:r w:rsidRPr="00E04CFC">
        <w:rPr>
          <w:color w:val="0D0D0D" w:themeColor="text1" w:themeTint="F2"/>
          <w:spacing w:val="4"/>
          <w:sz w:val="16"/>
          <w:szCs w:val="16"/>
        </w:rPr>
        <w:t xml:space="preserve"> %</w:t>
      </w:r>
      <w:r>
        <w:rPr>
          <w:color w:val="0D0D0D" w:themeColor="text1" w:themeTint="F2"/>
          <w:spacing w:val="4"/>
          <w:sz w:val="16"/>
          <w:szCs w:val="16"/>
        </w:rPr>
        <w:t>.</w:t>
      </w:r>
    </w:p>
  </w:footnote>
  <w:footnote w:id="149">
    <w:p w14:paraId="3873486E" w14:textId="77777777" w:rsidR="006B1AFC" w:rsidRPr="003405C2" w:rsidRDefault="006B1AFC" w:rsidP="009324EF">
      <w:pPr>
        <w:pStyle w:val="Textpoznpodarou"/>
        <w:rPr>
          <w:color w:val="0D0D0D" w:themeColor="text1" w:themeTint="F2"/>
          <w:spacing w:val="-3"/>
          <w:sz w:val="16"/>
          <w:szCs w:val="16"/>
        </w:rPr>
      </w:pPr>
      <w:r w:rsidRPr="003405C2">
        <w:rPr>
          <w:rStyle w:val="Znakapoznpodarou"/>
          <w:color w:val="0D0D0D" w:themeColor="text1" w:themeTint="F2"/>
          <w:spacing w:val="-3"/>
          <w:sz w:val="16"/>
          <w:szCs w:val="16"/>
        </w:rPr>
        <w:footnoteRef/>
      </w:r>
      <w:r w:rsidRPr="003405C2">
        <w:rPr>
          <w:color w:val="0D0D0D" w:themeColor="text1" w:themeTint="F2"/>
          <w:spacing w:val="-3"/>
          <w:sz w:val="16"/>
          <w:szCs w:val="16"/>
        </w:rPr>
        <w:t xml:space="preserve"> Vnější dluh činil letos na konci 1. </w:t>
      </w:r>
      <w:r>
        <w:rPr>
          <w:color w:val="0D0D0D" w:themeColor="text1" w:themeTint="F2"/>
          <w:spacing w:val="-3"/>
          <w:sz w:val="16"/>
          <w:szCs w:val="16"/>
        </w:rPr>
        <w:t>pololetí</w:t>
      </w:r>
      <w:r w:rsidRPr="003405C2">
        <w:rPr>
          <w:color w:val="0D0D0D" w:themeColor="text1" w:themeTint="F2"/>
          <w:spacing w:val="-3"/>
          <w:sz w:val="16"/>
          <w:szCs w:val="16"/>
        </w:rPr>
        <w:t xml:space="preserve"> 17</w:t>
      </w:r>
      <w:r>
        <w:rPr>
          <w:color w:val="0D0D0D" w:themeColor="text1" w:themeTint="F2"/>
          <w:spacing w:val="-3"/>
          <w:sz w:val="16"/>
          <w:szCs w:val="16"/>
        </w:rPr>
        <w:t>3</w:t>
      </w:r>
      <w:r w:rsidRPr="003405C2">
        <w:rPr>
          <w:color w:val="0D0D0D" w:themeColor="text1" w:themeTint="F2"/>
          <w:spacing w:val="-3"/>
          <w:sz w:val="16"/>
          <w:szCs w:val="16"/>
        </w:rPr>
        <w:t xml:space="preserve"> mld. korun a na celkovém státním dluhu se tak podílel 4,</w:t>
      </w:r>
      <w:r>
        <w:rPr>
          <w:color w:val="0D0D0D" w:themeColor="text1" w:themeTint="F2"/>
          <w:spacing w:val="-3"/>
          <w:sz w:val="16"/>
          <w:szCs w:val="16"/>
        </w:rPr>
        <w:t>6</w:t>
      </w:r>
      <w:r w:rsidRPr="003405C2">
        <w:rPr>
          <w:color w:val="0D0D0D" w:themeColor="text1" w:themeTint="F2"/>
          <w:spacing w:val="-3"/>
          <w:sz w:val="16"/>
          <w:szCs w:val="16"/>
        </w:rPr>
        <w:t xml:space="preserve"> %, což </w:t>
      </w:r>
      <w:r>
        <w:rPr>
          <w:color w:val="0D0D0D" w:themeColor="text1" w:themeTint="F2"/>
          <w:spacing w:val="-3"/>
          <w:sz w:val="16"/>
          <w:szCs w:val="16"/>
        </w:rPr>
        <w:t>bylo</w:t>
      </w:r>
      <w:r w:rsidRPr="003405C2">
        <w:rPr>
          <w:color w:val="0D0D0D" w:themeColor="text1" w:themeTint="F2"/>
          <w:spacing w:val="-3"/>
          <w:sz w:val="16"/>
          <w:szCs w:val="16"/>
        </w:rPr>
        <w:t xml:space="preserve"> nejméně po roce 2004.</w:t>
      </w:r>
    </w:p>
  </w:footnote>
  <w:footnote w:id="150">
    <w:p w14:paraId="39AE79FB" w14:textId="77777777" w:rsidR="006B1AFC" w:rsidRPr="00A0308D" w:rsidRDefault="006B1AFC" w:rsidP="009324EF">
      <w:pPr>
        <w:pStyle w:val="Textpoznpodarou"/>
        <w:rPr>
          <w:sz w:val="16"/>
          <w:szCs w:val="16"/>
        </w:rPr>
      </w:pPr>
      <w:r w:rsidRPr="00A0308D">
        <w:rPr>
          <w:rStyle w:val="Znakapoznpodarou"/>
          <w:sz w:val="16"/>
          <w:szCs w:val="16"/>
        </w:rPr>
        <w:footnoteRef/>
      </w:r>
      <w:r w:rsidRPr="00A0308D">
        <w:rPr>
          <w:sz w:val="16"/>
          <w:szCs w:val="16"/>
        </w:rPr>
        <w:t xml:space="preserve"> </w:t>
      </w:r>
      <w:r w:rsidRPr="00CD4841">
        <w:rPr>
          <w:spacing w:val="-2"/>
          <w:sz w:val="16"/>
          <w:szCs w:val="16"/>
        </w:rPr>
        <w:t>Tato změna v dotační podpoře byla současně územním rozpočtům kompenzována změnou rozpočtového určení daně (od ledna 2026).</w:t>
      </w:r>
    </w:p>
  </w:footnote>
  <w:footnote w:id="151">
    <w:p w14:paraId="758A59BD" w14:textId="77777777" w:rsidR="006B1AFC" w:rsidRPr="00033683" w:rsidRDefault="006B1AFC" w:rsidP="009324EF">
      <w:pPr>
        <w:pStyle w:val="Textpoznpodarou"/>
        <w:rPr>
          <w:sz w:val="16"/>
          <w:szCs w:val="16"/>
        </w:rPr>
      </w:pPr>
      <w:r w:rsidRPr="00033683">
        <w:rPr>
          <w:rStyle w:val="Znakapoznpodarou"/>
          <w:sz w:val="16"/>
          <w:szCs w:val="16"/>
        </w:rPr>
        <w:footnoteRef/>
      </w:r>
      <w:r w:rsidRPr="00033683">
        <w:rPr>
          <w:sz w:val="16"/>
          <w:szCs w:val="16"/>
        </w:rPr>
        <w:t xml:space="preserve"> Toto pololetní rozpočtové plnění patří v kontextu poslední dekády k lehce nadprůměrným.</w:t>
      </w:r>
      <w:r>
        <w:rPr>
          <w:sz w:val="16"/>
          <w:szCs w:val="16"/>
        </w:rPr>
        <w:t xml:space="preserve"> Plynulost dosavadního letošního čerpání </w:t>
      </w:r>
      <w:r w:rsidRPr="00F35D68">
        <w:rPr>
          <w:spacing w:val="-4"/>
          <w:sz w:val="16"/>
          <w:szCs w:val="16"/>
        </w:rPr>
        <w:t xml:space="preserve">investic byla </w:t>
      </w:r>
      <w:r>
        <w:rPr>
          <w:spacing w:val="-4"/>
          <w:sz w:val="16"/>
          <w:szCs w:val="16"/>
        </w:rPr>
        <w:t xml:space="preserve">významně </w:t>
      </w:r>
      <w:r w:rsidRPr="00F35D68">
        <w:rPr>
          <w:spacing w:val="-4"/>
          <w:sz w:val="16"/>
          <w:szCs w:val="16"/>
        </w:rPr>
        <w:t>narušena na počátku roku (dopad rozpočtového provizoria). Přesto i za 1. čtvrtletí tyto výdaje meziročně rostly (+8,7 %).</w:t>
      </w:r>
    </w:p>
  </w:footnote>
  <w:footnote w:id="152">
    <w:p w14:paraId="57A19368" w14:textId="77777777" w:rsidR="006B1AFC" w:rsidRPr="00EA5A14" w:rsidRDefault="006B1AFC" w:rsidP="009324EF">
      <w:pPr>
        <w:pStyle w:val="Textpoznpodarou"/>
        <w:rPr>
          <w:sz w:val="16"/>
          <w:szCs w:val="16"/>
        </w:rPr>
      </w:pPr>
      <w:r w:rsidRPr="00EA5A14">
        <w:rPr>
          <w:rStyle w:val="Znakapoznpodarou"/>
          <w:sz w:val="16"/>
          <w:szCs w:val="16"/>
        </w:rPr>
        <w:footnoteRef/>
      </w:r>
      <w:r w:rsidRPr="00EA5A14">
        <w:rPr>
          <w:sz w:val="16"/>
          <w:szCs w:val="16"/>
        </w:rPr>
        <w:t xml:space="preserve"> Ty dosáhly 42,1 mld. korun</w:t>
      </w:r>
      <w:r>
        <w:rPr>
          <w:sz w:val="16"/>
          <w:szCs w:val="16"/>
        </w:rPr>
        <w:t xml:space="preserve">, a to </w:t>
      </w:r>
      <w:r w:rsidRPr="00EA5A14">
        <w:rPr>
          <w:sz w:val="16"/>
          <w:szCs w:val="16"/>
        </w:rPr>
        <w:t>při meziročním růstu o 28,6 %</w:t>
      </w:r>
      <w:r>
        <w:rPr>
          <w:sz w:val="16"/>
          <w:szCs w:val="16"/>
        </w:rPr>
        <w:t>.</w:t>
      </w:r>
    </w:p>
  </w:footnote>
  <w:footnote w:id="153">
    <w:p w14:paraId="6CA0DE69" w14:textId="77777777" w:rsidR="006B1AFC" w:rsidRDefault="006B1AFC" w:rsidP="009324EF">
      <w:pPr>
        <w:pStyle w:val="Textpoznpodarou"/>
      </w:pPr>
      <w:r w:rsidRPr="004E0DF3">
        <w:rPr>
          <w:rStyle w:val="Znakapoznpodarou"/>
          <w:sz w:val="16"/>
          <w:szCs w:val="16"/>
        </w:rPr>
        <w:footnoteRef/>
      </w:r>
      <w:r w:rsidRPr="004E0DF3">
        <w:rPr>
          <w:sz w:val="16"/>
          <w:szCs w:val="16"/>
        </w:rPr>
        <w:t xml:space="preserve"> </w:t>
      </w:r>
      <w:r w:rsidRPr="004E0DF3">
        <w:rPr>
          <w:spacing w:val="-2"/>
          <w:sz w:val="16"/>
          <w:szCs w:val="16"/>
        </w:rPr>
        <w:t>Tent</w:t>
      </w:r>
      <w:r>
        <w:rPr>
          <w:spacing w:val="-2"/>
          <w:sz w:val="16"/>
          <w:szCs w:val="16"/>
        </w:rPr>
        <w:t>o nástroj vznikl kvůli potřebě</w:t>
      </w:r>
      <w:r w:rsidRPr="004E0DF3">
        <w:rPr>
          <w:spacing w:val="-2"/>
          <w:sz w:val="16"/>
          <w:szCs w:val="16"/>
        </w:rPr>
        <w:t xml:space="preserve"> řešit hosp</w:t>
      </w:r>
      <w:r>
        <w:rPr>
          <w:spacing w:val="-2"/>
          <w:sz w:val="16"/>
          <w:szCs w:val="16"/>
        </w:rPr>
        <w:t>odářské a sociální dopady pandemie</w:t>
      </w:r>
      <w:r w:rsidRPr="004E0DF3">
        <w:rPr>
          <w:spacing w:val="-2"/>
          <w:sz w:val="16"/>
          <w:szCs w:val="16"/>
        </w:rPr>
        <w:t xml:space="preserve"> covid</w:t>
      </w:r>
      <w:r>
        <w:rPr>
          <w:spacing w:val="-2"/>
          <w:sz w:val="16"/>
          <w:szCs w:val="16"/>
        </w:rPr>
        <w:t>u</w:t>
      </w:r>
      <w:r w:rsidRPr="004E0DF3">
        <w:rPr>
          <w:spacing w:val="-2"/>
          <w:sz w:val="16"/>
          <w:szCs w:val="16"/>
        </w:rPr>
        <w:t xml:space="preserve">-19. </w:t>
      </w:r>
      <w:r>
        <w:rPr>
          <w:spacing w:val="-2"/>
          <w:sz w:val="16"/>
          <w:szCs w:val="16"/>
        </w:rPr>
        <w:t>Cílí</w:t>
      </w:r>
      <w:r w:rsidRPr="004E0DF3">
        <w:rPr>
          <w:spacing w:val="-2"/>
          <w:sz w:val="16"/>
          <w:szCs w:val="16"/>
        </w:rPr>
        <w:t xml:space="preserve"> </w:t>
      </w:r>
      <w:r>
        <w:rPr>
          <w:spacing w:val="-2"/>
          <w:sz w:val="16"/>
          <w:szCs w:val="16"/>
        </w:rPr>
        <w:t xml:space="preserve">zejména </w:t>
      </w:r>
      <w:r w:rsidRPr="004E0DF3">
        <w:rPr>
          <w:spacing w:val="-2"/>
          <w:sz w:val="16"/>
          <w:szCs w:val="16"/>
        </w:rPr>
        <w:t>na obnovu trhu práce, sociální ochranu a systémy zdravotní péče, oživení potenciálu pro udržitelný růst a zaměstnanost, transformaci na zelenou a digitální ekonomiku, výzkum a inovace, podporu zemědělství a rozvoje venkova.</w:t>
      </w:r>
      <w:r>
        <w:rPr>
          <w:spacing w:val="-2"/>
          <w:sz w:val="16"/>
          <w:szCs w:val="16"/>
        </w:rPr>
        <w:t xml:space="preserve"> Výdaje </w:t>
      </w:r>
      <w:r w:rsidRPr="00604AD0">
        <w:rPr>
          <w:spacing w:val="-2"/>
          <w:sz w:val="16"/>
          <w:szCs w:val="16"/>
        </w:rPr>
        <w:t xml:space="preserve">mají podobu grantů a půjček členským státům poskytovaných z Nástroje pro oživení a odolnosti a šesti dalších výdajových programů EU na období </w:t>
      </w:r>
      <w:r>
        <w:rPr>
          <w:spacing w:val="-2"/>
          <w:sz w:val="16"/>
          <w:szCs w:val="16"/>
        </w:rPr>
        <w:t xml:space="preserve">let </w:t>
      </w:r>
      <w:r w:rsidRPr="00604AD0">
        <w:rPr>
          <w:spacing w:val="-2"/>
          <w:sz w:val="16"/>
          <w:szCs w:val="16"/>
        </w:rPr>
        <w:t>2021 až 2027.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99EBB" w14:textId="77777777" w:rsidR="00763B85" w:rsidRPr="006F5416" w:rsidRDefault="00763B85" w:rsidP="00937AE2">
    <w:pPr>
      <w:pStyle w:val="Zhlav"/>
    </w:pPr>
    <w:r w:rsidRPr="006F5416">
      <w:t>Název publikace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BA682" w14:textId="77777777" w:rsidR="00763B85" w:rsidRPr="006F5416" w:rsidRDefault="00763B85" w:rsidP="00937AE2">
    <w:pPr>
      <w:pStyle w:val="Zhlav"/>
    </w:pPr>
    <w:r w:rsidRPr="006F5416">
      <w:t>Název publikace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D32205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5pt;height:11.35pt" o:bullet="t">
        <v:imagedata r:id="rId1" o:title="msoFAAF"/>
      </v:shape>
    </w:pict>
  </w:numPicBullet>
  <w:abstractNum w:abstractNumId="0" w15:restartNumberingAfterBreak="0">
    <w:nsid w:val="FFFFFF7C"/>
    <w:multiLevelType w:val="singleLevel"/>
    <w:tmpl w:val="49CEEC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EC69A9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7A1C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B76230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6965B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DE27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7AED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68C5BA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C8EE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18AD8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C5946"/>
    <w:multiLevelType w:val="hybridMultilevel"/>
    <w:tmpl w:val="4C1C2D78"/>
    <w:lvl w:ilvl="0" w:tplc="B01A56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95764B"/>
    <w:multiLevelType w:val="hybridMultilevel"/>
    <w:tmpl w:val="84788BC8"/>
    <w:lvl w:ilvl="0" w:tplc="1B96A2C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09D55121"/>
    <w:multiLevelType w:val="hybridMultilevel"/>
    <w:tmpl w:val="338E27C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0D361065"/>
    <w:multiLevelType w:val="hybridMultilevel"/>
    <w:tmpl w:val="991072C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0E145AAD"/>
    <w:multiLevelType w:val="hybridMultilevel"/>
    <w:tmpl w:val="963044A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8B35353"/>
    <w:multiLevelType w:val="multilevel"/>
    <w:tmpl w:val="1C0E9EAE"/>
    <w:name w:val="Analyza"/>
    <w:lvl w:ilvl="0">
      <w:start w:val="1"/>
      <w:numFmt w:val="decimal"/>
      <w:suff w:val="space"/>
      <w:lvlText w:val="%1"/>
      <w:lvlJc w:val="left"/>
      <w:pPr>
        <w:ind w:left="432" w:hanging="432"/>
      </w:pPr>
      <w:rPr>
        <w:rFonts w:hint="default"/>
      </w:rPr>
    </w:lvl>
    <w:lvl w:ilvl="1">
      <w:start w:val="1"/>
      <w:numFmt w:val="decimal"/>
      <w:suff w:val="space"/>
      <w:lvlText w:val="%1.%2"/>
      <w:lvlJc w:val="left"/>
      <w:pPr>
        <w:ind w:left="576" w:hanging="576"/>
      </w:pPr>
      <w:rPr>
        <w:rFonts w:hint="default"/>
        <w:i w:val="0"/>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pStyle w:val="Nadpis5"/>
      <w:suff w:val="space"/>
      <w:lvlText w:val="%1.%2.%3.%4.%5"/>
      <w:lvlJc w:val="left"/>
      <w:pPr>
        <w:ind w:left="1008" w:hanging="1008"/>
      </w:pPr>
      <w:rPr>
        <w:rFonts w:hint="default"/>
      </w:rPr>
    </w:lvl>
    <w:lvl w:ilvl="5">
      <w:start w:val="1"/>
      <w:numFmt w:val="decimal"/>
      <w:pStyle w:val="Nadpis6"/>
      <w:suff w:val="space"/>
      <w:lvlText w:val="%1.%2.%3.%4.%5.%6"/>
      <w:lvlJc w:val="left"/>
      <w:pPr>
        <w:ind w:left="1152" w:hanging="1152"/>
      </w:pPr>
      <w:rPr>
        <w:rFonts w:hint="default"/>
      </w:rPr>
    </w:lvl>
    <w:lvl w:ilvl="6">
      <w:start w:val="1"/>
      <w:numFmt w:val="decimal"/>
      <w:pStyle w:val="Nadpis7"/>
      <w:suff w:val="space"/>
      <w:lvlText w:val="%1.%2.%3.%4.%5.%6.%7"/>
      <w:lvlJc w:val="left"/>
      <w:pPr>
        <w:ind w:left="1296" w:hanging="1296"/>
      </w:pPr>
      <w:rPr>
        <w:rFonts w:hint="default"/>
      </w:rPr>
    </w:lvl>
    <w:lvl w:ilvl="7">
      <w:start w:val="1"/>
      <w:numFmt w:val="decimal"/>
      <w:pStyle w:val="Nadpis8"/>
      <w:suff w:val="space"/>
      <w:lvlText w:val="%1.%2.%3.%4.%5.%6.%7.%8"/>
      <w:lvlJc w:val="left"/>
      <w:pPr>
        <w:ind w:left="1440" w:hanging="1440"/>
      </w:pPr>
      <w:rPr>
        <w:rFonts w:hint="default"/>
      </w:rPr>
    </w:lvl>
    <w:lvl w:ilvl="8">
      <w:start w:val="1"/>
      <w:numFmt w:val="decimal"/>
      <w:pStyle w:val="Nadpis9"/>
      <w:suff w:val="space"/>
      <w:lvlText w:val="%1.%2.%3.%4.%5.%6.%7.%8.%9"/>
      <w:lvlJc w:val="left"/>
      <w:pPr>
        <w:ind w:left="1584" w:hanging="1584"/>
      </w:pPr>
      <w:rPr>
        <w:rFonts w:hint="default"/>
      </w:rPr>
    </w:lvl>
  </w:abstractNum>
  <w:abstractNum w:abstractNumId="16" w15:restartNumberingAfterBreak="0">
    <w:nsid w:val="1E462C8E"/>
    <w:multiLevelType w:val="hybridMultilevel"/>
    <w:tmpl w:val="84B4641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2C64F20"/>
    <w:multiLevelType w:val="hybridMultilevel"/>
    <w:tmpl w:val="ADE25A6C"/>
    <w:lvl w:ilvl="0" w:tplc="04050001">
      <w:start w:val="1"/>
      <w:numFmt w:val="bullet"/>
      <w:lvlText w:val=""/>
      <w:lvlJc w:val="left"/>
      <w:pPr>
        <w:ind w:left="363" w:hanging="363"/>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8473A1"/>
    <w:multiLevelType w:val="hybridMultilevel"/>
    <w:tmpl w:val="7984410C"/>
    <w:lvl w:ilvl="0" w:tplc="3712003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8352333"/>
    <w:multiLevelType w:val="multilevel"/>
    <w:tmpl w:val="D0ACFA4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28DA62F8"/>
    <w:multiLevelType w:val="hybridMultilevel"/>
    <w:tmpl w:val="419C87D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A5A7A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C24203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D106EA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11355C0"/>
    <w:multiLevelType w:val="multilevel"/>
    <w:tmpl w:val="697E8BE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39914012"/>
    <w:multiLevelType w:val="multilevel"/>
    <w:tmpl w:val="F380FB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3C7C1667"/>
    <w:multiLevelType w:val="hybridMultilevel"/>
    <w:tmpl w:val="735E7570"/>
    <w:lvl w:ilvl="0" w:tplc="5588AF8E">
      <w:start w:val="1"/>
      <w:numFmt w:val="decimal"/>
      <w:lvlText w:val="%1."/>
      <w:lvlJc w:val="left"/>
      <w:pPr>
        <w:ind w:left="4800" w:hanging="360"/>
      </w:pPr>
      <w:rPr>
        <w:rFonts w:hint="default"/>
      </w:rPr>
    </w:lvl>
    <w:lvl w:ilvl="1" w:tplc="04050019" w:tentative="1">
      <w:start w:val="1"/>
      <w:numFmt w:val="lowerLetter"/>
      <w:lvlText w:val="%2."/>
      <w:lvlJc w:val="left"/>
      <w:pPr>
        <w:ind w:left="5520" w:hanging="360"/>
      </w:pPr>
    </w:lvl>
    <w:lvl w:ilvl="2" w:tplc="0405001B" w:tentative="1">
      <w:start w:val="1"/>
      <w:numFmt w:val="lowerRoman"/>
      <w:lvlText w:val="%3."/>
      <w:lvlJc w:val="right"/>
      <w:pPr>
        <w:ind w:left="6240" w:hanging="180"/>
      </w:pPr>
    </w:lvl>
    <w:lvl w:ilvl="3" w:tplc="0405000F" w:tentative="1">
      <w:start w:val="1"/>
      <w:numFmt w:val="decimal"/>
      <w:lvlText w:val="%4."/>
      <w:lvlJc w:val="left"/>
      <w:pPr>
        <w:ind w:left="6960" w:hanging="360"/>
      </w:pPr>
    </w:lvl>
    <w:lvl w:ilvl="4" w:tplc="04050019" w:tentative="1">
      <w:start w:val="1"/>
      <w:numFmt w:val="lowerLetter"/>
      <w:lvlText w:val="%5."/>
      <w:lvlJc w:val="left"/>
      <w:pPr>
        <w:ind w:left="7680" w:hanging="360"/>
      </w:pPr>
    </w:lvl>
    <w:lvl w:ilvl="5" w:tplc="0405001B" w:tentative="1">
      <w:start w:val="1"/>
      <w:numFmt w:val="lowerRoman"/>
      <w:lvlText w:val="%6."/>
      <w:lvlJc w:val="right"/>
      <w:pPr>
        <w:ind w:left="8400" w:hanging="180"/>
      </w:pPr>
    </w:lvl>
    <w:lvl w:ilvl="6" w:tplc="0405000F" w:tentative="1">
      <w:start w:val="1"/>
      <w:numFmt w:val="decimal"/>
      <w:lvlText w:val="%7."/>
      <w:lvlJc w:val="left"/>
      <w:pPr>
        <w:ind w:left="9120" w:hanging="360"/>
      </w:pPr>
    </w:lvl>
    <w:lvl w:ilvl="7" w:tplc="04050019" w:tentative="1">
      <w:start w:val="1"/>
      <w:numFmt w:val="lowerLetter"/>
      <w:lvlText w:val="%8."/>
      <w:lvlJc w:val="left"/>
      <w:pPr>
        <w:ind w:left="9840" w:hanging="360"/>
      </w:pPr>
    </w:lvl>
    <w:lvl w:ilvl="8" w:tplc="0405001B" w:tentative="1">
      <w:start w:val="1"/>
      <w:numFmt w:val="lowerRoman"/>
      <w:lvlText w:val="%9."/>
      <w:lvlJc w:val="right"/>
      <w:pPr>
        <w:ind w:left="10560" w:hanging="180"/>
      </w:pPr>
    </w:lvl>
  </w:abstractNum>
  <w:abstractNum w:abstractNumId="27" w15:restartNumberingAfterBreak="0">
    <w:nsid w:val="3D4D0562"/>
    <w:multiLevelType w:val="hybridMultilevel"/>
    <w:tmpl w:val="E8A8F28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3BB1D16"/>
    <w:multiLevelType w:val="hybridMultilevel"/>
    <w:tmpl w:val="CA44090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44558D6"/>
    <w:multiLevelType w:val="hybridMultilevel"/>
    <w:tmpl w:val="1B90B8E0"/>
    <w:lvl w:ilvl="0" w:tplc="4B66ED1E">
      <w:start w:val="1"/>
      <w:numFmt w:val="decimal"/>
      <w:lvlText w:val="%1."/>
      <w:lvlJc w:val="left"/>
      <w:pPr>
        <w:ind w:left="4905" w:hanging="360"/>
      </w:pPr>
      <w:rPr>
        <w:rFonts w:hint="default"/>
      </w:rPr>
    </w:lvl>
    <w:lvl w:ilvl="1" w:tplc="04050019" w:tentative="1">
      <w:start w:val="1"/>
      <w:numFmt w:val="lowerLetter"/>
      <w:lvlText w:val="%2."/>
      <w:lvlJc w:val="left"/>
      <w:pPr>
        <w:ind w:left="5625" w:hanging="360"/>
      </w:pPr>
    </w:lvl>
    <w:lvl w:ilvl="2" w:tplc="0405001B" w:tentative="1">
      <w:start w:val="1"/>
      <w:numFmt w:val="lowerRoman"/>
      <w:lvlText w:val="%3."/>
      <w:lvlJc w:val="right"/>
      <w:pPr>
        <w:ind w:left="6345" w:hanging="180"/>
      </w:pPr>
    </w:lvl>
    <w:lvl w:ilvl="3" w:tplc="0405000F" w:tentative="1">
      <w:start w:val="1"/>
      <w:numFmt w:val="decimal"/>
      <w:lvlText w:val="%4."/>
      <w:lvlJc w:val="left"/>
      <w:pPr>
        <w:ind w:left="7065" w:hanging="360"/>
      </w:pPr>
    </w:lvl>
    <w:lvl w:ilvl="4" w:tplc="04050019" w:tentative="1">
      <w:start w:val="1"/>
      <w:numFmt w:val="lowerLetter"/>
      <w:lvlText w:val="%5."/>
      <w:lvlJc w:val="left"/>
      <w:pPr>
        <w:ind w:left="7785" w:hanging="360"/>
      </w:pPr>
    </w:lvl>
    <w:lvl w:ilvl="5" w:tplc="0405001B" w:tentative="1">
      <w:start w:val="1"/>
      <w:numFmt w:val="lowerRoman"/>
      <w:lvlText w:val="%6."/>
      <w:lvlJc w:val="right"/>
      <w:pPr>
        <w:ind w:left="8505" w:hanging="180"/>
      </w:pPr>
    </w:lvl>
    <w:lvl w:ilvl="6" w:tplc="0405000F" w:tentative="1">
      <w:start w:val="1"/>
      <w:numFmt w:val="decimal"/>
      <w:lvlText w:val="%7."/>
      <w:lvlJc w:val="left"/>
      <w:pPr>
        <w:ind w:left="9225" w:hanging="360"/>
      </w:pPr>
    </w:lvl>
    <w:lvl w:ilvl="7" w:tplc="04050019" w:tentative="1">
      <w:start w:val="1"/>
      <w:numFmt w:val="lowerLetter"/>
      <w:lvlText w:val="%8."/>
      <w:lvlJc w:val="left"/>
      <w:pPr>
        <w:ind w:left="9945" w:hanging="360"/>
      </w:pPr>
    </w:lvl>
    <w:lvl w:ilvl="8" w:tplc="0405001B" w:tentative="1">
      <w:start w:val="1"/>
      <w:numFmt w:val="lowerRoman"/>
      <w:lvlText w:val="%9."/>
      <w:lvlJc w:val="right"/>
      <w:pPr>
        <w:ind w:left="10665" w:hanging="180"/>
      </w:pPr>
    </w:lvl>
  </w:abstractNum>
  <w:abstractNum w:abstractNumId="30" w15:restartNumberingAfterBreak="0">
    <w:nsid w:val="479678F7"/>
    <w:multiLevelType w:val="hybridMultilevel"/>
    <w:tmpl w:val="A4DE71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8384A27"/>
    <w:multiLevelType w:val="hybridMultilevel"/>
    <w:tmpl w:val="105050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495051A8"/>
    <w:multiLevelType w:val="hybridMultilevel"/>
    <w:tmpl w:val="DEACEA0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ADA4287"/>
    <w:multiLevelType w:val="multilevel"/>
    <w:tmpl w:val="1C0E9EAE"/>
    <w:lvl w:ilvl="0">
      <w:start w:val="1"/>
      <w:numFmt w:val="decimal"/>
      <w:suff w:val="space"/>
      <w:lvlText w:val="%1"/>
      <w:lvlJc w:val="left"/>
      <w:pPr>
        <w:ind w:left="432" w:hanging="432"/>
      </w:pPr>
      <w:rPr>
        <w:rFonts w:hint="default"/>
      </w:rPr>
    </w:lvl>
    <w:lvl w:ilvl="1">
      <w:start w:val="1"/>
      <w:numFmt w:val="decimal"/>
      <w:suff w:val="space"/>
      <w:lvlText w:val="%1.%2"/>
      <w:lvlJc w:val="left"/>
      <w:pPr>
        <w:ind w:left="576" w:hanging="576"/>
      </w:pPr>
      <w:rPr>
        <w:rFonts w:hint="default"/>
        <w:i w:val="0"/>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4" w15:restartNumberingAfterBreak="0">
    <w:nsid w:val="4C581760"/>
    <w:multiLevelType w:val="hybridMultilevel"/>
    <w:tmpl w:val="CFEE97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4E490F3B"/>
    <w:multiLevelType w:val="hybridMultilevel"/>
    <w:tmpl w:val="D64CB604"/>
    <w:lvl w:ilvl="0" w:tplc="67AC8A1C">
      <w:start w:val="1"/>
      <w:numFmt w:val="bullet"/>
      <w:lvlText w:val=""/>
      <w:lvlJc w:val="left"/>
      <w:pPr>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1655F88"/>
    <w:multiLevelType w:val="hybridMultilevel"/>
    <w:tmpl w:val="70283F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38567A6"/>
    <w:multiLevelType w:val="hybridMultilevel"/>
    <w:tmpl w:val="50E0FC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58CB210F"/>
    <w:multiLevelType w:val="multilevel"/>
    <w:tmpl w:val="D64CB604"/>
    <w:lvl w:ilvl="0">
      <w:start w:val="1"/>
      <w:numFmt w:val="bullet"/>
      <w:lvlText w:val=""/>
      <w:lvlJc w:val="left"/>
      <w:pPr>
        <w:ind w:left="357" w:hanging="357"/>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5CD405E1"/>
    <w:multiLevelType w:val="multilevel"/>
    <w:tmpl w:val="5FCA5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6EF3AA7"/>
    <w:multiLevelType w:val="multilevel"/>
    <w:tmpl w:val="9092D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B048D2"/>
    <w:multiLevelType w:val="hybridMultilevel"/>
    <w:tmpl w:val="D2A0FC6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B235D04"/>
    <w:multiLevelType w:val="hybridMultilevel"/>
    <w:tmpl w:val="26840EA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87747AF"/>
    <w:multiLevelType w:val="hybridMultilevel"/>
    <w:tmpl w:val="76204D1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B651B2D"/>
    <w:multiLevelType w:val="hybridMultilevel"/>
    <w:tmpl w:val="4C1C2D78"/>
    <w:lvl w:ilvl="0" w:tplc="B01A5632">
      <w:start w:val="1"/>
      <w:numFmt w:val="bullet"/>
      <w:pStyle w:val="Normalodrk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DDA7946"/>
    <w:multiLevelType w:val="multilevel"/>
    <w:tmpl w:val="6F3E3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8E301A"/>
    <w:multiLevelType w:val="hybridMultilevel"/>
    <w:tmpl w:val="1A92D798"/>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2000647203">
    <w:abstractNumId w:val="31"/>
  </w:num>
  <w:num w:numId="2" w16cid:durableId="2108306025">
    <w:abstractNumId w:val="8"/>
  </w:num>
  <w:num w:numId="3" w16cid:durableId="1851791032">
    <w:abstractNumId w:val="3"/>
  </w:num>
  <w:num w:numId="4" w16cid:durableId="1418281433">
    <w:abstractNumId w:val="2"/>
  </w:num>
  <w:num w:numId="5" w16cid:durableId="1057360773">
    <w:abstractNumId w:val="1"/>
  </w:num>
  <w:num w:numId="6" w16cid:durableId="917859753">
    <w:abstractNumId w:val="0"/>
  </w:num>
  <w:num w:numId="7" w16cid:durableId="1884097028">
    <w:abstractNumId w:val="9"/>
  </w:num>
  <w:num w:numId="8" w16cid:durableId="824902319">
    <w:abstractNumId w:val="7"/>
  </w:num>
  <w:num w:numId="9" w16cid:durableId="1803766138">
    <w:abstractNumId w:val="6"/>
  </w:num>
  <w:num w:numId="10" w16cid:durableId="566259340">
    <w:abstractNumId w:val="5"/>
  </w:num>
  <w:num w:numId="11" w16cid:durableId="52774508">
    <w:abstractNumId w:val="4"/>
  </w:num>
  <w:num w:numId="12" w16cid:durableId="1533685237">
    <w:abstractNumId w:val="18"/>
  </w:num>
  <w:num w:numId="13" w16cid:durableId="195428688">
    <w:abstractNumId w:val="34"/>
  </w:num>
  <w:num w:numId="14" w16cid:durableId="1684941278">
    <w:abstractNumId w:val="15"/>
  </w:num>
  <w:num w:numId="15" w16cid:durableId="1238784906">
    <w:abstractNumId w:val="24"/>
  </w:num>
  <w:num w:numId="16" w16cid:durableId="2045134713">
    <w:abstractNumId w:val="19"/>
  </w:num>
  <w:num w:numId="17" w16cid:durableId="1458451516">
    <w:abstractNumId w:val="35"/>
  </w:num>
  <w:num w:numId="18" w16cid:durableId="849877926">
    <w:abstractNumId w:val="25"/>
  </w:num>
  <w:num w:numId="19" w16cid:durableId="1118066606">
    <w:abstractNumId w:val="38"/>
  </w:num>
  <w:num w:numId="20" w16cid:durableId="508564300">
    <w:abstractNumId w:val="44"/>
  </w:num>
  <w:num w:numId="21" w16cid:durableId="316148911">
    <w:abstractNumId w:val="33"/>
  </w:num>
  <w:num w:numId="22" w16cid:durableId="360010707">
    <w:abstractNumId w:val="23"/>
  </w:num>
  <w:num w:numId="23" w16cid:durableId="999309269">
    <w:abstractNumId w:val="21"/>
  </w:num>
  <w:num w:numId="24" w16cid:durableId="1194266313">
    <w:abstractNumId w:val="22"/>
  </w:num>
  <w:num w:numId="25" w16cid:durableId="1815366340">
    <w:abstractNumId w:val="41"/>
  </w:num>
  <w:num w:numId="26" w16cid:durableId="1577863405">
    <w:abstractNumId w:val="43"/>
  </w:num>
  <w:num w:numId="27" w16cid:durableId="1207061094">
    <w:abstractNumId w:val="13"/>
  </w:num>
  <w:num w:numId="28" w16cid:durableId="1693920833">
    <w:abstractNumId w:val="27"/>
  </w:num>
  <w:num w:numId="29" w16cid:durableId="1876775477">
    <w:abstractNumId w:val="26"/>
  </w:num>
  <w:num w:numId="30" w16cid:durableId="179972127">
    <w:abstractNumId w:val="10"/>
  </w:num>
  <w:num w:numId="31" w16cid:durableId="970136012">
    <w:abstractNumId w:val="28"/>
  </w:num>
  <w:num w:numId="32" w16cid:durableId="1617836376">
    <w:abstractNumId w:val="12"/>
  </w:num>
  <w:num w:numId="33" w16cid:durableId="357007340">
    <w:abstractNumId w:val="46"/>
  </w:num>
  <w:num w:numId="34" w16cid:durableId="2131776467">
    <w:abstractNumId w:val="11"/>
  </w:num>
  <w:num w:numId="35" w16cid:durableId="1776095800">
    <w:abstractNumId w:val="37"/>
  </w:num>
  <w:num w:numId="36" w16cid:durableId="862209000">
    <w:abstractNumId w:val="30"/>
  </w:num>
  <w:num w:numId="37" w16cid:durableId="322010878">
    <w:abstractNumId w:val="29"/>
  </w:num>
  <w:num w:numId="38" w16cid:durableId="1458373311">
    <w:abstractNumId w:val="39"/>
  </w:num>
  <w:num w:numId="39" w16cid:durableId="288441997">
    <w:abstractNumId w:val="45"/>
  </w:num>
  <w:num w:numId="40" w16cid:durableId="952595072">
    <w:abstractNumId w:val="40"/>
  </w:num>
  <w:num w:numId="41" w16cid:durableId="1427652868">
    <w:abstractNumId w:val="32"/>
  </w:num>
  <w:num w:numId="42" w16cid:durableId="1024401835">
    <w:abstractNumId w:val="20"/>
  </w:num>
  <w:num w:numId="43" w16cid:durableId="428089243">
    <w:abstractNumId w:val="14"/>
  </w:num>
  <w:num w:numId="44" w16cid:durableId="82647767">
    <w:abstractNumId w:val="36"/>
  </w:num>
  <w:num w:numId="45" w16cid:durableId="215163427">
    <w:abstractNumId w:val="16"/>
  </w:num>
  <w:num w:numId="46" w16cid:durableId="1639922006">
    <w:abstractNumId w:val="44"/>
    <w:lvlOverride w:ilvl="0">
      <w:startOverride w:val="1"/>
    </w:lvlOverride>
  </w:num>
  <w:num w:numId="47" w16cid:durableId="1509101590">
    <w:abstractNumId w:val="17"/>
  </w:num>
  <w:num w:numId="48" w16cid:durableId="148165204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evenAndOddHeaders/>
  <w:drawingGridHorizontalSpacing w:val="110"/>
  <w:displayHorizontalDrawingGridEvery w:val="2"/>
  <w:characterSpacingControl w:val="doNotCompress"/>
  <w:hdrShapeDefaults>
    <o:shapedefaults v:ext="edit" spidmax="2050">
      <o:colormru v:ext="edit" colors="#ecf4dd,#eaecee,#fcec0a,#fcecdb,#f1daf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443"/>
    <w:rsid w:val="0000209D"/>
    <w:rsid w:val="00004D5A"/>
    <w:rsid w:val="000056D5"/>
    <w:rsid w:val="00006ABD"/>
    <w:rsid w:val="0000767A"/>
    <w:rsid w:val="00010256"/>
    <w:rsid w:val="00010702"/>
    <w:rsid w:val="00011912"/>
    <w:rsid w:val="00015E7C"/>
    <w:rsid w:val="0002195D"/>
    <w:rsid w:val="000234D6"/>
    <w:rsid w:val="00023D29"/>
    <w:rsid w:val="00026389"/>
    <w:rsid w:val="00031AE0"/>
    <w:rsid w:val="000322EF"/>
    <w:rsid w:val="00033FCD"/>
    <w:rsid w:val="00036F4B"/>
    <w:rsid w:val="00040D10"/>
    <w:rsid w:val="00041CEC"/>
    <w:rsid w:val="0004694F"/>
    <w:rsid w:val="000522E4"/>
    <w:rsid w:val="000610E1"/>
    <w:rsid w:val="00062EC5"/>
    <w:rsid w:val="00062F22"/>
    <w:rsid w:val="000712B3"/>
    <w:rsid w:val="0008263E"/>
    <w:rsid w:val="00082C19"/>
    <w:rsid w:val="00085395"/>
    <w:rsid w:val="00087634"/>
    <w:rsid w:val="00087F2B"/>
    <w:rsid w:val="00092231"/>
    <w:rsid w:val="00095135"/>
    <w:rsid w:val="000974D1"/>
    <w:rsid w:val="0009799E"/>
    <w:rsid w:val="000A1183"/>
    <w:rsid w:val="000A256D"/>
    <w:rsid w:val="000A3A2C"/>
    <w:rsid w:val="000A57D4"/>
    <w:rsid w:val="000B7FD1"/>
    <w:rsid w:val="000C3408"/>
    <w:rsid w:val="000C6AFD"/>
    <w:rsid w:val="000D3ACB"/>
    <w:rsid w:val="000D5637"/>
    <w:rsid w:val="000E6FBD"/>
    <w:rsid w:val="00100F5C"/>
    <w:rsid w:val="00101CDA"/>
    <w:rsid w:val="00104C4C"/>
    <w:rsid w:val="001062D9"/>
    <w:rsid w:val="00117623"/>
    <w:rsid w:val="0012192F"/>
    <w:rsid w:val="00125D69"/>
    <w:rsid w:val="0013332E"/>
    <w:rsid w:val="001405FA"/>
    <w:rsid w:val="001425C3"/>
    <w:rsid w:val="001476BD"/>
    <w:rsid w:val="001612F4"/>
    <w:rsid w:val="0016256B"/>
    <w:rsid w:val="00163793"/>
    <w:rsid w:val="001706D6"/>
    <w:rsid w:val="001714F2"/>
    <w:rsid w:val="00175B9F"/>
    <w:rsid w:val="00181BBC"/>
    <w:rsid w:val="00184B08"/>
    <w:rsid w:val="00185010"/>
    <w:rsid w:val="0019143B"/>
    <w:rsid w:val="001A0487"/>
    <w:rsid w:val="001A552F"/>
    <w:rsid w:val="001B2CA9"/>
    <w:rsid w:val="001B3110"/>
    <w:rsid w:val="001B4729"/>
    <w:rsid w:val="001B6310"/>
    <w:rsid w:val="001B6C09"/>
    <w:rsid w:val="001C05CD"/>
    <w:rsid w:val="001D48D4"/>
    <w:rsid w:val="001D68B2"/>
    <w:rsid w:val="001E504C"/>
    <w:rsid w:val="001E5803"/>
    <w:rsid w:val="001E6062"/>
    <w:rsid w:val="001F4597"/>
    <w:rsid w:val="00203DA4"/>
    <w:rsid w:val="002118B9"/>
    <w:rsid w:val="00214CF7"/>
    <w:rsid w:val="00217C5B"/>
    <w:rsid w:val="0022139E"/>
    <w:rsid w:val="00222729"/>
    <w:rsid w:val="002252E0"/>
    <w:rsid w:val="002255F6"/>
    <w:rsid w:val="00227850"/>
    <w:rsid w:val="00227A53"/>
    <w:rsid w:val="00230C6E"/>
    <w:rsid w:val="00236443"/>
    <w:rsid w:val="00241B06"/>
    <w:rsid w:val="002436BA"/>
    <w:rsid w:val="00244A15"/>
    <w:rsid w:val="00247319"/>
    <w:rsid w:val="0024799E"/>
    <w:rsid w:val="00253C0F"/>
    <w:rsid w:val="002558C1"/>
    <w:rsid w:val="00271465"/>
    <w:rsid w:val="00285412"/>
    <w:rsid w:val="00291640"/>
    <w:rsid w:val="002A16D4"/>
    <w:rsid w:val="002A230C"/>
    <w:rsid w:val="002A2B09"/>
    <w:rsid w:val="002B2299"/>
    <w:rsid w:val="002B4121"/>
    <w:rsid w:val="002B4845"/>
    <w:rsid w:val="002C43BD"/>
    <w:rsid w:val="002D0E59"/>
    <w:rsid w:val="002E02A1"/>
    <w:rsid w:val="002E42AC"/>
    <w:rsid w:val="002E4E4C"/>
    <w:rsid w:val="00302ADD"/>
    <w:rsid w:val="00304771"/>
    <w:rsid w:val="003052D4"/>
    <w:rsid w:val="00306C5B"/>
    <w:rsid w:val="003166B7"/>
    <w:rsid w:val="003209D6"/>
    <w:rsid w:val="00321924"/>
    <w:rsid w:val="0032656E"/>
    <w:rsid w:val="00332190"/>
    <w:rsid w:val="0034335E"/>
    <w:rsid w:val="00344668"/>
    <w:rsid w:val="003462D9"/>
    <w:rsid w:val="0036073B"/>
    <w:rsid w:val="00360C86"/>
    <w:rsid w:val="00360FBC"/>
    <w:rsid w:val="00362E90"/>
    <w:rsid w:val="00364FA0"/>
    <w:rsid w:val="003657F3"/>
    <w:rsid w:val="00366728"/>
    <w:rsid w:val="003818DC"/>
    <w:rsid w:val="00384327"/>
    <w:rsid w:val="00385D98"/>
    <w:rsid w:val="003A2B4D"/>
    <w:rsid w:val="003A2D12"/>
    <w:rsid w:val="003A478C"/>
    <w:rsid w:val="003A5525"/>
    <w:rsid w:val="003A6B38"/>
    <w:rsid w:val="003B2D3D"/>
    <w:rsid w:val="003B461F"/>
    <w:rsid w:val="003B5A32"/>
    <w:rsid w:val="003C3490"/>
    <w:rsid w:val="003C7E62"/>
    <w:rsid w:val="003D6920"/>
    <w:rsid w:val="003E4C91"/>
    <w:rsid w:val="003F313C"/>
    <w:rsid w:val="003F37FC"/>
    <w:rsid w:val="003F4B2C"/>
    <w:rsid w:val="003F551C"/>
    <w:rsid w:val="003F72ED"/>
    <w:rsid w:val="003F7D23"/>
    <w:rsid w:val="00407C13"/>
    <w:rsid w:val="0041041D"/>
    <w:rsid w:val="00410638"/>
    <w:rsid w:val="0041501E"/>
    <w:rsid w:val="004150B9"/>
    <w:rsid w:val="004159C3"/>
    <w:rsid w:val="00432A58"/>
    <w:rsid w:val="00434617"/>
    <w:rsid w:val="00440900"/>
    <w:rsid w:val="00441BF6"/>
    <w:rsid w:val="004441A0"/>
    <w:rsid w:val="004455BA"/>
    <w:rsid w:val="0045078A"/>
    <w:rsid w:val="0045086D"/>
    <w:rsid w:val="00451504"/>
    <w:rsid w:val="00460FB3"/>
    <w:rsid w:val="00476240"/>
    <w:rsid w:val="00476439"/>
    <w:rsid w:val="0047735C"/>
    <w:rsid w:val="004776BC"/>
    <w:rsid w:val="0048139F"/>
    <w:rsid w:val="00481E40"/>
    <w:rsid w:val="00484ECE"/>
    <w:rsid w:val="004915CB"/>
    <w:rsid w:val="004924DC"/>
    <w:rsid w:val="004A03CF"/>
    <w:rsid w:val="004A14E4"/>
    <w:rsid w:val="004A3212"/>
    <w:rsid w:val="004A4A88"/>
    <w:rsid w:val="004A5494"/>
    <w:rsid w:val="004A61C5"/>
    <w:rsid w:val="004A77DF"/>
    <w:rsid w:val="004B1417"/>
    <w:rsid w:val="004B55B7"/>
    <w:rsid w:val="004B6468"/>
    <w:rsid w:val="004B7125"/>
    <w:rsid w:val="004C384C"/>
    <w:rsid w:val="004C3867"/>
    <w:rsid w:val="004C4CD0"/>
    <w:rsid w:val="004C70DC"/>
    <w:rsid w:val="004D0211"/>
    <w:rsid w:val="004D0794"/>
    <w:rsid w:val="004F06F5"/>
    <w:rsid w:val="004F33A0"/>
    <w:rsid w:val="0050689D"/>
    <w:rsid w:val="005108C0"/>
    <w:rsid w:val="00511873"/>
    <w:rsid w:val="00512A2F"/>
    <w:rsid w:val="00513B7E"/>
    <w:rsid w:val="00515C74"/>
    <w:rsid w:val="0052007E"/>
    <w:rsid w:val="0052337A"/>
    <w:rsid w:val="00525137"/>
    <w:rsid w:val="005251DD"/>
    <w:rsid w:val="00532CE7"/>
    <w:rsid w:val="0053324C"/>
    <w:rsid w:val="00534A28"/>
    <w:rsid w:val="00541508"/>
    <w:rsid w:val="00543498"/>
    <w:rsid w:val="0055599F"/>
    <w:rsid w:val="00556D68"/>
    <w:rsid w:val="00563EB8"/>
    <w:rsid w:val="005647BF"/>
    <w:rsid w:val="00564AF1"/>
    <w:rsid w:val="00572FB1"/>
    <w:rsid w:val="0057364B"/>
    <w:rsid w:val="00574773"/>
    <w:rsid w:val="00583FFD"/>
    <w:rsid w:val="005911BE"/>
    <w:rsid w:val="00593152"/>
    <w:rsid w:val="005A10F2"/>
    <w:rsid w:val="005A21E0"/>
    <w:rsid w:val="005A28FF"/>
    <w:rsid w:val="005A3DF8"/>
    <w:rsid w:val="005A5549"/>
    <w:rsid w:val="005B121D"/>
    <w:rsid w:val="005B6459"/>
    <w:rsid w:val="005C06ED"/>
    <w:rsid w:val="005C2609"/>
    <w:rsid w:val="005D5802"/>
    <w:rsid w:val="005D7119"/>
    <w:rsid w:val="005D7890"/>
    <w:rsid w:val="005E7C78"/>
    <w:rsid w:val="005F18C5"/>
    <w:rsid w:val="005F3EB1"/>
    <w:rsid w:val="005F46D8"/>
    <w:rsid w:val="005F5469"/>
    <w:rsid w:val="00604307"/>
    <w:rsid w:val="0060487F"/>
    <w:rsid w:val="00604EAD"/>
    <w:rsid w:val="006104FB"/>
    <w:rsid w:val="00612A2F"/>
    <w:rsid w:val="00616E05"/>
    <w:rsid w:val="00624093"/>
    <w:rsid w:val="006350D5"/>
    <w:rsid w:val="00635B43"/>
    <w:rsid w:val="006404A7"/>
    <w:rsid w:val="006451E4"/>
    <w:rsid w:val="00645B33"/>
    <w:rsid w:val="00650942"/>
    <w:rsid w:val="006516CB"/>
    <w:rsid w:val="00656FC8"/>
    <w:rsid w:val="00657E87"/>
    <w:rsid w:val="00664803"/>
    <w:rsid w:val="00665BA4"/>
    <w:rsid w:val="00667AF2"/>
    <w:rsid w:val="006710C9"/>
    <w:rsid w:val="006741AC"/>
    <w:rsid w:val="00674D89"/>
    <w:rsid w:val="00675E37"/>
    <w:rsid w:val="0068174E"/>
    <w:rsid w:val="00681DCE"/>
    <w:rsid w:val="0068260E"/>
    <w:rsid w:val="00683398"/>
    <w:rsid w:val="00695BEF"/>
    <w:rsid w:val="006977F6"/>
    <w:rsid w:val="00697A13"/>
    <w:rsid w:val="006A109C"/>
    <w:rsid w:val="006B0F92"/>
    <w:rsid w:val="006B1AFC"/>
    <w:rsid w:val="006B344A"/>
    <w:rsid w:val="006B78D8"/>
    <w:rsid w:val="006C113F"/>
    <w:rsid w:val="006C123E"/>
    <w:rsid w:val="006C1752"/>
    <w:rsid w:val="006C56D4"/>
    <w:rsid w:val="006C6924"/>
    <w:rsid w:val="006C7CA6"/>
    <w:rsid w:val="006D3E8A"/>
    <w:rsid w:val="006D61F6"/>
    <w:rsid w:val="006E279A"/>
    <w:rsid w:val="006E313B"/>
    <w:rsid w:val="006E7227"/>
    <w:rsid w:val="006F438E"/>
    <w:rsid w:val="006F5416"/>
    <w:rsid w:val="00705242"/>
    <w:rsid w:val="00706AD4"/>
    <w:rsid w:val="00707150"/>
    <w:rsid w:val="007140BE"/>
    <w:rsid w:val="007211F5"/>
    <w:rsid w:val="00723946"/>
    <w:rsid w:val="007240E2"/>
    <w:rsid w:val="00725BB5"/>
    <w:rsid w:val="00730AE8"/>
    <w:rsid w:val="00730F1B"/>
    <w:rsid w:val="00741493"/>
    <w:rsid w:val="0075027A"/>
    <w:rsid w:val="00752180"/>
    <w:rsid w:val="00753CAB"/>
    <w:rsid w:val="00755202"/>
    <w:rsid w:val="00755D3A"/>
    <w:rsid w:val="007578D3"/>
    <w:rsid w:val="007609C6"/>
    <w:rsid w:val="00760EA4"/>
    <w:rsid w:val="00761600"/>
    <w:rsid w:val="0076175D"/>
    <w:rsid w:val="00763B85"/>
    <w:rsid w:val="0076521E"/>
    <w:rsid w:val="007661E9"/>
    <w:rsid w:val="00776169"/>
    <w:rsid w:val="00776527"/>
    <w:rsid w:val="00780EF1"/>
    <w:rsid w:val="00790764"/>
    <w:rsid w:val="0079453C"/>
    <w:rsid w:val="00794677"/>
    <w:rsid w:val="00797445"/>
    <w:rsid w:val="007A516D"/>
    <w:rsid w:val="007B6689"/>
    <w:rsid w:val="007C6BBD"/>
    <w:rsid w:val="007C7443"/>
    <w:rsid w:val="007D2975"/>
    <w:rsid w:val="007D40DF"/>
    <w:rsid w:val="007E29B4"/>
    <w:rsid w:val="007E435A"/>
    <w:rsid w:val="007E7E61"/>
    <w:rsid w:val="007F0845"/>
    <w:rsid w:val="007F708D"/>
    <w:rsid w:val="00801E13"/>
    <w:rsid w:val="00807C82"/>
    <w:rsid w:val="00814B15"/>
    <w:rsid w:val="00816905"/>
    <w:rsid w:val="008207EF"/>
    <w:rsid w:val="00821777"/>
    <w:rsid w:val="00821FF6"/>
    <w:rsid w:val="00822574"/>
    <w:rsid w:val="00825C4D"/>
    <w:rsid w:val="0083143E"/>
    <w:rsid w:val="00831CDE"/>
    <w:rsid w:val="00834304"/>
    <w:rsid w:val="00834FAA"/>
    <w:rsid w:val="00836086"/>
    <w:rsid w:val="00846121"/>
    <w:rsid w:val="0084708F"/>
    <w:rsid w:val="008477C8"/>
    <w:rsid w:val="0085114D"/>
    <w:rsid w:val="00852217"/>
    <w:rsid w:val="00855408"/>
    <w:rsid w:val="00856D65"/>
    <w:rsid w:val="00861B41"/>
    <w:rsid w:val="00861BE3"/>
    <w:rsid w:val="00863434"/>
    <w:rsid w:val="00865E4C"/>
    <w:rsid w:val="008701E4"/>
    <w:rsid w:val="00871069"/>
    <w:rsid w:val="00875A32"/>
    <w:rsid w:val="00876086"/>
    <w:rsid w:val="008825B0"/>
    <w:rsid w:val="00884AD6"/>
    <w:rsid w:val="008873D4"/>
    <w:rsid w:val="0089126C"/>
    <w:rsid w:val="0089296D"/>
    <w:rsid w:val="00893E85"/>
    <w:rsid w:val="00894031"/>
    <w:rsid w:val="00895508"/>
    <w:rsid w:val="0089685F"/>
    <w:rsid w:val="008B167B"/>
    <w:rsid w:val="008B7C02"/>
    <w:rsid w:val="008B7D2B"/>
    <w:rsid w:val="008C0049"/>
    <w:rsid w:val="008C0E88"/>
    <w:rsid w:val="008C53CB"/>
    <w:rsid w:val="008D17C7"/>
    <w:rsid w:val="008D1E6A"/>
    <w:rsid w:val="008D2A16"/>
    <w:rsid w:val="008E2C57"/>
    <w:rsid w:val="008E31FF"/>
    <w:rsid w:val="008E6F06"/>
    <w:rsid w:val="008E7FC9"/>
    <w:rsid w:val="008F029B"/>
    <w:rsid w:val="008F3FC9"/>
    <w:rsid w:val="008F585B"/>
    <w:rsid w:val="009003A8"/>
    <w:rsid w:val="00902500"/>
    <w:rsid w:val="00902EFF"/>
    <w:rsid w:val="00906401"/>
    <w:rsid w:val="0091155E"/>
    <w:rsid w:val="00912634"/>
    <w:rsid w:val="00912A92"/>
    <w:rsid w:val="0091728D"/>
    <w:rsid w:val="009203C8"/>
    <w:rsid w:val="0092180B"/>
    <w:rsid w:val="00921F14"/>
    <w:rsid w:val="009231A3"/>
    <w:rsid w:val="00924AC8"/>
    <w:rsid w:val="0092597A"/>
    <w:rsid w:val="00930FB1"/>
    <w:rsid w:val="0093139F"/>
    <w:rsid w:val="00932443"/>
    <w:rsid w:val="009324EF"/>
    <w:rsid w:val="00933121"/>
    <w:rsid w:val="00937AE2"/>
    <w:rsid w:val="0094427A"/>
    <w:rsid w:val="00945245"/>
    <w:rsid w:val="0095759C"/>
    <w:rsid w:val="00966405"/>
    <w:rsid w:val="009721DB"/>
    <w:rsid w:val="00974923"/>
    <w:rsid w:val="00975148"/>
    <w:rsid w:val="00980D3D"/>
    <w:rsid w:val="00987A30"/>
    <w:rsid w:val="00992CF3"/>
    <w:rsid w:val="00994868"/>
    <w:rsid w:val="009968D6"/>
    <w:rsid w:val="009A1CAB"/>
    <w:rsid w:val="009A60D1"/>
    <w:rsid w:val="009B1F0B"/>
    <w:rsid w:val="009B6FD3"/>
    <w:rsid w:val="009C1750"/>
    <w:rsid w:val="009C2E29"/>
    <w:rsid w:val="009C554B"/>
    <w:rsid w:val="009C719E"/>
    <w:rsid w:val="009C7A10"/>
    <w:rsid w:val="009D3ACD"/>
    <w:rsid w:val="009E5273"/>
    <w:rsid w:val="009E5DDB"/>
    <w:rsid w:val="009F4CA7"/>
    <w:rsid w:val="00A0439C"/>
    <w:rsid w:val="00A10D66"/>
    <w:rsid w:val="00A14114"/>
    <w:rsid w:val="00A16413"/>
    <w:rsid w:val="00A16E1D"/>
    <w:rsid w:val="00A171A3"/>
    <w:rsid w:val="00A17D5B"/>
    <w:rsid w:val="00A23E43"/>
    <w:rsid w:val="00A25216"/>
    <w:rsid w:val="00A30F65"/>
    <w:rsid w:val="00A33A89"/>
    <w:rsid w:val="00A40EAC"/>
    <w:rsid w:val="00A418BC"/>
    <w:rsid w:val="00A46DE0"/>
    <w:rsid w:val="00A50D73"/>
    <w:rsid w:val="00A52CAD"/>
    <w:rsid w:val="00A53FC7"/>
    <w:rsid w:val="00A62CE1"/>
    <w:rsid w:val="00A6741E"/>
    <w:rsid w:val="00A75E40"/>
    <w:rsid w:val="00A77D1D"/>
    <w:rsid w:val="00A84A6A"/>
    <w:rsid w:val="00A857C0"/>
    <w:rsid w:val="00A90FED"/>
    <w:rsid w:val="00AA2996"/>
    <w:rsid w:val="00AA52BF"/>
    <w:rsid w:val="00AA559A"/>
    <w:rsid w:val="00AB2AF1"/>
    <w:rsid w:val="00AC224B"/>
    <w:rsid w:val="00AC45BD"/>
    <w:rsid w:val="00AD0D0E"/>
    <w:rsid w:val="00AD1119"/>
    <w:rsid w:val="00AD168E"/>
    <w:rsid w:val="00AD306C"/>
    <w:rsid w:val="00AD68C4"/>
    <w:rsid w:val="00AE09B3"/>
    <w:rsid w:val="00AE1A83"/>
    <w:rsid w:val="00AF6128"/>
    <w:rsid w:val="00B00913"/>
    <w:rsid w:val="00B01593"/>
    <w:rsid w:val="00B023F2"/>
    <w:rsid w:val="00B04705"/>
    <w:rsid w:val="00B10A4D"/>
    <w:rsid w:val="00B14BC1"/>
    <w:rsid w:val="00B17E71"/>
    <w:rsid w:val="00B17FDE"/>
    <w:rsid w:val="00B2379C"/>
    <w:rsid w:val="00B2687D"/>
    <w:rsid w:val="00B32DDB"/>
    <w:rsid w:val="00B34528"/>
    <w:rsid w:val="00B34CC9"/>
    <w:rsid w:val="00B402FC"/>
    <w:rsid w:val="00B439DA"/>
    <w:rsid w:val="00B46604"/>
    <w:rsid w:val="00B530CD"/>
    <w:rsid w:val="00B536DD"/>
    <w:rsid w:val="00B55F5E"/>
    <w:rsid w:val="00B5752E"/>
    <w:rsid w:val="00B63A11"/>
    <w:rsid w:val="00B63B6A"/>
    <w:rsid w:val="00B64C24"/>
    <w:rsid w:val="00B6608F"/>
    <w:rsid w:val="00B679FB"/>
    <w:rsid w:val="00B76D1E"/>
    <w:rsid w:val="00B80EC6"/>
    <w:rsid w:val="00B84CF6"/>
    <w:rsid w:val="00B92D1D"/>
    <w:rsid w:val="00B938C5"/>
    <w:rsid w:val="00B95940"/>
    <w:rsid w:val="00BA6C2B"/>
    <w:rsid w:val="00BB099E"/>
    <w:rsid w:val="00BB2F43"/>
    <w:rsid w:val="00BB46F3"/>
    <w:rsid w:val="00BB4CB1"/>
    <w:rsid w:val="00BB4F98"/>
    <w:rsid w:val="00BC5C12"/>
    <w:rsid w:val="00BC7154"/>
    <w:rsid w:val="00BC731E"/>
    <w:rsid w:val="00BD366B"/>
    <w:rsid w:val="00BD6D50"/>
    <w:rsid w:val="00BE18B9"/>
    <w:rsid w:val="00BE2495"/>
    <w:rsid w:val="00BF1578"/>
    <w:rsid w:val="00C21F94"/>
    <w:rsid w:val="00C27913"/>
    <w:rsid w:val="00C27D07"/>
    <w:rsid w:val="00C33B68"/>
    <w:rsid w:val="00C35666"/>
    <w:rsid w:val="00C36A79"/>
    <w:rsid w:val="00C401D2"/>
    <w:rsid w:val="00C405D4"/>
    <w:rsid w:val="00C446A2"/>
    <w:rsid w:val="00C4513B"/>
    <w:rsid w:val="00C5390B"/>
    <w:rsid w:val="00C54697"/>
    <w:rsid w:val="00C73885"/>
    <w:rsid w:val="00C747B1"/>
    <w:rsid w:val="00C82191"/>
    <w:rsid w:val="00C83134"/>
    <w:rsid w:val="00C85545"/>
    <w:rsid w:val="00C90CF4"/>
    <w:rsid w:val="00C92EB6"/>
    <w:rsid w:val="00C93389"/>
    <w:rsid w:val="00CA0914"/>
    <w:rsid w:val="00CA6AB4"/>
    <w:rsid w:val="00CB4930"/>
    <w:rsid w:val="00CC2E7D"/>
    <w:rsid w:val="00CD10A5"/>
    <w:rsid w:val="00CD2076"/>
    <w:rsid w:val="00CD29B5"/>
    <w:rsid w:val="00CD5BA3"/>
    <w:rsid w:val="00CD6331"/>
    <w:rsid w:val="00CE670B"/>
    <w:rsid w:val="00CF4908"/>
    <w:rsid w:val="00CF51EC"/>
    <w:rsid w:val="00CF73AE"/>
    <w:rsid w:val="00D040DD"/>
    <w:rsid w:val="00D075BE"/>
    <w:rsid w:val="00D13986"/>
    <w:rsid w:val="00D21D83"/>
    <w:rsid w:val="00D235B7"/>
    <w:rsid w:val="00D25F28"/>
    <w:rsid w:val="00D26071"/>
    <w:rsid w:val="00D27973"/>
    <w:rsid w:val="00D35E1A"/>
    <w:rsid w:val="00D50F46"/>
    <w:rsid w:val="00D57677"/>
    <w:rsid w:val="00D66223"/>
    <w:rsid w:val="00D71625"/>
    <w:rsid w:val="00D76A18"/>
    <w:rsid w:val="00D8084C"/>
    <w:rsid w:val="00D915EA"/>
    <w:rsid w:val="00D94D95"/>
    <w:rsid w:val="00DA7C0C"/>
    <w:rsid w:val="00DB08A9"/>
    <w:rsid w:val="00DB2EC8"/>
    <w:rsid w:val="00DC5B3B"/>
    <w:rsid w:val="00DD129F"/>
    <w:rsid w:val="00DD1A46"/>
    <w:rsid w:val="00DE02BD"/>
    <w:rsid w:val="00DE0F3B"/>
    <w:rsid w:val="00DF42FF"/>
    <w:rsid w:val="00E01C0E"/>
    <w:rsid w:val="00E03F9A"/>
    <w:rsid w:val="00E04694"/>
    <w:rsid w:val="00E12B1E"/>
    <w:rsid w:val="00E17262"/>
    <w:rsid w:val="00E253A2"/>
    <w:rsid w:val="00E3309D"/>
    <w:rsid w:val="00E47EBA"/>
    <w:rsid w:val="00E50156"/>
    <w:rsid w:val="00E51643"/>
    <w:rsid w:val="00E53470"/>
    <w:rsid w:val="00E539F6"/>
    <w:rsid w:val="00E6519D"/>
    <w:rsid w:val="00E67696"/>
    <w:rsid w:val="00E71A58"/>
    <w:rsid w:val="00E72A7A"/>
    <w:rsid w:val="00E75C94"/>
    <w:rsid w:val="00E76A3F"/>
    <w:rsid w:val="00E93820"/>
    <w:rsid w:val="00E94A86"/>
    <w:rsid w:val="00E96143"/>
    <w:rsid w:val="00E963D6"/>
    <w:rsid w:val="00EA0987"/>
    <w:rsid w:val="00EA0C68"/>
    <w:rsid w:val="00EA32BC"/>
    <w:rsid w:val="00EB4511"/>
    <w:rsid w:val="00EB4A3B"/>
    <w:rsid w:val="00EC03D7"/>
    <w:rsid w:val="00ED62C6"/>
    <w:rsid w:val="00ED64C1"/>
    <w:rsid w:val="00EE3446"/>
    <w:rsid w:val="00EE3E78"/>
    <w:rsid w:val="00EE4B1B"/>
    <w:rsid w:val="00EE7F19"/>
    <w:rsid w:val="00EF150D"/>
    <w:rsid w:val="00EF1F5A"/>
    <w:rsid w:val="00EF47BF"/>
    <w:rsid w:val="00F04811"/>
    <w:rsid w:val="00F0488C"/>
    <w:rsid w:val="00F10F11"/>
    <w:rsid w:val="00F15AAA"/>
    <w:rsid w:val="00F15BEF"/>
    <w:rsid w:val="00F24407"/>
    <w:rsid w:val="00F24931"/>
    <w:rsid w:val="00F24FAA"/>
    <w:rsid w:val="00F3364D"/>
    <w:rsid w:val="00F3443C"/>
    <w:rsid w:val="00F437CC"/>
    <w:rsid w:val="00F44537"/>
    <w:rsid w:val="00F44B6A"/>
    <w:rsid w:val="00F47067"/>
    <w:rsid w:val="00F525EB"/>
    <w:rsid w:val="00F63DDE"/>
    <w:rsid w:val="00F63FB7"/>
    <w:rsid w:val="00F6421B"/>
    <w:rsid w:val="00F649D2"/>
    <w:rsid w:val="00F6602B"/>
    <w:rsid w:val="00F73A0C"/>
    <w:rsid w:val="00F756DB"/>
    <w:rsid w:val="00F84E7D"/>
    <w:rsid w:val="00F85066"/>
    <w:rsid w:val="00F87A4D"/>
    <w:rsid w:val="00F9785E"/>
    <w:rsid w:val="00FA5D4D"/>
    <w:rsid w:val="00FB0EE2"/>
    <w:rsid w:val="00FB542E"/>
    <w:rsid w:val="00FC0E5F"/>
    <w:rsid w:val="00FC1A95"/>
    <w:rsid w:val="00FC56DE"/>
    <w:rsid w:val="00FC684B"/>
    <w:rsid w:val="00FD3265"/>
    <w:rsid w:val="00FE2F78"/>
    <w:rsid w:val="00FF7B96"/>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ecf4dd,#eaecee,#fcec0a,#fcecdb,#f1daf5"/>
    </o:shapedefaults>
    <o:shapelayout v:ext="edit">
      <o:idmap v:ext="edit" data="2"/>
    </o:shapelayout>
  </w:shapeDefaults>
  <w:decimalSymbol w:val=","/>
  <w:listSeparator w:val=";"/>
  <w14:docId w14:val="16D78745"/>
  <w15:docId w15:val="{FC3C9807-8A20-484D-A937-0CB633FC8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64FA0"/>
    <w:pPr>
      <w:spacing w:after="240" w:line="276" w:lineRule="auto"/>
      <w:jc w:val="both"/>
    </w:pPr>
    <w:rPr>
      <w:rFonts w:ascii="Arial" w:eastAsia="Times New Roman" w:hAnsi="Arial"/>
      <w:szCs w:val="24"/>
      <w:lang w:eastAsia="cs-CZ"/>
    </w:rPr>
  </w:style>
  <w:style w:type="paragraph" w:styleId="Nadpis1">
    <w:name w:val="heading 1"/>
    <w:next w:val="Normln"/>
    <w:link w:val="Nadpis1Char"/>
    <w:uiPriority w:val="9"/>
    <w:qFormat/>
    <w:rsid w:val="00EA0987"/>
    <w:pPr>
      <w:keepNext/>
      <w:keepLines/>
      <w:spacing w:after="100" w:line="276" w:lineRule="auto"/>
      <w:contextualSpacing/>
      <w:outlineLvl w:val="0"/>
    </w:pPr>
    <w:rPr>
      <w:rFonts w:ascii="Arial" w:eastAsia="MS Gothic" w:hAnsi="Arial"/>
      <w:b/>
      <w:bCs/>
      <w:color w:val="86BF5E"/>
      <w:sz w:val="32"/>
      <w:szCs w:val="28"/>
      <w:lang w:eastAsia="cs-CZ"/>
    </w:rPr>
  </w:style>
  <w:style w:type="paragraph" w:styleId="Nadpis2">
    <w:name w:val="heading 2"/>
    <w:next w:val="Normln"/>
    <w:link w:val="Nadpis2Char"/>
    <w:uiPriority w:val="9"/>
    <w:qFormat/>
    <w:rsid w:val="00EA0987"/>
    <w:pPr>
      <w:keepNext/>
      <w:keepLines/>
      <w:spacing w:line="276" w:lineRule="auto"/>
      <w:outlineLvl w:val="1"/>
    </w:pPr>
    <w:rPr>
      <w:rFonts w:ascii="Arial" w:eastAsia="MS Gothic" w:hAnsi="Arial"/>
      <w:b/>
      <w:bCs/>
      <w:color w:val="86BF5E"/>
      <w:sz w:val="28"/>
      <w:szCs w:val="26"/>
      <w:lang w:eastAsia="cs-CZ"/>
    </w:rPr>
  </w:style>
  <w:style w:type="paragraph" w:styleId="Nadpis3">
    <w:name w:val="heading 3"/>
    <w:next w:val="Normln"/>
    <w:link w:val="Nadpis3Char"/>
    <w:uiPriority w:val="9"/>
    <w:qFormat/>
    <w:rsid w:val="00EA0987"/>
    <w:pPr>
      <w:keepNext/>
      <w:keepLines/>
      <w:spacing w:line="276" w:lineRule="auto"/>
      <w:outlineLvl w:val="2"/>
    </w:pPr>
    <w:rPr>
      <w:rFonts w:ascii="Arial" w:eastAsia="MS Gothic" w:hAnsi="Arial"/>
      <w:b/>
      <w:bCs/>
      <w:color w:val="86BF5E"/>
      <w:sz w:val="24"/>
      <w:szCs w:val="24"/>
      <w:lang w:eastAsia="cs-CZ"/>
    </w:rPr>
  </w:style>
  <w:style w:type="paragraph" w:styleId="Nadpis4">
    <w:name w:val="heading 4"/>
    <w:next w:val="Normln"/>
    <w:link w:val="Nadpis4Char"/>
    <w:uiPriority w:val="9"/>
    <w:qFormat/>
    <w:rsid w:val="0041041D"/>
    <w:pPr>
      <w:keepNext/>
      <w:keepLines/>
      <w:spacing w:line="276" w:lineRule="auto"/>
      <w:outlineLvl w:val="3"/>
    </w:pPr>
    <w:rPr>
      <w:rFonts w:ascii="Arial" w:eastAsia="MS Gothic" w:hAnsi="Arial"/>
      <w:b/>
      <w:bCs/>
      <w:iCs/>
      <w:color w:val="86BF5E"/>
      <w:szCs w:val="24"/>
      <w:lang w:eastAsia="cs-CZ"/>
    </w:rPr>
  </w:style>
  <w:style w:type="paragraph" w:styleId="Nadpis5">
    <w:name w:val="heading 5"/>
    <w:basedOn w:val="Normln"/>
    <w:next w:val="Normln"/>
    <w:link w:val="Nadpis5Char"/>
    <w:uiPriority w:val="9"/>
    <w:semiHidden/>
    <w:unhideWhenUsed/>
    <w:rsid w:val="007A516D"/>
    <w:pPr>
      <w:keepNext/>
      <w:keepLines/>
      <w:numPr>
        <w:ilvl w:val="4"/>
        <w:numId w:val="14"/>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7A516D"/>
    <w:pPr>
      <w:keepNext/>
      <w:keepLines/>
      <w:numPr>
        <w:ilvl w:val="5"/>
        <w:numId w:val="14"/>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7A516D"/>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7A516D"/>
    <w:pPr>
      <w:keepNext/>
      <w:keepLines/>
      <w:numPr>
        <w:ilvl w:val="7"/>
        <w:numId w:val="14"/>
      </w:numPr>
      <w:spacing w:before="200" w:after="0"/>
      <w:outlineLvl w:val="7"/>
    </w:pPr>
    <w:rPr>
      <w:rFonts w:asciiTheme="majorHAnsi" w:eastAsiaTheme="majorEastAsia" w:hAnsiTheme="majorHAnsi" w:cstheme="majorBidi"/>
      <w:color w:val="404040" w:themeColor="text1" w:themeTint="BF"/>
      <w:szCs w:val="20"/>
    </w:rPr>
  </w:style>
  <w:style w:type="paragraph" w:styleId="Nadpis9">
    <w:name w:val="heading 9"/>
    <w:basedOn w:val="Normln"/>
    <w:next w:val="Normln"/>
    <w:link w:val="Nadpis9Char"/>
    <w:uiPriority w:val="9"/>
    <w:semiHidden/>
    <w:unhideWhenUsed/>
    <w:qFormat/>
    <w:rsid w:val="007A516D"/>
    <w:pPr>
      <w:numPr>
        <w:ilvl w:val="8"/>
        <w:numId w:val="14"/>
      </w:num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qFormat/>
    <w:rsid w:val="00EA0987"/>
    <w:rPr>
      <w:rFonts w:ascii="Arial" w:eastAsia="MS Gothic" w:hAnsi="Arial"/>
      <w:b/>
      <w:bCs/>
      <w:color w:val="86BF5E"/>
      <w:sz w:val="32"/>
      <w:szCs w:val="28"/>
      <w:lang w:eastAsia="cs-CZ"/>
    </w:rPr>
  </w:style>
  <w:style w:type="character" w:customStyle="1" w:styleId="Nadpis2Char">
    <w:name w:val="Nadpis 2 Char"/>
    <w:link w:val="Nadpis2"/>
    <w:uiPriority w:val="9"/>
    <w:rsid w:val="00EA0987"/>
    <w:rPr>
      <w:rFonts w:ascii="Arial" w:eastAsia="MS Gothic" w:hAnsi="Arial"/>
      <w:b/>
      <w:bCs/>
      <w:color w:val="86BF5E"/>
      <w:sz w:val="28"/>
      <w:szCs w:val="26"/>
      <w:lang w:eastAsia="cs-CZ"/>
    </w:rPr>
  </w:style>
  <w:style w:type="character" w:customStyle="1" w:styleId="Nadpis3Char">
    <w:name w:val="Nadpis 3 Char"/>
    <w:link w:val="Nadpis3"/>
    <w:uiPriority w:val="9"/>
    <w:rsid w:val="00EA0987"/>
    <w:rPr>
      <w:rFonts w:ascii="Arial" w:eastAsia="MS Gothic" w:hAnsi="Arial"/>
      <w:b/>
      <w:bCs/>
      <w:color w:val="86BF5E"/>
      <w:sz w:val="24"/>
      <w:szCs w:val="24"/>
      <w:lang w:eastAsia="cs-CZ"/>
    </w:rPr>
  </w:style>
  <w:style w:type="character" w:customStyle="1" w:styleId="Nadpis4Char">
    <w:name w:val="Nadpis 4 Char"/>
    <w:link w:val="Nadpis4"/>
    <w:uiPriority w:val="9"/>
    <w:rsid w:val="0041041D"/>
    <w:rPr>
      <w:rFonts w:ascii="Arial" w:eastAsia="MS Gothic" w:hAnsi="Arial"/>
      <w:b/>
      <w:bCs/>
      <w:iCs/>
      <w:color w:val="86BF5E"/>
      <w:szCs w:val="24"/>
      <w:lang w:eastAsia="cs-CZ"/>
    </w:rPr>
  </w:style>
  <w:style w:type="character" w:customStyle="1" w:styleId="Nadpis9Char">
    <w:name w:val="Nadpis 9 Char"/>
    <w:link w:val="Nadpis9"/>
    <w:uiPriority w:val="9"/>
    <w:semiHidden/>
    <w:rsid w:val="007A516D"/>
    <w:rPr>
      <w:rFonts w:ascii="Cambria" w:eastAsia="Times New Roman" w:hAnsi="Cambria"/>
      <w:sz w:val="22"/>
      <w:szCs w:val="22"/>
      <w:lang w:eastAsia="cs-CZ"/>
    </w:rPr>
  </w:style>
  <w:style w:type="character" w:styleId="Hypertextovodkaz">
    <w:name w:val="Hyperlink"/>
    <w:uiPriority w:val="99"/>
    <w:rsid w:val="00E71A58"/>
    <w:rPr>
      <w:color w:val="0000FF"/>
      <w:u w:val="single"/>
    </w:rPr>
  </w:style>
  <w:style w:type="paragraph" w:styleId="Zhlav">
    <w:name w:val="header"/>
    <w:link w:val="ZhlavChar"/>
    <w:uiPriority w:val="99"/>
    <w:unhideWhenUsed/>
    <w:qFormat/>
    <w:rsid w:val="00A418BC"/>
    <w:pPr>
      <w:spacing w:line="288" w:lineRule="auto"/>
    </w:pPr>
    <w:rPr>
      <w:rFonts w:ascii="Arial" w:hAnsi="Arial"/>
      <w:sz w:val="16"/>
      <w:szCs w:val="22"/>
    </w:rPr>
  </w:style>
  <w:style w:type="character" w:customStyle="1" w:styleId="ZhlavChar">
    <w:name w:val="Záhlaví Char"/>
    <w:link w:val="Zhlav"/>
    <w:uiPriority w:val="99"/>
    <w:rsid w:val="00A418BC"/>
    <w:rPr>
      <w:rFonts w:ascii="Arial" w:hAnsi="Arial"/>
      <w:sz w:val="16"/>
      <w:szCs w:val="22"/>
      <w:lang w:eastAsia="en-US"/>
    </w:rPr>
  </w:style>
  <w:style w:type="paragraph" w:styleId="Zpat">
    <w:name w:val="footer"/>
    <w:link w:val="ZpatChar"/>
    <w:uiPriority w:val="99"/>
    <w:unhideWhenUsed/>
    <w:qFormat/>
    <w:rsid w:val="00031AE0"/>
    <w:pPr>
      <w:tabs>
        <w:tab w:val="center" w:pos="4820"/>
        <w:tab w:val="right" w:pos="9639"/>
      </w:tabs>
    </w:pPr>
    <w:rPr>
      <w:rFonts w:ascii="Arial" w:hAnsi="Arial" w:cs="Arial"/>
      <w:noProof/>
      <w:sz w:val="16"/>
    </w:rPr>
  </w:style>
  <w:style w:type="character" w:customStyle="1" w:styleId="ZpatChar">
    <w:name w:val="Zápatí Char"/>
    <w:link w:val="Zpat"/>
    <w:uiPriority w:val="99"/>
    <w:rsid w:val="00031AE0"/>
    <w:rPr>
      <w:rFonts w:ascii="Arial" w:hAnsi="Arial" w:cs="Arial"/>
      <w:noProof/>
      <w:sz w:val="16"/>
      <w:lang w:eastAsia="en-US"/>
    </w:rPr>
  </w:style>
  <w:style w:type="paragraph" w:styleId="Textbubliny">
    <w:name w:val="Balloon Text"/>
    <w:basedOn w:val="Normln"/>
    <w:link w:val="TextbublinyChar"/>
    <w:uiPriority w:val="99"/>
    <w:semiHidden/>
    <w:unhideWhenUsed/>
    <w:rsid w:val="00E71A58"/>
    <w:rPr>
      <w:rFonts w:ascii="Tahoma" w:eastAsia="Calibri" w:hAnsi="Tahoma"/>
      <w:sz w:val="16"/>
      <w:szCs w:val="16"/>
      <w:lang w:val="x-none" w:eastAsia="x-none"/>
    </w:rPr>
  </w:style>
  <w:style w:type="character" w:customStyle="1" w:styleId="TextbublinyChar">
    <w:name w:val="Text bubliny Char"/>
    <w:link w:val="Textbubliny"/>
    <w:uiPriority w:val="99"/>
    <w:semiHidden/>
    <w:rsid w:val="00E71A58"/>
    <w:rPr>
      <w:rFonts w:ascii="Tahoma" w:hAnsi="Tahoma" w:cs="Tahoma"/>
      <w:sz w:val="16"/>
      <w:szCs w:val="16"/>
    </w:rPr>
  </w:style>
  <w:style w:type="paragraph" w:customStyle="1" w:styleId="Zkladnodstavec">
    <w:name w:val="[Základní odstavec]"/>
    <w:link w:val="ZkladnodstavecChar"/>
    <w:uiPriority w:val="99"/>
    <w:rsid w:val="0008263E"/>
    <w:pPr>
      <w:autoSpaceDE w:val="0"/>
      <w:autoSpaceDN w:val="0"/>
      <w:adjustRightInd w:val="0"/>
      <w:spacing w:line="276" w:lineRule="auto"/>
      <w:textAlignment w:val="center"/>
    </w:pPr>
    <w:rPr>
      <w:rFonts w:ascii="Arial" w:hAnsi="Arial" w:cs="Minion Pro"/>
      <w:color w:val="000000"/>
      <w:szCs w:val="24"/>
      <w:lang w:eastAsia="cs-CZ"/>
    </w:rPr>
  </w:style>
  <w:style w:type="character" w:customStyle="1" w:styleId="ZkladnodstavecChar">
    <w:name w:val="[Základní odstavec] Char"/>
    <w:link w:val="Zkladnodstavec"/>
    <w:uiPriority w:val="99"/>
    <w:rsid w:val="0008263E"/>
    <w:rPr>
      <w:rFonts w:ascii="Arial" w:hAnsi="Arial" w:cs="Minion Pro"/>
      <w:color w:val="000000"/>
      <w:szCs w:val="24"/>
    </w:rPr>
  </w:style>
  <w:style w:type="paragraph" w:styleId="Obsah1">
    <w:name w:val="toc 1"/>
    <w:basedOn w:val="Obsahpoloky"/>
    <w:next w:val="Obsahpoloky"/>
    <w:autoRedefine/>
    <w:uiPriority w:val="39"/>
    <w:unhideWhenUsed/>
    <w:rsid w:val="00FC1A95"/>
  </w:style>
  <w:style w:type="paragraph" w:customStyle="1" w:styleId="TLIdentifikace-sted">
    <w:name w:val="TL Identifikace - střed"/>
    <w:qFormat/>
    <w:rsid w:val="009A60D1"/>
    <w:pPr>
      <w:spacing w:after="200" w:line="288" w:lineRule="auto"/>
    </w:pPr>
    <w:rPr>
      <w:rFonts w:ascii="Arial" w:eastAsia="Times New Roman" w:hAnsi="Arial"/>
      <w:sz w:val="24"/>
      <w:szCs w:val="24"/>
      <w:lang w:eastAsia="cs-CZ"/>
    </w:rPr>
  </w:style>
  <w:style w:type="paragraph" w:customStyle="1" w:styleId="Obsah">
    <w:name w:val="Obsah"/>
    <w:next w:val="Normln"/>
    <w:qFormat/>
    <w:rsid w:val="000A57D4"/>
    <w:pPr>
      <w:spacing w:after="80" w:line="288" w:lineRule="auto"/>
    </w:pPr>
    <w:rPr>
      <w:rFonts w:ascii="Arial" w:eastAsia="Times New Roman" w:hAnsi="Arial"/>
      <w:b/>
      <w:color w:val="86BF5E"/>
      <w:sz w:val="32"/>
      <w:szCs w:val="24"/>
      <w:lang w:eastAsia="cs-CZ"/>
    </w:rPr>
  </w:style>
  <w:style w:type="paragraph" w:customStyle="1" w:styleId="Obsahpoloky">
    <w:name w:val="Obsah položky"/>
    <w:qFormat/>
    <w:rsid w:val="00616E05"/>
    <w:pPr>
      <w:tabs>
        <w:tab w:val="right" w:leader="dot" w:pos="9639"/>
      </w:tabs>
      <w:spacing w:line="288" w:lineRule="auto"/>
    </w:pPr>
    <w:rPr>
      <w:rFonts w:ascii="Arial" w:eastAsia="Times New Roman" w:hAnsi="Arial"/>
      <w:szCs w:val="24"/>
      <w:lang w:eastAsia="cs-CZ"/>
    </w:rPr>
  </w:style>
  <w:style w:type="paragraph" w:customStyle="1" w:styleId="A-Box1">
    <w:name w:val="A-Box 1"/>
    <w:next w:val="Normln"/>
    <w:qFormat/>
    <w:rsid w:val="00EA0987"/>
    <w:pPr>
      <w:shd w:val="clear" w:color="auto" w:fill="F0F6E9"/>
      <w:spacing w:before="240" w:after="240" w:line="276" w:lineRule="auto"/>
      <w:contextualSpacing/>
      <w:jc w:val="both"/>
    </w:pPr>
    <w:rPr>
      <w:rFonts w:ascii="Arial" w:hAnsi="Arial" w:cs="Arial"/>
      <w:lang w:eastAsia="cs-CZ"/>
    </w:rPr>
  </w:style>
  <w:style w:type="paragraph" w:customStyle="1" w:styleId="A-Box2">
    <w:name w:val="A-Box 2"/>
    <w:next w:val="Normln"/>
    <w:qFormat/>
    <w:rsid w:val="00EA0987"/>
    <w:pPr>
      <w:spacing w:before="240" w:after="240" w:line="276" w:lineRule="auto"/>
      <w:contextualSpacing/>
      <w:jc w:val="both"/>
    </w:pPr>
    <w:rPr>
      <w:rFonts w:ascii="Arial" w:hAnsi="Arial" w:cs="Arial"/>
      <w:color w:val="86BF5E"/>
      <w:lang w:eastAsia="cs-CZ"/>
    </w:rPr>
  </w:style>
  <w:style w:type="paragraph" w:styleId="Seznam">
    <w:name w:val="List"/>
    <w:basedOn w:val="Normln"/>
    <w:uiPriority w:val="99"/>
    <w:unhideWhenUsed/>
    <w:qFormat/>
    <w:rsid w:val="00481E40"/>
    <w:pPr>
      <w:contextualSpacing/>
    </w:pPr>
  </w:style>
  <w:style w:type="character" w:styleId="Siln">
    <w:name w:val="Strong"/>
    <w:aliases w:val="Tučné"/>
    <w:uiPriority w:val="22"/>
    <w:qFormat/>
    <w:rsid w:val="00EC03D7"/>
    <w:rPr>
      <w:rFonts w:ascii="Arial" w:hAnsi="Arial"/>
      <w:b/>
      <w:bCs/>
      <w:sz w:val="20"/>
    </w:rPr>
  </w:style>
  <w:style w:type="paragraph" w:customStyle="1" w:styleId="TLKontaktyerven">
    <w:name w:val="TL Kontakty červené"/>
    <w:basedOn w:val="Normln"/>
    <w:qFormat/>
    <w:rsid w:val="000A57D4"/>
    <w:pPr>
      <w:spacing w:after="40"/>
      <w:contextualSpacing/>
    </w:pPr>
    <w:rPr>
      <w:b/>
      <w:caps/>
      <w:sz w:val="24"/>
    </w:rPr>
  </w:style>
  <w:style w:type="paragraph" w:customStyle="1" w:styleId="TLKontakty">
    <w:name w:val="TL Kontakty"/>
    <w:qFormat/>
    <w:rsid w:val="000A57D4"/>
    <w:pPr>
      <w:spacing w:after="160" w:line="259" w:lineRule="auto"/>
      <w:contextualSpacing/>
    </w:pPr>
    <w:rPr>
      <w:rFonts w:ascii="Arial" w:eastAsia="Times New Roman" w:hAnsi="Arial"/>
      <w:b/>
      <w:color w:val="86BF5E"/>
      <w:lang w:eastAsia="cs-CZ"/>
    </w:rPr>
  </w:style>
  <w:style w:type="paragraph" w:styleId="Nzev">
    <w:name w:val="Title"/>
    <w:link w:val="NzevChar"/>
    <w:uiPriority w:val="10"/>
    <w:qFormat/>
    <w:rsid w:val="001E6062"/>
    <w:pPr>
      <w:spacing w:line="288" w:lineRule="auto"/>
    </w:pPr>
    <w:rPr>
      <w:rFonts w:ascii="Arial" w:eastAsia="Times New Roman" w:hAnsi="Arial"/>
      <w:b/>
      <w:bCs/>
      <w:caps/>
      <w:color w:val="000000" w:themeColor="text1"/>
      <w:kern w:val="28"/>
      <w:sz w:val="56"/>
      <w:szCs w:val="32"/>
      <w:lang w:eastAsia="cs-CZ"/>
    </w:rPr>
  </w:style>
  <w:style w:type="character" w:customStyle="1" w:styleId="NzevChar">
    <w:name w:val="Název Char"/>
    <w:link w:val="Nzev"/>
    <w:uiPriority w:val="10"/>
    <w:rsid w:val="001E6062"/>
    <w:rPr>
      <w:rFonts w:ascii="Arial" w:eastAsia="Times New Roman" w:hAnsi="Arial"/>
      <w:b/>
      <w:bCs/>
      <w:caps/>
      <w:color w:val="000000" w:themeColor="text1"/>
      <w:kern w:val="28"/>
      <w:sz w:val="56"/>
      <w:szCs w:val="32"/>
      <w:lang w:eastAsia="cs-CZ"/>
    </w:rPr>
  </w:style>
  <w:style w:type="paragraph" w:styleId="Podnadpis">
    <w:name w:val="Subtitle"/>
    <w:link w:val="PodnadpisChar"/>
    <w:uiPriority w:val="11"/>
    <w:qFormat/>
    <w:rsid w:val="001E6062"/>
    <w:pPr>
      <w:spacing w:line="288" w:lineRule="auto"/>
    </w:pPr>
    <w:rPr>
      <w:rFonts w:ascii="Arial" w:eastAsia="Times New Roman" w:hAnsi="Arial" w:cs="Arial"/>
      <w:b/>
      <w:color w:val="000000" w:themeColor="text1"/>
      <w:sz w:val="28"/>
      <w:szCs w:val="24"/>
      <w:lang w:eastAsia="cs-CZ"/>
    </w:rPr>
  </w:style>
  <w:style w:type="character" w:customStyle="1" w:styleId="PodnadpisChar">
    <w:name w:val="Podnadpis Char"/>
    <w:link w:val="Podnadpis"/>
    <w:uiPriority w:val="11"/>
    <w:rsid w:val="001E6062"/>
    <w:rPr>
      <w:rFonts w:ascii="Arial" w:eastAsia="Times New Roman" w:hAnsi="Arial" w:cs="Arial"/>
      <w:b/>
      <w:color w:val="000000" w:themeColor="text1"/>
      <w:sz w:val="28"/>
      <w:szCs w:val="24"/>
      <w:lang w:eastAsia="cs-CZ"/>
    </w:rPr>
  </w:style>
  <w:style w:type="paragraph" w:styleId="Obsah2">
    <w:name w:val="toc 2"/>
    <w:basedOn w:val="Obsahpoloky"/>
    <w:next w:val="Obsahpoloky"/>
    <w:autoRedefine/>
    <w:uiPriority w:val="39"/>
    <w:unhideWhenUsed/>
    <w:rsid w:val="00FC1A95"/>
    <w:pPr>
      <w:ind w:left="200"/>
    </w:pPr>
  </w:style>
  <w:style w:type="paragraph" w:styleId="Obsah3">
    <w:name w:val="toc 3"/>
    <w:basedOn w:val="Obsahpoloky"/>
    <w:next w:val="Obsahpoloky"/>
    <w:autoRedefine/>
    <w:uiPriority w:val="39"/>
    <w:unhideWhenUsed/>
    <w:rsid w:val="00FC1A95"/>
    <w:pPr>
      <w:ind w:left="400"/>
    </w:pPr>
  </w:style>
  <w:style w:type="paragraph" w:styleId="Obsah4">
    <w:name w:val="toc 4"/>
    <w:basedOn w:val="Obsahpoloky"/>
    <w:next w:val="Obsahpoloky"/>
    <w:autoRedefine/>
    <w:uiPriority w:val="39"/>
    <w:unhideWhenUsed/>
    <w:rsid w:val="00FC1A95"/>
    <w:pPr>
      <w:ind w:left="600"/>
    </w:pPr>
  </w:style>
  <w:style w:type="paragraph" w:styleId="Obsah5">
    <w:name w:val="toc 5"/>
    <w:basedOn w:val="Obsahpoloky"/>
    <w:next w:val="Obsahpoloky"/>
    <w:autoRedefine/>
    <w:uiPriority w:val="39"/>
    <w:semiHidden/>
    <w:unhideWhenUsed/>
    <w:rsid w:val="00FC1A95"/>
    <w:pPr>
      <w:ind w:left="800"/>
    </w:pPr>
  </w:style>
  <w:style w:type="paragraph" w:styleId="Obsah6">
    <w:name w:val="toc 6"/>
    <w:basedOn w:val="Obsahpoloky"/>
    <w:next w:val="Obsahpoloky"/>
    <w:autoRedefine/>
    <w:uiPriority w:val="39"/>
    <w:semiHidden/>
    <w:unhideWhenUsed/>
    <w:rsid w:val="00FC1A95"/>
    <w:pPr>
      <w:ind w:left="1000"/>
    </w:pPr>
  </w:style>
  <w:style w:type="paragraph" w:styleId="Obsah7">
    <w:name w:val="toc 7"/>
    <w:basedOn w:val="Obsahpoloky"/>
    <w:next w:val="Obsahpoloky"/>
    <w:autoRedefine/>
    <w:uiPriority w:val="39"/>
    <w:semiHidden/>
    <w:unhideWhenUsed/>
    <w:rsid w:val="00FC1A95"/>
    <w:pPr>
      <w:ind w:left="1200"/>
    </w:pPr>
  </w:style>
  <w:style w:type="paragraph" w:styleId="Obsah8">
    <w:name w:val="toc 8"/>
    <w:basedOn w:val="Obsahpoloky"/>
    <w:next w:val="Obsahpoloky"/>
    <w:autoRedefine/>
    <w:uiPriority w:val="39"/>
    <w:semiHidden/>
    <w:unhideWhenUsed/>
    <w:rsid w:val="00FC1A95"/>
    <w:pPr>
      <w:ind w:left="1400"/>
    </w:pPr>
  </w:style>
  <w:style w:type="paragraph" w:styleId="Obsah9">
    <w:name w:val="toc 9"/>
    <w:basedOn w:val="Obsahpoloky"/>
    <w:next w:val="Obsahpoloky"/>
    <w:autoRedefine/>
    <w:uiPriority w:val="39"/>
    <w:semiHidden/>
    <w:unhideWhenUsed/>
    <w:rsid w:val="00924AC8"/>
    <w:pPr>
      <w:ind w:left="1600"/>
    </w:pPr>
  </w:style>
  <w:style w:type="character" w:customStyle="1" w:styleId="Nadpis5Char">
    <w:name w:val="Nadpis 5 Char"/>
    <w:basedOn w:val="Standardnpsmoodstavce"/>
    <w:link w:val="Nadpis5"/>
    <w:uiPriority w:val="9"/>
    <w:semiHidden/>
    <w:rsid w:val="007A516D"/>
    <w:rPr>
      <w:rFonts w:asciiTheme="majorHAnsi" w:eastAsiaTheme="majorEastAsia" w:hAnsiTheme="majorHAnsi" w:cstheme="majorBidi"/>
      <w:color w:val="243F60" w:themeColor="accent1" w:themeShade="7F"/>
      <w:szCs w:val="24"/>
      <w:lang w:eastAsia="cs-CZ"/>
    </w:rPr>
  </w:style>
  <w:style w:type="character" w:customStyle="1" w:styleId="Nadpis6Char">
    <w:name w:val="Nadpis 6 Char"/>
    <w:basedOn w:val="Standardnpsmoodstavce"/>
    <w:link w:val="Nadpis6"/>
    <w:uiPriority w:val="9"/>
    <w:semiHidden/>
    <w:rsid w:val="007A516D"/>
    <w:rPr>
      <w:rFonts w:asciiTheme="majorHAnsi" w:eastAsiaTheme="majorEastAsia" w:hAnsiTheme="majorHAnsi" w:cstheme="majorBidi"/>
      <w:i/>
      <w:iCs/>
      <w:color w:val="243F60" w:themeColor="accent1" w:themeShade="7F"/>
      <w:szCs w:val="24"/>
      <w:lang w:eastAsia="cs-CZ"/>
    </w:rPr>
  </w:style>
  <w:style w:type="character" w:customStyle="1" w:styleId="Nadpis7Char">
    <w:name w:val="Nadpis 7 Char"/>
    <w:basedOn w:val="Standardnpsmoodstavce"/>
    <w:link w:val="Nadpis7"/>
    <w:uiPriority w:val="9"/>
    <w:semiHidden/>
    <w:rsid w:val="007A516D"/>
    <w:rPr>
      <w:rFonts w:asciiTheme="majorHAnsi" w:eastAsiaTheme="majorEastAsia" w:hAnsiTheme="majorHAnsi" w:cstheme="majorBidi"/>
      <w:i/>
      <w:iCs/>
      <w:color w:val="404040" w:themeColor="text1" w:themeTint="BF"/>
      <w:szCs w:val="24"/>
      <w:lang w:eastAsia="cs-CZ"/>
    </w:rPr>
  </w:style>
  <w:style w:type="character" w:customStyle="1" w:styleId="Nadpis8Char">
    <w:name w:val="Nadpis 8 Char"/>
    <w:basedOn w:val="Standardnpsmoodstavce"/>
    <w:link w:val="Nadpis8"/>
    <w:uiPriority w:val="9"/>
    <w:semiHidden/>
    <w:rsid w:val="007A516D"/>
    <w:rPr>
      <w:rFonts w:asciiTheme="majorHAnsi" w:eastAsiaTheme="majorEastAsia" w:hAnsiTheme="majorHAnsi" w:cstheme="majorBidi"/>
      <w:color w:val="404040" w:themeColor="text1" w:themeTint="BF"/>
      <w:lang w:eastAsia="cs-CZ"/>
    </w:rPr>
  </w:style>
  <w:style w:type="paragraph" w:styleId="Textpoznpodarou">
    <w:name w:val="footnote text"/>
    <w:aliases w:val="Text pozn. pod čarou_martin_ang"/>
    <w:basedOn w:val="Normln"/>
    <w:link w:val="TextpoznpodarouChar"/>
    <w:qFormat/>
    <w:rsid w:val="008E7FC9"/>
    <w:pPr>
      <w:spacing w:after="0" w:line="240" w:lineRule="auto"/>
      <w:jc w:val="left"/>
    </w:pPr>
    <w:rPr>
      <w:rFonts w:eastAsia="Calibri"/>
      <w:szCs w:val="20"/>
    </w:rPr>
  </w:style>
  <w:style w:type="character" w:customStyle="1" w:styleId="TextpoznpodarouChar">
    <w:name w:val="Text pozn. pod čarou Char"/>
    <w:aliases w:val="Text pozn. pod čarou_martin_ang Char"/>
    <w:basedOn w:val="Standardnpsmoodstavce"/>
    <w:link w:val="Textpoznpodarou"/>
    <w:qFormat/>
    <w:rsid w:val="008E7FC9"/>
    <w:rPr>
      <w:rFonts w:ascii="Arial" w:hAnsi="Arial"/>
      <w:lang w:eastAsia="cs-CZ"/>
    </w:rPr>
  </w:style>
  <w:style w:type="paragraph" w:styleId="Bezmezer">
    <w:name w:val="No Spacing"/>
    <w:uiPriority w:val="1"/>
    <w:qFormat/>
    <w:rsid w:val="00AD68C4"/>
    <w:pPr>
      <w:jc w:val="both"/>
    </w:pPr>
    <w:rPr>
      <w:rFonts w:ascii="Arial" w:eastAsia="Times New Roman" w:hAnsi="Arial"/>
      <w:szCs w:val="24"/>
      <w:lang w:eastAsia="cs-CZ"/>
    </w:rPr>
  </w:style>
  <w:style w:type="paragraph" w:customStyle="1" w:styleId="Marginlie">
    <w:name w:val="Marginálie"/>
    <w:basedOn w:val="Normln"/>
    <w:qFormat/>
    <w:rsid w:val="0089296D"/>
    <w:pPr>
      <w:spacing w:after="0"/>
      <w:jc w:val="left"/>
    </w:pPr>
    <w:rPr>
      <w:spacing w:val="-2"/>
      <w:sz w:val="16"/>
      <w:szCs w:val="16"/>
    </w:rPr>
  </w:style>
  <w:style w:type="paragraph" w:styleId="Odstavecseseznamem">
    <w:name w:val="List Paragraph"/>
    <w:basedOn w:val="Normln"/>
    <w:link w:val="OdstavecseseznamemChar"/>
    <w:uiPriority w:val="34"/>
    <w:qFormat/>
    <w:rsid w:val="006B0F92"/>
    <w:pPr>
      <w:ind w:left="720"/>
      <w:contextualSpacing/>
    </w:pPr>
  </w:style>
  <w:style w:type="paragraph" w:customStyle="1" w:styleId="Normalodrka">
    <w:name w:val="Normal odrážka"/>
    <w:qFormat/>
    <w:rsid w:val="006B0F92"/>
    <w:pPr>
      <w:numPr>
        <w:numId w:val="20"/>
      </w:numPr>
      <w:spacing w:after="240" w:line="276" w:lineRule="auto"/>
      <w:ind w:left="357" w:hanging="357"/>
      <w:jc w:val="both"/>
    </w:pPr>
    <w:rPr>
      <w:rFonts w:ascii="Arial" w:eastAsia="Times New Roman" w:hAnsi="Arial"/>
      <w:szCs w:val="24"/>
      <w:lang w:eastAsia="cs-CZ"/>
    </w:rPr>
  </w:style>
  <w:style w:type="paragraph" w:customStyle="1" w:styleId="Box1">
    <w:name w:val="Box 1"/>
    <w:next w:val="Normln"/>
    <w:qFormat/>
    <w:rsid w:val="00EA0987"/>
    <w:pPr>
      <w:shd w:val="clear" w:color="auto" w:fill="F0F6E9"/>
      <w:spacing w:before="240" w:after="240" w:line="276" w:lineRule="auto"/>
      <w:ind w:left="709"/>
      <w:contextualSpacing/>
      <w:jc w:val="both"/>
    </w:pPr>
    <w:rPr>
      <w:rFonts w:ascii="Arial" w:hAnsi="Arial" w:cs="Arial"/>
      <w:lang w:eastAsia="cs-CZ"/>
    </w:rPr>
  </w:style>
  <w:style w:type="paragraph" w:customStyle="1" w:styleId="Box2">
    <w:name w:val="Box 2"/>
    <w:next w:val="Normln"/>
    <w:qFormat/>
    <w:rsid w:val="00EA0987"/>
    <w:pPr>
      <w:spacing w:before="240" w:after="240" w:line="276" w:lineRule="auto"/>
      <w:ind w:left="709"/>
      <w:contextualSpacing/>
      <w:jc w:val="both"/>
    </w:pPr>
    <w:rPr>
      <w:rFonts w:ascii="Arial" w:hAnsi="Arial" w:cs="Arial"/>
      <w:b/>
      <w:color w:val="86BF5E"/>
      <w:lang w:eastAsia="cs-CZ"/>
    </w:rPr>
  </w:style>
  <w:style w:type="character" w:styleId="Zdraznnintenzivn">
    <w:name w:val="Intense Emphasis"/>
    <w:basedOn w:val="Standardnpsmoodstavce"/>
    <w:uiPriority w:val="21"/>
    <w:qFormat/>
    <w:rsid w:val="001E6062"/>
    <w:rPr>
      <w:i/>
      <w:iCs/>
      <w:color w:val="000000" w:themeColor="text1"/>
    </w:rPr>
  </w:style>
  <w:style w:type="character" w:styleId="Odkazintenzivn">
    <w:name w:val="Intense Reference"/>
    <w:basedOn w:val="Standardnpsmoodstavce"/>
    <w:uiPriority w:val="32"/>
    <w:qFormat/>
    <w:rsid w:val="001E6062"/>
    <w:rPr>
      <w:b/>
      <w:bCs/>
      <w:smallCaps/>
      <w:color w:val="000000" w:themeColor="text1"/>
      <w:spacing w:val="5"/>
    </w:rPr>
  </w:style>
  <w:style w:type="character" w:styleId="Znakapoznpodarou">
    <w:name w:val="footnote reference"/>
    <w:basedOn w:val="Standardnpsmoodstavce"/>
    <w:rsid w:val="009324EF"/>
    <w:rPr>
      <w:rFonts w:cs="Times New Roman"/>
      <w:vertAlign w:val="superscript"/>
    </w:rPr>
  </w:style>
  <w:style w:type="paragraph" w:customStyle="1" w:styleId="Nadpis11">
    <w:name w:val="Nadpis 11"/>
    <w:basedOn w:val="Normln"/>
    <w:uiPriority w:val="9"/>
    <w:qFormat/>
    <w:rsid w:val="009324EF"/>
    <w:pPr>
      <w:keepNext/>
      <w:keepLines/>
      <w:spacing w:after="100"/>
      <w:contextualSpacing/>
      <w:jc w:val="left"/>
      <w:outlineLvl w:val="0"/>
    </w:pPr>
    <w:rPr>
      <w:rFonts w:eastAsia="MS Gothic"/>
      <w:b/>
      <w:bCs/>
      <w:color w:val="71818C"/>
      <w:sz w:val="32"/>
      <w:szCs w:val="28"/>
    </w:rPr>
  </w:style>
  <w:style w:type="paragraph" w:customStyle="1" w:styleId="Textpoznpodarou1">
    <w:name w:val="Text pozn. pod čarou1"/>
    <w:basedOn w:val="Normln"/>
    <w:qFormat/>
    <w:rsid w:val="009324EF"/>
    <w:pPr>
      <w:spacing w:after="0" w:line="240" w:lineRule="auto"/>
      <w:jc w:val="left"/>
    </w:pPr>
    <w:rPr>
      <w:rFonts w:eastAsia="Calibri"/>
      <w:szCs w:val="20"/>
    </w:rPr>
  </w:style>
  <w:style w:type="character" w:styleId="Zdraznn">
    <w:name w:val="Emphasis"/>
    <w:basedOn w:val="Standardnpsmoodstavce"/>
    <w:uiPriority w:val="20"/>
    <w:qFormat/>
    <w:rsid w:val="009324EF"/>
    <w:rPr>
      <w:i/>
      <w:iCs/>
    </w:rPr>
  </w:style>
  <w:style w:type="character" w:customStyle="1" w:styleId="normaltextrun">
    <w:name w:val="normaltextrun"/>
    <w:basedOn w:val="Standardnpsmoodstavce"/>
    <w:rsid w:val="009324EF"/>
  </w:style>
  <w:style w:type="paragraph" w:customStyle="1" w:styleId="paragraph">
    <w:name w:val="paragraph"/>
    <w:basedOn w:val="Normln"/>
    <w:rsid w:val="009324EF"/>
    <w:pPr>
      <w:spacing w:before="100" w:beforeAutospacing="1" w:after="100" w:afterAutospacing="1" w:line="240" w:lineRule="auto"/>
      <w:jc w:val="left"/>
    </w:pPr>
    <w:rPr>
      <w:rFonts w:ascii="Times New Roman" w:hAnsi="Times New Roman"/>
      <w:sz w:val="24"/>
    </w:rPr>
  </w:style>
  <w:style w:type="character" w:customStyle="1" w:styleId="eop">
    <w:name w:val="eop"/>
    <w:basedOn w:val="Standardnpsmoodstavce"/>
    <w:rsid w:val="009324EF"/>
  </w:style>
  <w:style w:type="table" w:styleId="Mkatabulky">
    <w:name w:val="Table Grid"/>
    <w:basedOn w:val="Normlntabulka"/>
    <w:uiPriority w:val="59"/>
    <w:rsid w:val="009324E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adpisobsahu">
    <w:name w:val="TOC Heading"/>
    <w:basedOn w:val="Nadpis1"/>
    <w:next w:val="Normln"/>
    <w:uiPriority w:val="39"/>
    <w:unhideWhenUsed/>
    <w:qFormat/>
    <w:rsid w:val="009324EF"/>
    <w:pPr>
      <w:spacing w:before="240" w:after="0" w:line="259" w:lineRule="auto"/>
      <w:contextualSpacing w:val="0"/>
      <w:outlineLvl w:val="9"/>
    </w:pPr>
    <w:rPr>
      <w:rFonts w:asciiTheme="majorHAnsi" w:eastAsiaTheme="majorEastAsia" w:hAnsiTheme="majorHAnsi" w:cstheme="majorBidi"/>
      <w:b w:val="0"/>
      <w:bCs w:val="0"/>
      <w:color w:val="365F91" w:themeColor="accent1" w:themeShade="BF"/>
      <w:szCs w:val="32"/>
    </w:rPr>
  </w:style>
  <w:style w:type="character" w:styleId="Odkaznakoment">
    <w:name w:val="annotation reference"/>
    <w:basedOn w:val="Standardnpsmoodstavce"/>
    <w:uiPriority w:val="99"/>
    <w:semiHidden/>
    <w:unhideWhenUsed/>
    <w:rsid w:val="009324EF"/>
    <w:rPr>
      <w:sz w:val="16"/>
      <w:szCs w:val="16"/>
    </w:rPr>
  </w:style>
  <w:style w:type="paragraph" w:styleId="Textkomente">
    <w:name w:val="annotation text"/>
    <w:basedOn w:val="Normln"/>
    <w:link w:val="TextkomenteChar"/>
    <w:uiPriority w:val="99"/>
    <w:unhideWhenUsed/>
    <w:rsid w:val="009324EF"/>
    <w:pPr>
      <w:spacing w:line="240" w:lineRule="auto"/>
    </w:pPr>
    <w:rPr>
      <w:szCs w:val="20"/>
    </w:rPr>
  </w:style>
  <w:style w:type="character" w:customStyle="1" w:styleId="TextkomenteChar">
    <w:name w:val="Text komentáře Char"/>
    <w:basedOn w:val="Standardnpsmoodstavce"/>
    <w:link w:val="Textkomente"/>
    <w:uiPriority w:val="99"/>
    <w:rsid w:val="009324EF"/>
    <w:rPr>
      <w:rFonts w:ascii="Arial" w:eastAsia="Times New Roman" w:hAnsi="Arial"/>
      <w:lang w:eastAsia="cs-CZ"/>
    </w:rPr>
  </w:style>
  <w:style w:type="paragraph" w:styleId="Pedmtkomente">
    <w:name w:val="annotation subject"/>
    <w:basedOn w:val="Textkomente"/>
    <w:next w:val="Textkomente"/>
    <w:link w:val="PedmtkomenteChar"/>
    <w:uiPriority w:val="99"/>
    <w:semiHidden/>
    <w:unhideWhenUsed/>
    <w:rsid w:val="009324EF"/>
    <w:rPr>
      <w:b/>
      <w:bCs/>
    </w:rPr>
  </w:style>
  <w:style w:type="character" w:customStyle="1" w:styleId="PedmtkomenteChar">
    <w:name w:val="Předmět komentáře Char"/>
    <w:basedOn w:val="TextkomenteChar"/>
    <w:link w:val="Pedmtkomente"/>
    <w:uiPriority w:val="99"/>
    <w:semiHidden/>
    <w:rsid w:val="009324EF"/>
    <w:rPr>
      <w:rFonts w:ascii="Arial" w:eastAsia="Times New Roman" w:hAnsi="Arial"/>
      <w:b/>
      <w:bCs/>
      <w:lang w:eastAsia="cs-CZ"/>
    </w:rPr>
  </w:style>
  <w:style w:type="paragraph" w:styleId="Rozloendokumentu">
    <w:name w:val="Document Map"/>
    <w:basedOn w:val="Normln"/>
    <w:link w:val="RozloendokumentuChar"/>
    <w:uiPriority w:val="99"/>
    <w:semiHidden/>
    <w:rsid w:val="009324EF"/>
    <w:pPr>
      <w:spacing w:after="0" w:line="288" w:lineRule="auto"/>
      <w:jc w:val="left"/>
    </w:pPr>
    <w:rPr>
      <w:rFonts w:ascii="Tahoma" w:eastAsia="Calibri" w:hAnsi="Tahoma" w:cs="Tahoma"/>
      <w:sz w:val="16"/>
      <w:szCs w:val="16"/>
    </w:rPr>
  </w:style>
  <w:style w:type="character" w:customStyle="1" w:styleId="RozloendokumentuChar">
    <w:name w:val="Rozložení dokumentu Char"/>
    <w:basedOn w:val="Standardnpsmoodstavce"/>
    <w:link w:val="Rozloendokumentu"/>
    <w:uiPriority w:val="99"/>
    <w:semiHidden/>
    <w:rsid w:val="009324EF"/>
    <w:rPr>
      <w:rFonts w:ascii="Tahoma" w:hAnsi="Tahoma" w:cs="Tahoma"/>
      <w:sz w:val="16"/>
      <w:szCs w:val="16"/>
      <w:lang w:eastAsia="cs-CZ"/>
    </w:rPr>
  </w:style>
  <w:style w:type="paragraph" w:customStyle="1" w:styleId="Nadpis12">
    <w:name w:val="Nadpis 12"/>
    <w:basedOn w:val="Normln"/>
    <w:uiPriority w:val="9"/>
    <w:qFormat/>
    <w:rsid w:val="009324EF"/>
    <w:pPr>
      <w:keepNext/>
      <w:keepLines/>
      <w:spacing w:after="100"/>
      <w:contextualSpacing/>
      <w:jc w:val="left"/>
      <w:outlineLvl w:val="0"/>
    </w:pPr>
    <w:rPr>
      <w:rFonts w:eastAsia="MS Gothic"/>
      <w:b/>
      <w:bCs/>
      <w:color w:val="71818C"/>
      <w:sz w:val="32"/>
      <w:szCs w:val="28"/>
    </w:rPr>
  </w:style>
  <w:style w:type="character" w:customStyle="1" w:styleId="spelle">
    <w:name w:val="spelle"/>
    <w:basedOn w:val="Standardnpsmoodstavce"/>
    <w:rsid w:val="009324EF"/>
  </w:style>
  <w:style w:type="paragraph" w:styleId="Revize">
    <w:name w:val="Revision"/>
    <w:hidden/>
    <w:uiPriority w:val="99"/>
    <w:semiHidden/>
    <w:rsid w:val="009324EF"/>
    <w:rPr>
      <w:rFonts w:ascii="Arial" w:eastAsia="Times New Roman" w:hAnsi="Arial"/>
      <w:szCs w:val="24"/>
      <w:lang w:eastAsia="cs-CZ"/>
    </w:rPr>
  </w:style>
  <w:style w:type="character" w:customStyle="1" w:styleId="odkaz-style-wrapper">
    <w:name w:val="odkaz-style-wrapper"/>
    <w:basedOn w:val="Standardnpsmoodstavce"/>
    <w:rsid w:val="009324EF"/>
  </w:style>
  <w:style w:type="character" w:customStyle="1" w:styleId="tabulka">
    <w:name w:val="tabulka"/>
    <w:basedOn w:val="Standardnpsmoodstavce"/>
    <w:rsid w:val="009324EF"/>
  </w:style>
  <w:style w:type="paragraph" w:customStyle="1" w:styleId="Default">
    <w:name w:val="Default"/>
    <w:rsid w:val="009324EF"/>
    <w:pPr>
      <w:autoSpaceDE w:val="0"/>
      <w:autoSpaceDN w:val="0"/>
      <w:adjustRightInd w:val="0"/>
    </w:pPr>
    <w:rPr>
      <w:rFonts w:cs="Calibri"/>
      <w:color w:val="000000"/>
      <w:sz w:val="24"/>
      <w:szCs w:val="24"/>
    </w:rPr>
  </w:style>
  <w:style w:type="paragraph" w:styleId="Normlnweb">
    <w:name w:val="Normal (Web)"/>
    <w:basedOn w:val="Normln"/>
    <w:uiPriority w:val="99"/>
    <w:semiHidden/>
    <w:unhideWhenUsed/>
    <w:rsid w:val="009324EF"/>
    <w:pPr>
      <w:spacing w:before="100" w:beforeAutospacing="1" w:after="100" w:afterAutospacing="1" w:line="240" w:lineRule="auto"/>
      <w:jc w:val="left"/>
    </w:pPr>
    <w:rPr>
      <w:rFonts w:ascii="Times New Roman" w:hAnsi="Times New Roman"/>
      <w:sz w:val="24"/>
    </w:rPr>
  </w:style>
  <w:style w:type="paragraph" w:styleId="FormtovanvHTML">
    <w:name w:val="HTML Preformatted"/>
    <w:basedOn w:val="Normln"/>
    <w:link w:val="FormtovanvHTMLChar"/>
    <w:uiPriority w:val="99"/>
    <w:semiHidden/>
    <w:unhideWhenUsed/>
    <w:rsid w:val="009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cs="Courier New"/>
      <w:szCs w:val="20"/>
    </w:rPr>
  </w:style>
  <w:style w:type="character" w:customStyle="1" w:styleId="FormtovanvHTMLChar">
    <w:name w:val="Formátovaný v HTML Char"/>
    <w:basedOn w:val="Standardnpsmoodstavce"/>
    <w:link w:val="FormtovanvHTML"/>
    <w:uiPriority w:val="99"/>
    <w:semiHidden/>
    <w:rsid w:val="009324EF"/>
    <w:rPr>
      <w:rFonts w:ascii="Courier New" w:eastAsia="Times New Roman" w:hAnsi="Courier New" w:cs="Courier New"/>
      <w:lang w:eastAsia="cs-CZ"/>
    </w:rPr>
  </w:style>
  <w:style w:type="paragraph" w:customStyle="1" w:styleId="cay">
    <w:name w:val="c_ay"/>
    <w:basedOn w:val="Normln"/>
    <w:rsid w:val="009324EF"/>
    <w:pPr>
      <w:spacing w:before="100" w:beforeAutospacing="1" w:after="100" w:afterAutospacing="1" w:line="240" w:lineRule="auto"/>
      <w:jc w:val="left"/>
    </w:pPr>
    <w:rPr>
      <w:rFonts w:ascii="Times New Roman" w:hAnsi="Times New Roman"/>
      <w:sz w:val="24"/>
    </w:rPr>
  </w:style>
  <w:style w:type="character" w:customStyle="1" w:styleId="cew">
    <w:name w:val="c_ew"/>
    <w:basedOn w:val="Standardnpsmoodstavce"/>
    <w:rsid w:val="009324EF"/>
  </w:style>
  <w:style w:type="character" w:styleId="Sledovanodkaz">
    <w:name w:val="FollowedHyperlink"/>
    <w:basedOn w:val="Standardnpsmoodstavce"/>
    <w:uiPriority w:val="99"/>
    <w:semiHidden/>
    <w:unhideWhenUsed/>
    <w:rsid w:val="009324EF"/>
    <w:rPr>
      <w:color w:val="800080" w:themeColor="followedHyperlink"/>
      <w:u w:val="single"/>
    </w:rPr>
  </w:style>
  <w:style w:type="character" w:customStyle="1" w:styleId="cfu">
    <w:name w:val="c_fu"/>
    <w:basedOn w:val="Standardnpsmoodstavce"/>
    <w:rsid w:val="009324EF"/>
  </w:style>
  <w:style w:type="character" w:customStyle="1" w:styleId="OdstavecseseznamemChar">
    <w:name w:val="Odstavec se seznamem Char"/>
    <w:basedOn w:val="Standardnpsmoodstavce"/>
    <w:link w:val="Odstavecseseznamem"/>
    <w:uiPriority w:val="34"/>
    <w:rsid w:val="009324EF"/>
    <w:rPr>
      <w:rFonts w:ascii="Arial" w:eastAsia="Times New Roman" w:hAnsi="Arial"/>
      <w:szCs w:val="24"/>
      <w:lang w:eastAsia="cs-CZ"/>
    </w:rPr>
  </w:style>
  <w:style w:type="paragraph" w:styleId="Textvysvtlivek">
    <w:name w:val="endnote text"/>
    <w:basedOn w:val="Normln"/>
    <w:link w:val="TextvysvtlivekChar"/>
    <w:uiPriority w:val="99"/>
    <w:semiHidden/>
    <w:unhideWhenUsed/>
    <w:rsid w:val="00BB2F43"/>
    <w:pPr>
      <w:spacing w:after="0" w:line="240" w:lineRule="auto"/>
    </w:pPr>
    <w:rPr>
      <w:szCs w:val="20"/>
    </w:rPr>
  </w:style>
  <w:style w:type="character" w:customStyle="1" w:styleId="TextvysvtlivekChar">
    <w:name w:val="Text vysvětlivek Char"/>
    <w:basedOn w:val="Standardnpsmoodstavce"/>
    <w:link w:val="Textvysvtlivek"/>
    <w:uiPriority w:val="99"/>
    <w:semiHidden/>
    <w:rsid w:val="00BB2F43"/>
    <w:rPr>
      <w:rFonts w:ascii="Arial" w:eastAsia="Times New Roman" w:hAnsi="Arial"/>
      <w:lang w:eastAsia="cs-CZ"/>
    </w:rPr>
  </w:style>
  <w:style w:type="character" w:styleId="Odkaznavysvtlivky">
    <w:name w:val="endnote reference"/>
    <w:basedOn w:val="Standardnpsmoodstavce"/>
    <w:uiPriority w:val="99"/>
    <w:semiHidden/>
    <w:unhideWhenUsed/>
    <w:rsid w:val="00BB2F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699">
      <w:bodyDiv w:val="1"/>
      <w:marLeft w:val="0"/>
      <w:marRight w:val="0"/>
      <w:marTop w:val="0"/>
      <w:marBottom w:val="0"/>
      <w:divBdr>
        <w:top w:val="none" w:sz="0" w:space="0" w:color="auto"/>
        <w:left w:val="none" w:sz="0" w:space="0" w:color="auto"/>
        <w:bottom w:val="none" w:sz="0" w:space="0" w:color="auto"/>
        <w:right w:val="none" w:sz="0" w:space="0" w:color="auto"/>
      </w:divBdr>
    </w:div>
    <w:div w:id="112676334">
      <w:bodyDiv w:val="1"/>
      <w:marLeft w:val="0"/>
      <w:marRight w:val="0"/>
      <w:marTop w:val="0"/>
      <w:marBottom w:val="0"/>
      <w:divBdr>
        <w:top w:val="none" w:sz="0" w:space="0" w:color="auto"/>
        <w:left w:val="none" w:sz="0" w:space="0" w:color="auto"/>
        <w:bottom w:val="none" w:sz="0" w:space="0" w:color="auto"/>
        <w:right w:val="none" w:sz="0" w:space="0" w:color="auto"/>
      </w:divBdr>
    </w:div>
    <w:div w:id="243729605">
      <w:bodyDiv w:val="1"/>
      <w:marLeft w:val="0"/>
      <w:marRight w:val="0"/>
      <w:marTop w:val="0"/>
      <w:marBottom w:val="0"/>
      <w:divBdr>
        <w:top w:val="none" w:sz="0" w:space="0" w:color="auto"/>
        <w:left w:val="none" w:sz="0" w:space="0" w:color="auto"/>
        <w:bottom w:val="none" w:sz="0" w:space="0" w:color="auto"/>
        <w:right w:val="none" w:sz="0" w:space="0" w:color="auto"/>
      </w:divBdr>
    </w:div>
    <w:div w:id="255015632">
      <w:bodyDiv w:val="1"/>
      <w:marLeft w:val="0"/>
      <w:marRight w:val="0"/>
      <w:marTop w:val="0"/>
      <w:marBottom w:val="0"/>
      <w:divBdr>
        <w:top w:val="none" w:sz="0" w:space="0" w:color="auto"/>
        <w:left w:val="none" w:sz="0" w:space="0" w:color="auto"/>
        <w:bottom w:val="none" w:sz="0" w:space="0" w:color="auto"/>
        <w:right w:val="none" w:sz="0" w:space="0" w:color="auto"/>
      </w:divBdr>
    </w:div>
    <w:div w:id="264115308">
      <w:bodyDiv w:val="1"/>
      <w:marLeft w:val="0"/>
      <w:marRight w:val="0"/>
      <w:marTop w:val="0"/>
      <w:marBottom w:val="0"/>
      <w:divBdr>
        <w:top w:val="none" w:sz="0" w:space="0" w:color="auto"/>
        <w:left w:val="none" w:sz="0" w:space="0" w:color="auto"/>
        <w:bottom w:val="none" w:sz="0" w:space="0" w:color="auto"/>
        <w:right w:val="none" w:sz="0" w:space="0" w:color="auto"/>
      </w:divBdr>
    </w:div>
    <w:div w:id="493226895">
      <w:bodyDiv w:val="1"/>
      <w:marLeft w:val="0"/>
      <w:marRight w:val="0"/>
      <w:marTop w:val="0"/>
      <w:marBottom w:val="0"/>
      <w:divBdr>
        <w:top w:val="none" w:sz="0" w:space="0" w:color="auto"/>
        <w:left w:val="none" w:sz="0" w:space="0" w:color="auto"/>
        <w:bottom w:val="none" w:sz="0" w:space="0" w:color="auto"/>
        <w:right w:val="none" w:sz="0" w:space="0" w:color="auto"/>
      </w:divBdr>
    </w:div>
    <w:div w:id="533806547">
      <w:bodyDiv w:val="1"/>
      <w:marLeft w:val="0"/>
      <w:marRight w:val="0"/>
      <w:marTop w:val="0"/>
      <w:marBottom w:val="0"/>
      <w:divBdr>
        <w:top w:val="none" w:sz="0" w:space="0" w:color="auto"/>
        <w:left w:val="none" w:sz="0" w:space="0" w:color="auto"/>
        <w:bottom w:val="none" w:sz="0" w:space="0" w:color="auto"/>
        <w:right w:val="none" w:sz="0" w:space="0" w:color="auto"/>
      </w:divBdr>
    </w:div>
    <w:div w:id="683020579">
      <w:bodyDiv w:val="1"/>
      <w:marLeft w:val="0"/>
      <w:marRight w:val="0"/>
      <w:marTop w:val="0"/>
      <w:marBottom w:val="0"/>
      <w:divBdr>
        <w:top w:val="none" w:sz="0" w:space="0" w:color="auto"/>
        <w:left w:val="none" w:sz="0" w:space="0" w:color="auto"/>
        <w:bottom w:val="none" w:sz="0" w:space="0" w:color="auto"/>
        <w:right w:val="none" w:sz="0" w:space="0" w:color="auto"/>
      </w:divBdr>
    </w:div>
    <w:div w:id="883518353">
      <w:bodyDiv w:val="1"/>
      <w:marLeft w:val="0"/>
      <w:marRight w:val="0"/>
      <w:marTop w:val="0"/>
      <w:marBottom w:val="0"/>
      <w:divBdr>
        <w:top w:val="none" w:sz="0" w:space="0" w:color="auto"/>
        <w:left w:val="none" w:sz="0" w:space="0" w:color="auto"/>
        <w:bottom w:val="none" w:sz="0" w:space="0" w:color="auto"/>
        <w:right w:val="none" w:sz="0" w:space="0" w:color="auto"/>
      </w:divBdr>
    </w:div>
    <w:div w:id="932319695">
      <w:bodyDiv w:val="1"/>
      <w:marLeft w:val="0"/>
      <w:marRight w:val="0"/>
      <w:marTop w:val="0"/>
      <w:marBottom w:val="0"/>
      <w:divBdr>
        <w:top w:val="none" w:sz="0" w:space="0" w:color="auto"/>
        <w:left w:val="none" w:sz="0" w:space="0" w:color="auto"/>
        <w:bottom w:val="none" w:sz="0" w:space="0" w:color="auto"/>
        <w:right w:val="none" w:sz="0" w:space="0" w:color="auto"/>
      </w:divBdr>
    </w:div>
    <w:div w:id="1208487203">
      <w:bodyDiv w:val="1"/>
      <w:marLeft w:val="0"/>
      <w:marRight w:val="0"/>
      <w:marTop w:val="0"/>
      <w:marBottom w:val="0"/>
      <w:divBdr>
        <w:top w:val="none" w:sz="0" w:space="0" w:color="auto"/>
        <w:left w:val="none" w:sz="0" w:space="0" w:color="auto"/>
        <w:bottom w:val="none" w:sz="0" w:space="0" w:color="auto"/>
        <w:right w:val="none" w:sz="0" w:space="0" w:color="auto"/>
      </w:divBdr>
    </w:div>
    <w:div w:id="1276136441">
      <w:bodyDiv w:val="1"/>
      <w:marLeft w:val="0"/>
      <w:marRight w:val="0"/>
      <w:marTop w:val="0"/>
      <w:marBottom w:val="0"/>
      <w:divBdr>
        <w:top w:val="none" w:sz="0" w:space="0" w:color="auto"/>
        <w:left w:val="none" w:sz="0" w:space="0" w:color="auto"/>
        <w:bottom w:val="none" w:sz="0" w:space="0" w:color="auto"/>
        <w:right w:val="none" w:sz="0" w:space="0" w:color="auto"/>
      </w:divBdr>
    </w:div>
    <w:div w:id="1283000633">
      <w:bodyDiv w:val="1"/>
      <w:marLeft w:val="0"/>
      <w:marRight w:val="0"/>
      <w:marTop w:val="0"/>
      <w:marBottom w:val="0"/>
      <w:divBdr>
        <w:top w:val="none" w:sz="0" w:space="0" w:color="auto"/>
        <w:left w:val="none" w:sz="0" w:space="0" w:color="auto"/>
        <w:bottom w:val="none" w:sz="0" w:space="0" w:color="auto"/>
        <w:right w:val="none" w:sz="0" w:space="0" w:color="auto"/>
      </w:divBdr>
    </w:div>
    <w:div w:id="1405689476">
      <w:bodyDiv w:val="1"/>
      <w:marLeft w:val="0"/>
      <w:marRight w:val="0"/>
      <w:marTop w:val="0"/>
      <w:marBottom w:val="0"/>
      <w:divBdr>
        <w:top w:val="none" w:sz="0" w:space="0" w:color="auto"/>
        <w:left w:val="none" w:sz="0" w:space="0" w:color="auto"/>
        <w:bottom w:val="none" w:sz="0" w:space="0" w:color="auto"/>
        <w:right w:val="none" w:sz="0" w:space="0" w:color="auto"/>
      </w:divBdr>
    </w:div>
    <w:div w:id="1486582325">
      <w:bodyDiv w:val="1"/>
      <w:marLeft w:val="0"/>
      <w:marRight w:val="0"/>
      <w:marTop w:val="0"/>
      <w:marBottom w:val="0"/>
      <w:divBdr>
        <w:top w:val="none" w:sz="0" w:space="0" w:color="auto"/>
        <w:left w:val="none" w:sz="0" w:space="0" w:color="auto"/>
        <w:bottom w:val="none" w:sz="0" w:space="0" w:color="auto"/>
        <w:right w:val="none" w:sz="0" w:space="0" w:color="auto"/>
      </w:divBdr>
    </w:div>
    <w:div w:id="1856962653">
      <w:bodyDiv w:val="1"/>
      <w:marLeft w:val="0"/>
      <w:marRight w:val="0"/>
      <w:marTop w:val="0"/>
      <w:marBottom w:val="0"/>
      <w:divBdr>
        <w:top w:val="none" w:sz="0" w:space="0" w:color="auto"/>
        <w:left w:val="none" w:sz="0" w:space="0" w:color="auto"/>
        <w:bottom w:val="none" w:sz="0" w:space="0" w:color="auto"/>
        <w:right w:val="none" w:sz="0" w:space="0" w:color="auto"/>
      </w:divBdr>
    </w:div>
    <w:div w:id="1893350832">
      <w:bodyDiv w:val="1"/>
      <w:marLeft w:val="0"/>
      <w:marRight w:val="0"/>
      <w:marTop w:val="0"/>
      <w:marBottom w:val="0"/>
      <w:divBdr>
        <w:top w:val="none" w:sz="0" w:space="0" w:color="auto"/>
        <w:left w:val="none" w:sz="0" w:space="0" w:color="auto"/>
        <w:bottom w:val="none" w:sz="0" w:space="0" w:color="auto"/>
        <w:right w:val="none" w:sz="0" w:space="0" w:color="auto"/>
      </w:divBdr>
    </w:div>
    <w:div w:id="2088262363">
      <w:bodyDiv w:val="1"/>
      <w:marLeft w:val="0"/>
      <w:marRight w:val="0"/>
      <w:marTop w:val="0"/>
      <w:marBottom w:val="0"/>
      <w:divBdr>
        <w:top w:val="none" w:sz="0" w:space="0" w:color="auto"/>
        <w:left w:val="none" w:sz="0" w:space="0" w:color="auto"/>
        <w:bottom w:val="none" w:sz="0" w:space="0" w:color="auto"/>
        <w:right w:val="none" w:sz="0" w:space="0" w:color="auto"/>
      </w:divBdr>
    </w:div>
    <w:div w:id="21109235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chart" Target="charts/chart5.xml"/><Relationship Id="rId26" Type="http://schemas.openxmlformats.org/officeDocument/2006/relationships/chart" Target="charts/chart13.xml"/><Relationship Id="rId21" Type="http://schemas.openxmlformats.org/officeDocument/2006/relationships/chart" Target="charts/chart8.xm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chart" Target="charts/chart1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chart" Target="charts/chart11.xml"/><Relationship Id="rId32" Type="http://schemas.openxmlformats.org/officeDocument/2006/relationships/chart" Target="charts/chart19.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15.xm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chart" Target="charts/chart6.xml"/><Relationship Id="rId31" Type="http://schemas.openxmlformats.org/officeDocument/2006/relationships/chart" Target="charts/chart1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chart" Target="charts/chart17.xm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csu.gov.cz/metodicka-poznamka-k-indexu-spotrebitelskych-cen-imputovane-najemne" TargetMode="External"/><Relationship Id="rId2" Type="http://schemas.openxmlformats.org/officeDocument/2006/relationships/hyperlink" Target="https://csu.gov.cz/indexy_spotrebitelskych_cen_revize" TargetMode="External"/><Relationship Id="rId1" Type="http://schemas.openxmlformats.org/officeDocument/2006/relationships/hyperlink" Target="https://csu.gov.cz/kdyz_se_rekne_inflace_resp_mira_inflace" TargetMode="External"/><Relationship Id="rId4" Type="http://schemas.openxmlformats.org/officeDocument/2006/relationships/hyperlink" Target="https://csu.gov.cz/produkty/analyza-ctvrtletnich-sektorovych-uctu-1-ctvrtleti-2026"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bojnikova31519.CZSO\Downloads\Form_c444_Publikace_regiony%20a%20zeme%20-%20analyzy.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https://czsocz-my.sharepoint.com/personal/karolina_zabojnikova_czso_cz/Documents/Dokumenty/Anal&#253;za/Q/2026Q2/Makroanal&#253;za%20grafy.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https://czsocz-my.sharepoint.com/personal/karolina_zabojnikova_czso_cz/Documents/Dokumenty/Anal&#253;za/Q/2026Q2/Makroanal&#253;za%20grafy.xlsx" TargetMode="External"/><Relationship Id="rId2" Type="http://schemas.microsoft.com/office/2011/relationships/chartColorStyle" Target="colors3.xml"/><Relationship Id="rId1" Type="http://schemas.microsoft.com/office/2011/relationships/chartStyle" Target="style3.xml"/></Relationships>
</file>

<file path=word/charts/_rels/chart11.xml.rels><?xml version="1.0" encoding="UTF-8" standalone="yes"?>
<Relationships xmlns="http://schemas.openxmlformats.org/package/2006/relationships"><Relationship Id="rId3" Type="http://schemas.openxmlformats.org/officeDocument/2006/relationships/oleObject" Target="https://czsocz-my.sharepoint.com/personal/karolina_zabojnikova_czso_cz/Documents/Dokumenty/Anal&#253;za/Q/2026Q2/Makroanal&#253;za%20grafy.xlsx" TargetMode="External"/><Relationship Id="rId2" Type="http://schemas.microsoft.com/office/2011/relationships/chartColorStyle" Target="colors4.xml"/><Relationship Id="rId1" Type="http://schemas.microsoft.com/office/2011/relationships/chartStyle" Target="style4.xml"/></Relationships>
</file>

<file path=word/charts/_rels/chart12.xml.rels><?xml version="1.0" encoding="UTF-8" standalone="yes"?>
<Relationships xmlns="http://schemas.openxmlformats.org/package/2006/relationships"><Relationship Id="rId1" Type="http://schemas.openxmlformats.org/officeDocument/2006/relationships/oleObject" Target="https://czsocz-my.sharepoint.com/personal/karolina_zabojnikova_czso_cz/Documents/Dokumenty/Anal&#253;za/Q/2026Q2/Makroanal&#253;za%20grafy.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E:\Qmakro-2026\2q-2026\Trh%20pr&#225;ce\Grafy-TRH%20PR&#193;CE%202q-2026.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E:\Qmakro-2026\2q-2026\Trh%20pr&#225;ce\Grafy-TRH%20PR&#193;CE%202q-2026.xlsx" TargetMode="External"/></Relationships>
</file>

<file path=word/charts/_rels/chart15.xml.rels><?xml version="1.0" encoding="UTF-8" standalone="yes"?>
<Relationships xmlns="http://schemas.openxmlformats.org/package/2006/relationships"><Relationship Id="rId3" Type="http://schemas.openxmlformats.org/officeDocument/2006/relationships/oleObject" Target="file:///E:\Qmakro-2026\2q-2026\Trh%20pr&#225;ce\Grafy-TRH%20PR&#193;CE%202q-2026.xlsx" TargetMode="External"/><Relationship Id="rId2" Type="http://schemas.microsoft.com/office/2011/relationships/chartColorStyle" Target="colors5.xml"/><Relationship Id="rId1" Type="http://schemas.microsoft.com/office/2011/relationships/chartStyle" Target="style5.xml"/></Relationships>
</file>

<file path=word/charts/_rels/chart16.xml.rels><?xml version="1.0" encoding="UTF-8" standalone="yes"?>
<Relationships xmlns="http://schemas.openxmlformats.org/package/2006/relationships"><Relationship Id="rId1" Type="http://schemas.openxmlformats.org/officeDocument/2006/relationships/oleObject" Target="https://czsocz-my.sharepoint.com/personal/karolina_zabojnikova_czso_cz/Documents/Dokumenty/Anal&#253;za/Q/2026Q2/Makroanal&#253;za%20grafy.xlsx" TargetMode="External"/></Relationships>
</file>

<file path=word/charts/_rels/chart17.xml.rels><?xml version="1.0" encoding="UTF-8" standalone="yes"?>
<Relationships xmlns="http://schemas.openxmlformats.org/package/2006/relationships"><Relationship Id="rId3" Type="http://schemas.openxmlformats.org/officeDocument/2006/relationships/oleObject" Target="file:///E:\Qmakro-2026\2q-2026\Rozpo&#269;et\Grafy-st&#225;tn&#237;%20rozpo&#269;et-2q-2026.xlsx" TargetMode="External"/><Relationship Id="rId2" Type="http://schemas.microsoft.com/office/2011/relationships/chartColorStyle" Target="colors6.xml"/><Relationship Id="rId1" Type="http://schemas.microsoft.com/office/2011/relationships/chartStyle" Target="style6.xml"/></Relationships>
</file>

<file path=word/charts/_rels/chart18.xml.rels><?xml version="1.0" encoding="UTF-8" standalone="yes"?>
<Relationships xmlns="http://schemas.openxmlformats.org/package/2006/relationships"><Relationship Id="rId1" Type="http://schemas.openxmlformats.org/officeDocument/2006/relationships/oleObject" Target="file:///E:\Qmakro-2026\2q-2026\Rozpo&#269;et\Grafy-st&#225;tn&#237;%20rozpo&#269;et-2q-2026.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E:\Qmakro-2026\2q-2026\Rozpo&#269;et\Grafy-st&#225;tn&#237;%20rozpo&#269;et-2q-2026.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https://czsocz-my.sharepoint.com/personal/karolina_zabojnikova_czso_cz/Documents/Dokumenty/Anal&#253;za/Q/2026Q2/Makroanal&#253;za%20grafy.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https://czsocz-my.sharepoint.com/personal/karolina_zabojnikova_czso_cz/Documents/Dokumenty/Anal&#253;za/Q/2026Q2/Makroanal&#253;za%20grafy.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1" Type="http://schemas.openxmlformats.org/officeDocument/2006/relationships/oleObject" Target="https://czsocz-my.sharepoint.com/personal/karolina_zabojnikova_czso_cz/Documents/Dokumenty/Anal&#253;za/Q/2026Q2/Makroanal&#253;za%20grafy.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Qmakro-2026\2q-2026\Odv&#283;tv&#237;\ODV&#282;TV&#205;_grafy_2q-2026-ak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Qmakro-2026\2q-2026\Odv&#283;tv&#237;\ODV&#282;TV&#205;_grafy_2q-2026-akt.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Qmakro-2026\2q-2026\Odv&#283;tv&#237;\ODV&#282;TV&#205;_grafy_2q-2026-akt.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Qmakro-2026\2q-2026\Odv&#283;tv&#237;\ODV&#282;TV&#205;_grafy_2q-2026-akt.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E:\Qmakro-2026\2q-2026\Odv&#283;tv&#237;\ODV&#282;TV&#205;_grafy_2q-2026-ak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9629137115839245E-2"/>
          <c:y val="2.8458510079622041E-2"/>
          <c:w val="0.93688386524822698"/>
          <c:h val="0.67476668918158278"/>
        </c:manualLayout>
      </c:layout>
      <c:barChart>
        <c:barDir val="col"/>
        <c:grouping val="stacked"/>
        <c:varyColors val="0"/>
        <c:ser>
          <c:idx val="1"/>
          <c:order val="1"/>
          <c:tx>
            <c:strRef>
              <c:f>'souhrnná výkonnost 3'!$F$5</c:f>
              <c:strCache>
                <c:ptCount val="1"/>
                <c:pt idx="0">
                  <c:v>Bilance zahraničního obchodu</c:v>
                </c:pt>
              </c:strCache>
            </c:strRef>
          </c:tx>
          <c:spPr>
            <a:solidFill>
              <a:srgbClr val="86BF5E"/>
            </a:solidFill>
            <a:ln>
              <a:noFill/>
            </a:ln>
          </c:spPr>
          <c:invertIfNegative val="0"/>
          <c:cat>
            <c:multiLvlStrRef>
              <c:f>'souhrnná výkonnost 3'!$A$18:$B$39</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'souhrnná výkonnost 3'!$F$18:$F$39</c:f>
              <c:numCache>
                <c:formatCode>#\ ##0.0</c:formatCode>
                <c:ptCount val="22"/>
                <c:pt idx="0">
                  <c:v>-1.572114852316302</c:v>
                </c:pt>
                <c:pt idx="1">
                  <c:v>-1.5138299604773375</c:v>
                </c:pt>
                <c:pt idx="2">
                  <c:v>-1.7542886615440048</c:v>
                </c:pt>
                <c:pt idx="3">
                  <c:v>1.2696539341890052</c:v>
                </c:pt>
                <c:pt idx="4">
                  <c:v>0.22964932571003693</c:v>
                </c:pt>
                <c:pt idx="5">
                  <c:v>-0.11004697577581091</c:v>
                </c:pt>
                <c:pt idx="6">
                  <c:v>1.9732589332036894</c:v>
                </c:pt>
                <c:pt idx="7">
                  <c:v>-0.54920361460869893</c:v>
                </c:pt>
                <c:pt idx="8">
                  <c:v>0.10096096945202841</c:v>
                </c:pt>
                <c:pt idx="9">
                  <c:v>0.63158358948084747</c:v>
                </c:pt>
                <c:pt idx="10">
                  <c:v>-0.28357108599465985</c:v>
                </c:pt>
                <c:pt idx="11">
                  <c:v>1.4519103347850035</c:v>
                </c:pt>
                <c:pt idx="12">
                  <c:v>-0.19084875573963384</c:v>
                </c:pt>
                <c:pt idx="13">
                  <c:v>-0.20909274122971575</c:v>
                </c:pt>
                <c:pt idx="14">
                  <c:v>-0.1689383816891461</c:v>
                </c:pt>
                <c:pt idx="15">
                  <c:v>-0.39576395450318369</c:v>
                </c:pt>
                <c:pt idx="16">
                  <c:v>0.65040380033904144</c:v>
                </c:pt>
                <c:pt idx="17">
                  <c:v>-0.43012996800353942</c:v>
                </c:pt>
                <c:pt idx="18">
                  <c:v>0.10028620043318404</c:v>
                </c:pt>
                <c:pt idx="19">
                  <c:v>0.20815671873668223</c:v>
                </c:pt>
                <c:pt idx="20">
                  <c:v>-0.6963979442632191</c:v>
                </c:pt>
                <c:pt idx="21">
                  <c:v>0.63475841760430651</c:v>
                </c:pt>
              </c:numCache>
            </c:numRef>
          </c:val>
          <c:extLst>
            <c:ext xmlns:c16="http://schemas.microsoft.com/office/drawing/2014/chart" uri="{C3380CC4-5D6E-409C-BE32-E72D297353CC}">
              <c16:uniqueId val="{00000000-8EF1-444C-B39A-2644AB3A8B20}"/>
            </c:ext>
          </c:extLst>
        </c:ser>
        <c:ser>
          <c:idx val="2"/>
          <c:order val="2"/>
          <c:tx>
            <c:strRef>
              <c:f>'souhrnná výkonnost 3'!$H$5</c:f>
              <c:strCache>
                <c:ptCount val="1"/>
                <c:pt idx="0">
                  <c:v>Změna zásob</c:v>
                </c:pt>
              </c:strCache>
            </c:strRef>
          </c:tx>
          <c:spPr>
            <a:solidFill>
              <a:srgbClr val="D8A7B7"/>
            </a:solidFill>
            <a:ln>
              <a:noFill/>
            </a:ln>
          </c:spPr>
          <c:invertIfNegative val="0"/>
          <c:cat>
            <c:multiLvlStrRef>
              <c:f>'souhrnná výkonnost 3'!$A$18:$B$39</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'souhrnná výkonnost 3'!$H$18:$H$39</c:f>
              <c:numCache>
                <c:formatCode>#\ ##0.0</c:formatCode>
                <c:ptCount val="22"/>
                <c:pt idx="0">
                  <c:v>1.3365945277321665</c:v>
                </c:pt>
                <c:pt idx="1">
                  <c:v>-0.36695188614329377</c:v>
                </c:pt>
                <c:pt idx="2">
                  <c:v>1.1659783844974942</c:v>
                </c:pt>
                <c:pt idx="3">
                  <c:v>-0.72306063816145894</c:v>
                </c:pt>
                <c:pt idx="4">
                  <c:v>0.58332729431417452</c:v>
                </c:pt>
                <c:pt idx="5">
                  <c:v>0.60971730412013903</c:v>
                </c:pt>
                <c:pt idx="6">
                  <c:v>-1.1821207849855591</c:v>
                </c:pt>
                <c:pt idx="7">
                  <c:v>1.0031296712860207</c:v>
                </c:pt>
                <c:pt idx="8">
                  <c:v>-4.1757091292765766E-2</c:v>
                </c:pt>
                <c:pt idx="9">
                  <c:v>-1.1730403412974955</c:v>
                </c:pt>
                <c:pt idx="10">
                  <c:v>-0.18219801876103775</c:v>
                </c:pt>
                <c:pt idx="11">
                  <c:v>-2.0781369736726605</c:v>
                </c:pt>
                <c:pt idx="12">
                  <c:v>0.46550063094222882</c:v>
                </c:pt>
                <c:pt idx="13">
                  <c:v>0.70101021726914592</c:v>
                </c:pt>
                <c:pt idx="14">
                  <c:v>0.71413244296712086</c:v>
                </c:pt>
                <c:pt idx="15">
                  <c:v>0.80114565530051229</c:v>
                </c:pt>
                <c:pt idx="16">
                  <c:v>-0.72524720114282126</c:v>
                </c:pt>
                <c:pt idx="17">
                  <c:v>0.2762174716761655</c:v>
                </c:pt>
                <c:pt idx="18">
                  <c:v>-0.23757589644799904</c:v>
                </c:pt>
                <c:pt idx="19">
                  <c:v>-0.39101279007341094</c:v>
                </c:pt>
                <c:pt idx="20">
                  <c:v>0.30410441362448765</c:v>
                </c:pt>
                <c:pt idx="21">
                  <c:v>-0.99500932312229962</c:v>
                </c:pt>
              </c:numCache>
            </c:numRef>
          </c:val>
          <c:extLst>
            <c:ext xmlns:c16="http://schemas.microsoft.com/office/drawing/2014/chart" uri="{C3380CC4-5D6E-409C-BE32-E72D297353CC}">
              <c16:uniqueId val="{00000001-8EF1-444C-B39A-2644AB3A8B20}"/>
            </c:ext>
          </c:extLst>
        </c:ser>
        <c:ser>
          <c:idx val="3"/>
          <c:order val="3"/>
          <c:tx>
            <c:strRef>
              <c:f>'souhrnná výkonnost 3'!$G$5</c:f>
              <c:strCache>
                <c:ptCount val="1"/>
                <c:pt idx="0">
                  <c:v>Tvorba hrubého fixního kapitálu</c:v>
                </c:pt>
              </c:strCache>
            </c:strRef>
          </c:tx>
          <c:spPr>
            <a:solidFill>
              <a:srgbClr val="BC5B80"/>
            </a:solidFill>
            <a:ln>
              <a:noFill/>
            </a:ln>
          </c:spPr>
          <c:invertIfNegative val="0"/>
          <c:cat>
            <c:multiLvlStrRef>
              <c:f>'souhrnná výkonnost 3'!$A$18:$B$39</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'souhrnná výkonnost 3'!$G$18:$G$39</c:f>
              <c:numCache>
                <c:formatCode>#\ ##0.0</c:formatCode>
                <c:ptCount val="22"/>
                <c:pt idx="0">
                  <c:v>0.57512775567585606</c:v>
                </c:pt>
                <c:pt idx="1">
                  <c:v>0.4817190165773777</c:v>
                </c:pt>
                <c:pt idx="2">
                  <c:v>0.76091094174649998</c:v>
                </c:pt>
                <c:pt idx="3">
                  <c:v>0.17096756690074219</c:v>
                </c:pt>
                <c:pt idx="4">
                  <c:v>0.59615671823006411</c:v>
                </c:pt>
                <c:pt idx="5">
                  <c:v>-8.4731040096779439E-2</c:v>
                </c:pt>
                <c:pt idx="6">
                  <c:v>0.22983978431866303</c:v>
                </c:pt>
                <c:pt idx="7">
                  <c:v>0.11167423587798433</c:v>
                </c:pt>
                <c:pt idx="8">
                  <c:v>9.4351221814449521E-2</c:v>
                </c:pt>
                <c:pt idx="9">
                  <c:v>0.40404018591700336</c:v>
                </c:pt>
                <c:pt idx="10">
                  <c:v>0.19262671310157786</c:v>
                </c:pt>
                <c:pt idx="11">
                  <c:v>0.32325650926501154</c:v>
                </c:pt>
                <c:pt idx="12">
                  <c:v>-0.76968968658976133</c:v>
                </c:pt>
                <c:pt idx="13">
                  <c:v>-0.13004039873506257</c:v>
                </c:pt>
                <c:pt idx="14">
                  <c:v>-0.3146999491756089</c:v>
                </c:pt>
                <c:pt idx="15">
                  <c:v>-0.16734511323324033</c:v>
                </c:pt>
                <c:pt idx="16">
                  <c:v>0.68507477777387193</c:v>
                </c:pt>
                <c:pt idx="17">
                  <c:v>0.16970587959768244</c:v>
                </c:pt>
                <c:pt idx="18">
                  <c:v>0.42825752813640633</c:v>
                </c:pt>
                <c:pt idx="19">
                  <c:v>0.40258782266780163</c:v>
                </c:pt>
                <c:pt idx="20">
                  <c:v>0.42862490167304917</c:v>
                </c:pt>
                <c:pt idx="21">
                  <c:v>0.41766453537062265</c:v>
                </c:pt>
              </c:numCache>
            </c:numRef>
          </c:val>
          <c:extLst>
            <c:ext xmlns:c16="http://schemas.microsoft.com/office/drawing/2014/chart" uri="{C3380CC4-5D6E-409C-BE32-E72D297353CC}">
              <c16:uniqueId val="{00000002-8EF1-444C-B39A-2644AB3A8B20}"/>
            </c:ext>
          </c:extLst>
        </c:ser>
        <c:ser>
          <c:idx val="5"/>
          <c:order val="4"/>
          <c:tx>
            <c:strRef>
              <c:f>'souhrnná výkonnost 3'!$D$5</c:f>
              <c:strCache>
                <c:ptCount val="1"/>
                <c:pt idx="0">
                  <c:v>Výdaje na konečnou spotřebu domácností (vč. nezisk. inst.)</c:v>
                </c:pt>
              </c:strCache>
            </c:strRef>
          </c:tx>
          <c:spPr>
            <a:solidFill>
              <a:srgbClr val="009CB5"/>
            </a:solidFill>
            <a:ln>
              <a:noFill/>
            </a:ln>
          </c:spPr>
          <c:invertIfNegative val="0"/>
          <c:cat>
            <c:multiLvlStrRef>
              <c:f>'souhrnná výkonnost 3'!$A$18:$B$39</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'souhrnná výkonnost 3'!$D$18:$D$39</c:f>
              <c:numCache>
                <c:formatCode>#\ ##0.0</c:formatCode>
                <c:ptCount val="22"/>
                <c:pt idx="0">
                  <c:v>0.59367883203516825</c:v>
                </c:pt>
                <c:pt idx="1">
                  <c:v>2.8540577195452901</c:v>
                </c:pt>
                <c:pt idx="2">
                  <c:v>0.69899115314300364</c:v>
                </c:pt>
                <c:pt idx="3">
                  <c:v>-0.33115993559977402</c:v>
                </c:pt>
                <c:pt idx="4">
                  <c:v>0.11335665498909482</c:v>
                </c:pt>
                <c:pt idx="5">
                  <c:v>-0.26852017086466601</c:v>
                </c:pt>
                <c:pt idx="6">
                  <c:v>-0.82682588617400865</c:v>
                </c:pt>
                <c:pt idx="7">
                  <c:v>-1.1227844164807612</c:v>
                </c:pt>
                <c:pt idx="8">
                  <c:v>-0.33643210303489929</c:v>
                </c:pt>
                <c:pt idx="9">
                  <c:v>0.59167689443727067</c:v>
                </c:pt>
                <c:pt idx="10">
                  <c:v>-0.26478594755725626</c:v>
                </c:pt>
                <c:pt idx="11">
                  <c:v>0.26745135339500464</c:v>
                </c:pt>
                <c:pt idx="12">
                  <c:v>0.8284391474389422</c:v>
                </c:pt>
                <c:pt idx="13">
                  <c:v>-0.24950839388697255</c:v>
                </c:pt>
                <c:pt idx="14">
                  <c:v>0.35503202784406535</c:v>
                </c:pt>
                <c:pt idx="15">
                  <c:v>0.33574916520873399</c:v>
                </c:pt>
                <c:pt idx="16">
                  <c:v>3.2179231663109827E-2</c:v>
                </c:pt>
                <c:pt idx="17">
                  <c:v>0.42414614114302979</c:v>
                </c:pt>
                <c:pt idx="18">
                  <c:v>0.23687845360611126</c:v>
                </c:pt>
                <c:pt idx="19">
                  <c:v>0.47639542925898271</c:v>
                </c:pt>
                <c:pt idx="20">
                  <c:v>0.15113023045996615</c:v>
                </c:pt>
                <c:pt idx="21">
                  <c:v>0.2526653407638349</c:v>
                </c:pt>
              </c:numCache>
            </c:numRef>
          </c:val>
          <c:extLst>
            <c:ext xmlns:c16="http://schemas.microsoft.com/office/drawing/2014/chart" uri="{C3380CC4-5D6E-409C-BE32-E72D297353CC}">
              <c16:uniqueId val="{00000003-8EF1-444C-B39A-2644AB3A8B20}"/>
            </c:ext>
          </c:extLst>
        </c:ser>
        <c:ser>
          <c:idx val="4"/>
          <c:order val="5"/>
          <c:tx>
            <c:strRef>
              <c:f>'souhrnná výkonnost 3'!$E$5</c:f>
              <c:strCache>
                <c:ptCount val="1"/>
                <c:pt idx="0">
                  <c:v>Výdaje na konečnou spotřebu vládních institucí</c:v>
                </c:pt>
              </c:strCache>
            </c:strRef>
          </c:tx>
          <c:spPr>
            <a:solidFill>
              <a:srgbClr val="9FC9D7"/>
            </a:solidFill>
            <a:ln>
              <a:noFill/>
            </a:ln>
          </c:spPr>
          <c:invertIfNegative val="0"/>
          <c:cat>
            <c:multiLvlStrRef>
              <c:f>'souhrnná výkonnost 3'!$A$18:$B$39</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'souhrnná výkonnost 3'!$E$18:$E$39</c:f>
              <c:numCache>
                <c:formatCode>#\ ##0.0</c:formatCode>
                <c:ptCount val="22"/>
                <c:pt idx="0">
                  <c:v>-0.92875095384869155</c:v>
                </c:pt>
                <c:pt idx="1">
                  <c:v>-2.9787360236476428E-2</c:v>
                </c:pt>
                <c:pt idx="2">
                  <c:v>0.80775044990006306</c:v>
                </c:pt>
                <c:pt idx="3">
                  <c:v>0.15816803848621536</c:v>
                </c:pt>
                <c:pt idx="4">
                  <c:v>-0.55971693206488571</c:v>
                </c:pt>
                <c:pt idx="5">
                  <c:v>0.12731563941259708</c:v>
                </c:pt>
                <c:pt idx="6">
                  <c:v>-4.7188199945732347E-2</c:v>
                </c:pt>
                <c:pt idx="7">
                  <c:v>0.20946156961033643</c:v>
                </c:pt>
                <c:pt idx="8">
                  <c:v>0.29278143423784864</c:v>
                </c:pt>
                <c:pt idx="9">
                  <c:v>-2.0320691458915133E-2</c:v>
                </c:pt>
                <c:pt idx="10">
                  <c:v>0.13263607190554347</c:v>
                </c:pt>
                <c:pt idx="11">
                  <c:v>0.22319251770780366</c:v>
                </c:pt>
                <c:pt idx="12">
                  <c:v>8.9996058469672388E-2</c:v>
                </c:pt>
                <c:pt idx="13">
                  <c:v>0.1392190059853684</c:v>
                </c:pt>
                <c:pt idx="14">
                  <c:v>5.579128676255779E-2</c:v>
                </c:pt>
                <c:pt idx="15">
                  <c:v>0.12746134722536551</c:v>
                </c:pt>
                <c:pt idx="16">
                  <c:v>0.10843878809630265</c:v>
                </c:pt>
                <c:pt idx="17">
                  <c:v>0.11118221212668528</c:v>
                </c:pt>
                <c:pt idx="18">
                  <c:v>0.14583067599553443</c:v>
                </c:pt>
                <c:pt idx="19">
                  <c:v>-9.1340841717672174E-3</c:v>
                </c:pt>
                <c:pt idx="20">
                  <c:v>1.3229649501889318E-2</c:v>
                </c:pt>
                <c:pt idx="21">
                  <c:v>2.9115298987551885E-2</c:v>
                </c:pt>
              </c:numCache>
            </c:numRef>
          </c:val>
          <c:extLst>
            <c:ext xmlns:c16="http://schemas.microsoft.com/office/drawing/2014/chart" uri="{C3380CC4-5D6E-409C-BE32-E72D297353CC}">
              <c16:uniqueId val="{00000004-8EF1-444C-B39A-2644AB3A8B20}"/>
            </c:ext>
          </c:extLst>
        </c:ser>
        <c:dLbls>
          <c:showLegendKey val="0"/>
          <c:showVal val="0"/>
          <c:showCatName val="0"/>
          <c:showSerName val="0"/>
          <c:showPercent val="0"/>
          <c:showBubbleSize val="0"/>
        </c:dLbls>
        <c:gapWidth val="90"/>
        <c:overlap val="100"/>
        <c:axId val="267591040"/>
        <c:axId val="267605120"/>
      </c:barChart>
      <c:lineChart>
        <c:grouping val="standard"/>
        <c:varyColors val="0"/>
        <c:ser>
          <c:idx val="0"/>
          <c:order val="0"/>
          <c:tx>
            <c:strRef>
              <c:f>'souhrnná výkonnost 3'!$C$5</c:f>
              <c:strCache>
                <c:ptCount val="1"/>
                <c:pt idx="0">
                  <c:v>HDP</c:v>
                </c:pt>
              </c:strCache>
            </c:strRef>
          </c:tx>
          <c:spPr>
            <a:ln w="19050">
              <a:solidFill>
                <a:schemeClr val="tx1"/>
              </a:solidFill>
            </a:ln>
          </c:spPr>
          <c:marker>
            <c:symbol val="none"/>
          </c:marker>
          <c:cat>
            <c:multiLvlStrRef>
              <c:f>'souhrnná výkonnost 3'!$A$18:$B$39</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'souhrnná výkonnost 3'!$C$18:$C$39</c:f>
              <c:numCache>
                <c:formatCode>#\ ##0.0</c:formatCode>
                <c:ptCount val="22"/>
                <c:pt idx="0">
                  <c:v>2.9256757030054814E-2</c:v>
                </c:pt>
                <c:pt idx="1">
                  <c:v>1.4365987982629065</c:v>
                </c:pt>
                <c:pt idx="2">
                  <c:v>1.7350211172300334</c:v>
                </c:pt>
                <c:pt idx="3">
                  <c:v>0.61863116182236411</c:v>
                </c:pt>
                <c:pt idx="4">
                  <c:v>0.94875441098109548</c:v>
                </c:pt>
                <c:pt idx="5">
                  <c:v>0.30648557421844203</c:v>
                </c:pt>
                <c:pt idx="6">
                  <c:v>0.13614145379075637</c:v>
                </c:pt>
                <c:pt idx="7">
                  <c:v>-0.38584978486377963</c:v>
                </c:pt>
                <c:pt idx="8">
                  <c:v>0.18557572813413969</c:v>
                </c:pt>
                <c:pt idx="9">
                  <c:v>0.39906973522346334</c:v>
                </c:pt>
                <c:pt idx="10">
                  <c:v>-0.41332662130082554</c:v>
                </c:pt>
                <c:pt idx="11">
                  <c:v>0.28629565623481312</c:v>
                </c:pt>
                <c:pt idx="12">
                  <c:v>0.31752509529270867</c:v>
                </c:pt>
                <c:pt idx="13">
                  <c:v>0.28457474789659898</c:v>
                </c:pt>
                <c:pt idx="14">
                  <c:v>0.65495991780097995</c:v>
                </c:pt>
                <c:pt idx="15">
                  <c:v>0.71449823096783405</c:v>
                </c:pt>
                <c:pt idx="16">
                  <c:v>0.79121664847778561</c:v>
                </c:pt>
                <c:pt idx="17">
                  <c:v>0.57697752637686506</c:v>
                </c:pt>
                <c:pt idx="18">
                  <c:v>0.69505842784639071</c:v>
                </c:pt>
                <c:pt idx="19">
                  <c:v>0.70408558888750861</c:v>
                </c:pt>
                <c:pt idx="20">
                  <c:v>0.17584321765021116</c:v>
                </c:pt>
                <c:pt idx="21">
                  <c:v>0.35795161775615725</c:v>
                </c:pt>
              </c:numCache>
            </c:numRef>
          </c:val>
          <c:smooth val="0"/>
          <c:extLst>
            <c:ext xmlns:c16="http://schemas.microsoft.com/office/drawing/2014/chart" uri="{C3380CC4-5D6E-409C-BE32-E72D297353CC}">
              <c16:uniqueId val="{00000005-8EF1-444C-B39A-2644AB3A8B20}"/>
            </c:ext>
          </c:extLst>
        </c:ser>
        <c:dLbls>
          <c:showLegendKey val="0"/>
          <c:showVal val="0"/>
          <c:showCatName val="0"/>
          <c:showSerName val="0"/>
          <c:showPercent val="0"/>
          <c:showBubbleSize val="0"/>
        </c:dLbls>
        <c:marker val="1"/>
        <c:smooth val="0"/>
        <c:axId val="267591040"/>
        <c:axId val="267605120"/>
      </c:lineChart>
      <c:catAx>
        <c:axId val="267591040"/>
        <c:scaling>
          <c:orientation val="minMax"/>
        </c:scaling>
        <c:delete val="0"/>
        <c:axPos val="b"/>
        <c:numFmt formatCode="General" sourceLinked="1"/>
        <c:majorTickMark val="out"/>
        <c:minorTickMark val="none"/>
        <c:tickLblPos val="low"/>
        <c:spPr>
          <a:ln>
            <a:solidFill>
              <a:schemeClr val="tx1"/>
            </a:solidFill>
          </a:ln>
        </c:spPr>
        <c:txPr>
          <a:bodyPr rot="0" vert="horz"/>
          <a:lstStyle/>
          <a:p>
            <a:pPr>
              <a:defRPr/>
            </a:pPr>
            <a:endParaRPr lang="cs-CZ"/>
          </a:p>
        </c:txPr>
        <c:crossAx val="267605120"/>
        <c:crosses val="autoZero"/>
        <c:auto val="1"/>
        <c:lblAlgn val="ctr"/>
        <c:lblOffset val="100"/>
        <c:noMultiLvlLbl val="0"/>
      </c:catAx>
      <c:valAx>
        <c:axId val="267605120"/>
        <c:scaling>
          <c:orientation val="minMax"/>
        </c:scaling>
        <c:delete val="0"/>
        <c:axPos val="l"/>
        <c:majorGridlines>
          <c:spPr>
            <a:ln w="6350">
              <a:solidFill>
                <a:schemeClr val="bg1">
                  <a:lumMod val="75000"/>
                </a:schemeClr>
              </a:solidFill>
            </a:ln>
          </c:spPr>
        </c:majorGridlines>
        <c:numFmt formatCode="#,##0" sourceLinked="0"/>
        <c:majorTickMark val="out"/>
        <c:minorTickMark val="none"/>
        <c:tickLblPos val="nextTo"/>
        <c:spPr>
          <a:ln>
            <a:solidFill>
              <a:schemeClr val="tx1"/>
            </a:solidFill>
          </a:ln>
        </c:spPr>
        <c:crossAx val="267591040"/>
        <c:crosses val="autoZero"/>
        <c:crossBetween val="between"/>
      </c:valAx>
      <c:spPr>
        <a:ln>
          <a:solidFill>
            <a:schemeClr val="tx1"/>
          </a:solidFill>
        </a:ln>
      </c:spPr>
    </c:plotArea>
    <c:legend>
      <c:legendPos val="b"/>
      <c:layout>
        <c:manualLayout>
          <c:xMode val="edge"/>
          <c:yMode val="edge"/>
          <c:x val="4.7571766295170556E-2"/>
          <c:y val="0.81445992344928519"/>
          <c:w val="0.94432624113475194"/>
          <c:h val="0.17481734774287963"/>
        </c:manualLayout>
      </c:layout>
      <c:overlay val="0"/>
      <c:spPr>
        <a:ln w="6350">
          <a:solidFill>
            <a:schemeClr val="tx1"/>
          </a:solidFill>
        </a:ln>
      </c:spPr>
    </c:legend>
    <c:plotVisOnly val="1"/>
    <c:dispBlanksAs val="gap"/>
    <c:showDLblsOverMax val="0"/>
  </c:chart>
  <c:spPr>
    <a:ln>
      <a:noFill/>
    </a:ln>
  </c:spPr>
  <c:txPr>
    <a:bodyPr/>
    <a:lstStyle/>
    <a:p>
      <a:pPr>
        <a:defRPr sz="800" baseline="0">
          <a:latin typeface="Arial" pitchFamily="34" charset="0"/>
        </a:defRPr>
      </a:pPr>
      <a:endParaRPr lang="cs-CZ"/>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324074074074073E-2"/>
          <c:y val="4.0005727376861394E-2"/>
          <c:w val="0.88059911616161612"/>
          <c:h val="0.76044243986254301"/>
        </c:manualLayout>
      </c:layout>
      <c:barChart>
        <c:barDir val="col"/>
        <c:grouping val="clustered"/>
        <c:varyColors val="0"/>
        <c:ser>
          <c:idx val="2"/>
          <c:order val="2"/>
          <c:tx>
            <c:strRef>
              <c:f>'Vnější vztahy'!$E$6</c:f>
              <c:strCache>
                <c:ptCount val="1"/>
                <c:pt idx="0">
                  <c:v>Bilance</c:v>
                </c:pt>
              </c:strCache>
            </c:strRef>
          </c:tx>
          <c:spPr>
            <a:solidFill>
              <a:srgbClr val="85898E"/>
            </a:solidFill>
            <a:ln>
              <a:noFill/>
            </a:ln>
            <a:effectLst/>
          </c:spPr>
          <c:invertIfNegative val="0"/>
          <c:cat>
            <c:multiLvlStrRef>
              <c:f>'Vnější vztahy'!$A$15:$B$36</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'Vnější vztahy'!$E$15:$E$36</c:f>
              <c:numCache>
                <c:formatCode>0.0</c:formatCode>
                <c:ptCount val="22"/>
                <c:pt idx="0">
                  <c:v>60.916821217999995</c:v>
                </c:pt>
                <c:pt idx="1">
                  <c:v>13.848192235000001</c:v>
                </c:pt>
                <c:pt idx="2">
                  <c:v>-54.700282055000002</c:v>
                </c:pt>
                <c:pt idx="3">
                  <c:v>-29.269374235000001</c:v>
                </c:pt>
                <c:pt idx="4">
                  <c:v>-12.635912592</c:v>
                </c:pt>
                <c:pt idx="5">
                  <c:v>-73.225200095999995</c:v>
                </c:pt>
                <c:pt idx="6">
                  <c:v>-64.314002961</c:v>
                </c:pt>
                <c:pt idx="7">
                  <c:v>-54.639469009000003</c:v>
                </c:pt>
                <c:pt idx="8">
                  <c:v>40.885161205999999</c:v>
                </c:pt>
                <c:pt idx="9">
                  <c:v>36.180839551999995</c:v>
                </c:pt>
                <c:pt idx="10">
                  <c:v>-1.2235418870000001</c:v>
                </c:pt>
                <c:pt idx="11">
                  <c:v>46.660049057999998</c:v>
                </c:pt>
                <c:pt idx="12">
                  <c:v>82.282917839000007</c:v>
                </c:pt>
                <c:pt idx="13">
                  <c:v>70.988541018000006</c:v>
                </c:pt>
                <c:pt idx="14">
                  <c:v>27.293198606000001</c:v>
                </c:pt>
                <c:pt idx="15">
                  <c:v>39.924275514999998</c:v>
                </c:pt>
                <c:pt idx="16">
                  <c:v>75.084966225000002</c:v>
                </c:pt>
                <c:pt idx="17">
                  <c:v>54.708442980000001</c:v>
                </c:pt>
                <c:pt idx="18">
                  <c:v>23.806886026000001</c:v>
                </c:pt>
                <c:pt idx="19">
                  <c:v>46.629236237000001</c:v>
                </c:pt>
                <c:pt idx="20">
                  <c:v>70.187980299999992</c:v>
                </c:pt>
                <c:pt idx="21">
                  <c:v>32.335529342999997</c:v>
                </c:pt>
              </c:numCache>
            </c:numRef>
          </c:val>
          <c:extLst>
            <c:ext xmlns:c16="http://schemas.microsoft.com/office/drawing/2014/chart" uri="{C3380CC4-5D6E-409C-BE32-E72D297353CC}">
              <c16:uniqueId val="{00000000-2DE5-4D90-817E-C01010A321F1}"/>
            </c:ext>
          </c:extLst>
        </c:ser>
        <c:dLbls>
          <c:showLegendKey val="0"/>
          <c:showVal val="0"/>
          <c:showCatName val="0"/>
          <c:showSerName val="0"/>
          <c:showPercent val="0"/>
          <c:showBubbleSize val="0"/>
        </c:dLbls>
        <c:gapWidth val="90"/>
        <c:axId val="1842150016"/>
        <c:axId val="1842137120"/>
      </c:barChart>
      <c:lineChart>
        <c:grouping val="standard"/>
        <c:varyColors val="0"/>
        <c:ser>
          <c:idx val="0"/>
          <c:order val="0"/>
          <c:tx>
            <c:strRef>
              <c:f>'Vnější vztahy'!$C$6</c:f>
              <c:strCache>
                <c:ptCount val="1"/>
                <c:pt idx="0">
                  <c:v>Vývoz</c:v>
                </c:pt>
              </c:strCache>
            </c:strRef>
          </c:tx>
          <c:spPr>
            <a:ln w="28575" cap="rnd">
              <a:noFill/>
              <a:round/>
            </a:ln>
            <a:effectLst/>
          </c:spPr>
          <c:marker>
            <c:symbol val="dash"/>
            <c:size val="9"/>
            <c:spPr>
              <a:solidFill>
                <a:srgbClr val="174F70"/>
              </a:solidFill>
              <a:ln w="9525">
                <a:noFill/>
              </a:ln>
              <a:effectLst/>
            </c:spPr>
          </c:marker>
          <c:cat>
            <c:multiLvlStrRef>
              <c:f>'Vnější vztahy'!$A$15:$B$36</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'Vnější vztahy'!$C$15:$C$36</c:f>
              <c:numCache>
                <c:formatCode>#\ ##0.0</c:formatCode>
                <c:ptCount val="22"/>
                <c:pt idx="0">
                  <c:v>10.962313304399999</c:v>
                </c:pt>
                <c:pt idx="1">
                  <c:v>41.981094956100009</c:v>
                </c:pt>
                <c:pt idx="2">
                  <c:v>3.4515742189000065</c:v>
                </c:pt>
                <c:pt idx="3">
                  <c:v>2.749198525500006</c:v>
                </c:pt>
                <c:pt idx="4">
                  <c:v>8.0064988441999958</c:v>
                </c:pt>
                <c:pt idx="5">
                  <c:v>11.287163968300007</c:v>
                </c:pt>
                <c:pt idx="6">
                  <c:v>22.470879917399998</c:v>
                </c:pt>
                <c:pt idx="7">
                  <c:v>13.234980039600003</c:v>
                </c:pt>
                <c:pt idx="8">
                  <c:v>10.691327997000002</c:v>
                </c:pt>
                <c:pt idx="9">
                  <c:v>0.90534101039999371</c:v>
                </c:pt>
                <c:pt idx="10">
                  <c:v>-6.7264620790000009</c:v>
                </c:pt>
                <c:pt idx="11">
                  <c:v>-1.1504207308999952</c:v>
                </c:pt>
                <c:pt idx="12">
                  <c:v>-8.6901433099995984E-2</c:v>
                </c:pt>
                <c:pt idx="13">
                  <c:v>4.7005744015000062</c:v>
                </c:pt>
                <c:pt idx="14">
                  <c:v>10.984825847799996</c:v>
                </c:pt>
                <c:pt idx="15">
                  <c:v>4.9824641242999945</c:v>
                </c:pt>
                <c:pt idx="16">
                  <c:v>6.048075254400004</c:v>
                </c:pt>
                <c:pt idx="17">
                  <c:v>2.7784805529999943</c:v>
                </c:pt>
                <c:pt idx="18">
                  <c:v>0.87044595470000274</c:v>
                </c:pt>
                <c:pt idx="19">
                  <c:v>-0.39807086150000259</c:v>
                </c:pt>
                <c:pt idx="20">
                  <c:v>0.11852384350000023</c:v>
                </c:pt>
                <c:pt idx="21">
                  <c:v>5.1690421896000061</c:v>
                </c:pt>
              </c:numCache>
            </c:numRef>
          </c:val>
          <c:smooth val="0"/>
          <c:extLst>
            <c:ext xmlns:c16="http://schemas.microsoft.com/office/drawing/2014/chart" uri="{C3380CC4-5D6E-409C-BE32-E72D297353CC}">
              <c16:uniqueId val="{00000001-2DE5-4D90-817E-C01010A321F1}"/>
            </c:ext>
          </c:extLst>
        </c:ser>
        <c:ser>
          <c:idx val="1"/>
          <c:order val="1"/>
          <c:tx>
            <c:strRef>
              <c:f>'Vnější vztahy'!$D$6</c:f>
              <c:strCache>
                <c:ptCount val="1"/>
                <c:pt idx="0">
                  <c:v>Dovoz</c:v>
                </c:pt>
              </c:strCache>
            </c:strRef>
          </c:tx>
          <c:spPr>
            <a:ln w="28575" cap="rnd">
              <a:noFill/>
              <a:round/>
            </a:ln>
            <a:effectLst/>
          </c:spPr>
          <c:marker>
            <c:symbol val="dash"/>
            <c:size val="9"/>
            <c:spPr>
              <a:solidFill>
                <a:srgbClr val="BC5B80"/>
              </a:solidFill>
              <a:ln w="9525">
                <a:noFill/>
              </a:ln>
              <a:effectLst/>
            </c:spPr>
          </c:marker>
          <c:cat>
            <c:multiLvlStrRef>
              <c:f>'Vnější vztahy'!$A$15:$B$36</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'Vnější vztahy'!$D$15:$D$36</c:f>
              <c:numCache>
                <c:formatCode>#\ ##0.0</c:formatCode>
                <c:ptCount val="22"/>
                <c:pt idx="0">
                  <c:v>8.4767312925000056</c:v>
                </c:pt>
                <c:pt idx="1">
                  <c:v>41.887499316600014</c:v>
                </c:pt>
                <c:pt idx="2">
                  <c:v>17.303793961099998</c:v>
                </c:pt>
                <c:pt idx="3">
                  <c:v>14.923030300799994</c:v>
                </c:pt>
                <c:pt idx="4">
                  <c:v>16.659765110899997</c:v>
                </c:pt>
                <c:pt idx="5">
                  <c:v>20.193090002000005</c:v>
                </c:pt>
                <c:pt idx="6">
                  <c:v>22.188267180799997</c:v>
                </c:pt>
                <c:pt idx="7">
                  <c:v>15.2991180633</c:v>
                </c:pt>
                <c:pt idx="8">
                  <c:v>5.5018043466999984</c:v>
                </c:pt>
                <c:pt idx="9">
                  <c:v>-8.2960208406999953</c:v>
                </c:pt>
                <c:pt idx="10">
                  <c:v>-11.801975368499996</c:v>
                </c:pt>
                <c:pt idx="11">
                  <c:v>-9.5344571271999996</c:v>
                </c:pt>
                <c:pt idx="12">
                  <c:v>-3.8011078601000037</c:v>
                </c:pt>
                <c:pt idx="13">
                  <c:v>1.682577773999995</c:v>
                </c:pt>
                <c:pt idx="14">
                  <c:v>8.1790772874000055</c:v>
                </c:pt>
                <c:pt idx="15">
                  <c:v>5.8165725733999949</c:v>
                </c:pt>
                <c:pt idx="16">
                  <c:v>7.1825560853999946</c:v>
                </c:pt>
                <c:pt idx="17">
                  <c:v>4.4148253775999962</c:v>
                </c:pt>
                <c:pt idx="18">
                  <c:v>1.2075467499000041</c:v>
                </c:pt>
                <c:pt idx="19">
                  <c:v>-0.99521934899999565</c:v>
                </c:pt>
                <c:pt idx="20">
                  <c:v>0.55200773560000016</c:v>
                </c:pt>
                <c:pt idx="21">
                  <c:v>7.3327812705999946</c:v>
                </c:pt>
              </c:numCache>
            </c:numRef>
          </c:val>
          <c:smooth val="0"/>
          <c:extLst>
            <c:ext xmlns:c16="http://schemas.microsoft.com/office/drawing/2014/chart" uri="{C3380CC4-5D6E-409C-BE32-E72D297353CC}">
              <c16:uniqueId val="{00000002-2DE5-4D90-817E-C01010A321F1}"/>
            </c:ext>
          </c:extLst>
        </c:ser>
        <c:dLbls>
          <c:showLegendKey val="0"/>
          <c:showVal val="0"/>
          <c:showCatName val="0"/>
          <c:showSerName val="0"/>
          <c:showPercent val="0"/>
          <c:showBubbleSize val="0"/>
        </c:dLbls>
        <c:marker val="1"/>
        <c:smooth val="0"/>
        <c:axId val="1621653648"/>
        <c:axId val="1621653232"/>
      </c:lineChart>
      <c:catAx>
        <c:axId val="162165364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mn-cs"/>
              </a:defRPr>
            </a:pPr>
            <a:endParaRPr lang="cs-CZ"/>
          </a:p>
        </c:txPr>
        <c:crossAx val="1621653232"/>
        <c:crosses val="autoZero"/>
        <c:auto val="1"/>
        <c:lblAlgn val="ctr"/>
        <c:lblOffset val="100"/>
        <c:noMultiLvlLbl val="0"/>
      </c:catAx>
      <c:valAx>
        <c:axId val="1621653232"/>
        <c:scaling>
          <c:orientation val="minMax"/>
          <c:min val="-4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mn-cs"/>
              </a:defRPr>
            </a:pPr>
            <a:endParaRPr lang="cs-CZ"/>
          </a:p>
        </c:txPr>
        <c:crossAx val="1621653648"/>
        <c:crosses val="autoZero"/>
        <c:crossBetween val="between"/>
      </c:valAx>
      <c:valAx>
        <c:axId val="1842137120"/>
        <c:scaling>
          <c:orientation val="minMax"/>
          <c:min val="-80"/>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mn-cs"/>
              </a:defRPr>
            </a:pPr>
            <a:endParaRPr lang="cs-CZ"/>
          </a:p>
        </c:txPr>
        <c:crossAx val="1842150016"/>
        <c:crosses val="max"/>
        <c:crossBetween val="between"/>
      </c:valAx>
      <c:catAx>
        <c:axId val="1842150016"/>
        <c:scaling>
          <c:orientation val="minMax"/>
        </c:scaling>
        <c:delete val="1"/>
        <c:axPos val="b"/>
        <c:numFmt formatCode="General" sourceLinked="1"/>
        <c:majorTickMark val="out"/>
        <c:minorTickMark val="none"/>
        <c:tickLblPos val="nextTo"/>
        <c:crossAx val="1842137120"/>
        <c:crosses val="autoZero"/>
        <c:auto val="1"/>
        <c:lblAlgn val="ctr"/>
        <c:lblOffset val="100"/>
        <c:noMultiLvlLbl val="0"/>
      </c:catAx>
      <c:spPr>
        <a:noFill/>
        <a:ln>
          <a:noFill/>
        </a:ln>
        <a:effectLst/>
      </c:spPr>
    </c:plotArea>
    <c:legend>
      <c:legendPos val="b"/>
      <c:layout>
        <c:manualLayout>
          <c:xMode val="edge"/>
          <c:yMode val="edge"/>
          <c:x val="6.7334595959595941E-2"/>
          <c:y val="0.9241869988545246"/>
          <c:w val="0.85464057239057234"/>
          <c:h val="5.3991695303550975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mn-cs"/>
            </a:defRPr>
          </a:pPr>
          <a:endParaRPr lang="cs-CZ"/>
        </a:p>
      </c:txPr>
    </c:legend>
    <c:plotVisOnly val="1"/>
    <c:dispBlanksAs val="gap"/>
    <c:showDLblsOverMax val="0"/>
  </c:chart>
  <c:spPr>
    <a:solidFill>
      <a:schemeClr val="bg1"/>
    </a:solidFill>
    <a:ln w="9525" cap="flat" cmpd="sng" algn="ctr">
      <a:noFill/>
      <a:round/>
    </a:ln>
    <a:effectLst/>
  </c:spPr>
  <c:txPr>
    <a:bodyPr/>
    <a:lstStyle/>
    <a:p>
      <a:pPr>
        <a:defRPr sz="800" baseline="0">
          <a:latin typeface="Arial" panose="020B0604020202020204" pitchFamily="34" charset="0"/>
        </a:defRPr>
      </a:pPr>
      <a:endParaRPr lang="cs-CZ"/>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CenyEU!$C$4</c:f>
              <c:strCache>
                <c:ptCount val="1"/>
                <c:pt idx="0">
                  <c:v>Meziročně</c:v>
                </c:pt>
              </c:strCache>
            </c:strRef>
          </c:tx>
          <c:spPr>
            <a:solidFill>
              <a:srgbClr val="009CB5"/>
            </a:solidFill>
            <a:ln>
              <a:noFill/>
            </a:ln>
            <a:effectLst/>
          </c:spPr>
          <c:invertIfNegative val="0"/>
          <c:cat>
            <c:strRef>
              <c:f>CenyEU!$B$5:$B$33</c:f>
              <c:strCache>
                <c:ptCount val="29"/>
                <c:pt idx="0">
                  <c:v>EU</c:v>
                </c:pt>
                <c:pt idx="1">
                  <c:v>CZ</c:v>
                </c:pt>
                <c:pt idx="3">
                  <c:v>RO</c:v>
                </c:pt>
                <c:pt idx="4">
                  <c:v>BG</c:v>
                </c:pt>
                <c:pt idx="5">
                  <c:v>LT</c:v>
                </c:pt>
                <c:pt idx="6">
                  <c:v>HR</c:v>
                </c:pt>
                <c:pt idx="7">
                  <c:v>LU</c:v>
                </c:pt>
                <c:pt idx="8">
                  <c:v>GR</c:v>
                </c:pt>
                <c:pt idx="9">
                  <c:v>SK</c:v>
                </c:pt>
                <c:pt idx="10">
                  <c:v>BE</c:v>
                </c:pt>
                <c:pt idx="11">
                  <c:v>SI</c:v>
                </c:pt>
                <c:pt idx="12">
                  <c:v>ES</c:v>
                </c:pt>
                <c:pt idx="13">
                  <c:v>CY</c:v>
                </c:pt>
                <c:pt idx="14">
                  <c:v>IE</c:v>
                </c:pt>
                <c:pt idx="15">
                  <c:v>AT</c:v>
                </c:pt>
                <c:pt idx="16">
                  <c:v>LV</c:v>
                </c:pt>
                <c:pt idx="17">
                  <c:v>PL</c:v>
                </c:pt>
                <c:pt idx="18">
                  <c:v>PT</c:v>
                </c:pt>
                <c:pt idx="19">
                  <c:v>IT</c:v>
                </c:pt>
                <c:pt idx="20">
                  <c:v>EE</c:v>
                </c:pt>
                <c:pt idx="21">
                  <c:v>NL</c:v>
                </c:pt>
                <c:pt idx="22">
                  <c:v>FI</c:v>
                </c:pt>
                <c:pt idx="23">
                  <c:v>DE</c:v>
                </c:pt>
                <c:pt idx="24">
                  <c:v>FR</c:v>
                </c:pt>
                <c:pt idx="25">
                  <c:v>HU</c:v>
                </c:pt>
                <c:pt idx="26">
                  <c:v>MT</c:v>
                </c:pt>
                <c:pt idx="27">
                  <c:v>DK</c:v>
                </c:pt>
                <c:pt idx="28">
                  <c:v>SE</c:v>
                </c:pt>
              </c:strCache>
            </c:strRef>
          </c:cat>
          <c:val>
            <c:numRef>
              <c:f>CenyEU!$C$5:$C$33</c:f>
              <c:numCache>
                <c:formatCode>0.0_ ;[Red]\-0.0\ </c:formatCode>
                <c:ptCount val="29"/>
                <c:pt idx="0">
                  <c:v>3.1682507920627172</c:v>
                </c:pt>
                <c:pt idx="1">
                  <c:v>1.6910146087652571</c:v>
                </c:pt>
                <c:pt idx="3">
                  <c:v>9.4927462372167284</c:v>
                </c:pt>
                <c:pt idx="4">
                  <c:v>5.8274665678579698</c:v>
                </c:pt>
                <c:pt idx="5">
                  <c:v>5.1188848501017192</c:v>
                </c:pt>
                <c:pt idx="6">
                  <c:v>4.8212550675109727</c:v>
                </c:pt>
                <c:pt idx="7">
                  <c:v>4.494944438882766</c:v>
                </c:pt>
                <c:pt idx="8">
                  <c:v>4.423779475257402</c:v>
                </c:pt>
                <c:pt idx="9">
                  <c:v>3.8645405007856173</c:v>
                </c:pt>
                <c:pt idx="10">
                  <c:v>3.8394590613911665</c:v>
                </c:pt>
                <c:pt idx="11">
                  <c:v>3.654839247043145</c:v>
                </c:pt>
                <c:pt idx="12">
                  <c:v>3.5816618911174736</c:v>
                </c:pt>
                <c:pt idx="13">
                  <c:v>3.5442784742597913</c:v>
                </c:pt>
                <c:pt idx="14">
                  <c:v>3.440565974771423</c:v>
                </c:pt>
                <c:pt idx="15">
                  <c:v>3.4300615137737385</c:v>
                </c:pt>
                <c:pt idx="16">
                  <c:v>3.2370517928286859</c:v>
                </c:pt>
                <c:pt idx="17">
                  <c:v>3.2235459004905382</c:v>
                </c:pt>
                <c:pt idx="18">
                  <c:v>3.1912076271186631</c:v>
                </c:pt>
                <c:pt idx="19">
                  <c:v>2.9850746268656714</c:v>
                </c:pt>
                <c:pt idx="20">
                  <c:v>2.9170282357653106</c:v>
                </c:pt>
                <c:pt idx="21">
                  <c:v>2.7730616864742403</c:v>
                </c:pt>
                <c:pt idx="22">
                  <c:v>2.6273672979460887</c:v>
                </c:pt>
                <c:pt idx="23">
                  <c:v>2.6263974637076606</c:v>
                </c:pt>
                <c:pt idx="24">
                  <c:v>2.4339892784603609</c:v>
                </c:pt>
                <c:pt idx="25">
                  <c:v>2.3236403699128565</c:v>
                </c:pt>
                <c:pt idx="26">
                  <c:v>2.1920599447876774</c:v>
                </c:pt>
                <c:pt idx="27">
                  <c:v>1.592249932957893</c:v>
                </c:pt>
                <c:pt idx="28">
                  <c:v>0.86863557396766777</c:v>
                </c:pt>
              </c:numCache>
            </c:numRef>
          </c:val>
          <c:extLst>
            <c:ext xmlns:c16="http://schemas.microsoft.com/office/drawing/2014/chart" uri="{C3380CC4-5D6E-409C-BE32-E72D297353CC}">
              <c16:uniqueId val="{00000000-8631-4779-9248-3CFDCA790AFE}"/>
            </c:ext>
          </c:extLst>
        </c:ser>
        <c:ser>
          <c:idx val="1"/>
          <c:order val="1"/>
          <c:tx>
            <c:strRef>
              <c:f>CenyEU!$D$4</c:f>
              <c:strCache>
                <c:ptCount val="1"/>
                <c:pt idx="0">
                  <c:v>Mezičtvtrletně</c:v>
                </c:pt>
              </c:strCache>
            </c:strRef>
          </c:tx>
          <c:spPr>
            <a:solidFill>
              <a:srgbClr val="BC5B80"/>
            </a:solidFill>
            <a:ln>
              <a:noFill/>
            </a:ln>
            <a:effectLst/>
          </c:spPr>
          <c:invertIfNegative val="0"/>
          <c:cat>
            <c:strRef>
              <c:f>CenyEU!$B$5:$B$33</c:f>
              <c:strCache>
                <c:ptCount val="29"/>
                <c:pt idx="0">
                  <c:v>EU</c:v>
                </c:pt>
                <c:pt idx="1">
                  <c:v>CZ</c:v>
                </c:pt>
                <c:pt idx="3">
                  <c:v>RO</c:v>
                </c:pt>
                <c:pt idx="4">
                  <c:v>BG</c:v>
                </c:pt>
                <c:pt idx="5">
                  <c:v>LT</c:v>
                </c:pt>
                <c:pt idx="6">
                  <c:v>HR</c:v>
                </c:pt>
                <c:pt idx="7">
                  <c:v>LU</c:v>
                </c:pt>
                <c:pt idx="8">
                  <c:v>GR</c:v>
                </c:pt>
                <c:pt idx="9">
                  <c:v>SK</c:v>
                </c:pt>
                <c:pt idx="10">
                  <c:v>BE</c:v>
                </c:pt>
                <c:pt idx="11">
                  <c:v>SI</c:v>
                </c:pt>
                <c:pt idx="12">
                  <c:v>ES</c:v>
                </c:pt>
                <c:pt idx="13">
                  <c:v>CY</c:v>
                </c:pt>
                <c:pt idx="14">
                  <c:v>IE</c:v>
                </c:pt>
                <c:pt idx="15">
                  <c:v>AT</c:v>
                </c:pt>
                <c:pt idx="16">
                  <c:v>LV</c:v>
                </c:pt>
                <c:pt idx="17">
                  <c:v>PL</c:v>
                </c:pt>
                <c:pt idx="18">
                  <c:v>PT</c:v>
                </c:pt>
                <c:pt idx="19">
                  <c:v>IT</c:v>
                </c:pt>
                <c:pt idx="20">
                  <c:v>EE</c:v>
                </c:pt>
                <c:pt idx="21">
                  <c:v>NL</c:v>
                </c:pt>
                <c:pt idx="22">
                  <c:v>FI</c:v>
                </c:pt>
                <c:pt idx="23">
                  <c:v>DE</c:v>
                </c:pt>
                <c:pt idx="24">
                  <c:v>FR</c:v>
                </c:pt>
                <c:pt idx="25">
                  <c:v>HU</c:v>
                </c:pt>
                <c:pt idx="26">
                  <c:v>MT</c:v>
                </c:pt>
                <c:pt idx="27">
                  <c:v>DK</c:v>
                </c:pt>
                <c:pt idx="28">
                  <c:v>SE</c:v>
                </c:pt>
              </c:strCache>
            </c:strRef>
          </c:cat>
          <c:val>
            <c:numRef>
              <c:f>CenyEU!$D$5:$D$33</c:f>
              <c:numCache>
                <c:formatCode>0.0_ ;[Red]\-0.0\ </c:formatCode>
                <c:ptCount val="29"/>
                <c:pt idx="0">
                  <c:v>1.9275123558484375</c:v>
                </c:pt>
                <c:pt idx="1">
                  <c:v>0.84675685509209497</c:v>
                </c:pt>
                <c:pt idx="3">
                  <c:v>1.9841772151898769</c:v>
                </c:pt>
                <c:pt idx="4">
                  <c:v>2.6095760663661696</c:v>
                </c:pt>
                <c:pt idx="5">
                  <c:v>2.0988534041588358</c:v>
                </c:pt>
                <c:pt idx="6">
                  <c:v>2.4024613773239269</c:v>
                </c:pt>
                <c:pt idx="7">
                  <c:v>3.3806536810828733</c:v>
                </c:pt>
                <c:pt idx="8">
                  <c:v>3.6971076151841933</c:v>
                </c:pt>
                <c:pt idx="9">
                  <c:v>0.72947736999092205</c:v>
                </c:pt>
                <c:pt idx="10">
                  <c:v>2.0897781873230885</c:v>
                </c:pt>
                <c:pt idx="11">
                  <c:v>2.7476882430647223</c:v>
                </c:pt>
                <c:pt idx="12">
                  <c:v>2.222733699404857</c:v>
                </c:pt>
                <c:pt idx="13">
                  <c:v>3.7726391766357037</c:v>
                </c:pt>
                <c:pt idx="14">
                  <c:v>1.8900795476957368</c:v>
                </c:pt>
                <c:pt idx="15">
                  <c:v>1.5192780968006594</c:v>
                </c:pt>
                <c:pt idx="16">
                  <c:v>2.3771112501234501</c:v>
                </c:pt>
                <c:pt idx="17">
                  <c:v>1.10806040400078</c:v>
                </c:pt>
                <c:pt idx="18">
                  <c:v>3.8374417055296641</c:v>
                </c:pt>
                <c:pt idx="19">
                  <c:v>3.0876494023904471</c:v>
                </c:pt>
                <c:pt idx="20">
                  <c:v>1.2842831335194695</c:v>
                </c:pt>
                <c:pt idx="21">
                  <c:v>2.4116768950074485</c:v>
                </c:pt>
                <c:pt idx="22">
                  <c:v>1.223362273086011</c:v>
                </c:pt>
                <c:pt idx="23">
                  <c:v>1.2911725955204127</c:v>
                </c:pt>
                <c:pt idx="24">
                  <c:v>2.1076039695974056</c:v>
                </c:pt>
                <c:pt idx="25">
                  <c:v>0.85889166776359527</c:v>
                </c:pt>
                <c:pt idx="26">
                  <c:v>5.6539023478644816</c:v>
                </c:pt>
                <c:pt idx="27">
                  <c:v>1.0570190063354505</c:v>
                </c:pt>
                <c:pt idx="28">
                  <c:v>-0.21482632118187714</c:v>
                </c:pt>
              </c:numCache>
            </c:numRef>
          </c:val>
          <c:extLst>
            <c:ext xmlns:c16="http://schemas.microsoft.com/office/drawing/2014/chart" uri="{C3380CC4-5D6E-409C-BE32-E72D297353CC}">
              <c16:uniqueId val="{00000001-8631-4779-9248-3CFDCA790AFE}"/>
            </c:ext>
          </c:extLst>
        </c:ser>
        <c:dLbls>
          <c:showLegendKey val="0"/>
          <c:showVal val="0"/>
          <c:showCatName val="0"/>
          <c:showSerName val="0"/>
          <c:showPercent val="0"/>
          <c:showBubbleSize val="0"/>
        </c:dLbls>
        <c:gapWidth val="89"/>
        <c:overlap val="-27"/>
        <c:axId val="2107983359"/>
        <c:axId val="2113678639"/>
      </c:barChart>
      <c:catAx>
        <c:axId val="2107983359"/>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Arial" panose="020B0604020202020204" pitchFamily="34" charset="0"/>
                <a:ea typeface="+mn-ea"/>
                <a:cs typeface="+mn-cs"/>
              </a:defRPr>
            </a:pPr>
            <a:endParaRPr lang="cs-CZ"/>
          </a:p>
        </c:txPr>
        <c:crossAx val="2113678639"/>
        <c:crosses val="autoZero"/>
        <c:auto val="1"/>
        <c:lblAlgn val="ctr"/>
        <c:lblOffset val="100"/>
        <c:noMultiLvlLbl val="0"/>
      </c:catAx>
      <c:valAx>
        <c:axId val="211367863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mn-cs"/>
              </a:defRPr>
            </a:pPr>
            <a:endParaRPr lang="cs-CZ"/>
          </a:p>
        </c:txPr>
        <c:crossAx val="2107983359"/>
        <c:crosses val="autoZero"/>
        <c:crossBetween val="between"/>
        <c:majorUnit val="1"/>
      </c:valAx>
      <c:spPr>
        <a:noFill/>
        <a:ln>
          <a:solidFill>
            <a:schemeClr val="tx1"/>
          </a:solidFill>
        </a:ln>
        <a:effectLst/>
      </c:spPr>
    </c:plotArea>
    <c:legend>
      <c:legendPos val="b"/>
      <c:layout>
        <c:manualLayout>
          <c:xMode val="edge"/>
          <c:yMode val="edge"/>
          <c:x val="5.6598910840932118E-2"/>
          <c:y val="0.8934223027375201"/>
          <c:w val="0.90824742485646737"/>
          <c:h val="7.5901368760064411E-2"/>
        </c:manualLayout>
      </c:layout>
      <c:overlay val="0"/>
      <c:spPr>
        <a:noFill/>
        <a:ln>
          <a:solidFill>
            <a:schemeClr val="tx1"/>
          </a:solid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baseline="0">
          <a:solidFill>
            <a:sysClr val="windowText" lastClr="000000"/>
          </a:solidFill>
          <a:latin typeface="Arial" panose="020B0604020202020204" pitchFamily="34" charset="0"/>
        </a:defRPr>
      </a:pPr>
      <a:endParaRPr lang="cs-CZ"/>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070373184734885E-2"/>
          <c:y val="2.9569886214146503E-2"/>
          <c:w val="0.90493308848362042"/>
          <c:h val="0.73556653157716956"/>
        </c:manualLayout>
      </c:layout>
      <c:barChart>
        <c:barDir val="col"/>
        <c:grouping val="clustered"/>
        <c:varyColors val="0"/>
        <c:ser>
          <c:idx val="0"/>
          <c:order val="0"/>
          <c:tx>
            <c:strRef>
              <c:f>'Ceny 1'!$C$5</c:f>
              <c:strCache>
                <c:ptCount val="1"/>
                <c:pt idx="0">
                  <c:v>Realizované ceny starších bytů, ČR</c:v>
                </c:pt>
              </c:strCache>
            </c:strRef>
          </c:tx>
          <c:spPr>
            <a:solidFill>
              <a:srgbClr val="B8BBC0"/>
            </a:solidFill>
            <a:ln w="19050">
              <a:noFill/>
            </a:ln>
          </c:spPr>
          <c:invertIfNegative val="0"/>
          <c:cat>
            <c:multiLvlStrRef>
              <c:f>'Ceny 1'!$A$18:$B$39</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'Ceny 1'!$C$18:$C$39</c:f>
              <c:numCache>
                <c:formatCode>0.0</c:formatCode>
                <c:ptCount val="22"/>
                <c:pt idx="0">
                  <c:v>15.200000000000003</c:v>
                </c:pt>
                <c:pt idx="1">
                  <c:v>17.900000000000006</c:v>
                </c:pt>
                <c:pt idx="2">
                  <c:v>21.299999999999997</c:v>
                </c:pt>
                <c:pt idx="3">
                  <c:v>25.200000000000003</c:v>
                </c:pt>
                <c:pt idx="4">
                  <c:v>27.299999999999997</c:v>
                </c:pt>
                <c:pt idx="5">
                  <c:v>27.599999999999994</c:v>
                </c:pt>
                <c:pt idx="6">
                  <c:v>23.400000000000006</c:v>
                </c:pt>
                <c:pt idx="7">
                  <c:v>13.799999999999997</c:v>
                </c:pt>
                <c:pt idx="8">
                  <c:v>3.7000000000000028</c:v>
                </c:pt>
                <c:pt idx="9">
                  <c:v>-4.0999999999999943</c:v>
                </c:pt>
                <c:pt idx="10">
                  <c:v>-7</c:v>
                </c:pt>
                <c:pt idx="11">
                  <c:v>-5.5</c:v>
                </c:pt>
                <c:pt idx="12">
                  <c:v>9.9999999999994316E-2</c:v>
                </c:pt>
                <c:pt idx="13">
                  <c:v>6.0999999999999943</c:v>
                </c:pt>
                <c:pt idx="14">
                  <c:v>10.700000000000003</c:v>
                </c:pt>
                <c:pt idx="15">
                  <c:v>14.200000000000003</c:v>
                </c:pt>
                <c:pt idx="16">
                  <c:v>15.799999999999997</c:v>
                </c:pt>
                <c:pt idx="17">
                  <c:v>16.299999999999997</c:v>
                </c:pt>
                <c:pt idx="18">
                  <c:v>15.900000000000006</c:v>
                </c:pt>
                <c:pt idx="19">
                  <c:v>16</c:v>
                </c:pt>
                <c:pt idx="20">
                  <c:v>14.5</c:v>
                </c:pt>
                <c:pt idx="21">
                  <c:v>14</c:v>
                </c:pt>
              </c:numCache>
            </c:numRef>
          </c:val>
          <c:extLst>
            <c:ext xmlns:c16="http://schemas.microsoft.com/office/drawing/2014/chart" uri="{C3380CC4-5D6E-409C-BE32-E72D297353CC}">
              <c16:uniqueId val="{00000000-19C7-400F-8974-FDB3CC5F81E4}"/>
            </c:ext>
          </c:extLst>
        </c:ser>
        <c:ser>
          <c:idx val="1"/>
          <c:order val="1"/>
          <c:tx>
            <c:strRef>
              <c:f>'Ceny 1'!$D$5</c:f>
              <c:strCache>
                <c:ptCount val="1"/>
                <c:pt idx="0">
                  <c:v>Realizované ceny starších bytů, Praha</c:v>
                </c:pt>
              </c:strCache>
            </c:strRef>
          </c:tx>
          <c:spPr>
            <a:solidFill>
              <a:srgbClr val="85898E"/>
            </a:solidFill>
            <a:ln w="19050">
              <a:noFill/>
            </a:ln>
          </c:spPr>
          <c:invertIfNegative val="0"/>
          <c:cat>
            <c:multiLvlStrRef>
              <c:f>'Ceny 1'!$A$18:$B$39</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'Ceny 1'!$D$18:$D$39</c:f>
              <c:numCache>
                <c:formatCode>0.0</c:formatCode>
                <c:ptCount val="22"/>
                <c:pt idx="0">
                  <c:v>14.299999999999997</c:v>
                </c:pt>
                <c:pt idx="1">
                  <c:v>15.799999999999997</c:v>
                </c:pt>
                <c:pt idx="2">
                  <c:v>16.599999999999994</c:v>
                </c:pt>
                <c:pt idx="3">
                  <c:v>20</c:v>
                </c:pt>
                <c:pt idx="4">
                  <c:v>19</c:v>
                </c:pt>
                <c:pt idx="5">
                  <c:v>16.700000000000003</c:v>
                </c:pt>
                <c:pt idx="6">
                  <c:v>15.599999999999994</c:v>
                </c:pt>
                <c:pt idx="7">
                  <c:v>8.4000000000000057</c:v>
                </c:pt>
                <c:pt idx="8">
                  <c:v>1.2000000000000028</c:v>
                </c:pt>
                <c:pt idx="9">
                  <c:v>-3.5999999999999943</c:v>
                </c:pt>
                <c:pt idx="10">
                  <c:v>-5.2999999999999972</c:v>
                </c:pt>
                <c:pt idx="11">
                  <c:v>-2.5999999999999943</c:v>
                </c:pt>
                <c:pt idx="12">
                  <c:v>1</c:v>
                </c:pt>
                <c:pt idx="13">
                  <c:v>8.5999999999999943</c:v>
                </c:pt>
                <c:pt idx="14">
                  <c:v>11.799999999999997</c:v>
                </c:pt>
                <c:pt idx="15">
                  <c:v>12.099999999999994</c:v>
                </c:pt>
                <c:pt idx="16">
                  <c:v>15.799999999999997</c:v>
                </c:pt>
                <c:pt idx="17">
                  <c:v>13.599999999999994</c:v>
                </c:pt>
                <c:pt idx="18">
                  <c:v>13.400000000000006</c:v>
                </c:pt>
                <c:pt idx="19">
                  <c:v>13.700000000000003</c:v>
                </c:pt>
                <c:pt idx="20">
                  <c:v>11.5</c:v>
                </c:pt>
                <c:pt idx="21">
                  <c:v>11.900000000000006</c:v>
                </c:pt>
              </c:numCache>
            </c:numRef>
          </c:val>
          <c:extLst>
            <c:ext xmlns:c16="http://schemas.microsoft.com/office/drawing/2014/chart" uri="{C3380CC4-5D6E-409C-BE32-E72D297353CC}">
              <c16:uniqueId val="{00000001-19C7-400F-8974-FDB3CC5F81E4}"/>
            </c:ext>
          </c:extLst>
        </c:ser>
        <c:dLbls>
          <c:showLegendKey val="0"/>
          <c:showVal val="0"/>
          <c:showCatName val="0"/>
          <c:showSerName val="0"/>
          <c:showPercent val="0"/>
          <c:showBubbleSize val="0"/>
        </c:dLbls>
        <c:gapWidth val="95"/>
        <c:axId val="270057856"/>
        <c:axId val="270059392"/>
      </c:barChart>
      <c:lineChart>
        <c:grouping val="standard"/>
        <c:varyColors val="0"/>
        <c:ser>
          <c:idx val="2"/>
          <c:order val="2"/>
          <c:tx>
            <c:strRef>
              <c:f>'Ceny 1'!$E$5</c:f>
              <c:strCache>
                <c:ptCount val="1"/>
                <c:pt idx="0">
                  <c:v>Nabídkové ceny bytů, ČR</c:v>
                </c:pt>
              </c:strCache>
            </c:strRef>
          </c:tx>
          <c:spPr>
            <a:ln w="19050">
              <a:solidFill>
                <a:srgbClr val="BC5B80"/>
              </a:solidFill>
            </a:ln>
          </c:spPr>
          <c:marker>
            <c:symbol val="none"/>
          </c:marker>
          <c:cat>
            <c:multiLvlStrRef>
              <c:f>'Ceny 1'!$A$18:$B$39</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'Ceny 1'!$E$18:$E$39</c:f>
              <c:numCache>
                <c:formatCode>0.0</c:formatCode>
                <c:ptCount val="22"/>
                <c:pt idx="0">
                  <c:v>7.6441102756892292</c:v>
                </c:pt>
                <c:pt idx="1">
                  <c:v>7.9531442663378584</c:v>
                </c:pt>
                <c:pt idx="2">
                  <c:v>9.3205051112447421</c:v>
                </c:pt>
                <c:pt idx="3">
                  <c:v>12.433392539964473</c:v>
                </c:pt>
                <c:pt idx="4">
                  <c:v>16.880093131548307</c:v>
                </c:pt>
                <c:pt idx="5">
                  <c:v>24.671616219303274</c:v>
                </c:pt>
                <c:pt idx="6">
                  <c:v>22.937293729372925</c:v>
                </c:pt>
                <c:pt idx="7">
                  <c:v>18.325434439178508</c:v>
                </c:pt>
                <c:pt idx="8">
                  <c:v>9.8107569721115624</c:v>
                </c:pt>
                <c:pt idx="9">
                  <c:v>-0.73293632615667548</c:v>
                </c:pt>
                <c:pt idx="10">
                  <c:v>-3.3109619686800897</c:v>
                </c:pt>
                <c:pt idx="11">
                  <c:v>-4.1833555852247315</c:v>
                </c:pt>
                <c:pt idx="12">
                  <c:v>-0.68027210884353906</c:v>
                </c:pt>
                <c:pt idx="13">
                  <c:v>3.3687125057683573</c:v>
                </c:pt>
                <c:pt idx="14">
                  <c:v>6.9412309116150084</c:v>
                </c:pt>
                <c:pt idx="15">
                  <c:v>10.682768230376212</c:v>
                </c:pt>
                <c:pt idx="16">
                  <c:v>15.662100456621019</c:v>
                </c:pt>
                <c:pt idx="17">
                  <c:v>17.008928571428569</c:v>
                </c:pt>
                <c:pt idx="18">
                  <c:v>17.654694937256593</c:v>
                </c:pt>
                <c:pt idx="19">
                  <c:v>16.869492236676436</c:v>
                </c:pt>
                <c:pt idx="20">
                  <c:v>12.949072246348209</c:v>
                </c:pt>
                <c:pt idx="21">
                  <c:v>10.72109881724532</c:v>
                </c:pt>
              </c:numCache>
            </c:numRef>
          </c:val>
          <c:smooth val="0"/>
          <c:extLst>
            <c:ext xmlns:c16="http://schemas.microsoft.com/office/drawing/2014/chart" uri="{C3380CC4-5D6E-409C-BE32-E72D297353CC}">
              <c16:uniqueId val="{00000002-19C7-400F-8974-FDB3CC5F81E4}"/>
            </c:ext>
          </c:extLst>
        </c:ser>
        <c:ser>
          <c:idx val="3"/>
          <c:order val="3"/>
          <c:tx>
            <c:strRef>
              <c:f>'Ceny 1'!$F$5</c:f>
              <c:strCache>
                <c:ptCount val="1"/>
                <c:pt idx="0">
                  <c:v>Nabídkové ceny bytů, Praha</c:v>
                </c:pt>
              </c:strCache>
            </c:strRef>
          </c:tx>
          <c:spPr>
            <a:ln w="19050">
              <a:solidFill>
                <a:srgbClr val="009CB5"/>
              </a:solidFill>
            </a:ln>
          </c:spPr>
          <c:marker>
            <c:symbol val="none"/>
          </c:marker>
          <c:cat>
            <c:multiLvlStrRef>
              <c:f>'Ceny 1'!$A$18:$B$39</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'Ceny 1'!$F$18:$F$39</c:f>
              <c:numCache>
                <c:formatCode>0.0</c:formatCode>
                <c:ptCount val="22"/>
                <c:pt idx="0">
                  <c:v>4.759269507470961</c:v>
                </c:pt>
                <c:pt idx="1">
                  <c:v>4.5256270447110012</c:v>
                </c:pt>
                <c:pt idx="2">
                  <c:v>6.2466343564889826</c:v>
                </c:pt>
                <c:pt idx="3">
                  <c:v>9.1443850267379503</c:v>
                </c:pt>
                <c:pt idx="4">
                  <c:v>12.255678816693077</c:v>
                </c:pt>
                <c:pt idx="5">
                  <c:v>19.718309859154942</c:v>
                </c:pt>
                <c:pt idx="6">
                  <c:v>18.499746578813998</c:v>
                </c:pt>
                <c:pt idx="7">
                  <c:v>16.903478686918177</c:v>
                </c:pt>
                <c:pt idx="8">
                  <c:v>10.305882352941182</c:v>
                </c:pt>
                <c:pt idx="9">
                  <c:v>0.30501089324617681</c:v>
                </c:pt>
                <c:pt idx="10">
                  <c:v>-1.5825491873396089</c:v>
                </c:pt>
                <c:pt idx="11">
                  <c:v>-3.5624476110645418</c:v>
                </c:pt>
                <c:pt idx="12">
                  <c:v>0.3412969283276226</c:v>
                </c:pt>
                <c:pt idx="13">
                  <c:v>3.9965247610773247</c:v>
                </c:pt>
                <c:pt idx="14">
                  <c:v>6.7796610169491629</c:v>
                </c:pt>
                <c:pt idx="15">
                  <c:v>10.386788352890036</c:v>
                </c:pt>
                <c:pt idx="16">
                  <c:v>16.496598639455783</c:v>
                </c:pt>
                <c:pt idx="17">
                  <c:v>16.207184628237243</c:v>
                </c:pt>
                <c:pt idx="18">
                  <c:v>16.076516076516072</c:v>
                </c:pt>
                <c:pt idx="19">
                  <c:v>14.763779527559052</c:v>
                </c:pt>
                <c:pt idx="20">
                  <c:v>8.9416058394160558</c:v>
                </c:pt>
                <c:pt idx="21">
                  <c:v>9.0222861250898632</c:v>
                </c:pt>
              </c:numCache>
            </c:numRef>
          </c:val>
          <c:smooth val="0"/>
          <c:extLst>
            <c:ext xmlns:c16="http://schemas.microsoft.com/office/drawing/2014/chart" uri="{C3380CC4-5D6E-409C-BE32-E72D297353CC}">
              <c16:uniqueId val="{00000003-19C7-400F-8974-FDB3CC5F81E4}"/>
            </c:ext>
          </c:extLst>
        </c:ser>
        <c:dLbls>
          <c:showLegendKey val="0"/>
          <c:showVal val="0"/>
          <c:showCatName val="0"/>
          <c:showSerName val="0"/>
          <c:showPercent val="0"/>
          <c:showBubbleSize val="0"/>
        </c:dLbls>
        <c:marker val="1"/>
        <c:smooth val="0"/>
        <c:axId val="270057856"/>
        <c:axId val="270059392"/>
      </c:lineChart>
      <c:catAx>
        <c:axId val="270057856"/>
        <c:scaling>
          <c:orientation val="minMax"/>
        </c:scaling>
        <c:delete val="0"/>
        <c:axPos val="b"/>
        <c:numFmt formatCode="General" sourceLinked="0"/>
        <c:majorTickMark val="out"/>
        <c:minorTickMark val="none"/>
        <c:tickLblPos val="low"/>
        <c:spPr>
          <a:ln>
            <a:solidFill>
              <a:schemeClr val="tx1"/>
            </a:solidFill>
          </a:ln>
        </c:spPr>
        <c:txPr>
          <a:bodyPr rot="0" vert="horz"/>
          <a:lstStyle/>
          <a:p>
            <a:pPr>
              <a:defRPr/>
            </a:pPr>
            <a:endParaRPr lang="cs-CZ"/>
          </a:p>
        </c:txPr>
        <c:crossAx val="270059392"/>
        <c:crosses val="autoZero"/>
        <c:auto val="1"/>
        <c:lblAlgn val="ctr"/>
        <c:lblOffset val="100"/>
        <c:noMultiLvlLbl val="0"/>
      </c:catAx>
      <c:valAx>
        <c:axId val="270059392"/>
        <c:scaling>
          <c:orientation val="minMax"/>
          <c:max val="28"/>
          <c:min val="-8"/>
        </c:scaling>
        <c:delete val="0"/>
        <c:axPos val="l"/>
        <c:majorGridlines>
          <c:spPr>
            <a:ln w="6350">
              <a:solidFill>
                <a:schemeClr val="bg1">
                  <a:lumMod val="75000"/>
                </a:schemeClr>
              </a:solidFill>
            </a:ln>
          </c:spPr>
        </c:majorGridlines>
        <c:numFmt formatCode="0" sourceLinked="0"/>
        <c:majorTickMark val="out"/>
        <c:minorTickMark val="none"/>
        <c:tickLblPos val="nextTo"/>
        <c:spPr>
          <a:ln>
            <a:solidFill>
              <a:schemeClr val="tx1"/>
            </a:solidFill>
          </a:ln>
        </c:spPr>
        <c:crossAx val="270057856"/>
        <c:crosses val="autoZero"/>
        <c:crossBetween val="between"/>
        <c:majorUnit val="4"/>
      </c:valAx>
      <c:spPr>
        <a:ln>
          <a:solidFill>
            <a:schemeClr val="tx1"/>
          </a:solidFill>
        </a:ln>
      </c:spPr>
    </c:plotArea>
    <c:legend>
      <c:legendPos val="b"/>
      <c:layout>
        <c:manualLayout>
          <c:xMode val="edge"/>
          <c:yMode val="edge"/>
          <c:x val="6.7972810369213238E-2"/>
          <c:y val="0.88817854328492629"/>
          <c:w val="0.90535475290789724"/>
          <c:h val="9.8380614657210319E-2"/>
        </c:manualLayout>
      </c:layout>
      <c:overlay val="0"/>
      <c:spPr>
        <a:ln w="6350">
          <a:solidFill>
            <a:schemeClr val="tx1"/>
          </a:solidFill>
        </a:ln>
      </c:spPr>
    </c:legend>
    <c:plotVisOnly val="1"/>
    <c:dispBlanksAs val="gap"/>
    <c:showDLblsOverMax val="0"/>
  </c:chart>
  <c:spPr>
    <a:ln>
      <a:noFill/>
    </a:ln>
  </c:spPr>
  <c:txPr>
    <a:bodyPr/>
    <a:lstStyle/>
    <a:p>
      <a:pPr>
        <a:defRPr sz="800" baseline="0">
          <a:latin typeface="Arial" pitchFamily="34" charset="0"/>
        </a:defRPr>
      </a:pPr>
      <a:endParaRPr lang="cs-CZ"/>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3488731014312048E-2"/>
          <c:y val="1.4522051060224651E-2"/>
          <c:w val="0.84495121574960907"/>
          <c:h val="0.67903185372898445"/>
        </c:manualLayout>
      </c:layout>
      <c:barChart>
        <c:barDir val="col"/>
        <c:grouping val="stacked"/>
        <c:varyColors val="0"/>
        <c:ser>
          <c:idx val="0"/>
          <c:order val="0"/>
          <c:tx>
            <c:strRef>
              <c:f>'Trh práce 1-SNÚ'!$AC$7</c:f>
              <c:strCache>
                <c:ptCount val="1"/>
                <c:pt idx="0">
                  <c:v>Zemědělství, lesnictví a rybářství</c:v>
                </c:pt>
              </c:strCache>
            </c:strRef>
          </c:tx>
          <c:spPr>
            <a:solidFill>
              <a:srgbClr val="85BF5E"/>
            </a:solidFill>
            <a:ln>
              <a:noFill/>
            </a:ln>
          </c:spPr>
          <c:invertIfNegative val="0"/>
          <c:cat>
            <c:multiLvlStrRef>
              <c:f>'Trh práce 1-SNÚ'!$AA$52:$AB$74</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'Trh práce 1-SNÚ'!$AC$52:$AC$74</c:f>
              <c:numCache>
                <c:formatCode>#\ ##0.0</c:formatCode>
                <c:ptCount val="23"/>
                <c:pt idx="0">
                  <c:v>2.8002776784144496E-2</c:v>
                </c:pt>
                <c:pt idx="1">
                  <c:v>-4.1461393064381027E-2</c:v>
                </c:pt>
                <c:pt idx="2">
                  <c:v>-5.8397268273598195E-2</c:v>
                </c:pt>
                <c:pt idx="3">
                  <c:v>-1.1262996336935964E-2</c:v>
                </c:pt>
                <c:pt idx="4">
                  <c:v>0.10513424306014746</c:v>
                </c:pt>
                <c:pt idx="5">
                  <c:v>0.19711462834772112</c:v>
                </c:pt>
                <c:pt idx="6">
                  <c:v>0.16489789174754407</c:v>
                </c:pt>
                <c:pt idx="7">
                  <c:v>7.3111933711846711E-2</c:v>
                </c:pt>
                <c:pt idx="8">
                  <c:v>1.2313656789678582E-2</c:v>
                </c:pt>
                <c:pt idx="9">
                  <c:v>-1.3215311541128334E-2</c:v>
                </c:pt>
                <c:pt idx="10">
                  <c:v>-1.7186709567985316E-2</c:v>
                </c:pt>
                <c:pt idx="11">
                  <c:v>1.4564431082512574E-2</c:v>
                </c:pt>
                <c:pt idx="12">
                  <c:v>-5.0240416422815938E-2</c:v>
                </c:pt>
                <c:pt idx="13">
                  <c:v>-5.5135905948623894E-2</c:v>
                </c:pt>
                <c:pt idx="14">
                  <c:v>-0.11813549510593412</c:v>
                </c:pt>
                <c:pt idx="15">
                  <c:v>-7.982011684016925E-2</c:v>
                </c:pt>
                <c:pt idx="16">
                  <c:v>-4.1146206802937665E-2</c:v>
                </c:pt>
                <c:pt idx="17">
                  <c:v>-6.1876591960553916E-2</c:v>
                </c:pt>
                <c:pt idx="18">
                  <c:v>-3.7960551072880384E-2</c:v>
                </c:pt>
                <c:pt idx="19">
                  <c:v>-5.1245833190882301E-2</c:v>
                </c:pt>
                <c:pt idx="20">
                  <c:v>-6.4630605421872975E-2</c:v>
                </c:pt>
                <c:pt idx="21">
                  <c:v>-4.1579303004729833E-2</c:v>
                </c:pt>
              </c:numCache>
            </c:numRef>
          </c:val>
          <c:extLst>
            <c:ext xmlns:c16="http://schemas.microsoft.com/office/drawing/2014/chart" uri="{C3380CC4-5D6E-409C-BE32-E72D297353CC}">
              <c16:uniqueId val="{00000000-15AF-44EA-88C4-71DB3FFFDC07}"/>
            </c:ext>
          </c:extLst>
        </c:ser>
        <c:ser>
          <c:idx val="1"/>
          <c:order val="1"/>
          <c:tx>
            <c:strRef>
              <c:f>'Trh práce 1-SNÚ'!$AD$7</c:f>
              <c:strCache>
                <c:ptCount val="1"/>
                <c:pt idx="0">
                  <c:v>Zpracovatelský průmysl</c:v>
                </c:pt>
              </c:strCache>
            </c:strRef>
          </c:tx>
          <c:spPr>
            <a:solidFill>
              <a:srgbClr val="9FC9D7"/>
            </a:solidFill>
            <a:ln>
              <a:noFill/>
            </a:ln>
          </c:spPr>
          <c:invertIfNegative val="0"/>
          <c:cat>
            <c:multiLvlStrRef>
              <c:f>'Trh práce 1-SNÚ'!$AA$52:$AB$74</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'Trh práce 1-SNÚ'!$AD$52:$AD$74</c:f>
              <c:numCache>
                <c:formatCode>#\ ##0.0</c:formatCode>
                <c:ptCount val="23"/>
                <c:pt idx="0">
                  <c:v>-0.34634016212054219</c:v>
                </c:pt>
                <c:pt idx="1">
                  <c:v>3.1509121698602822E-3</c:v>
                </c:pt>
                <c:pt idx="2">
                  <c:v>0.30654250774554798</c:v>
                </c:pt>
                <c:pt idx="3">
                  <c:v>0.30045529751291367</c:v>
                </c:pt>
                <c:pt idx="4">
                  <c:v>-2.8033255450465585E-2</c:v>
                </c:pt>
                <c:pt idx="5">
                  <c:v>0.16787935055456787</c:v>
                </c:pt>
                <c:pt idx="6">
                  <c:v>-2.7366675160206622E-2</c:v>
                </c:pt>
                <c:pt idx="7">
                  <c:v>-8.9710318662644353E-2</c:v>
                </c:pt>
                <c:pt idx="8">
                  <c:v>-8.0114313039595944E-2</c:v>
                </c:pt>
                <c:pt idx="9">
                  <c:v>-0.32149760034310931</c:v>
                </c:pt>
                <c:pt idx="10">
                  <c:v>-0.49529142132592296</c:v>
                </c:pt>
                <c:pt idx="11">
                  <c:v>-0.43398270156379137</c:v>
                </c:pt>
                <c:pt idx="12">
                  <c:v>-0.11074759444586799</c:v>
                </c:pt>
                <c:pt idx="13">
                  <c:v>-0.11440515959888493</c:v>
                </c:pt>
                <c:pt idx="14">
                  <c:v>0.10203616834547823</c:v>
                </c:pt>
                <c:pt idx="15">
                  <c:v>0.14494185309603444</c:v>
                </c:pt>
                <c:pt idx="16">
                  <c:v>-0.25163552022379271</c:v>
                </c:pt>
                <c:pt idx="17">
                  <c:v>-0.22841522017448104</c:v>
                </c:pt>
                <c:pt idx="18">
                  <c:v>-0.21655102011652805</c:v>
                </c:pt>
                <c:pt idx="19">
                  <c:v>-8.3496154185786473E-2</c:v>
                </c:pt>
                <c:pt idx="20">
                  <c:v>-0.19880599916167793</c:v>
                </c:pt>
                <c:pt idx="21">
                  <c:v>-4.4642468744834171E-2</c:v>
                </c:pt>
              </c:numCache>
            </c:numRef>
          </c:val>
          <c:extLst>
            <c:ext xmlns:c16="http://schemas.microsoft.com/office/drawing/2014/chart" uri="{C3380CC4-5D6E-409C-BE32-E72D297353CC}">
              <c16:uniqueId val="{00000001-15AF-44EA-88C4-71DB3FFFDC07}"/>
            </c:ext>
          </c:extLst>
        </c:ser>
        <c:ser>
          <c:idx val="2"/>
          <c:order val="2"/>
          <c:tx>
            <c:strRef>
              <c:f>'Trh práce 1-SNÚ'!$AE$7</c:f>
              <c:strCache>
                <c:ptCount val="1"/>
                <c:pt idx="0">
                  <c:v>Stavebnictví</c:v>
                </c:pt>
              </c:strCache>
            </c:strRef>
          </c:tx>
          <c:spPr>
            <a:solidFill>
              <a:srgbClr val="009CB5"/>
            </a:solidFill>
            <a:ln w="19050">
              <a:noFill/>
            </a:ln>
          </c:spPr>
          <c:invertIfNegative val="0"/>
          <c:cat>
            <c:multiLvlStrRef>
              <c:f>'Trh práce 1-SNÚ'!$AA$52:$AB$74</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'Trh práce 1-SNÚ'!$AE$52:$AE$74</c:f>
              <c:numCache>
                <c:formatCode>#\ ##0.0</c:formatCode>
                <c:ptCount val="23"/>
                <c:pt idx="0">
                  <c:v>0.10155269523884607</c:v>
                </c:pt>
                <c:pt idx="1">
                  <c:v>0.31580209351215521</c:v>
                </c:pt>
                <c:pt idx="2">
                  <c:v>0.17095344807581425</c:v>
                </c:pt>
                <c:pt idx="3">
                  <c:v>0.23464255912161827</c:v>
                </c:pt>
                <c:pt idx="4">
                  <c:v>0.12338446446565465</c:v>
                </c:pt>
                <c:pt idx="5">
                  <c:v>0.14952408505658937</c:v>
                </c:pt>
                <c:pt idx="6">
                  <c:v>0.1411524444514034</c:v>
                </c:pt>
                <c:pt idx="7">
                  <c:v>0.12302000274757839</c:v>
                </c:pt>
                <c:pt idx="8">
                  <c:v>0.42812620516138616</c:v>
                </c:pt>
                <c:pt idx="9">
                  <c:v>0.39068584842581094</c:v>
                </c:pt>
                <c:pt idx="10">
                  <c:v>0.35022362359049081</c:v>
                </c:pt>
                <c:pt idx="11">
                  <c:v>0.24262848395662612</c:v>
                </c:pt>
                <c:pt idx="12">
                  <c:v>-0.36604526196365195</c:v>
                </c:pt>
                <c:pt idx="13">
                  <c:v>-0.30361653161936331</c:v>
                </c:pt>
                <c:pt idx="14">
                  <c:v>-0.23920316999985505</c:v>
                </c:pt>
                <c:pt idx="15">
                  <c:v>-0.18018853294525411</c:v>
                </c:pt>
                <c:pt idx="16">
                  <c:v>0.26710914976555189</c:v>
                </c:pt>
                <c:pt idx="17">
                  <c:v>0.20281364270651028</c:v>
                </c:pt>
                <c:pt idx="18">
                  <c:v>0.32957159905890215</c:v>
                </c:pt>
                <c:pt idx="19">
                  <c:v>0.37107979888524373</c:v>
                </c:pt>
                <c:pt idx="20">
                  <c:v>0.18362663421607334</c:v>
                </c:pt>
                <c:pt idx="21">
                  <c:v>0.17804424298843119</c:v>
                </c:pt>
              </c:numCache>
            </c:numRef>
          </c:val>
          <c:extLst>
            <c:ext xmlns:c16="http://schemas.microsoft.com/office/drawing/2014/chart" uri="{C3380CC4-5D6E-409C-BE32-E72D297353CC}">
              <c16:uniqueId val="{00000002-15AF-44EA-88C4-71DB3FFFDC07}"/>
            </c:ext>
          </c:extLst>
        </c:ser>
        <c:ser>
          <c:idx val="3"/>
          <c:order val="3"/>
          <c:tx>
            <c:strRef>
              <c:f>'Trh práce 1-SNÚ'!$AF$7</c:f>
              <c:strCache>
                <c:ptCount val="1"/>
                <c:pt idx="0">
                  <c:v>Obchod, doprava, ubytování a pohost.</c:v>
                </c:pt>
              </c:strCache>
            </c:strRef>
          </c:tx>
          <c:spPr>
            <a:solidFill>
              <a:srgbClr val="E6C483"/>
            </a:solidFill>
            <a:ln w="19050">
              <a:noFill/>
            </a:ln>
          </c:spPr>
          <c:invertIfNegative val="0"/>
          <c:cat>
            <c:multiLvlStrRef>
              <c:f>'Trh práce 1-SNÚ'!$AA$52:$AB$74</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'Trh práce 1-SNÚ'!$AF$52:$AF$74</c:f>
              <c:numCache>
                <c:formatCode>#\ ##0.0</c:formatCode>
                <c:ptCount val="23"/>
                <c:pt idx="0">
                  <c:v>-0.82949226683804478</c:v>
                </c:pt>
                <c:pt idx="1">
                  <c:v>-0.3128433101331401</c:v>
                </c:pt>
                <c:pt idx="2">
                  <c:v>0.15177536325689855</c:v>
                </c:pt>
                <c:pt idx="3">
                  <c:v>0.63713638222196889</c:v>
                </c:pt>
                <c:pt idx="4">
                  <c:v>9.8879203748751046E-2</c:v>
                </c:pt>
                <c:pt idx="5">
                  <c:v>0.36067621178514792</c:v>
                </c:pt>
                <c:pt idx="6">
                  <c:v>-4.4718392008855891E-2</c:v>
                </c:pt>
                <c:pt idx="7">
                  <c:v>-0.17298452887497942</c:v>
                </c:pt>
                <c:pt idx="8">
                  <c:v>0.21484687061255145</c:v>
                </c:pt>
                <c:pt idx="9">
                  <c:v>0.18741373728822849</c:v>
                </c:pt>
                <c:pt idx="10">
                  <c:v>0.31792607470701895</c:v>
                </c:pt>
                <c:pt idx="11">
                  <c:v>0.43316111827195725</c:v>
                </c:pt>
                <c:pt idx="12">
                  <c:v>0.45436906302272279</c:v>
                </c:pt>
                <c:pt idx="13">
                  <c:v>0.49945233142951906</c:v>
                </c:pt>
                <c:pt idx="14">
                  <c:v>0.32676285322854309</c:v>
                </c:pt>
                <c:pt idx="15">
                  <c:v>0.17535039265279861</c:v>
                </c:pt>
                <c:pt idx="16">
                  <c:v>0.29746623465915806</c:v>
                </c:pt>
                <c:pt idx="17">
                  <c:v>0.27127402142279594</c:v>
                </c:pt>
                <c:pt idx="18">
                  <c:v>0.32773952613067431</c:v>
                </c:pt>
                <c:pt idx="19">
                  <c:v>0.21167472589512498</c:v>
                </c:pt>
                <c:pt idx="20">
                  <c:v>0.14263870872746226</c:v>
                </c:pt>
                <c:pt idx="21">
                  <c:v>0.20932840906783995</c:v>
                </c:pt>
              </c:numCache>
            </c:numRef>
          </c:val>
          <c:extLst>
            <c:ext xmlns:c16="http://schemas.microsoft.com/office/drawing/2014/chart" uri="{C3380CC4-5D6E-409C-BE32-E72D297353CC}">
              <c16:uniqueId val="{00000003-15AF-44EA-88C4-71DB3FFFDC07}"/>
            </c:ext>
          </c:extLst>
        </c:ser>
        <c:ser>
          <c:idx val="4"/>
          <c:order val="4"/>
          <c:tx>
            <c:strRef>
              <c:f>'Trh práce 1-SNÚ'!$AG$7</c:f>
              <c:strCache>
                <c:ptCount val="1"/>
                <c:pt idx="0">
                  <c:v>Informační a komunikač. čin.</c:v>
                </c:pt>
              </c:strCache>
            </c:strRef>
          </c:tx>
          <c:spPr>
            <a:solidFill>
              <a:srgbClr val="CC9610"/>
            </a:solidFill>
            <a:ln w="19050">
              <a:noFill/>
            </a:ln>
          </c:spPr>
          <c:invertIfNegative val="0"/>
          <c:cat>
            <c:multiLvlStrRef>
              <c:f>'Trh práce 1-SNÚ'!$AA$52:$AB$74</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'Trh práce 1-SNÚ'!$AG$52:$AG$74</c:f>
              <c:numCache>
                <c:formatCode>#\ ##0.0</c:formatCode>
                <c:ptCount val="23"/>
                <c:pt idx="0">
                  <c:v>3.1735217262139397E-2</c:v>
                </c:pt>
                <c:pt idx="1">
                  <c:v>8.4094771752917394E-2</c:v>
                </c:pt>
                <c:pt idx="2">
                  <c:v>6.1350693335711207E-2</c:v>
                </c:pt>
                <c:pt idx="3">
                  <c:v>-2.3830735009326184E-2</c:v>
                </c:pt>
                <c:pt idx="4">
                  <c:v>0.18057611963296502</c:v>
                </c:pt>
                <c:pt idx="5">
                  <c:v>0.17130313064745503</c:v>
                </c:pt>
                <c:pt idx="6">
                  <c:v>0.18147632556272095</c:v>
                </c:pt>
                <c:pt idx="7">
                  <c:v>0.27067411649356277</c:v>
                </c:pt>
                <c:pt idx="8">
                  <c:v>0.27739722534785127</c:v>
                </c:pt>
                <c:pt idx="9">
                  <c:v>0.19288731313221355</c:v>
                </c:pt>
                <c:pt idx="10">
                  <c:v>0.15595209041069594</c:v>
                </c:pt>
                <c:pt idx="11">
                  <c:v>0.13802599302811916</c:v>
                </c:pt>
                <c:pt idx="12">
                  <c:v>0.10733769528622278</c:v>
                </c:pt>
                <c:pt idx="13">
                  <c:v>9.2354487708454669E-2</c:v>
                </c:pt>
                <c:pt idx="14">
                  <c:v>5.416233985734132E-2</c:v>
                </c:pt>
                <c:pt idx="15">
                  <c:v>-8.2763472151168777E-2</c:v>
                </c:pt>
                <c:pt idx="16">
                  <c:v>0.10781744731957579</c:v>
                </c:pt>
                <c:pt idx="17">
                  <c:v>7.348533016773548E-2</c:v>
                </c:pt>
                <c:pt idx="18">
                  <c:v>0.14949715094338994</c:v>
                </c:pt>
                <c:pt idx="19">
                  <c:v>0.13386442762170539</c:v>
                </c:pt>
                <c:pt idx="20">
                  <c:v>3.8403429298831865E-2</c:v>
                </c:pt>
                <c:pt idx="21">
                  <c:v>5.6097621098360438E-2</c:v>
                </c:pt>
              </c:numCache>
            </c:numRef>
          </c:val>
          <c:extLst>
            <c:ext xmlns:c16="http://schemas.microsoft.com/office/drawing/2014/chart" uri="{C3380CC4-5D6E-409C-BE32-E72D297353CC}">
              <c16:uniqueId val="{00000004-15AF-44EA-88C4-71DB3FFFDC07}"/>
            </c:ext>
          </c:extLst>
        </c:ser>
        <c:ser>
          <c:idx val="5"/>
          <c:order val="5"/>
          <c:tx>
            <c:strRef>
              <c:f>'Trh práce 1-SNÚ'!$AH$7</c:f>
              <c:strCache>
                <c:ptCount val="1"/>
                <c:pt idx="0">
                  <c:v>Profesní, vědec., techn. a admin. čin.</c:v>
                </c:pt>
              </c:strCache>
            </c:strRef>
          </c:tx>
          <c:spPr>
            <a:solidFill>
              <a:srgbClr val="D8A7B7"/>
            </a:solidFill>
            <a:ln w="19050">
              <a:noFill/>
            </a:ln>
          </c:spPr>
          <c:invertIfNegative val="0"/>
          <c:cat>
            <c:multiLvlStrRef>
              <c:f>'Trh práce 1-SNÚ'!$AA$52:$AB$74</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'Trh práce 1-SNÚ'!$AH$52:$AH$74</c:f>
              <c:numCache>
                <c:formatCode>#\ ##0.0</c:formatCode>
                <c:ptCount val="23"/>
                <c:pt idx="0">
                  <c:v>-0.13232164618434719</c:v>
                </c:pt>
                <c:pt idx="1">
                  <c:v>0.15130142279054706</c:v>
                </c:pt>
                <c:pt idx="2">
                  <c:v>0.30216990440683522</c:v>
                </c:pt>
                <c:pt idx="3">
                  <c:v>0.12765368761436965</c:v>
                </c:pt>
                <c:pt idx="4">
                  <c:v>0.15014001371531671</c:v>
                </c:pt>
                <c:pt idx="5">
                  <c:v>0.10353130580880499</c:v>
                </c:pt>
                <c:pt idx="6">
                  <c:v>0.16495447343292013</c:v>
                </c:pt>
                <c:pt idx="7">
                  <c:v>0.24152343816160637</c:v>
                </c:pt>
                <c:pt idx="8">
                  <c:v>0.45743724095522231</c:v>
                </c:pt>
                <c:pt idx="9">
                  <c:v>0.46710971389131484</c:v>
                </c:pt>
                <c:pt idx="10">
                  <c:v>0.51683558827077503</c:v>
                </c:pt>
                <c:pt idx="11">
                  <c:v>0.51050198178960737</c:v>
                </c:pt>
                <c:pt idx="12">
                  <c:v>9.3623970405040988E-2</c:v>
                </c:pt>
                <c:pt idx="13">
                  <c:v>5.9195443869874652E-2</c:v>
                </c:pt>
                <c:pt idx="14">
                  <c:v>1.9234361753900916E-2</c:v>
                </c:pt>
                <c:pt idx="15">
                  <c:v>-2.9562324904851802E-2</c:v>
                </c:pt>
                <c:pt idx="16">
                  <c:v>0.29803796590563547</c:v>
                </c:pt>
                <c:pt idx="17">
                  <c:v>0.26232447285233051</c:v>
                </c:pt>
                <c:pt idx="18">
                  <c:v>0.26024595945476153</c:v>
                </c:pt>
                <c:pt idx="19">
                  <c:v>0.31370932990451283</c:v>
                </c:pt>
                <c:pt idx="20">
                  <c:v>0.15605260796596418</c:v>
                </c:pt>
                <c:pt idx="21">
                  <c:v>0.26705730186211396</c:v>
                </c:pt>
              </c:numCache>
            </c:numRef>
          </c:val>
          <c:extLst>
            <c:ext xmlns:c16="http://schemas.microsoft.com/office/drawing/2014/chart" uri="{C3380CC4-5D6E-409C-BE32-E72D297353CC}">
              <c16:uniqueId val="{00000005-15AF-44EA-88C4-71DB3FFFDC07}"/>
            </c:ext>
          </c:extLst>
        </c:ser>
        <c:ser>
          <c:idx val="6"/>
          <c:order val="6"/>
          <c:tx>
            <c:strRef>
              <c:f>'Trh práce 1-SNÚ'!$AI$7</c:f>
              <c:strCache>
                <c:ptCount val="1"/>
                <c:pt idx="0">
                  <c:v>Veř.spr.,obrana, vzděl.,zdrav.a soc.péče</c:v>
                </c:pt>
              </c:strCache>
            </c:strRef>
          </c:tx>
          <c:spPr>
            <a:solidFill>
              <a:srgbClr val="BC5B80"/>
            </a:solidFill>
            <a:ln>
              <a:noFill/>
            </a:ln>
          </c:spPr>
          <c:invertIfNegative val="0"/>
          <c:cat>
            <c:multiLvlStrRef>
              <c:f>'Trh práce 1-SNÚ'!$AA$52:$AB$74</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'Trh práce 1-SNÚ'!$AI$52:$AI$74</c:f>
              <c:numCache>
                <c:formatCode>#\ ##0.0</c:formatCode>
                <c:ptCount val="23"/>
                <c:pt idx="0">
                  <c:v>0.48671402761020832</c:v>
                </c:pt>
                <c:pt idx="1">
                  <c:v>0.61617624511944569</c:v>
                </c:pt>
                <c:pt idx="2">
                  <c:v>0.59097268369488631</c:v>
                </c:pt>
                <c:pt idx="3">
                  <c:v>0.46765419032391881</c:v>
                </c:pt>
                <c:pt idx="4">
                  <c:v>0.2585734086073897</c:v>
                </c:pt>
                <c:pt idx="5">
                  <c:v>0.20930708967850267</c:v>
                </c:pt>
                <c:pt idx="6">
                  <c:v>0.20882414016113554</c:v>
                </c:pt>
                <c:pt idx="7">
                  <c:v>0.25738788092070208</c:v>
                </c:pt>
                <c:pt idx="8">
                  <c:v>0.31677448670748293</c:v>
                </c:pt>
                <c:pt idx="9">
                  <c:v>0.29049316730902952</c:v>
                </c:pt>
                <c:pt idx="10">
                  <c:v>0.13152788725967438</c:v>
                </c:pt>
                <c:pt idx="11">
                  <c:v>0.10734732601713433</c:v>
                </c:pt>
                <c:pt idx="12">
                  <c:v>0.13836036481473399</c:v>
                </c:pt>
                <c:pt idx="13">
                  <c:v>0.12962842680357525</c:v>
                </c:pt>
                <c:pt idx="14">
                  <c:v>0.21454704184552567</c:v>
                </c:pt>
                <c:pt idx="15">
                  <c:v>0.34479567871290434</c:v>
                </c:pt>
                <c:pt idx="16">
                  <c:v>0.27349040819397702</c:v>
                </c:pt>
                <c:pt idx="17">
                  <c:v>0.36359374991403143</c:v>
                </c:pt>
                <c:pt idx="18">
                  <c:v>0.33842051130224254</c:v>
                </c:pt>
                <c:pt idx="19">
                  <c:v>0.2398846155182186</c:v>
                </c:pt>
                <c:pt idx="20">
                  <c:v>0.47003249366935212</c:v>
                </c:pt>
                <c:pt idx="21">
                  <c:v>0.44584467973423908</c:v>
                </c:pt>
              </c:numCache>
            </c:numRef>
          </c:val>
          <c:extLst>
            <c:ext xmlns:c16="http://schemas.microsoft.com/office/drawing/2014/chart" uri="{C3380CC4-5D6E-409C-BE32-E72D297353CC}">
              <c16:uniqueId val="{00000006-15AF-44EA-88C4-71DB3FFFDC07}"/>
            </c:ext>
          </c:extLst>
        </c:ser>
        <c:ser>
          <c:idx val="7"/>
          <c:order val="7"/>
          <c:tx>
            <c:strRef>
              <c:f>'Trh práce 1-SNÚ'!$AJ$7</c:f>
              <c:strCache>
                <c:ptCount val="1"/>
                <c:pt idx="0">
                  <c:v>Ostatní odvětví*</c:v>
                </c:pt>
              </c:strCache>
            </c:strRef>
          </c:tx>
          <c:spPr>
            <a:solidFill>
              <a:srgbClr val="BBBBC0"/>
            </a:solidFill>
            <a:ln>
              <a:noFill/>
            </a:ln>
          </c:spPr>
          <c:invertIfNegative val="0"/>
          <c:cat>
            <c:multiLvlStrRef>
              <c:f>'Trh práce 1-SNÚ'!$AA$52:$AB$74</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'Trh práce 1-SNÚ'!$AJ$52:$AJ$74</c:f>
              <c:numCache>
                <c:formatCode>#\ ##0.0</c:formatCode>
                <c:ptCount val="23"/>
                <c:pt idx="0">
                  <c:v>1.0742607873213753E-2</c:v>
                </c:pt>
                <c:pt idx="1">
                  <c:v>0.19255147418499846</c:v>
                </c:pt>
                <c:pt idx="2">
                  <c:v>0.15816166550159752</c:v>
                </c:pt>
                <c:pt idx="3">
                  <c:v>0.22491455376756969</c:v>
                </c:pt>
                <c:pt idx="4">
                  <c:v>8.7017513347261544E-2</c:v>
                </c:pt>
                <c:pt idx="5">
                  <c:v>0.11239509204927955</c:v>
                </c:pt>
                <c:pt idx="6">
                  <c:v>6.112708076790465E-2</c:v>
                </c:pt>
                <c:pt idx="7">
                  <c:v>8.2540268020633134E-2</c:v>
                </c:pt>
                <c:pt idx="8">
                  <c:v>0.28296858846588063</c:v>
                </c:pt>
                <c:pt idx="9">
                  <c:v>0.39224169361434097</c:v>
                </c:pt>
                <c:pt idx="10">
                  <c:v>0.45070696473171507</c:v>
                </c:pt>
                <c:pt idx="11">
                  <c:v>0.49013045062163141</c:v>
                </c:pt>
                <c:pt idx="12">
                  <c:v>0.21654712869812037</c:v>
                </c:pt>
                <c:pt idx="13">
                  <c:v>0.309816553171819</c:v>
                </c:pt>
                <c:pt idx="14">
                  <c:v>0.29915610390391251</c:v>
                </c:pt>
                <c:pt idx="15">
                  <c:v>0.32792657358673816</c:v>
                </c:pt>
                <c:pt idx="16">
                  <c:v>0.3799430776993809</c:v>
                </c:pt>
                <c:pt idx="17">
                  <c:v>0.29746245453473164</c:v>
                </c:pt>
                <c:pt idx="18">
                  <c:v>0.22120448535422674</c:v>
                </c:pt>
                <c:pt idx="19">
                  <c:v>0.28517035537330798</c:v>
                </c:pt>
                <c:pt idx="20">
                  <c:v>0.31352486876856761</c:v>
                </c:pt>
                <c:pt idx="21">
                  <c:v>0.43522328846973524</c:v>
                </c:pt>
              </c:numCache>
            </c:numRef>
          </c:val>
          <c:extLst>
            <c:ext xmlns:c16="http://schemas.microsoft.com/office/drawing/2014/chart" uri="{C3380CC4-5D6E-409C-BE32-E72D297353CC}">
              <c16:uniqueId val="{00000007-15AF-44EA-88C4-71DB3FFFDC07}"/>
            </c:ext>
          </c:extLst>
        </c:ser>
        <c:dLbls>
          <c:showLegendKey val="0"/>
          <c:showVal val="0"/>
          <c:showCatName val="0"/>
          <c:showSerName val="0"/>
          <c:showPercent val="0"/>
          <c:showBubbleSize val="0"/>
        </c:dLbls>
        <c:gapWidth val="47"/>
        <c:overlap val="100"/>
        <c:axId val="101898496"/>
        <c:axId val="101781504"/>
      </c:barChart>
      <c:lineChart>
        <c:grouping val="standard"/>
        <c:varyColors val="0"/>
        <c:ser>
          <c:idx val="8"/>
          <c:order val="8"/>
          <c:tx>
            <c:strRef>
              <c:f>'Trh práce 1-SNÚ'!$AK$7</c:f>
              <c:strCache>
                <c:ptCount val="1"/>
                <c:pt idx="0">
                  <c:v>Zaměstnanost celkem</c:v>
                </c:pt>
              </c:strCache>
            </c:strRef>
          </c:tx>
          <c:spPr>
            <a:ln w="19050">
              <a:solidFill>
                <a:schemeClr val="tx1">
                  <a:lumMod val="95000"/>
                  <a:lumOff val="5000"/>
                </a:schemeClr>
              </a:solidFill>
            </a:ln>
          </c:spPr>
          <c:marker>
            <c:symbol val="none"/>
          </c:marker>
          <c:cat>
            <c:multiLvlStrRef>
              <c:f>'Trh práce 1-SNÚ'!$AA$52:$AB$74</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'Trh práce 1-SNÚ'!$AK$52:$AK$74</c:f>
              <c:numCache>
                <c:formatCode>#\ ##0.0</c:formatCode>
                <c:ptCount val="23"/>
                <c:pt idx="0">
                  <c:v>-0.64940675037438211</c:v>
                </c:pt>
                <c:pt idx="1">
                  <c:v>1.0087722163324031</c:v>
                </c:pt>
                <c:pt idx="2">
                  <c:v>1.6835289977436929</c:v>
                </c:pt>
                <c:pt idx="3">
                  <c:v>1.9573629392160967</c:v>
                </c:pt>
                <c:pt idx="4">
                  <c:v>0.97567171112702056</c:v>
                </c:pt>
                <c:pt idx="5">
                  <c:v>1.4717308939280684</c:v>
                </c:pt>
                <c:pt idx="6">
                  <c:v>0.85034728895456624</c:v>
                </c:pt>
                <c:pt idx="7">
                  <c:v>0.78556279251830574</c:v>
                </c:pt>
                <c:pt idx="8">
                  <c:v>1.9097499610004576</c:v>
                </c:pt>
                <c:pt idx="9">
                  <c:v>1.5861185617767006</c:v>
                </c:pt>
                <c:pt idx="10">
                  <c:v>1.410694098076462</c:v>
                </c:pt>
                <c:pt idx="11">
                  <c:v>1.5023770832037968</c:v>
                </c:pt>
                <c:pt idx="12">
                  <c:v>0.48320494939450498</c:v>
                </c:pt>
                <c:pt idx="13">
                  <c:v>0.61728964581637058</c:v>
                </c:pt>
                <c:pt idx="14">
                  <c:v>0.65856020382891245</c:v>
                </c:pt>
                <c:pt idx="15">
                  <c:v>0.62068005120703162</c:v>
                </c:pt>
                <c:pt idx="16">
                  <c:v>1.3310825565165487</c:v>
                </c:pt>
                <c:pt idx="17">
                  <c:v>1.1806618594631004</c:v>
                </c:pt>
                <c:pt idx="18">
                  <c:v>1.3721676610547888</c:v>
                </c:pt>
                <c:pt idx="19">
                  <c:v>1.4206412658214447</c:v>
                </c:pt>
                <c:pt idx="20">
                  <c:v>1.0408421380627004</c:v>
                </c:pt>
                <c:pt idx="21">
                  <c:v>1.5053737714711559</c:v>
                </c:pt>
              </c:numCache>
            </c:numRef>
          </c:val>
          <c:smooth val="0"/>
          <c:extLst>
            <c:ext xmlns:c16="http://schemas.microsoft.com/office/drawing/2014/chart" uri="{C3380CC4-5D6E-409C-BE32-E72D297353CC}">
              <c16:uniqueId val="{00000008-15AF-44EA-88C4-71DB3FFFDC07}"/>
            </c:ext>
          </c:extLst>
        </c:ser>
        <c:dLbls>
          <c:showLegendKey val="0"/>
          <c:showVal val="0"/>
          <c:showCatName val="0"/>
          <c:showSerName val="0"/>
          <c:showPercent val="0"/>
          <c:showBubbleSize val="0"/>
        </c:dLbls>
        <c:marker val="1"/>
        <c:smooth val="0"/>
        <c:axId val="101898496"/>
        <c:axId val="101781504"/>
      </c:lineChart>
      <c:lineChart>
        <c:grouping val="standard"/>
        <c:varyColors val="0"/>
        <c:ser>
          <c:idx val="9"/>
          <c:order val="9"/>
          <c:tx>
            <c:strRef>
              <c:f>'Trh práce 1-SNÚ'!$AL$7</c:f>
              <c:strCache>
                <c:ptCount val="1"/>
              </c:strCache>
            </c:strRef>
          </c:tx>
          <c:spPr>
            <a:ln>
              <a:noFill/>
            </a:ln>
          </c:spPr>
          <c:marker>
            <c:symbol val="none"/>
          </c:marker>
          <c:cat>
            <c:multiLvlStrRef>
              <c:f>'Trh práce 1-SNÚ'!$AA$52:$AB$74</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'Trh práce 1-SNÚ'!$AL$52:$AL$74</c:f>
              <c:numCache>
                <c:formatCode>General</c:formatCode>
                <c:ptCount val="23"/>
              </c:numCache>
            </c:numRef>
          </c:val>
          <c:smooth val="0"/>
          <c:extLst>
            <c:ext xmlns:c16="http://schemas.microsoft.com/office/drawing/2014/chart" uri="{C3380CC4-5D6E-409C-BE32-E72D297353CC}">
              <c16:uniqueId val="{00000009-15AF-44EA-88C4-71DB3FFFDC07}"/>
            </c:ext>
          </c:extLst>
        </c:ser>
        <c:ser>
          <c:idx val="10"/>
          <c:order val="10"/>
          <c:tx>
            <c:strRef>
              <c:f>'Trh práce 1-SNÚ'!$AM$7</c:f>
              <c:strCache>
                <c:ptCount val="1"/>
                <c:pt idx="0">
                  <c:v>Očekávání zaměstnanosti (průmysl)</c:v>
                </c:pt>
              </c:strCache>
            </c:strRef>
          </c:tx>
          <c:spPr>
            <a:ln w="15875">
              <a:solidFill>
                <a:schemeClr val="tx1">
                  <a:lumMod val="95000"/>
                  <a:lumOff val="5000"/>
                </a:schemeClr>
              </a:solidFill>
              <a:prstDash val="sysDot"/>
            </a:ln>
          </c:spPr>
          <c:marker>
            <c:symbol val="none"/>
          </c:marker>
          <c:cat>
            <c:multiLvlStrRef>
              <c:f>'Trh práce 1-SNÚ'!$AA$52:$AB$74</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'Trh práce 1-SNÚ'!$AM$52:$AM$74</c:f>
              <c:numCache>
                <c:formatCode>#\ ##0.0</c:formatCode>
                <c:ptCount val="23"/>
                <c:pt idx="0">
                  <c:v>2.3333333333333335</c:v>
                </c:pt>
                <c:pt idx="1">
                  <c:v>7.3</c:v>
                </c:pt>
                <c:pt idx="2">
                  <c:v>4.7333333333333334</c:v>
                </c:pt>
                <c:pt idx="3">
                  <c:v>2.4333333333333331</c:v>
                </c:pt>
                <c:pt idx="4">
                  <c:v>8.7666666666666675</c:v>
                </c:pt>
                <c:pt idx="5">
                  <c:v>6.333333333333333</c:v>
                </c:pt>
                <c:pt idx="6">
                  <c:v>1.7666666666666666</c:v>
                </c:pt>
                <c:pt idx="7">
                  <c:v>-7.3</c:v>
                </c:pt>
                <c:pt idx="8">
                  <c:v>-7</c:v>
                </c:pt>
                <c:pt idx="9">
                  <c:v>-4.8666666666666663</c:v>
                </c:pt>
                <c:pt idx="10">
                  <c:v>-6.1000000000000005</c:v>
                </c:pt>
                <c:pt idx="11">
                  <c:v>-10.100000000000001</c:v>
                </c:pt>
                <c:pt idx="12">
                  <c:v>-7.4333333333333327</c:v>
                </c:pt>
                <c:pt idx="13">
                  <c:v>-9.3666666666666671</c:v>
                </c:pt>
                <c:pt idx="14">
                  <c:v>-10.833333333333334</c:v>
                </c:pt>
                <c:pt idx="15">
                  <c:v>-13.6</c:v>
                </c:pt>
                <c:pt idx="16">
                  <c:v>-11.6</c:v>
                </c:pt>
                <c:pt idx="17">
                  <c:v>-10.700000000000001</c:v>
                </c:pt>
                <c:pt idx="18">
                  <c:v>-9.7666666666666657</c:v>
                </c:pt>
                <c:pt idx="19">
                  <c:v>-10.299999999999999</c:v>
                </c:pt>
                <c:pt idx="20">
                  <c:v>-3.3000000000000003</c:v>
                </c:pt>
                <c:pt idx="21">
                  <c:v>-1.1666666666666667</c:v>
                </c:pt>
                <c:pt idx="22">
                  <c:v>0.39999999999999991</c:v>
                </c:pt>
              </c:numCache>
            </c:numRef>
          </c:val>
          <c:smooth val="0"/>
          <c:extLst>
            <c:ext xmlns:c16="http://schemas.microsoft.com/office/drawing/2014/chart" uri="{C3380CC4-5D6E-409C-BE32-E72D297353CC}">
              <c16:uniqueId val="{0000000A-15AF-44EA-88C4-71DB3FFFDC07}"/>
            </c:ext>
          </c:extLst>
        </c:ser>
        <c:ser>
          <c:idx val="11"/>
          <c:order val="11"/>
          <c:tx>
            <c:strRef>
              <c:f>'Trh práce 1-SNÚ'!$AN$7</c:f>
              <c:strCache>
                <c:ptCount val="1"/>
                <c:pt idx="0">
                  <c:v>Očekávání zaměstnanosti (stavebnictví)</c:v>
                </c:pt>
              </c:strCache>
            </c:strRef>
          </c:tx>
          <c:spPr>
            <a:ln w="15875">
              <a:solidFill>
                <a:srgbClr val="009CB5"/>
              </a:solidFill>
              <a:prstDash val="sysDot"/>
            </a:ln>
          </c:spPr>
          <c:marker>
            <c:symbol val="none"/>
          </c:marker>
          <c:cat>
            <c:multiLvlStrRef>
              <c:f>'Trh práce 1-SNÚ'!$AA$52:$AB$74</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'Trh práce 1-SNÚ'!$AN$52:$AN$74</c:f>
              <c:numCache>
                <c:formatCode>#\ ##0.0</c:formatCode>
                <c:ptCount val="23"/>
                <c:pt idx="0">
                  <c:v>0.70000000000000007</c:v>
                </c:pt>
                <c:pt idx="1">
                  <c:v>4.166666666666667</c:v>
                </c:pt>
                <c:pt idx="2">
                  <c:v>7.4000000000000012</c:v>
                </c:pt>
                <c:pt idx="3">
                  <c:v>7.3</c:v>
                </c:pt>
                <c:pt idx="4">
                  <c:v>11.566666666666668</c:v>
                </c:pt>
                <c:pt idx="5">
                  <c:v>6.8999999999999995</c:v>
                </c:pt>
                <c:pt idx="6">
                  <c:v>3.7666666666666671</c:v>
                </c:pt>
                <c:pt idx="7">
                  <c:v>-0.6333333333333333</c:v>
                </c:pt>
                <c:pt idx="8">
                  <c:v>-11.433333333333332</c:v>
                </c:pt>
                <c:pt idx="9">
                  <c:v>-12.533333333333333</c:v>
                </c:pt>
                <c:pt idx="10">
                  <c:v>-10.666666666666666</c:v>
                </c:pt>
                <c:pt idx="11">
                  <c:v>-4.5</c:v>
                </c:pt>
                <c:pt idx="12">
                  <c:v>0.6333333333333333</c:v>
                </c:pt>
                <c:pt idx="13">
                  <c:v>-8.1</c:v>
                </c:pt>
                <c:pt idx="14">
                  <c:v>-4.6000000000000005</c:v>
                </c:pt>
                <c:pt idx="15">
                  <c:v>5.5666666666666673</c:v>
                </c:pt>
                <c:pt idx="16">
                  <c:v>3.7666666666666671</c:v>
                </c:pt>
                <c:pt idx="17">
                  <c:v>6.666666666666667</c:v>
                </c:pt>
                <c:pt idx="18">
                  <c:v>11.299999999999999</c:v>
                </c:pt>
                <c:pt idx="19">
                  <c:v>4.4333333333333327</c:v>
                </c:pt>
                <c:pt idx="20">
                  <c:v>2.1333333333333333</c:v>
                </c:pt>
                <c:pt idx="21">
                  <c:v>5.2333333333333334</c:v>
                </c:pt>
                <c:pt idx="22">
                  <c:v>2.7</c:v>
                </c:pt>
              </c:numCache>
            </c:numRef>
          </c:val>
          <c:smooth val="0"/>
          <c:extLst>
            <c:ext xmlns:c16="http://schemas.microsoft.com/office/drawing/2014/chart" uri="{C3380CC4-5D6E-409C-BE32-E72D297353CC}">
              <c16:uniqueId val="{0000000B-15AF-44EA-88C4-71DB3FFFDC07}"/>
            </c:ext>
          </c:extLst>
        </c:ser>
        <c:ser>
          <c:idx val="12"/>
          <c:order val="12"/>
          <c:tx>
            <c:strRef>
              <c:f>'Trh práce 1-SNÚ'!$AO$7</c:f>
              <c:strCache>
                <c:ptCount val="1"/>
                <c:pt idx="0">
                  <c:v>Očekávání zaměstnanosti (obchod)</c:v>
                </c:pt>
              </c:strCache>
            </c:strRef>
          </c:tx>
          <c:spPr>
            <a:ln w="15875">
              <a:solidFill>
                <a:srgbClr val="CC9610"/>
              </a:solidFill>
              <a:prstDash val="sysDot"/>
            </a:ln>
          </c:spPr>
          <c:marker>
            <c:symbol val="none"/>
          </c:marker>
          <c:cat>
            <c:multiLvlStrRef>
              <c:f>'Trh práce 1-SNÚ'!$AA$52:$AB$74</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'Trh práce 1-SNÚ'!$AO$52:$AO$74</c:f>
              <c:numCache>
                <c:formatCode>#\ ##0.0</c:formatCode>
                <c:ptCount val="23"/>
                <c:pt idx="0">
                  <c:v>6.4333333333333336</c:v>
                </c:pt>
                <c:pt idx="1">
                  <c:v>9.2000000000000011</c:v>
                </c:pt>
                <c:pt idx="2">
                  <c:v>13.133333333333335</c:v>
                </c:pt>
                <c:pt idx="3">
                  <c:v>10.433333333333335</c:v>
                </c:pt>
                <c:pt idx="4">
                  <c:v>9.7666666666666657</c:v>
                </c:pt>
                <c:pt idx="5">
                  <c:v>4.2333333333333334</c:v>
                </c:pt>
                <c:pt idx="6">
                  <c:v>3.5</c:v>
                </c:pt>
                <c:pt idx="7">
                  <c:v>9.6666666666666661</c:v>
                </c:pt>
                <c:pt idx="8">
                  <c:v>9.1666666666666661</c:v>
                </c:pt>
                <c:pt idx="9">
                  <c:v>9</c:v>
                </c:pt>
                <c:pt idx="10">
                  <c:v>11.066666666666668</c:v>
                </c:pt>
                <c:pt idx="11">
                  <c:v>12.766666666666666</c:v>
                </c:pt>
                <c:pt idx="12">
                  <c:v>7.9000000000000012</c:v>
                </c:pt>
                <c:pt idx="13">
                  <c:v>10.133333333333333</c:v>
                </c:pt>
                <c:pt idx="14">
                  <c:v>4.166666666666667</c:v>
                </c:pt>
                <c:pt idx="15">
                  <c:v>9.7999999999999989</c:v>
                </c:pt>
                <c:pt idx="16">
                  <c:v>7.3999999999999995</c:v>
                </c:pt>
                <c:pt idx="17">
                  <c:v>6.9333333333333336</c:v>
                </c:pt>
                <c:pt idx="18">
                  <c:v>13</c:v>
                </c:pt>
                <c:pt idx="19">
                  <c:v>5.9333333333333336</c:v>
                </c:pt>
                <c:pt idx="20">
                  <c:v>12.666666666666666</c:v>
                </c:pt>
                <c:pt idx="21">
                  <c:v>11.933333333333332</c:v>
                </c:pt>
                <c:pt idx="22">
                  <c:v>6.65</c:v>
                </c:pt>
              </c:numCache>
            </c:numRef>
          </c:val>
          <c:smooth val="0"/>
          <c:extLst>
            <c:ext xmlns:c16="http://schemas.microsoft.com/office/drawing/2014/chart" uri="{C3380CC4-5D6E-409C-BE32-E72D297353CC}">
              <c16:uniqueId val="{0000000C-15AF-44EA-88C4-71DB3FFFDC07}"/>
            </c:ext>
          </c:extLst>
        </c:ser>
        <c:ser>
          <c:idx val="13"/>
          <c:order val="13"/>
          <c:tx>
            <c:strRef>
              <c:f>'Trh práce 1-SNÚ'!$AP$7</c:f>
              <c:strCache>
                <c:ptCount val="1"/>
                <c:pt idx="0">
                  <c:v>Očekávání zaměstnanosti (vybr. služby)</c:v>
                </c:pt>
              </c:strCache>
            </c:strRef>
          </c:tx>
          <c:spPr>
            <a:ln w="15875">
              <a:solidFill>
                <a:srgbClr val="BC5B80"/>
              </a:solidFill>
              <a:prstDash val="sysDot"/>
            </a:ln>
          </c:spPr>
          <c:marker>
            <c:symbol val="none"/>
          </c:marker>
          <c:cat>
            <c:multiLvlStrRef>
              <c:f>'Trh práce 1-SNÚ'!$AA$52:$AB$74</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'Trh práce 1-SNÚ'!$AP$52:$AP$74</c:f>
              <c:numCache>
                <c:formatCode>#\ ##0.0</c:formatCode>
                <c:ptCount val="23"/>
                <c:pt idx="0">
                  <c:v>-29.566666666666666</c:v>
                </c:pt>
                <c:pt idx="1">
                  <c:v>-24.233333333333331</c:v>
                </c:pt>
                <c:pt idx="2">
                  <c:v>-8.1666666666666661</c:v>
                </c:pt>
                <c:pt idx="3">
                  <c:v>-19.633333333333333</c:v>
                </c:pt>
                <c:pt idx="4">
                  <c:v>-9.9333333333333336</c:v>
                </c:pt>
                <c:pt idx="5">
                  <c:v>-6.3666666666666671</c:v>
                </c:pt>
                <c:pt idx="6">
                  <c:v>-5.9333333333333327</c:v>
                </c:pt>
                <c:pt idx="7">
                  <c:v>-8.0666666666666682</c:v>
                </c:pt>
                <c:pt idx="8">
                  <c:v>-11.199999999999998</c:v>
                </c:pt>
                <c:pt idx="9">
                  <c:v>-17.766666666666669</c:v>
                </c:pt>
                <c:pt idx="10">
                  <c:v>-10.299999999999999</c:v>
                </c:pt>
                <c:pt idx="11">
                  <c:v>-15.566666666666665</c:v>
                </c:pt>
                <c:pt idx="12">
                  <c:v>-23.933333333333334</c:v>
                </c:pt>
                <c:pt idx="13">
                  <c:v>-17.933333333333334</c:v>
                </c:pt>
                <c:pt idx="14">
                  <c:v>-13.366666666666667</c:v>
                </c:pt>
                <c:pt idx="15">
                  <c:v>-8</c:v>
                </c:pt>
                <c:pt idx="16">
                  <c:v>-12.200000000000001</c:v>
                </c:pt>
                <c:pt idx="17">
                  <c:v>-10.933333333333335</c:v>
                </c:pt>
                <c:pt idx="18">
                  <c:v>-14.699999999999998</c:v>
                </c:pt>
                <c:pt idx="19">
                  <c:v>-12.333333333333334</c:v>
                </c:pt>
                <c:pt idx="20">
                  <c:v>-14.033333333333333</c:v>
                </c:pt>
                <c:pt idx="21">
                  <c:v>-23.833333333333332</c:v>
                </c:pt>
                <c:pt idx="22">
                  <c:v>-12.25</c:v>
                </c:pt>
              </c:numCache>
            </c:numRef>
          </c:val>
          <c:smooth val="0"/>
          <c:extLst>
            <c:ext xmlns:c16="http://schemas.microsoft.com/office/drawing/2014/chart" uri="{C3380CC4-5D6E-409C-BE32-E72D297353CC}">
              <c16:uniqueId val="{0000000D-15AF-44EA-88C4-71DB3FFFDC07}"/>
            </c:ext>
          </c:extLst>
        </c:ser>
        <c:dLbls>
          <c:showLegendKey val="0"/>
          <c:showVal val="0"/>
          <c:showCatName val="0"/>
          <c:showSerName val="0"/>
          <c:showPercent val="0"/>
          <c:showBubbleSize val="0"/>
        </c:dLbls>
        <c:marker val="1"/>
        <c:smooth val="0"/>
        <c:axId val="332941824"/>
        <c:axId val="332936832"/>
      </c:lineChart>
      <c:catAx>
        <c:axId val="101898496"/>
        <c:scaling>
          <c:orientation val="minMax"/>
        </c:scaling>
        <c:delete val="0"/>
        <c:axPos val="b"/>
        <c:numFmt formatCode="General" sourceLinked="1"/>
        <c:majorTickMark val="out"/>
        <c:minorTickMark val="none"/>
        <c:tickLblPos val="low"/>
        <c:spPr>
          <a:ln>
            <a:solidFill>
              <a:schemeClr val="tx1"/>
            </a:solidFill>
          </a:ln>
        </c:spPr>
        <c:crossAx val="101781504"/>
        <c:crosses val="autoZero"/>
        <c:auto val="1"/>
        <c:lblAlgn val="ctr"/>
        <c:lblOffset val="10"/>
        <c:noMultiLvlLbl val="0"/>
      </c:catAx>
      <c:valAx>
        <c:axId val="101781504"/>
        <c:scaling>
          <c:orientation val="minMax"/>
          <c:max val="2.5"/>
          <c:min val="-4.5"/>
        </c:scaling>
        <c:delete val="0"/>
        <c:axPos val="l"/>
        <c:majorGridlines>
          <c:spPr>
            <a:ln w="6350">
              <a:solidFill>
                <a:schemeClr val="bg1">
                  <a:lumMod val="75000"/>
                </a:schemeClr>
              </a:solidFill>
            </a:ln>
          </c:spPr>
        </c:majorGridlines>
        <c:title>
          <c:tx>
            <c:rich>
              <a:bodyPr/>
              <a:lstStyle/>
              <a:p>
                <a:pPr>
                  <a:defRPr sz="700" b="0" i="1"/>
                </a:pPr>
                <a:r>
                  <a:rPr lang="cs-CZ" sz="700" b="0" i="1"/>
                  <a:t>Příspěvek k růstu zaměstnanosti</a:t>
                </a:r>
              </a:p>
            </c:rich>
          </c:tx>
          <c:overlay val="0"/>
        </c:title>
        <c:numFmt formatCode="0.0" sourceLinked="0"/>
        <c:majorTickMark val="out"/>
        <c:minorTickMark val="none"/>
        <c:tickLblPos val="nextTo"/>
        <c:spPr>
          <a:ln>
            <a:solidFill>
              <a:schemeClr val="tx1"/>
            </a:solidFill>
          </a:ln>
        </c:spPr>
        <c:crossAx val="101898496"/>
        <c:crosses val="autoZero"/>
        <c:crossBetween val="between"/>
        <c:majorUnit val="0.5"/>
      </c:valAx>
      <c:valAx>
        <c:axId val="332936832"/>
        <c:scaling>
          <c:orientation val="minMax"/>
          <c:max val="100"/>
          <c:min val="-40"/>
        </c:scaling>
        <c:delete val="0"/>
        <c:axPos val="r"/>
        <c:title>
          <c:tx>
            <c:rich>
              <a:bodyPr/>
              <a:lstStyle/>
              <a:p>
                <a:pPr>
                  <a:defRPr sz="700" b="0" i="1"/>
                </a:pPr>
                <a:r>
                  <a:rPr lang="cs-CZ" sz="700" b="0" i="1"/>
                  <a:t>Očekávání vývoje zaměstnanosti</a:t>
                </a:r>
              </a:p>
            </c:rich>
          </c:tx>
          <c:overlay val="0"/>
        </c:title>
        <c:numFmt formatCode="#,##0" sourceLinked="0"/>
        <c:majorTickMark val="out"/>
        <c:minorTickMark val="none"/>
        <c:tickLblPos val="nextTo"/>
        <c:crossAx val="332941824"/>
        <c:crosses val="max"/>
        <c:crossBetween val="between"/>
        <c:majorUnit val="10"/>
      </c:valAx>
      <c:catAx>
        <c:axId val="332941824"/>
        <c:scaling>
          <c:orientation val="minMax"/>
        </c:scaling>
        <c:delete val="1"/>
        <c:axPos val="b"/>
        <c:numFmt formatCode="General" sourceLinked="1"/>
        <c:majorTickMark val="out"/>
        <c:minorTickMark val="none"/>
        <c:tickLblPos val="nextTo"/>
        <c:crossAx val="332936832"/>
        <c:crosses val="autoZero"/>
        <c:auto val="1"/>
        <c:lblAlgn val="ctr"/>
        <c:lblOffset val="100"/>
        <c:noMultiLvlLbl val="0"/>
      </c:catAx>
      <c:spPr>
        <a:ln>
          <a:solidFill>
            <a:schemeClr val="tx1"/>
          </a:solidFill>
        </a:ln>
      </c:spPr>
    </c:plotArea>
    <c:legend>
      <c:legendPos val="b"/>
      <c:layout>
        <c:manualLayout>
          <c:xMode val="edge"/>
          <c:yMode val="edge"/>
          <c:x val="1.2822898706986479E-2"/>
          <c:y val="0.77650317447341888"/>
          <c:w val="0.96005692595618608"/>
          <c:h val="0.21537108953613804"/>
        </c:manualLayout>
      </c:layout>
      <c:overlay val="0"/>
      <c:spPr>
        <a:ln w="6350">
          <a:solidFill>
            <a:schemeClr val="tx1"/>
          </a:solidFill>
        </a:ln>
      </c:spPr>
    </c:legend>
    <c:plotVisOnly val="1"/>
    <c:dispBlanksAs val="gap"/>
    <c:showDLblsOverMax val="0"/>
  </c:chart>
  <c:spPr>
    <a:ln>
      <a:noFill/>
    </a:ln>
  </c:spPr>
  <c:txPr>
    <a:bodyPr/>
    <a:lstStyle/>
    <a:p>
      <a:pPr>
        <a:defRPr sz="800">
          <a:latin typeface="Arial" panose="020B0604020202020204" pitchFamily="34" charset="0"/>
          <a:cs typeface="Arial" panose="020B0604020202020204" pitchFamily="34" charset="0"/>
        </a:defRPr>
      </a:pPr>
      <a:endParaRPr lang="cs-CZ"/>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6036417007492182E-2"/>
          <c:y val="1.6081916099773243E-2"/>
          <c:w val="0.84656370352623134"/>
          <c:h val="0.77566448100228325"/>
        </c:manualLayout>
      </c:layout>
      <c:barChart>
        <c:barDir val="col"/>
        <c:grouping val="clustered"/>
        <c:varyColors val="0"/>
        <c:ser>
          <c:idx val="0"/>
          <c:order val="0"/>
          <c:tx>
            <c:strRef>
              <c:f>'Trh práce-2b'!$A$3</c:f>
              <c:strCache>
                <c:ptCount val="1"/>
                <c:pt idx="0">
                  <c:v>Míra nezaměstnanosti mužů</c:v>
                </c:pt>
              </c:strCache>
            </c:strRef>
          </c:tx>
          <c:spPr>
            <a:solidFill>
              <a:srgbClr val="BBBBC0"/>
            </a:solidFill>
          </c:spPr>
          <c:invertIfNegative val="0"/>
          <c:cat>
            <c:multiLvlStrRef>
              <c:f>'Trh práce-2b'!$B$1:$X$2</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'Trh práce-2b'!$B$3:$X$3</c:f>
              <c:numCache>
                <c:formatCode>0.0</c:formatCode>
                <c:ptCount val="23"/>
                <c:pt idx="0">
                  <c:v>2.6783883811398574</c:v>
                </c:pt>
                <c:pt idx="1">
                  <c:v>2.5536010071555162</c:v>
                </c:pt>
                <c:pt idx="2">
                  <c:v>2.259830822160243</c:v>
                </c:pt>
                <c:pt idx="3">
                  <c:v>1.9979657942438862</c:v>
                </c:pt>
                <c:pt idx="4">
                  <c:v>1.9744075739885485</c:v>
                </c:pt>
                <c:pt idx="5">
                  <c:v>1.9076349041299208</c:v>
                </c:pt>
                <c:pt idx="6">
                  <c:v>1.9343548779440736</c:v>
                </c:pt>
                <c:pt idx="7">
                  <c:v>2.081167309633035</c:v>
                </c:pt>
                <c:pt idx="8">
                  <c:v>2.194494023603375</c:v>
                </c:pt>
                <c:pt idx="9">
                  <c:v>2.2408151052019591</c:v>
                </c:pt>
                <c:pt idx="10">
                  <c:v>2.3202748783710629</c:v>
                </c:pt>
                <c:pt idx="11">
                  <c:v>2.4221829715582923</c:v>
                </c:pt>
                <c:pt idx="12">
                  <c:v>2.4005106212983693</c:v>
                </c:pt>
                <c:pt idx="13">
                  <c:v>2.3910452784841367</c:v>
                </c:pt>
                <c:pt idx="14">
                  <c:v>2.3330625466537587</c:v>
                </c:pt>
                <c:pt idx="15">
                  <c:v>2.3088180586422502</c:v>
                </c:pt>
                <c:pt idx="16">
                  <c:v>2.308675922296707</c:v>
                </c:pt>
                <c:pt idx="17">
                  <c:v>2.5584972066839788</c:v>
                </c:pt>
                <c:pt idx="18">
                  <c:v>2.7723553309098157</c:v>
                </c:pt>
                <c:pt idx="19">
                  <c:v>2.8567356387455889</c:v>
                </c:pt>
                <c:pt idx="20">
                  <c:v>2.7943031702918986</c:v>
                </c:pt>
                <c:pt idx="21">
                  <c:v>2.7523650947163372</c:v>
                </c:pt>
              </c:numCache>
            </c:numRef>
          </c:val>
          <c:extLst>
            <c:ext xmlns:c16="http://schemas.microsoft.com/office/drawing/2014/chart" uri="{C3380CC4-5D6E-409C-BE32-E72D297353CC}">
              <c16:uniqueId val="{00000000-1B94-4E87-8FE1-72BE8FC119C5}"/>
            </c:ext>
          </c:extLst>
        </c:ser>
        <c:ser>
          <c:idx val="1"/>
          <c:order val="1"/>
          <c:tx>
            <c:strRef>
              <c:f>'Trh práce-2b'!$A$4</c:f>
              <c:strCache>
                <c:ptCount val="1"/>
                <c:pt idx="0">
                  <c:v>Míra nezaměstnanosti žen</c:v>
                </c:pt>
              </c:strCache>
            </c:strRef>
          </c:tx>
          <c:spPr>
            <a:solidFill>
              <a:schemeClr val="bg1">
                <a:lumMod val="95000"/>
              </a:schemeClr>
            </a:solidFill>
            <a:ln>
              <a:solidFill>
                <a:srgbClr val="BBBBC0"/>
              </a:solidFill>
            </a:ln>
          </c:spPr>
          <c:invertIfNegative val="0"/>
          <c:cat>
            <c:multiLvlStrRef>
              <c:f>'Trh práce-2b'!$B$1:$X$2</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'Trh práce-2b'!$B$4:$X$4</c:f>
              <c:numCache>
                <c:formatCode>0.0</c:formatCode>
                <c:ptCount val="23"/>
                <c:pt idx="0">
                  <c:v>4.0898135319190461</c:v>
                </c:pt>
                <c:pt idx="1">
                  <c:v>3.8056507886598703</c:v>
                </c:pt>
                <c:pt idx="2">
                  <c:v>3.253665119752863</c:v>
                </c:pt>
                <c:pt idx="3">
                  <c:v>2.8630213212374502</c:v>
                </c:pt>
                <c:pt idx="4">
                  <c:v>2.9756982986395406</c:v>
                </c:pt>
                <c:pt idx="5">
                  <c:v>3.1163422185889567</c:v>
                </c:pt>
                <c:pt idx="6">
                  <c:v>2.9257386005498667</c:v>
                </c:pt>
                <c:pt idx="7">
                  <c:v>2.8359338864526875</c:v>
                </c:pt>
                <c:pt idx="8">
                  <c:v>3.0277784073550369</c:v>
                </c:pt>
                <c:pt idx="9">
                  <c:v>3.1756620476017883</c:v>
                </c:pt>
                <c:pt idx="10">
                  <c:v>3.2183040116876058</c:v>
                </c:pt>
                <c:pt idx="11">
                  <c:v>3.3028384544749176</c:v>
                </c:pt>
                <c:pt idx="12">
                  <c:v>3.4355601135176159</c:v>
                </c:pt>
                <c:pt idx="13">
                  <c:v>3.2794742063655913</c:v>
                </c:pt>
                <c:pt idx="14">
                  <c:v>3.2547007396736425</c:v>
                </c:pt>
                <c:pt idx="15">
                  <c:v>3.2758850020352237</c:v>
                </c:pt>
                <c:pt idx="16">
                  <c:v>3.2097726018627051</c:v>
                </c:pt>
                <c:pt idx="17">
                  <c:v>3.2879396462132924</c:v>
                </c:pt>
                <c:pt idx="18">
                  <c:v>3.4404273095221618</c:v>
                </c:pt>
                <c:pt idx="19">
                  <c:v>3.6678179507402962</c:v>
                </c:pt>
                <c:pt idx="20">
                  <c:v>3.779685991817376</c:v>
                </c:pt>
                <c:pt idx="21">
                  <c:v>3.7911034236656502</c:v>
                </c:pt>
              </c:numCache>
            </c:numRef>
          </c:val>
          <c:extLst>
            <c:ext xmlns:c16="http://schemas.microsoft.com/office/drawing/2014/chart" uri="{C3380CC4-5D6E-409C-BE32-E72D297353CC}">
              <c16:uniqueId val="{00000001-1B94-4E87-8FE1-72BE8FC119C5}"/>
            </c:ext>
          </c:extLst>
        </c:ser>
        <c:dLbls>
          <c:showLegendKey val="0"/>
          <c:showVal val="0"/>
          <c:showCatName val="0"/>
          <c:showSerName val="0"/>
          <c:showPercent val="0"/>
          <c:showBubbleSize val="0"/>
        </c:dLbls>
        <c:gapWidth val="68"/>
        <c:axId val="100654464"/>
        <c:axId val="101647488"/>
      </c:barChart>
      <c:lineChart>
        <c:grouping val="standard"/>
        <c:varyColors val="0"/>
        <c:ser>
          <c:idx val="4"/>
          <c:order val="2"/>
          <c:tx>
            <c:strRef>
              <c:f>'Trh práce-2b'!$A$5</c:f>
              <c:strCache>
                <c:ptCount val="1"/>
                <c:pt idx="0">
                  <c:v>VPM pro vyučené a SŠ bez maturity</c:v>
                </c:pt>
              </c:strCache>
            </c:strRef>
          </c:tx>
          <c:spPr>
            <a:ln w="15875">
              <a:solidFill>
                <a:srgbClr val="BC5B80"/>
              </a:solidFill>
              <a:prstDash val="solid"/>
            </a:ln>
          </c:spPr>
          <c:marker>
            <c:symbol val="none"/>
          </c:marker>
          <c:cat>
            <c:multiLvlStrRef>
              <c:f>'Trh práce-2b'!$B$1:$X$2</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'Trh práce-2b'!$B$5:$X$5</c:f>
              <c:numCache>
                <c:formatCode>0.0</c:formatCode>
                <c:ptCount val="23"/>
                <c:pt idx="0">
                  <c:v>21.22</c:v>
                </c:pt>
                <c:pt idx="1">
                  <c:v>28</c:v>
                </c:pt>
                <c:pt idx="2">
                  <c:v>28.465</c:v>
                </c:pt>
                <c:pt idx="3">
                  <c:v>22.591000000000001</c:v>
                </c:pt>
                <c:pt idx="4">
                  <c:v>26.402999999999999</c:v>
                </c:pt>
                <c:pt idx="5">
                  <c:v>24.98</c:v>
                </c:pt>
                <c:pt idx="6">
                  <c:v>20.081</c:v>
                </c:pt>
                <c:pt idx="7">
                  <c:v>16.219000000000001</c:v>
                </c:pt>
                <c:pt idx="8">
                  <c:v>18.276</c:v>
                </c:pt>
                <c:pt idx="9">
                  <c:v>19.419</c:v>
                </c:pt>
                <c:pt idx="10">
                  <c:v>17.792000000000002</c:v>
                </c:pt>
                <c:pt idx="11">
                  <c:v>14.455</c:v>
                </c:pt>
                <c:pt idx="12">
                  <c:v>14.478</c:v>
                </c:pt>
                <c:pt idx="13">
                  <c:v>15.478</c:v>
                </c:pt>
                <c:pt idx="14">
                  <c:v>15.435</c:v>
                </c:pt>
                <c:pt idx="15">
                  <c:v>14.093</c:v>
                </c:pt>
                <c:pt idx="16">
                  <c:v>12.814</c:v>
                </c:pt>
                <c:pt idx="17">
                  <c:v>14.827999999999999</c:v>
                </c:pt>
                <c:pt idx="18">
                  <c:v>13.662000000000001</c:v>
                </c:pt>
                <c:pt idx="19">
                  <c:v>11.477</c:v>
                </c:pt>
                <c:pt idx="20">
                  <c:v>12.683999999999999</c:v>
                </c:pt>
                <c:pt idx="21">
                  <c:v>14.701000000000001</c:v>
                </c:pt>
              </c:numCache>
            </c:numRef>
          </c:val>
          <c:smooth val="0"/>
          <c:extLst>
            <c:ext xmlns:c16="http://schemas.microsoft.com/office/drawing/2014/chart" uri="{C3380CC4-5D6E-409C-BE32-E72D297353CC}">
              <c16:uniqueId val="{00000002-1B94-4E87-8FE1-72BE8FC119C5}"/>
            </c:ext>
          </c:extLst>
        </c:ser>
        <c:ser>
          <c:idx val="5"/>
          <c:order val="3"/>
          <c:tx>
            <c:strRef>
              <c:f>'Trh práce-2b'!$A$6</c:f>
              <c:strCache>
                <c:ptCount val="1"/>
                <c:pt idx="0">
                  <c:v>VPM pro SŠ s mat., VOŠ a VŠ</c:v>
                </c:pt>
              </c:strCache>
            </c:strRef>
          </c:tx>
          <c:spPr>
            <a:ln w="15875">
              <a:solidFill>
                <a:srgbClr val="009CB5"/>
              </a:solidFill>
              <a:prstDash val="solid"/>
            </a:ln>
          </c:spPr>
          <c:marker>
            <c:symbol val="none"/>
          </c:marker>
          <c:cat>
            <c:multiLvlStrRef>
              <c:f>'Trh práce-2b'!$B$1:$X$2</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'Trh práce-2b'!$B$6:$X$6</c:f>
              <c:numCache>
                <c:formatCode>0.0</c:formatCode>
                <c:ptCount val="23"/>
                <c:pt idx="0">
                  <c:v>16.512</c:v>
                </c:pt>
                <c:pt idx="1">
                  <c:v>19.815999999999999</c:v>
                </c:pt>
                <c:pt idx="2">
                  <c:v>19.486999999999998</c:v>
                </c:pt>
                <c:pt idx="3">
                  <c:v>18.061</c:v>
                </c:pt>
                <c:pt idx="4">
                  <c:v>21.087</c:v>
                </c:pt>
                <c:pt idx="5">
                  <c:v>21.347999999999999</c:v>
                </c:pt>
                <c:pt idx="6">
                  <c:v>18.567</c:v>
                </c:pt>
                <c:pt idx="7">
                  <c:v>16.672999999999998</c:v>
                </c:pt>
                <c:pt idx="8">
                  <c:v>18.158000000000001</c:v>
                </c:pt>
                <c:pt idx="9">
                  <c:v>18.765000000000001</c:v>
                </c:pt>
                <c:pt idx="10">
                  <c:v>17.125</c:v>
                </c:pt>
                <c:pt idx="11">
                  <c:v>15.332000000000001</c:v>
                </c:pt>
                <c:pt idx="12">
                  <c:v>16.600000000000001</c:v>
                </c:pt>
                <c:pt idx="13">
                  <c:v>15.853999999999999</c:v>
                </c:pt>
                <c:pt idx="14">
                  <c:v>14.837999999999999</c:v>
                </c:pt>
                <c:pt idx="15">
                  <c:v>13.59</c:v>
                </c:pt>
                <c:pt idx="16">
                  <c:v>10.319000000000001</c:v>
                </c:pt>
                <c:pt idx="17">
                  <c:v>11.635</c:v>
                </c:pt>
                <c:pt idx="18">
                  <c:v>11.321999999999999</c:v>
                </c:pt>
                <c:pt idx="19">
                  <c:v>9.5069999999999997</c:v>
                </c:pt>
                <c:pt idx="20">
                  <c:v>10.015000000000001</c:v>
                </c:pt>
                <c:pt idx="21">
                  <c:v>11.193</c:v>
                </c:pt>
              </c:numCache>
            </c:numRef>
          </c:val>
          <c:smooth val="0"/>
          <c:extLst>
            <c:ext xmlns:c16="http://schemas.microsoft.com/office/drawing/2014/chart" uri="{C3380CC4-5D6E-409C-BE32-E72D297353CC}">
              <c16:uniqueId val="{00000003-1B94-4E87-8FE1-72BE8FC119C5}"/>
            </c:ext>
          </c:extLst>
        </c:ser>
        <c:ser>
          <c:idx val="6"/>
          <c:order val="4"/>
          <c:tx>
            <c:strRef>
              <c:f>'Trh práce-2b'!$A$7</c:f>
              <c:strCache>
                <c:ptCount val="1"/>
                <c:pt idx="0">
                  <c:v>Očekávání vývoje nezaměstnanosti</c:v>
                </c:pt>
              </c:strCache>
            </c:strRef>
          </c:tx>
          <c:spPr>
            <a:ln w="15875">
              <a:noFill/>
              <a:prstDash val="sysDash"/>
            </a:ln>
          </c:spPr>
          <c:marker>
            <c:symbol val="circle"/>
            <c:size val="4"/>
            <c:spPr>
              <a:solidFill>
                <a:srgbClr val="CC9610"/>
              </a:solidFill>
              <a:ln>
                <a:solidFill>
                  <a:srgbClr val="CC9610"/>
                </a:solidFill>
              </a:ln>
            </c:spPr>
          </c:marker>
          <c:cat>
            <c:multiLvlStrRef>
              <c:f>'Trh práce-2b'!$B$1:$X$2</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'Trh práce-2b'!$B$7:$X$7</c:f>
              <c:numCache>
                <c:formatCode>0.0</c:formatCode>
                <c:ptCount val="23"/>
                <c:pt idx="0">
                  <c:v>57</c:v>
                </c:pt>
                <c:pt idx="1">
                  <c:v>28.666666666666668</c:v>
                </c:pt>
                <c:pt idx="2">
                  <c:v>15.666666666666666</c:v>
                </c:pt>
                <c:pt idx="3">
                  <c:v>17.333333333333332</c:v>
                </c:pt>
                <c:pt idx="4">
                  <c:v>15.666666666666666</c:v>
                </c:pt>
                <c:pt idx="5">
                  <c:v>20.333333333333332</c:v>
                </c:pt>
                <c:pt idx="6">
                  <c:v>29</c:v>
                </c:pt>
                <c:pt idx="7">
                  <c:v>40.333333333333336</c:v>
                </c:pt>
                <c:pt idx="8">
                  <c:v>34.666666666666664</c:v>
                </c:pt>
                <c:pt idx="9">
                  <c:v>28.666666666666668</c:v>
                </c:pt>
                <c:pt idx="10">
                  <c:v>25.333333333333332</c:v>
                </c:pt>
                <c:pt idx="11">
                  <c:v>21</c:v>
                </c:pt>
                <c:pt idx="12">
                  <c:v>23</c:v>
                </c:pt>
                <c:pt idx="13">
                  <c:v>20.333333333333332</c:v>
                </c:pt>
                <c:pt idx="14">
                  <c:v>23.666666666666668</c:v>
                </c:pt>
                <c:pt idx="15">
                  <c:v>21.333333333333332</c:v>
                </c:pt>
                <c:pt idx="16">
                  <c:v>29.333333333333332</c:v>
                </c:pt>
                <c:pt idx="17">
                  <c:v>28.666666666666668</c:v>
                </c:pt>
                <c:pt idx="18">
                  <c:v>25.666666666666668</c:v>
                </c:pt>
                <c:pt idx="19">
                  <c:v>15.666666666666666</c:v>
                </c:pt>
                <c:pt idx="20">
                  <c:v>17</c:v>
                </c:pt>
                <c:pt idx="21">
                  <c:v>21</c:v>
                </c:pt>
                <c:pt idx="22">
                  <c:v>22.5</c:v>
                </c:pt>
              </c:numCache>
            </c:numRef>
          </c:val>
          <c:smooth val="0"/>
          <c:extLst>
            <c:ext xmlns:c16="http://schemas.microsoft.com/office/drawing/2014/chart" uri="{C3380CC4-5D6E-409C-BE32-E72D297353CC}">
              <c16:uniqueId val="{00000004-1B94-4E87-8FE1-72BE8FC119C5}"/>
            </c:ext>
          </c:extLst>
        </c:ser>
        <c:dLbls>
          <c:showLegendKey val="0"/>
          <c:showVal val="0"/>
          <c:showCatName val="0"/>
          <c:showSerName val="0"/>
          <c:showPercent val="0"/>
          <c:showBubbleSize val="0"/>
        </c:dLbls>
        <c:marker val="1"/>
        <c:smooth val="0"/>
        <c:axId val="331670576"/>
        <c:axId val="323971328"/>
      </c:lineChart>
      <c:catAx>
        <c:axId val="100654464"/>
        <c:scaling>
          <c:orientation val="minMax"/>
        </c:scaling>
        <c:delete val="0"/>
        <c:axPos val="b"/>
        <c:numFmt formatCode="General" sourceLinked="0"/>
        <c:majorTickMark val="out"/>
        <c:minorTickMark val="none"/>
        <c:tickLblPos val="low"/>
        <c:spPr>
          <a:ln>
            <a:solidFill>
              <a:schemeClr val="tx1"/>
            </a:solidFill>
          </a:ln>
        </c:spPr>
        <c:crossAx val="101647488"/>
        <c:crossesAt val="-50"/>
        <c:auto val="1"/>
        <c:lblAlgn val="ctr"/>
        <c:lblOffset val="0"/>
        <c:noMultiLvlLbl val="0"/>
      </c:catAx>
      <c:valAx>
        <c:axId val="101647488"/>
        <c:scaling>
          <c:orientation val="minMax"/>
          <c:max val="5"/>
          <c:min val="0"/>
        </c:scaling>
        <c:delete val="0"/>
        <c:axPos val="l"/>
        <c:majorGridlines>
          <c:spPr>
            <a:ln w="6350">
              <a:solidFill>
                <a:schemeClr val="bg1">
                  <a:lumMod val="75000"/>
                </a:schemeClr>
              </a:solidFill>
            </a:ln>
          </c:spPr>
        </c:majorGridlines>
        <c:title>
          <c:tx>
            <c:rich>
              <a:bodyPr/>
              <a:lstStyle/>
              <a:p>
                <a:pPr>
                  <a:defRPr sz="700" b="0" i="1"/>
                </a:pPr>
                <a:r>
                  <a:rPr lang="cs-CZ" sz="700" b="0" i="1"/>
                  <a:t>Míra nezaměstnanosti</a:t>
                </a:r>
              </a:p>
            </c:rich>
          </c:tx>
          <c:overlay val="0"/>
        </c:title>
        <c:numFmt formatCode="0.0" sourceLinked="0"/>
        <c:majorTickMark val="out"/>
        <c:minorTickMark val="none"/>
        <c:tickLblPos val="nextTo"/>
        <c:spPr>
          <a:ln>
            <a:solidFill>
              <a:schemeClr val="tx1"/>
            </a:solidFill>
          </a:ln>
        </c:spPr>
        <c:crossAx val="100654464"/>
        <c:crosses val="autoZero"/>
        <c:crossBetween val="between"/>
        <c:majorUnit val="0.5"/>
      </c:valAx>
      <c:valAx>
        <c:axId val="323971328"/>
        <c:scaling>
          <c:orientation val="minMax"/>
          <c:max val="90"/>
          <c:min val="-10"/>
        </c:scaling>
        <c:delete val="0"/>
        <c:axPos val="r"/>
        <c:title>
          <c:tx>
            <c:rich>
              <a:bodyPr/>
              <a:lstStyle/>
              <a:p>
                <a:pPr>
                  <a:defRPr sz="700" b="0" i="1"/>
                </a:pPr>
                <a:r>
                  <a:rPr lang="cs-CZ" sz="700" b="0" i="1"/>
                  <a:t>Volná</a:t>
                </a:r>
                <a:r>
                  <a:rPr lang="cs-CZ" sz="700" b="0" i="1" baseline="0"/>
                  <a:t> prac. místa, saldo oček. nezam.</a:t>
                </a:r>
                <a:endParaRPr lang="cs-CZ" sz="700" b="0" i="1"/>
              </a:p>
            </c:rich>
          </c:tx>
          <c:overlay val="0"/>
        </c:title>
        <c:numFmt formatCode="#,##0" sourceLinked="0"/>
        <c:majorTickMark val="out"/>
        <c:minorTickMark val="none"/>
        <c:tickLblPos val="nextTo"/>
        <c:crossAx val="331670576"/>
        <c:crosses val="max"/>
        <c:crossBetween val="between"/>
        <c:majorUnit val="10"/>
      </c:valAx>
      <c:catAx>
        <c:axId val="331670576"/>
        <c:scaling>
          <c:orientation val="minMax"/>
        </c:scaling>
        <c:delete val="1"/>
        <c:axPos val="b"/>
        <c:numFmt formatCode="General" sourceLinked="1"/>
        <c:majorTickMark val="out"/>
        <c:minorTickMark val="none"/>
        <c:tickLblPos val="nextTo"/>
        <c:crossAx val="323971328"/>
        <c:crosses val="autoZero"/>
        <c:auto val="1"/>
        <c:lblAlgn val="ctr"/>
        <c:lblOffset val="100"/>
        <c:noMultiLvlLbl val="0"/>
      </c:catAx>
      <c:spPr>
        <a:ln>
          <a:solidFill>
            <a:schemeClr val="tx1"/>
          </a:solidFill>
        </a:ln>
      </c:spPr>
    </c:plotArea>
    <c:legend>
      <c:legendPos val="b"/>
      <c:layout>
        <c:manualLayout>
          <c:xMode val="edge"/>
          <c:yMode val="edge"/>
          <c:x val="7.2323130460832843E-2"/>
          <c:y val="0.88507093775279932"/>
          <c:w val="0.84458621047248839"/>
          <c:h val="0.11132549647630853"/>
        </c:manualLayout>
      </c:layout>
      <c:overlay val="0"/>
      <c:spPr>
        <a:ln w="6350">
          <a:solidFill>
            <a:schemeClr val="tx1"/>
          </a:solidFill>
        </a:ln>
      </c:spPr>
      <c:txPr>
        <a:bodyPr/>
        <a:lstStyle/>
        <a:p>
          <a:pPr>
            <a:defRPr sz="770"/>
          </a:pPr>
          <a:endParaRPr lang="cs-CZ"/>
        </a:p>
      </c:txPr>
    </c:legend>
    <c:plotVisOnly val="1"/>
    <c:dispBlanksAs val="gap"/>
    <c:showDLblsOverMax val="0"/>
  </c:chart>
  <c:spPr>
    <a:ln>
      <a:noFill/>
    </a:ln>
  </c:spPr>
  <c:txPr>
    <a:bodyPr/>
    <a:lstStyle/>
    <a:p>
      <a:pPr>
        <a:defRPr sz="800">
          <a:latin typeface="Arial" panose="020B0604020202020204" pitchFamily="34" charset="0"/>
          <a:cs typeface="Arial" panose="020B0604020202020204" pitchFamily="34" charset="0"/>
        </a:defRPr>
      </a:pPr>
      <a:endParaRPr lang="cs-CZ"/>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57959249939119E-2"/>
          <c:y val="1.6330737879601123E-2"/>
          <c:w val="0.91492556213978382"/>
          <c:h val="0.7577600516796773"/>
        </c:manualLayout>
      </c:layout>
      <c:barChart>
        <c:barDir val="col"/>
        <c:grouping val="clustered"/>
        <c:varyColors val="0"/>
        <c:ser>
          <c:idx val="1"/>
          <c:order val="1"/>
          <c:tx>
            <c:strRef>
              <c:f>'Trh práce 3'!$Z$113</c:f>
              <c:strCache>
                <c:ptCount val="1"/>
                <c:pt idx="0">
                  <c:v>Průměrná mzda celkem (reálně)</c:v>
                </c:pt>
              </c:strCache>
            </c:strRef>
          </c:tx>
          <c:spPr>
            <a:solidFill>
              <a:srgbClr val="D7D9DB"/>
            </a:solidFill>
            <a:ln>
              <a:noFill/>
            </a:ln>
            <a:effectLst/>
          </c:spPr>
          <c:invertIfNegative val="0"/>
          <c:cat>
            <c:multiLvlStrRef>
              <c:f>'Trh práce 3'!$W$114:$X$135</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'Trh práce 3'!$Z$114:$Z$135</c:f>
              <c:numCache>
                <c:formatCode>#\ ##0.0</c:formatCode>
                <c:ptCount val="22"/>
                <c:pt idx="0">
                  <c:v>0.79999999999999716</c:v>
                </c:pt>
                <c:pt idx="1">
                  <c:v>8.0999999999999943</c:v>
                </c:pt>
                <c:pt idx="2">
                  <c:v>1.2000000000000028</c:v>
                </c:pt>
                <c:pt idx="3">
                  <c:v>-2.0999999999999943</c:v>
                </c:pt>
                <c:pt idx="4">
                  <c:v>-5.2999999999999972</c:v>
                </c:pt>
                <c:pt idx="5">
                  <c:v>-11.5</c:v>
                </c:pt>
                <c:pt idx="6">
                  <c:v>-11.599999999999994</c:v>
                </c:pt>
                <c:pt idx="7">
                  <c:v>-8.7000000000000028</c:v>
                </c:pt>
                <c:pt idx="8">
                  <c:v>-7</c:v>
                </c:pt>
                <c:pt idx="9">
                  <c:v>-3.0999999999999943</c:v>
                </c:pt>
                <c:pt idx="10">
                  <c:v>-1.0999999999999943</c:v>
                </c:pt>
                <c:pt idx="11">
                  <c:v>-1.2999999999999972</c:v>
                </c:pt>
                <c:pt idx="12">
                  <c:v>5.0999999999999943</c:v>
                </c:pt>
                <c:pt idx="13">
                  <c:v>4</c:v>
                </c:pt>
                <c:pt idx="14">
                  <c:v>4.0999999999999943</c:v>
                </c:pt>
                <c:pt idx="15">
                  <c:v>3.2000000000000028</c:v>
                </c:pt>
                <c:pt idx="16">
                  <c:v>3.4000000000000057</c:v>
                </c:pt>
                <c:pt idx="17">
                  <c:v>4.7000000000000028</c:v>
                </c:pt>
                <c:pt idx="18">
                  <c:v>3.9000000000000057</c:v>
                </c:pt>
                <c:pt idx="19">
                  <c:v>4.4000000000000057</c:v>
                </c:pt>
                <c:pt idx="20">
                  <c:v>4.4000000000000057</c:v>
                </c:pt>
                <c:pt idx="21">
                  <c:v>4.2999999999999972</c:v>
                </c:pt>
              </c:numCache>
            </c:numRef>
          </c:val>
          <c:extLst>
            <c:ext xmlns:c16="http://schemas.microsoft.com/office/drawing/2014/chart" uri="{C3380CC4-5D6E-409C-BE32-E72D297353CC}">
              <c16:uniqueId val="{00000000-291F-4E47-9FBB-2D5C1E900EF1}"/>
            </c:ext>
          </c:extLst>
        </c:ser>
        <c:dLbls>
          <c:showLegendKey val="0"/>
          <c:showVal val="0"/>
          <c:showCatName val="0"/>
          <c:showSerName val="0"/>
          <c:showPercent val="0"/>
          <c:showBubbleSize val="0"/>
        </c:dLbls>
        <c:gapWidth val="50"/>
        <c:axId val="850416976"/>
        <c:axId val="627665280"/>
      </c:barChart>
      <c:lineChart>
        <c:grouping val="standard"/>
        <c:varyColors val="0"/>
        <c:ser>
          <c:idx val="0"/>
          <c:order val="0"/>
          <c:tx>
            <c:strRef>
              <c:f>'Trh práce 3'!$Y$113</c:f>
              <c:strCache>
                <c:ptCount val="1"/>
                <c:pt idx="0">
                  <c:v>Průměrná mzda celkem (nominálně)</c:v>
                </c:pt>
              </c:strCache>
            </c:strRef>
          </c:tx>
          <c:spPr>
            <a:ln w="19050" cap="rnd">
              <a:solidFill>
                <a:srgbClr val="8390A7"/>
              </a:solidFill>
              <a:round/>
            </a:ln>
            <a:effectLst/>
          </c:spPr>
          <c:marker>
            <c:symbol val="none"/>
          </c:marker>
          <c:cat>
            <c:multiLvlStrRef>
              <c:f>'Trh práce 3'!$W$114:$X$135</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'Trh práce 3'!$Y$114:$Y$135</c:f>
              <c:numCache>
                <c:formatCode>#\ ##0.0</c:formatCode>
                <c:ptCount val="22"/>
                <c:pt idx="0">
                  <c:v>3.0004890538246798</c:v>
                </c:pt>
                <c:pt idx="1">
                  <c:v>11.168458781362006</c:v>
                </c:pt>
                <c:pt idx="2">
                  <c:v>5.3398193189715215</c:v>
                </c:pt>
                <c:pt idx="3">
                  <c:v>3.8601248337255782</c:v>
                </c:pt>
                <c:pt idx="4">
                  <c:v>5.2703608535359194</c:v>
                </c:pt>
                <c:pt idx="5">
                  <c:v>2.4658240907918554</c:v>
                </c:pt>
                <c:pt idx="6">
                  <c:v>3.9318133839983034</c:v>
                </c:pt>
                <c:pt idx="7">
                  <c:v>5.6082362503386634</c:v>
                </c:pt>
                <c:pt idx="8">
                  <c:v>8.2513066779867899</c:v>
                </c:pt>
                <c:pt idx="9">
                  <c:v>7.6725570155565634</c:v>
                </c:pt>
                <c:pt idx="10">
                  <c:v>6.8171431473112278</c:v>
                </c:pt>
                <c:pt idx="11">
                  <c:v>6.1896543682074707</c:v>
                </c:pt>
                <c:pt idx="12">
                  <c:v>7.303742555329535</c:v>
                </c:pt>
                <c:pt idx="13">
                  <c:v>6.5834385374292879</c:v>
                </c:pt>
                <c:pt idx="14">
                  <c:v>6.510422856599547</c:v>
                </c:pt>
                <c:pt idx="15">
                  <c:v>6.1890538522357872</c:v>
                </c:pt>
                <c:pt idx="16">
                  <c:v>6.1944679198739294</c:v>
                </c:pt>
                <c:pt idx="17">
                  <c:v>7.1726255757841528</c:v>
                </c:pt>
                <c:pt idx="18">
                  <c:v>6.4873912073198028</c:v>
                </c:pt>
                <c:pt idx="19">
                  <c:v>6.6804550155118818</c:v>
                </c:pt>
                <c:pt idx="20">
                  <c:v>6.097692125696355</c:v>
                </c:pt>
                <c:pt idx="21">
                  <c:v>6.3569381907490765</c:v>
                </c:pt>
              </c:numCache>
            </c:numRef>
          </c:val>
          <c:smooth val="0"/>
          <c:extLst>
            <c:ext xmlns:c16="http://schemas.microsoft.com/office/drawing/2014/chart" uri="{C3380CC4-5D6E-409C-BE32-E72D297353CC}">
              <c16:uniqueId val="{00000001-291F-4E47-9FBB-2D5C1E900EF1}"/>
            </c:ext>
          </c:extLst>
        </c:ser>
        <c:ser>
          <c:idx val="2"/>
          <c:order val="2"/>
          <c:tx>
            <c:strRef>
              <c:f>'Trh práce 3'!$AA$113</c:f>
              <c:strCache>
                <c:ptCount val="1"/>
                <c:pt idx="0">
                  <c:v>Prům. mzda v průmyslu (nominálně)</c:v>
                </c:pt>
              </c:strCache>
            </c:strRef>
          </c:tx>
          <c:spPr>
            <a:ln w="15875" cap="rnd">
              <a:solidFill>
                <a:srgbClr val="BC5B80"/>
              </a:solidFill>
              <a:prstDash val="dash"/>
              <a:round/>
            </a:ln>
            <a:effectLst/>
          </c:spPr>
          <c:marker>
            <c:symbol val="none"/>
          </c:marker>
          <c:cat>
            <c:multiLvlStrRef>
              <c:f>'Trh práce 3'!$W$114:$X$135</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'Trh práce 3'!$AA$114:$AA$135</c:f>
              <c:numCache>
                <c:formatCode>#\ ##0.0</c:formatCode>
                <c:ptCount val="22"/>
                <c:pt idx="0">
                  <c:v>1.8985680538948344</c:v>
                </c:pt>
                <c:pt idx="1">
                  <c:v>10.170242950877807</c:v>
                </c:pt>
                <c:pt idx="2">
                  <c:v>4.7656227408114233</c:v>
                </c:pt>
                <c:pt idx="3">
                  <c:v>3.7112962913660397</c:v>
                </c:pt>
                <c:pt idx="4">
                  <c:v>4.9627933600457936</c:v>
                </c:pt>
                <c:pt idx="5">
                  <c:v>5.8242790073776121</c:v>
                </c:pt>
                <c:pt idx="6">
                  <c:v>5.6391288746584252</c:v>
                </c:pt>
                <c:pt idx="7">
                  <c:v>7.3649082274419158</c:v>
                </c:pt>
                <c:pt idx="8">
                  <c:v>10.053443856683202</c:v>
                </c:pt>
                <c:pt idx="9">
                  <c:v>9.2759722151802464</c:v>
                </c:pt>
                <c:pt idx="10">
                  <c:v>8.1338837792642096</c:v>
                </c:pt>
                <c:pt idx="11">
                  <c:v>6.9888102524866156</c:v>
                </c:pt>
                <c:pt idx="12">
                  <c:v>8.089492331706353</c:v>
                </c:pt>
                <c:pt idx="13">
                  <c:v>7.5814870664655984</c:v>
                </c:pt>
                <c:pt idx="14">
                  <c:v>7.0267004953485497</c:v>
                </c:pt>
                <c:pt idx="15">
                  <c:v>6.8473864169665006</c:v>
                </c:pt>
                <c:pt idx="16">
                  <c:v>6.4021455095585083</c:v>
                </c:pt>
                <c:pt idx="17">
                  <c:v>7.7458866150561789</c:v>
                </c:pt>
                <c:pt idx="18">
                  <c:v>6.0099790034542764</c:v>
                </c:pt>
                <c:pt idx="19">
                  <c:v>7.1740812783668986</c:v>
                </c:pt>
                <c:pt idx="20">
                  <c:v>6.1246472349684353</c:v>
                </c:pt>
                <c:pt idx="21">
                  <c:v>5.1275893125187508</c:v>
                </c:pt>
              </c:numCache>
            </c:numRef>
          </c:val>
          <c:smooth val="0"/>
          <c:extLst>
            <c:ext xmlns:c16="http://schemas.microsoft.com/office/drawing/2014/chart" uri="{C3380CC4-5D6E-409C-BE32-E72D297353CC}">
              <c16:uniqueId val="{00000002-291F-4E47-9FBB-2D5C1E900EF1}"/>
            </c:ext>
          </c:extLst>
        </c:ser>
        <c:ser>
          <c:idx val="3"/>
          <c:order val="3"/>
          <c:tx>
            <c:strRef>
              <c:f>'Trh práce 3'!$AB$113</c:f>
              <c:strCache>
                <c:ptCount val="1"/>
                <c:pt idx="0">
                  <c:v>Prům. mzda v obchodu (nominálně)</c:v>
                </c:pt>
              </c:strCache>
            </c:strRef>
          </c:tx>
          <c:spPr>
            <a:ln w="15875" cap="rnd">
              <a:solidFill>
                <a:srgbClr val="009CB5"/>
              </a:solidFill>
              <a:prstDash val="dash"/>
              <a:round/>
            </a:ln>
            <a:effectLst/>
          </c:spPr>
          <c:marker>
            <c:symbol val="none"/>
          </c:marker>
          <c:cat>
            <c:multiLvlStrRef>
              <c:f>'Trh práce 3'!$W$114:$X$135</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'Trh práce 3'!$AB$114:$AB$135</c:f>
              <c:numCache>
                <c:formatCode>#\ ##0.0</c:formatCode>
                <c:ptCount val="22"/>
                <c:pt idx="0">
                  <c:v>2.2321294994165299</c:v>
                </c:pt>
                <c:pt idx="1">
                  <c:v>9.8898705823792881</c:v>
                </c:pt>
                <c:pt idx="2">
                  <c:v>6.6146127126443588</c:v>
                </c:pt>
                <c:pt idx="3">
                  <c:v>8.7059366526279263</c:v>
                </c:pt>
                <c:pt idx="4">
                  <c:v>6.7609096496619543</c:v>
                </c:pt>
                <c:pt idx="5">
                  <c:v>5.6167369702460093</c:v>
                </c:pt>
                <c:pt idx="6">
                  <c:v>3.4585503049205073</c:v>
                </c:pt>
                <c:pt idx="7">
                  <c:v>5.3444432650461664</c:v>
                </c:pt>
                <c:pt idx="8">
                  <c:v>8.2325849165227396</c:v>
                </c:pt>
                <c:pt idx="9">
                  <c:v>6.9557991797785945</c:v>
                </c:pt>
                <c:pt idx="10">
                  <c:v>6.314429521169231</c:v>
                </c:pt>
                <c:pt idx="11">
                  <c:v>5.6073353821351191</c:v>
                </c:pt>
                <c:pt idx="12">
                  <c:v>7.6063829787234027</c:v>
                </c:pt>
                <c:pt idx="13">
                  <c:v>6.302942208410613</c:v>
                </c:pt>
                <c:pt idx="14">
                  <c:v>6.8102989949112498</c:v>
                </c:pt>
                <c:pt idx="15">
                  <c:v>5.5982253601755616</c:v>
                </c:pt>
                <c:pt idx="16">
                  <c:v>3.3872372478403179</c:v>
                </c:pt>
                <c:pt idx="17">
                  <c:v>5.1253035339604338</c:v>
                </c:pt>
                <c:pt idx="18">
                  <c:v>4.4276944227168258</c:v>
                </c:pt>
                <c:pt idx="19">
                  <c:v>5.2178627092227288</c:v>
                </c:pt>
                <c:pt idx="20">
                  <c:v>6.34078593870953</c:v>
                </c:pt>
                <c:pt idx="21">
                  <c:v>6.173891592473808</c:v>
                </c:pt>
              </c:numCache>
            </c:numRef>
          </c:val>
          <c:smooth val="0"/>
          <c:extLst>
            <c:ext xmlns:c16="http://schemas.microsoft.com/office/drawing/2014/chart" uri="{C3380CC4-5D6E-409C-BE32-E72D297353CC}">
              <c16:uniqueId val="{00000003-291F-4E47-9FBB-2D5C1E900EF1}"/>
            </c:ext>
          </c:extLst>
        </c:ser>
        <c:ser>
          <c:idx val="4"/>
          <c:order val="4"/>
          <c:tx>
            <c:strRef>
              <c:f>'Trh práce 3'!$AC$113</c:f>
              <c:strCache>
                <c:ptCount val="1"/>
                <c:pt idx="0">
                  <c:v>Prům. mzda ve veř. službách (nom.)*</c:v>
                </c:pt>
              </c:strCache>
            </c:strRef>
          </c:tx>
          <c:spPr>
            <a:ln w="15875" cap="rnd">
              <a:solidFill>
                <a:srgbClr val="85BF5E"/>
              </a:solidFill>
              <a:prstDash val="dash"/>
              <a:round/>
            </a:ln>
            <a:effectLst/>
          </c:spPr>
          <c:marker>
            <c:symbol val="none"/>
          </c:marker>
          <c:cat>
            <c:multiLvlStrRef>
              <c:f>'Trh práce 3'!$W$114:$X$135</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'Trh práce 3'!$AC$114:$AC$135</c:f>
              <c:numCache>
                <c:formatCode>#\ ##0.0</c:formatCode>
                <c:ptCount val="22"/>
                <c:pt idx="0">
                  <c:v>4.5485385483402752</c:v>
                </c:pt>
                <c:pt idx="1">
                  <c:v>17.785684079315018</c:v>
                </c:pt>
                <c:pt idx="2">
                  <c:v>5.4643357321226631</c:v>
                </c:pt>
                <c:pt idx="3">
                  <c:v>-0.40508430459891542</c:v>
                </c:pt>
                <c:pt idx="4">
                  <c:v>2.3050985414715655</c:v>
                </c:pt>
                <c:pt idx="5">
                  <c:v>-7.0315803873919265</c:v>
                </c:pt>
                <c:pt idx="6">
                  <c:v>0.30518367768182486</c:v>
                </c:pt>
                <c:pt idx="7">
                  <c:v>3.4014494016982155</c:v>
                </c:pt>
                <c:pt idx="8">
                  <c:v>7.9558858004871666</c:v>
                </c:pt>
                <c:pt idx="9">
                  <c:v>6.6185978338731104</c:v>
                </c:pt>
                <c:pt idx="10">
                  <c:v>6.1956460416074748</c:v>
                </c:pt>
                <c:pt idx="11">
                  <c:v>5.4315381637976827</c:v>
                </c:pt>
                <c:pt idx="12">
                  <c:v>4.9055773020722171</c:v>
                </c:pt>
                <c:pt idx="13">
                  <c:v>5.1422675010122134</c:v>
                </c:pt>
                <c:pt idx="14">
                  <c:v>5.2333623000588148</c:v>
                </c:pt>
                <c:pt idx="15">
                  <c:v>4.088030032660626</c:v>
                </c:pt>
                <c:pt idx="16">
                  <c:v>5.2201477242158774</c:v>
                </c:pt>
                <c:pt idx="17">
                  <c:v>6.0948127472935028</c:v>
                </c:pt>
                <c:pt idx="18">
                  <c:v>5.9730216581103832</c:v>
                </c:pt>
                <c:pt idx="19">
                  <c:v>5.8514536384590912</c:v>
                </c:pt>
                <c:pt idx="20">
                  <c:v>5.2436213824090743</c:v>
                </c:pt>
                <c:pt idx="21">
                  <c:v>7.1109780909529121</c:v>
                </c:pt>
              </c:numCache>
            </c:numRef>
          </c:val>
          <c:smooth val="0"/>
          <c:extLst>
            <c:ext xmlns:c16="http://schemas.microsoft.com/office/drawing/2014/chart" uri="{C3380CC4-5D6E-409C-BE32-E72D297353CC}">
              <c16:uniqueId val="{00000004-291F-4E47-9FBB-2D5C1E900EF1}"/>
            </c:ext>
          </c:extLst>
        </c:ser>
        <c:dLbls>
          <c:showLegendKey val="0"/>
          <c:showVal val="0"/>
          <c:showCatName val="0"/>
          <c:showSerName val="0"/>
          <c:showPercent val="0"/>
          <c:showBubbleSize val="0"/>
        </c:dLbls>
        <c:marker val="1"/>
        <c:smooth val="0"/>
        <c:axId val="850416976"/>
        <c:axId val="627665280"/>
      </c:lineChart>
      <c:catAx>
        <c:axId val="850416976"/>
        <c:scaling>
          <c:orientation val="minMax"/>
        </c:scaling>
        <c:delete val="0"/>
        <c:axPos val="b"/>
        <c:numFmt formatCode="General" sourceLinked="1"/>
        <c:majorTickMark val="none"/>
        <c:minorTickMark val="none"/>
        <c:tickLblPos val="low"/>
        <c:spPr>
          <a:noFill/>
          <a:ln w="9525" cap="flat" cmpd="sng" algn="ctr">
            <a:solidFill>
              <a:schemeClr val="tx1">
                <a:lumMod val="95000"/>
                <a:lumOff val="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627665280"/>
        <c:crossesAt val="0"/>
        <c:auto val="1"/>
        <c:lblAlgn val="ctr"/>
        <c:lblOffset val="0"/>
        <c:noMultiLvlLbl val="0"/>
      </c:catAx>
      <c:valAx>
        <c:axId val="627665280"/>
        <c:scaling>
          <c:orientation val="minMax"/>
          <c:max val="18"/>
          <c:min val="-1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850416976"/>
        <c:crossesAt val="1"/>
        <c:crossBetween val="between"/>
        <c:majorUnit val="2"/>
      </c:valAx>
      <c:spPr>
        <a:noFill/>
        <a:ln>
          <a:solidFill>
            <a:schemeClr val="tx1"/>
          </a:solidFill>
        </a:ln>
        <a:effectLst/>
      </c:spPr>
    </c:plotArea>
    <c:legend>
      <c:legendPos val="b"/>
      <c:layout>
        <c:manualLayout>
          <c:xMode val="edge"/>
          <c:yMode val="edge"/>
          <c:x val="7.214914630516546E-2"/>
          <c:y val="0.87090119606315763"/>
          <c:w val="0.90518602700435646"/>
          <c:h val="0.10975176890804522"/>
        </c:manualLayout>
      </c:layout>
      <c:overlay val="0"/>
      <c:spPr>
        <a:noFill/>
        <a:ln>
          <a:solidFill>
            <a:schemeClr val="tx1"/>
          </a:solid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legend>
    <c:plotVisOnly val="1"/>
    <c:dispBlanksAs val="gap"/>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9581433637284705E-2"/>
          <c:y val="3.9582348305752559E-2"/>
          <c:w val="0.93508633063154345"/>
          <c:h val="0.73130361364405005"/>
        </c:manualLayout>
      </c:layout>
      <c:barChart>
        <c:barDir val="col"/>
        <c:grouping val="clustered"/>
        <c:varyColors val="0"/>
        <c:ser>
          <c:idx val="0"/>
          <c:order val="0"/>
          <c:tx>
            <c:strRef>
              <c:f>'Měnové podmínky 1'!$C$5</c:f>
              <c:strCache>
                <c:ptCount val="1"/>
                <c:pt idx="0">
                  <c:v>2T repo sazba</c:v>
                </c:pt>
              </c:strCache>
            </c:strRef>
          </c:tx>
          <c:spPr>
            <a:solidFill>
              <a:srgbClr val="B8BBC0"/>
            </a:solidFill>
          </c:spPr>
          <c:invertIfNegative val="0"/>
          <c:cat>
            <c:multiLvlStrRef>
              <c:f>'Měnové podmínky 1'!$A$42:$B$107</c:f>
              <c:multiLvlStrCache>
                <c:ptCount val="66"/>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pt idx="52">
                    <c:v>5</c:v>
                  </c:pt>
                  <c:pt idx="53">
                    <c:v>6</c:v>
                  </c:pt>
                  <c:pt idx="54">
                    <c:v>7</c:v>
                  </c:pt>
                  <c:pt idx="55">
                    <c:v>8</c:v>
                  </c:pt>
                  <c:pt idx="56">
                    <c:v>9</c:v>
                  </c:pt>
                  <c:pt idx="57">
                    <c:v>10</c:v>
                  </c:pt>
                  <c:pt idx="58">
                    <c:v>11</c:v>
                  </c:pt>
                  <c:pt idx="59">
                    <c:v>12</c:v>
                  </c:pt>
                  <c:pt idx="60">
                    <c:v>1</c:v>
                  </c:pt>
                  <c:pt idx="61">
                    <c:v>2</c:v>
                  </c:pt>
                  <c:pt idx="62">
                    <c:v>3</c:v>
                  </c:pt>
                  <c:pt idx="63">
                    <c:v>4</c:v>
                  </c:pt>
                  <c:pt idx="64">
                    <c:v>5</c:v>
                  </c:pt>
                  <c:pt idx="65">
                    <c:v>6</c:v>
                  </c:pt>
                </c:lvl>
                <c:lvl>
                  <c:pt idx="0">
                    <c:v>2021</c:v>
                  </c:pt>
                  <c:pt idx="12">
                    <c:v>2022</c:v>
                  </c:pt>
                  <c:pt idx="24">
                    <c:v>2023</c:v>
                  </c:pt>
                  <c:pt idx="36">
                    <c:v>2024</c:v>
                  </c:pt>
                  <c:pt idx="48">
                    <c:v>2025</c:v>
                  </c:pt>
                  <c:pt idx="60">
                    <c:v>2026</c:v>
                  </c:pt>
                </c:lvl>
              </c:multiLvlStrCache>
            </c:multiLvlStrRef>
          </c:cat>
          <c:val>
            <c:numRef>
              <c:f>'Měnové podmínky 1'!$C$42:$C$107</c:f>
              <c:numCache>
                <c:formatCode>General</c:formatCode>
                <c:ptCount val="66"/>
                <c:pt idx="0">
                  <c:v>0.25</c:v>
                </c:pt>
                <c:pt idx="1">
                  <c:v>0.25</c:v>
                </c:pt>
                <c:pt idx="2">
                  <c:v>0.25</c:v>
                </c:pt>
                <c:pt idx="3">
                  <c:v>0.25</c:v>
                </c:pt>
                <c:pt idx="4">
                  <c:v>0.25</c:v>
                </c:pt>
                <c:pt idx="5">
                  <c:v>0.5</c:v>
                </c:pt>
                <c:pt idx="6">
                  <c:v>0.5</c:v>
                </c:pt>
                <c:pt idx="7">
                  <c:v>0.75</c:v>
                </c:pt>
                <c:pt idx="8">
                  <c:v>0.75</c:v>
                </c:pt>
                <c:pt idx="9">
                  <c:v>1.5</c:v>
                </c:pt>
                <c:pt idx="10">
                  <c:v>2.75</c:v>
                </c:pt>
                <c:pt idx="11">
                  <c:v>3.75</c:v>
                </c:pt>
                <c:pt idx="12">
                  <c:v>3.75</c:v>
                </c:pt>
                <c:pt idx="13">
                  <c:v>4.5</c:v>
                </c:pt>
                <c:pt idx="14">
                  <c:v>4.5</c:v>
                </c:pt>
                <c:pt idx="15">
                  <c:v>5</c:v>
                </c:pt>
                <c:pt idx="16">
                  <c:v>5.75</c:v>
                </c:pt>
                <c:pt idx="17">
                  <c:v>7</c:v>
                </c:pt>
                <c:pt idx="18">
                  <c:v>7</c:v>
                </c:pt>
                <c:pt idx="19">
                  <c:v>7</c:v>
                </c:pt>
                <c:pt idx="20">
                  <c:v>7</c:v>
                </c:pt>
                <c:pt idx="21">
                  <c:v>7</c:v>
                </c:pt>
                <c:pt idx="22">
                  <c:v>7</c:v>
                </c:pt>
                <c:pt idx="23">
                  <c:v>7</c:v>
                </c:pt>
                <c:pt idx="24">
                  <c:v>7</c:v>
                </c:pt>
                <c:pt idx="25">
                  <c:v>7</c:v>
                </c:pt>
                <c:pt idx="26">
                  <c:v>7</c:v>
                </c:pt>
                <c:pt idx="27" formatCode="###\ ###\ ###\ ###\ ##0.00;\-###\ ###\ ###\ ###\ ##0.00">
                  <c:v>7</c:v>
                </c:pt>
                <c:pt idx="28" formatCode="###\ ###\ ###\ ###\ ##0.00;\-###\ ###\ ###\ ###\ ##0.00">
                  <c:v>7</c:v>
                </c:pt>
                <c:pt idx="29" formatCode="###\ ###\ ###\ ###\ ##0.00;\-###\ ###\ ###\ ###\ ##0.00">
                  <c:v>7</c:v>
                </c:pt>
                <c:pt idx="30" formatCode="###\ ###\ ###\ ###\ ##0.00;\-###\ ###\ ###\ ###\ ##0.00">
                  <c:v>7</c:v>
                </c:pt>
                <c:pt idx="31" formatCode="###\ ###\ ###\ ###\ ##0.00;\-###\ ###\ ###\ ###\ ##0.00">
                  <c:v>7</c:v>
                </c:pt>
                <c:pt idx="32" formatCode="###\ ###\ ###\ ###\ ##0.00;\-###\ ###\ ###\ ###\ ##0.00">
                  <c:v>7</c:v>
                </c:pt>
                <c:pt idx="33" formatCode="###\ ###\ ###\ ###\ ##0.00;\-###\ ###\ ###\ ###\ ##0.00">
                  <c:v>7</c:v>
                </c:pt>
                <c:pt idx="34" formatCode="###\ ###\ ###\ ###\ ##0.00;\-###\ ###\ ###\ ###\ ##0.00">
                  <c:v>7</c:v>
                </c:pt>
                <c:pt idx="35" formatCode="###\ ###\ ###\ ###\ ##0.00;\-###\ ###\ ###\ ###\ ##0.00">
                  <c:v>6.75</c:v>
                </c:pt>
                <c:pt idx="36" formatCode="###\ ###\ ###\ ###\ ##0.00;\-###\ ###\ ###\ ###\ ##0.00">
                  <c:v>6.75</c:v>
                </c:pt>
                <c:pt idx="37" formatCode="###\ ###\ ###\ ###\ ##0.00;\-###\ ###\ ###\ ###\ ##0.00">
                  <c:v>6.25</c:v>
                </c:pt>
                <c:pt idx="38" formatCode="###\ ###\ ###\ ###\ ##0.00;\-###\ ###\ ###\ ###\ ##0.00">
                  <c:v>5.75</c:v>
                </c:pt>
                <c:pt idx="39" formatCode="###\ ###\ ###\ ###\ ##0.00;\-###\ ###\ ###\ ###\ ##0.00">
                  <c:v>5.75</c:v>
                </c:pt>
                <c:pt idx="40" formatCode="###\ ###\ ###\ ###\ ##0.00;\-###\ ###\ ###\ ###\ ##0.00">
                  <c:v>5.25</c:v>
                </c:pt>
                <c:pt idx="41" formatCode="###\ ###\ ###\ ###\ ##0.00;\-###\ ###\ ###\ ###\ ##0.00">
                  <c:v>4.75</c:v>
                </c:pt>
                <c:pt idx="42" formatCode="###\ ###\ ###\ ###\ ##0.00;\-###\ ###\ ###\ ###\ ##0.00">
                  <c:v>4.75</c:v>
                </c:pt>
                <c:pt idx="43" formatCode="###\ ###\ ###\ ###\ ##0.00;\-###\ ###\ ###\ ###\ ##0.00">
                  <c:v>4.5</c:v>
                </c:pt>
                <c:pt idx="44" formatCode="###\ ###\ ###\ ###\ ##0.00;\-###\ ###\ ###\ ###\ ##0.00">
                  <c:v>4.25</c:v>
                </c:pt>
                <c:pt idx="45" formatCode="###\ ###\ ###\ ###\ ##0.00;\-###\ ###\ ###\ ###\ ##0.00">
                  <c:v>4.25</c:v>
                </c:pt>
                <c:pt idx="46" formatCode="###\ ###\ ###\ ###\ ##0.00;\-###\ ###\ ###\ ###\ ##0.00">
                  <c:v>4</c:v>
                </c:pt>
                <c:pt idx="47" formatCode="###\ ###\ ###\ ###\ ##0.00;\-###\ ###\ ###\ ###\ ##0.00">
                  <c:v>4</c:v>
                </c:pt>
                <c:pt idx="48" formatCode="###\ ###\ ###\ ###\ ##0.00;\-###\ ###\ ###\ ###\ ##0.00">
                  <c:v>4</c:v>
                </c:pt>
                <c:pt idx="49" formatCode="###\ ###\ ###\ ###\ ##0.00;\-###\ ###\ ###\ ###\ ##0.00">
                  <c:v>3.75</c:v>
                </c:pt>
                <c:pt idx="50" formatCode="###\ ###\ ###\ ###\ ##0.00;\-###\ ###\ ###\ ###\ ##0.00">
                  <c:v>3.75</c:v>
                </c:pt>
                <c:pt idx="51" formatCode="###\ ###\ ###\ ###\ ##0.00;\-###\ ###\ ###\ ###\ ##0.00">
                  <c:v>3.75</c:v>
                </c:pt>
                <c:pt idx="52" formatCode="###\ ###\ ###\ ###\ ##0.00;\-###\ ###\ ###\ ###\ ##0.00">
                  <c:v>3.5</c:v>
                </c:pt>
                <c:pt idx="53" formatCode="###\ ###\ ###\ ###\ ##0.00;\-###\ ###\ ###\ ###\ ##0.00">
                  <c:v>3.5</c:v>
                </c:pt>
                <c:pt idx="54" formatCode="###\ ###\ ###\ ###\ ##0.00;\-###\ ###\ ###\ ###\ ##0.00">
                  <c:v>3.5</c:v>
                </c:pt>
                <c:pt idx="55" formatCode="###\ ###\ ###\ ###\ ##0.00;\-###\ ###\ ###\ ###\ ##0.00">
                  <c:v>3.5</c:v>
                </c:pt>
                <c:pt idx="56" formatCode="###\ ###\ ###\ ###\ ##0.00;\-###\ ###\ ###\ ###\ ##0.00">
                  <c:v>3.5</c:v>
                </c:pt>
                <c:pt idx="57" formatCode="###\ ###\ ###\ ###\ ##0.00;\-###\ ###\ ###\ ###\ ##0.00">
                  <c:v>3.5</c:v>
                </c:pt>
                <c:pt idx="58" formatCode="###\ ###\ ###\ ###\ ##0.00;\-###\ ###\ ###\ ###\ ##0.00">
                  <c:v>3.5</c:v>
                </c:pt>
                <c:pt idx="59" formatCode="###\ ###\ ###\ ###\ ##0.00;\-###\ ###\ ###\ ###\ ##0.00">
                  <c:v>3.5</c:v>
                </c:pt>
                <c:pt idx="60" formatCode="###\ ###\ ###\ ###\ ##0.00;\-###\ ###\ ###\ ###\ ##0.00">
                  <c:v>3.5</c:v>
                </c:pt>
                <c:pt idx="61" formatCode="###\ ###\ ###\ ###\ ##0.00;\-###\ ###\ ###\ ###\ ##0.00">
                  <c:v>3.5</c:v>
                </c:pt>
                <c:pt idx="62" formatCode="###\ ###\ ###\ ###\ ##0.00;\-###\ ###\ ###\ ###\ ##0.00">
                  <c:v>3.5</c:v>
                </c:pt>
                <c:pt idx="63" formatCode="###\ ###\ ###\ ###\ ##0.00;\-###\ ###\ ###\ ###\ ##0.00">
                  <c:v>3.5</c:v>
                </c:pt>
                <c:pt idx="64" formatCode="###\ ###\ ###\ ###\ ##0.00;\-###\ ###\ ###\ ###\ ##0.00">
                  <c:v>3.5</c:v>
                </c:pt>
                <c:pt idx="65" formatCode="###\ ###\ ###\ ###\ ##0.00;\-###\ ###\ ###\ ###\ ##0.00">
                  <c:v>3.75</c:v>
                </c:pt>
              </c:numCache>
            </c:numRef>
          </c:val>
          <c:extLst>
            <c:ext xmlns:c16="http://schemas.microsoft.com/office/drawing/2014/chart" uri="{C3380CC4-5D6E-409C-BE32-E72D297353CC}">
              <c16:uniqueId val="{00000000-2A0C-4E7A-9C08-83E8F4B946D1}"/>
            </c:ext>
          </c:extLst>
        </c:ser>
        <c:dLbls>
          <c:showLegendKey val="0"/>
          <c:showVal val="0"/>
          <c:showCatName val="0"/>
          <c:showSerName val="0"/>
          <c:showPercent val="0"/>
          <c:showBubbleSize val="0"/>
        </c:dLbls>
        <c:gapWidth val="31"/>
        <c:axId val="271742464"/>
        <c:axId val="271744000"/>
      </c:barChart>
      <c:lineChart>
        <c:grouping val="standard"/>
        <c:varyColors val="0"/>
        <c:ser>
          <c:idx val="3"/>
          <c:order val="1"/>
          <c:tx>
            <c:strRef>
              <c:f>'Měnové podmínky 1'!$F$5</c:f>
              <c:strCache>
                <c:ptCount val="1"/>
                <c:pt idx="0">
                  <c:v>Průměrný výnos státních dluhopisů (2Y)</c:v>
                </c:pt>
              </c:strCache>
            </c:strRef>
          </c:tx>
          <c:spPr>
            <a:ln w="19050">
              <a:solidFill>
                <a:srgbClr val="86BF5E"/>
              </a:solidFill>
            </a:ln>
          </c:spPr>
          <c:marker>
            <c:symbol val="none"/>
          </c:marker>
          <c:cat>
            <c:multiLvlStrRef>
              <c:f>'Měnové podmínky 1'!$A$42:$B$107</c:f>
              <c:multiLvlStrCache>
                <c:ptCount val="66"/>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pt idx="52">
                    <c:v>5</c:v>
                  </c:pt>
                  <c:pt idx="53">
                    <c:v>6</c:v>
                  </c:pt>
                  <c:pt idx="54">
                    <c:v>7</c:v>
                  </c:pt>
                  <c:pt idx="55">
                    <c:v>8</c:v>
                  </c:pt>
                  <c:pt idx="56">
                    <c:v>9</c:v>
                  </c:pt>
                  <c:pt idx="57">
                    <c:v>10</c:v>
                  </c:pt>
                  <c:pt idx="58">
                    <c:v>11</c:v>
                  </c:pt>
                  <c:pt idx="59">
                    <c:v>12</c:v>
                  </c:pt>
                  <c:pt idx="60">
                    <c:v>1</c:v>
                  </c:pt>
                  <c:pt idx="61">
                    <c:v>2</c:v>
                  </c:pt>
                  <c:pt idx="62">
                    <c:v>3</c:v>
                  </c:pt>
                  <c:pt idx="63">
                    <c:v>4</c:v>
                  </c:pt>
                  <c:pt idx="64">
                    <c:v>5</c:v>
                  </c:pt>
                  <c:pt idx="65">
                    <c:v>6</c:v>
                  </c:pt>
                </c:lvl>
                <c:lvl>
                  <c:pt idx="0">
                    <c:v>2021</c:v>
                  </c:pt>
                  <c:pt idx="12">
                    <c:v>2022</c:v>
                  </c:pt>
                  <c:pt idx="24">
                    <c:v>2023</c:v>
                  </c:pt>
                  <c:pt idx="36">
                    <c:v>2024</c:v>
                  </c:pt>
                  <c:pt idx="48">
                    <c:v>2025</c:v>
                  </c:pt>
                  <c:pt idx="60">
                    <c:v>2026</c:v>
                  </c:pt>
                </c:lvl>
              </c:multiLvlStrCache>
            </c:multiLvlStrRef>
          </c:cat>
          <c:val>
            <c:numRef>
              <c:f>'Měnové podmínky 1'!$F$42:$F$107</c:f>
              <c:numCache>
                <c:formatCode>General</c:formatCode>
                <c:ptCount val="66"/>
                <c:pt idx="0">
                  <c:v>0.26</c:v>
                </c:pt>
                <c:pt idx="1">
                  <c:v>0.45</c:v>
                </c:pt>
                <c:pt idx="2">
                  <c:v>0.75</c:v>
                </c:pt>
                <c:pt idx="3">
                  <c:v>0.76</c:v>
                </c:pt>
                <c:pt idx="4">
                  <c:v>0.76</c:v>
                </c:pt>
                <c:pt idx="5">
                  <c:v>0.69</c:v>
                </c:pt>
                <c:pt idx="6">
                  <c:v>0.84</c:v>
                </c:pt>
                <c:pt idx="7">
                  <c:v>1.24</c:v>
                </c:pt>
                <c:pt idx="8">
                  <c:v>1.6</c:v>
                </c:pt>
                <c:pt idx="9">
                  <c:v>2.29</c:v>
                </c:pt>
                <c:pt idx="10">
                  <c:v>3</c:v>
                </c:pt>
                <c:pt idx="11">
                  <c:v>3.07</c:v>
                </c:pt>
                <c:pt idx="12">
                  <c:v>3.81</c:v>
                </c:pt>
                <c:pt idx="13">
                  <c:v>3.77</c:v>
                </c:pt>
                <c:pt idx="14">
                  <c:v>4.54</c:v>
                </c:pt>
                <c:pt idx="15">
                  <c:v>5.13</c:v>
                </c:pt>
                <c:pt idx="16">
                  <c:v>5.65</c:v>
                </c:pt>
                <c:pt idx="17">
                  <c:v>6.26</c:v>
                </c:pt>
                <c:pt idx="18">
                  <c:v>6.38</c:v>
                </c:pt>
                <c:pt idx="19">
                  <c:v>5.86</c:v>
                </c:pt>
                <c:pt idx="20">
                  <c:v>5.9</c:v>
                </c:pt>
                <c:pt idx="21">
                  <c:v>6.18</c:v>
                </c:pt>
                <c:pt idx="22">
                  <c:v>5.68</c:v>
                </c:pt>
                <c:pt idx="23">
                  <c:v>5.19</c:v>
                </c:pt>
                <c:pt idx="24" formatCode="###\ ###\ ###\ ###\ ##0.00;\-###\ ###\ ###\ ###\ ##0.00">
                  <c:v>5.3820143358172814</c:v>
                </c:pt>
                <c:pt idx="25" formatCode="###\ ###\ ###\ ###\ ##0.00;\-###\ ###\ ###\ ###\ ##0.00">
                  <c:v>5.5102623550618501</c:v>
                </c:pt>
                <c:pt idx="26" formatCode="###\ ###\ ###\ ###\ ##0.00;\-###\ ###\ ###\ ###\ ##0.00">
                  <c:v>5.2897725027111999</c:v>
                </c:pt>
                <c:pt idx="27" formatCode="###\ ###\ ###\ ###\ ##0.00;\-###\ ###\ ###\ ###\ ##0.00">
                  <c:v>5.4232360381175866</c:v>
                </c:pt>
                <c:pt idx="28" formatCode="###\ ###\ ###\ ###\ ##0.00;\-###\ ###\ ###\ ###\ ##0.00">
                  <c:v>5.4162815888395777</c:v>
                </c:pt>
                <c:pt idx="29" formatCode="###\ ###\ ###\ ###\ ##0.00;\-###\ ###\ ###\ ###\ ##0.00">
                  <c:v>5.3664752553650841</c:v>
                </c:pt>
                <c:pt idx="30" formatCode="###\ ###\ ###\ ###\ ##0.00;\-###\ ###\ ###\ ###\ ##0.00">
                  <c:v>5.2428078558777935</c:v>
                </c:pt>
                <c:pt idx="31" formatCode="###\ ###\ ###\ ###\ ##0.00;\-###\ ###\ ###\ ###\ ##0.00">
                  <c:v>5.1353490658602521</c:v>
                </c:pt>
                <c:pt idx="32" formatCode="###\ ###\ ###\ ###\ ##0.00;\-###\ ###\ ###\ ###\ ##0.00">
                  <c:v>5.0416686003519704</c:v>
                </c:pt>
                <c:pt idx="33" formatCode="###\ ###\ ###\ ###\ ##0.00;\-###\ ###\ ###\ ###\ ##0.00">
                  <c:v>5.0079198294298592</c:v>
                </c:pt>
                <c:pt idx="34" formatCode="###\ ###\ ###\ ###\ ##0.00;\-###\ ###\ ###\ ###\ ##0.00">
                  <c:v>4.8554647740100689</c:v>
                </c:pt>
                <c:pt idx="35" formatCode="###\ ###\ ###\ ###\ ##0.00;\-###\ ###\ ###\ ###\ ##0.00">
                  <c:v>4.6053753410259048</c:v>
                </c:pt>
                <c:pt idx="36" formatCode="###\ ###\ ###\ ###\ ##0.00;\-###\ ###\ ###\ ###\ ##0.00">
                  <c:v>4.2136537187056122</c:v>
                </c:pt>
                <c:pt idx="37" formatCode="###\ ###\ ###\ ###\ ##0.00;\-###\ ###\ ###\ ###\ ##0.00">
                  <c:v>3.7766020145670578</c:v>
                </c:pt>
                <c:pt idx="38" formatCode="###\ ###\ ###\ ###\ ##0.00;\-###\ ###\ ###\ ###\ ##0.00">
                  <c:v>3.7279261080474861</c:v>
                </c:pt>
                <c:pt idx="39" formatCode="###\ ###\ ###\ ###\ ##0.00;\-###\ ###\ ###\ ###\ ##0.00">
                  <c:v>4.0118973322405145</c:v>
                </c:pt>
                <c:pt idx="40" formatCode="###\ ###\ ###\ ###\ ##0.00;\-###\ ###\ ###\ ###\ ##0.00">
                  <c:v>4.1300681765456435</c:v>
                </c:pt>
                <c:pt idx="41" formatCode="###\ ###\ ###\ ###\ ##0.00;\-###\ ###\ ###\ ###\ ##0.00">
                  <c:v>4.2164856033630391</c:v>
                </c:pt>
                <c:pt idx="42" formatCode="###\ ###\ ###\ ###\ ##0.00;\-###\ ###\ ###\ ###\ ##0.00">
                  <c:v>3.9029960800170911</c:v>
                </c:pt>
                <c:pt idx="43" formatCode="###\ ###\ ###\ ###\ ##0.00;\-###\ ###\ ###\ ###\ ##0.00">
                  <c:v>3.6092171953235983</c:v>
                </c:pt>
                <c:pt idx="44" formatCode="###\ ###\ ###\ ###\ ##0.00;\-###\ ###\ ###\ ###\ ##0.00">
                  <c:v>3.5038942508225221</c:v>
                </c:pt>
                <c:pt idx="45" formatCode="###\ ###\ ###\ ###\ ##0.00;\-###\ ###\ ###\ ###\ ##0.00">
                  <c:v>3.5913124701621322</c:v>
                </c:pt>
                <c:pt idx="46" formatCode="###\ ###\ ###\ ###\ ##0.00;\-###\ ###\ ###\ ###\ ##0.00">
                  <c:v>3.6229260484095986</c:v>
                </c:pt>
                <c:pt idx="47" formatCode="###\ ###\ ###\ ###\ ##0.00;\-###\ ###\ ###\ ###\ ##0.00">
                  <c:v>3.633213073730468</c:v>
                </c:pt>
                <c:pt idx="48" formatCode="###\ ###\ ###\ ###\ ##0.00;\-###\ ###\ ###\ ###\ ##0.00">
                  <c:v>3.6198225590376429</c:v>
                </c:pt>
                <c:pt idx="49" formatCode="###\ ###\ ###\ ###\ ##0.00;\-###\ ###\ ###\ ###\ ##0.00">
                  <c:v>3.4995673098754891</c:v>
                </c:pt>
                <c:pt idx="50" formatCode="###\ ###\ ###\ ###\ ##0.00;\-###\ ###\ ###\ ###\ ##0.00">
                  <c:v>3.4362126025099986</c:v>
                </c:pt>
                <c:pt idx="51" formatCode="###\ ###\ ###\ ###\ ##0.00;\-###\ ###\ ###\ ###\ ##0.00">
                  <c:v>3.3165813662414552</c:v>
                </c:pt>
                <c:pt idx="52" formatCode="###\ ###\ ###\ ###\ ##0.00;\-###\ ###\ ###\ ###\ ##0.00">
                  <c:v>3.381600528900147</c:v>
                </c:pt>
                <c:pt idx="53" formatCode="###\ ###\ ###\ ###\ ##0.00;\-###\ ###\ ###\ ###\ ##0.00">
                  <c:v>3.473857271350679</c:v>
                </c:pt>
                <c:pt idx="54" formatCode="###\ ###\ ###\ ###\ ##0.00;\-###\ ###\ ###\ ###\ ##0.00">
                  <c:v>3.5190819740892496</c:v>
                </c:pt>
                <c:pt idx="55" formatCode="###\ ###\ ###\ ###\ ##0.00;\-###\ ###\ ###\ ###\ ##0.00">
                  <c:v>3.4836667416091198</c:v>
                </c:pt>
                <c:pt idx="56" formatCode="###\ ###\ ###\ ###\ ##0.00;\-###\ ###\ ###\ ###\ ##0.00">
                  <c:v>3.5436249291853472</c:v>
                </c:pt>
                <c:pt idx="57" formatCode="###\ ###\ ###\ ###\ ##0.00;\-###\ ###\ ###\ ###\ ##0.00">
                  <c:v>3.574561141829057</c:v>
                </c:pt>
                <c:pt idx="58" formatCode="###\ ###\ ###\ ###\ ##0.00;\-###\ ###\ ###\ ###\ ##0.00">
                  <c:v>3.6337666942257352</c:v>
                </c:pt>
                <c:pt idx="59" formatCode="###\ ###\ ###\ ###\ ##0.00;\-###\ ###\ ###\ ###\ ##0.00">
                  <c:v>3.5964323584064695</c:v>
                </c:pt>
                <c:pt idx="60" formatCode="###\ ###\ ###\ ###\ ##0.00;\-###\ ###\ ###\ ###\ ##0.00">
                  <c:v>3.4753374715459913</c:v>
                </c:pt>
                <c:pt idx="61" formatCode="###\ ###\ ###\ ###\ ##0.00;\-###\ ###\ ###\ ###\ ##0.00">
                  <c:v>3.3840517354049684</c:v>
                </c:pt>
                <c:pt idx="62" formatCode="###\ ###\ ###\ ###\ ##0.00;\-###\ ###\ ###\ ###\ ##0.00">
                  <c:v>3.9218512695035064</c:v>
                </c:pt>
                <c:pt idx="63" formatCode="###\ ###\ ###\ ###\ ##0.00;\-###\ ###\ ###\ ###\ ##0.00">
                  <c:v>4.0021824290771493</c:v>
                </c:pt>
                <c:pt idx="64" formatCode="###\ ###\ ###\ ###\ ##0.00;\-###\ ###\ ###\ ###\ ##0.00">
                  <c:v>4.019428968923469</c:v>
                </c:pt>
                <c:pt idx="65" formatCode="###\ ###\ ###\ ###\ ##0.00;\-###\ ###\ ###\ ###\ ##0.00">
                  <c:v>3.915485051211403</c:v>
                </c:pt>
              </c:numCache>
            </c:numRef>
          </c:val>
          <c:smooth val="0"/>
          <c:extLst>
            <c:ext xmlns:c16="http://schemas.microsoft.com/office/drawing/2014/chart" uri="{C3380CC4-5D6E-409C-BE32-E72D297353CC}">
              <c16:uniqueId val="{00000001-2A0C-4E7A-9C08-83E8F4B946D1}"/>
            </c:ext>
          </c:extLst>
        </c:ser>
        <c:ser>
          <c:idx val="1"/>
          <c:order val="2"/>
          <c:tx>
            <c:strRef>
              <c:f>'Měnové podmínky 1'!$D$5</c:f>
              <c:strCache>
                <c:ptCount val="1"/>
                <c:pt idx="0">
                  <c:v>PRIBOR (3M)</c:v>
                </c:pt>
              </c:strCache>
            </c:strRef>
          </c:tx>
          <c:spPr>
            <a:ln w="19050">
              <a:solidFill>
                <a:srgbClr val="009CB5"/>
              </a:solidFill>
            </a:ln>
          </c:spPr>
          <c:marker>
            <c:symbol val="none"/>
          </c:marker>
          <c:cat>
            <c:multiLvlStrRef>
              <c:f>'Měnové podmínky 1'!$A$42:$B$107</c:f>
              <c:multiLvlStrCache>
                <c:ptCount val="66"/>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pt idx="52">
                    <c:v>5</c:v>
                  </c:pt>
                  <c:pt idx="53">
                    <c:v>6</c:v>
                  </c:pt>
                  <c:pt idx="54">
                    <c:v>7</c:v>
                  </c:pt>
                  <c:pt idx="55">
                    <c:v>8</c:v>
                  </c:pt>
                  <c:pt idx="56">
                    <c:v>9</c:v>
                  </c:pt>
                  <c:pt idx="57">
                    <c:v>10</c:v>
                  </c:pt>
                  <c:pt idx="58">
                    <c:v>11</c:v>
                  </c:pt>
                  <c:pt idx="59">
                    <c:v>12</c:v>
                  </c:pt>
                  <c:pt idx="60">
                    <c:v>1</c:v>
                  </c:pt>
                  <c:pt idx="61">
                    <c:v>2</c:v>
                  </c:pt>
                  <c:pt idx="62">
                    <c:v>3</c:v>
                  </c:pt>
                  <c:pt idx="63">
                    <c:v>4</c:v>
                  </c:pt>
                  <c:pt idx="64">
                    <c:v>5</c:v>
                  </c:pt>
                  <c:pt idx="65">
                    <c:v>6</c:v>
                  </c:pt>
                </c:lvl>
                <c:lvl>
                  <c:pt idx="0">
                    <c:v>2021</c:v>
                  </c:pt>
                  <c:pt idx="12">
                    <c:v>2022</c:v>
                  </c:pt>
                  <c:pt idx="24">
                    <c:v>2023</c:v>
                  </c:pt>
                  <c:pt idx="36">
                    <c:v>2024</c:v>
                  </c:pt>
                  <c:pt idx="48">
                    <c:v>2025</c:v>
                  </c:pt>
                  <c:pt idx="60">
                    <c:v>2026</c:v>
                  </c:pt>
                </c:lvl>
              </c:multiLvlStrCache>
            </c:multiLvlStrRef>
          </c:cat>
          <c:val>
            <c:numRef>
              <c:f>'Měnové podmínky 1'!$D$42:$D$107</c:f>
              <c:numCache>
                <c:formatCode>General</c:formatCode>
                <c:ptCount val="66"/>
                <c:pt idx="0">
                  <c:v>0.36</c:v>
                </c:pt>
                <c:pt idx="1">
                  <c:v>0.36</c:v>
                </c:pt>
                <c:pt idx="2">
                  <c:v>0.36</c:v>
                </c:pt>
                <c:pt idx="3">
                  <c:v>0.36</c:v>
                </c:pt>
                <c:pt idx="4">
                  <c:v>0.37</c:v>
                </c:pt>
                <c:pt idx="5">
                  <c:v>0.48</c:v>
                </c:pt>
                <c:pt idx="6">
                  <c:v>0.69</c:v>
                </c:pt>
                <c:pt idx="7">
                  <c:v>0.94</c:v>
                </c:pt>
                <c:pt idx="8">
                  <c:v>1.1100000000000001</c:v>
                </c:pt>
                <c:pt idx="9">
                  <c:v>2.02</c:v>
                </c:pt>
                <c:pt idx="10">
                  <c:v>2.97</c:v>
                </c:pt>
                <c:pt idx="11">
                  <c:v>3.5</c:v>
                </c:pt>
                <c:pt idx="12">
                  <c:v>4.21</c:v>
                </c:pt>
                <c:pt idx="13">
                  <c:v>4.6900000000000004</c:v>
                </c:pt>
                <c:pt idx="14">
                  <c:v>4.8600000000000003</c:v>
                </c:pt>
                <c:pt idx="15">
                  <c:v>5.36</c:v>
                </c:pt>
                <c:pt idx="16">
                  <c:v>5.97</c:v>
                </c:pt>
                <c:pt idx="17">
                  <c:v>6.64</c:v>
                </c:pt>
                <c:pt idx="18">
                  <c:v>7.3</c:v>
                </c:pt>
                <c:pt idx="19">
                  <c:v>7.27</c:v>
                </c:pt>
                <c:pt idx="20">
                  <c:v>7.25</c:v>
                </c:pt>
                <c:pt idx="21">
                  <c:v>7.28</c:v>
                </c:pt>
                <c:pt idx="22">
                  <c:v>7.27</c:v>
                </c:pt>
                <c:pt idx="23">
                  <c:v>7.26</c:v>
                </c:pt>
                <c:pt idx="24" formatCode="###\ ###\ ###\ ###\ ##0.00;\-###\ ###\ ###\ ###\ ##0.00">
                  <c:v>7.2161904761904765</c:v>
                </c:pt>
                <c:pt idx="25" formatCode="###\ ###\ ###\ ###\ ##0.00;\-###\ ###\ ###\ ###\ ##0.00">
                  <c:v>7.2010526315789471</c:v>
                </c:pt>
                <c:pt idx="26" formatCode="###\ ###\ ###\ ###\ ##0.00;\-###\ ###\ ###\ ###\ ##0.00">
                  <c:v>7.1931818181818183</c:v>
                </c:pt>
                <c:pt idx="27" formatCode="###\ ###\ ###\ ###\ ##0.00;\-###\ ###\ ###\ ###\ ##0.00">
                  <c:v>7.1788888888888893</c:v>
                </c:pt>
                <c:pt idx="28" formatCode="###\ ###\ ###\ ###\ ##0.00;\-###\ ###\ ###\ ###\ ##0.00">
                  <c:v>7.1790476190476191</c:v>
                </c:pt>
                <c:pt idx="29" formatCode="###\ ###\ ###\ ###\ ##0.00;\-###\ ###\ ###\ ###\ ##0.00">
                  <c:v>7.1472727272727274</c:v>
                </c:pt>
                <c:pt idx="30" formatCode="###\ ###\ ###\ ###\ ##0.00;\-###\ ###\ ###\ ###\ ##0.00">
                  <c:v>7.1121052631578952</c:v>
                </c:pt>
                <c:pt idx="31" formatCode="###\ ###\ ###\ ###\ ##0.00;\-###\ ###\ ###\ ###\ ##0.00">
                  <c:v>7.1030434782608696</c:v>
                </c:pt>
                <c:pt idx="32" formatCode="###\ ###\ ###\ ###\ ##0.00;\-###\ ###\ ###\ ###\ ##0.00">
                  <c:v>7.0895000000000001</c:v>
                </c:pt>
                <c:pt idx="33" formatCode="###\ ###\ ###\ ###\ ##0.00;\-###\ ###\ ###\ ###\ ##0.00">
                  <c:v>7.0472727272727269</c:v>
                </c:pt>
                <c:pt idx="34" formatCode="###\ ###\ ###\ ###\ ##0.00;\-###\ ###\ ###\ ###\ ##0.00">
                  <c:v>7.062380952380952</c:v>
                </c:pt>
                <c:pt idx="35" formatCode="###\ ###\ ###\ ###\ ##0.00;\-###\ ###\ ###\ ###\ ##0.00">
                  <c:v>6.9663157894736845</c:v>
                </c:pt>
                <c:pt idx="36" formatCode="###\ ###\ ###\ ###\ ##0.00;\-###\ ###\ ###\ ###\ ##0.00">
                  <c:v>6.6340909090909088</c:v>
                </c:pt>
                <c:pt idx="37" formatCode="###\ ###\ ###\ ###\ ##0.00;\-###\ ###\ ###\ ###\ ##0.00">
                  <c:v>6.2019047619047623</c:v>
                </c:pt>
                <c:pt idx="38" formatCode="###\ ###\ ###\ ###\ ##0.00;\-###\ ###\ ###\ ###\ ##0.00">
                  <c:v>5.8363157894736846</c:v>
                </c:pt>
                <c:pt idx="39" formatCode="###\ ###\ ###\ ###\ ##0.00;\-###\ ###\ ###\ ###\ ##0.00">
                  <c:v>5.5461904761904766</c:v>
                </c:pt>
                <c:pt idx="40" formatCode="###\ ###\ ###\ ###\ ##0.00;\-###\ ###\ ###\ ###\ ##0.00">
                  <c:v>5.1704761904761902</c:v>
                </c:pt>
                <c:pt idx="41" formatCode="###\ ###\ ###\ ###\ ##0.00;\-###\ ###\ ###\ ###\ ##0.00">
                  <c:v>5.0274999999999999</c:v>
                </c:pt>
                <c:pt idx="42" formatCode="###\ ###\ ###\ ###\ ##0.00;\-###\ ###\ ###\ ###\ ##0.00">
                  <c:v>4.6090909090909093</c:v>
                </c:pt>
                <c:pt idx="43" formatCode="###\ ###\ ###\ ###\ ##0.00;\-###\ ###\ ###\ ###\ ##0.00">
                  <c:v>4.4118181818181821</c:v>
                </c:pt>
                <c:pt idx="44" formatCode="###\ ###\ ###\ ###\ ##0.00;\-###\ ###\ ###\ ###\ ##0.00">
                  <c:v>4.3004761904761901</c:v>
                </c:pt>
                <c:pt idx="45" formatCode="###\ ###\ ###\ ###\ ##0.00;\-###\ ###\ ###\ ###\ ##0.00">
                  <c:v>4.1322727272727269</c:v>
                </c:pt>
                <c:pt idx="46" formatCode="###\ ###\ ###\ ###\ ##0.00;\-###\ ###\ ###\ ###\ ##0.00">
                  <c:v>3.9452380952380954</c:v>
                </c:pt>
                <c:pt idx="47" formatCode="###\ ###\ ###\ ###\ ##0.00;\-###\ ###\ ###\ ###\ ##0.00">
                  <c:v>3.9066666666666667</c:v>
                </c:pt>
                <c:pt idx="48" formatCode="###\ ###\ ###\ ###\ ##0.00;\-###\ ###\ ###\ ###\ ##0.00">
                  <c:v>3.8804545454545454</c:v>
                </c:pt>
                <c:pt idx="49" formatCode="###\ ###\ ###\ ###\ ##0.00;\-###\ ###\ ###\ ###\ ##0.00">
                  <c:v>3.756842105263158</c:v>
                </c:pt>
                <c:pt idx="50" formatCode="###\ ###\ ###\ ###\ ##0.00;\-###\ ###\ ###\ ###\ ##0.00">
                  <c:v>3.7164999999999999</c:v>
                </c:pt>
                <c:pt idx="51" formatCode="###\ ###\ ###\ ###\ ##0.00;\-###\ ###\ ###\ ###\ ##0.00">
                  <c:v>3.68</c:v>
                </c:pt>
                <c:pt idx="52" formatCode="###\ ###\ ###\ ###\ ##0.00;\-###\ ###\ ###\ ###\ ##0.00">
                  <c:v>3.5357894736842104</c:v>
                </c:pt>
                <c:pt idx="53" formatCode="###\ ###\ ###\ ###\ ##0.00;\-###\ ###\ ###\ ###\ ##0.00">
                  <c:v>3.5114999999999998</c:v>
                </c:pt>
                <c:pt idx="54" formatCode="###\ ###\ ###\ ###\ ##0.00;\-###\ ###\ ###\ ###\ ##0.00">
                  <c:v>3.4930434782608697</c:v>
                </c:pt>
                <c:pt idx="55" formatCode="###\ ###\ ###\ ###\ ##0.00;\-###\ ###\ ###\ ###\ ##0.00">
                  <c:v>3.5024999999999999</c:v>
                </c:pt>
                <c:pt idx="56" formatCode="###\ ###\ ###\ ###\ ##0.00;\-###\ ###\ ###\ ###\ ##0.00">
                  <c:v>3.4909523809523808</c:v>
                </c:pt>
                <c:pt idx="57" formatCode="###\ ###\ ###\ ###\ ##0.00;\-###\ ###\ ###\ ###\ ##0.00">
                  <c:v>3.5263636363636364</c:v>
                </c:pt>
                <c:pt idx="58" formatCode="###\ ###\ ###\ ###\ ##0.00;\-###\ ###\ ###\ ###\ ##0.00">
                  <c:v>3.5516666666666667</c:v>
                </c:pt>
                <c:pt idx="59" formatCode="###\ ###\ ###\ ###\ ##0.00;\-###\ ###\ ###\ ###\ ##0.00">
                  <c:v>3.54</c:v>
                </c:pt>
                <c:pt idx="60" formatCode="###\ ###\ ###\ ###\ ##0.00;\-###\ ###\ ###\ ###\ ##0.00">
                  <c:v>3.4975000000000001</c:v>
                </c:pt>
                <c:pt idx="61" formatCode="###\ ###\ ###\ ###\ ##0.00;\-###\ ###\ ###\ ###\ ##0.00">
                  <c:v>3.4763157894736842</c:v>
                </c:pt>
                <c:pt idx="62" formatCode="###\ ###\ ###\ ###\ ##0.00;\-###\ ###\ ###\ ###\ ##0.00">
                  <c:v>3.5452380952380951</c:v>
                </c:pt>
                <c:pt idx="63" formatCode="###\ ###\ ###\ ###\ ##0.00;\-###\ ###\ ###\ ###\ ##0.00">
                  <c:v>3.5655555555555556</c:v>
                </c:pt>
                <c:pt idx="64" formatCode="###\ ###\ ###\ ###\ ##0.00;\-###\ ###\ ###\ ###\ ##0.00">
                  <c:v>3.5622222222222222</c:v>
                </c:pt>
                <c:pt idx="65" formatCode="###\ ###\ ###\ ###\ ##0.00;\-###\ ###\ ###\ ###\ ##0.00">
                  <c:v>3.68</c:v>
                </c:pt>
              </c:numCache>
            </c:numRef>
          </c:val>
          <c:smooth val="0"/>
          <c:extLst>
            <c:ext xmlns:c16="http://schemas.microsoft.com/office/drawing/2014/chart" uri="{C3380CC4-5D6E-409C-BE32-E72D297353CC}">
              <c16:uniqueId val="{00000002-2A0C-4E7A-9C08-83E8F4B946D1}"/>
            </c:ext>
          </c:extLst>
        </c:ser>
        <c:ser>
          <c:idx val="4"/>
          <c:order val="3"/>
          <c:tx>
            <c:strRef>
              <c:f>'Měnové podmínky 1'!$G$5</c:f>
              <c:strCache>
                <c:ptCount val="1"/>
                <c:pt idx="0">
                  <c:v>Průměrný výnos státních dluhopisů (5Y)</c:v>
                </c:pt>
              </c:strCache>
            </c:strRef>
          </c:tx>
          <c:spPr>
            <a:ln w="19050">
              <a:solidFill>
                <a:srgbClr val="CC9610"/>
              </a:solidFill>
            </a:ln>
          </c:spPr>
          <c:marker>
            <c:symbol val="none"/>
          </c:marker>
          <c:cat>
            <c:multiLvlStrRef>
              <c:f>'Měnové podmínky 1'!$A$42:$B$107</c:f>
              <c:multiLvlStrCache>
                <c:ptCount val="66"/>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pt idx="52">
                    <c:v>5</c:v>
                  </c:pt>
                  <c:pt idx="53">
                    <c:v>6</c:v>
                  </c:pt>
                  <c:pt idx="54">
                    <c:v>7</c:v>
                  </c:pt>
                  <c:pt idx="55">
                    <c:v>8</c:v>
                  </c:pt>
                  <c:pt idx="56">
                    <c:v>9</c:v>
                  </c:pt>
                  <c:pt idx="57">
                    <c:v>10</c:v>
                  </c:pt>
                  <c:pt idx="58">
                    <c:v>11</c:v>
                  </c:pt>
                  <c:pt idx="59">
                    <c:v>12</c:v>
                  </c:pt>
                  <c:pt idx="60">
                    <c:v>1</c:v>
                  </c:pt>
                  <c:pt idx="61">
                    <c:v>2</c:v>
                  </c:pt>
                  <c:pt idx="62">
                    <c:v>3</c:v>
                  </c:pt>
                  <c:pt idx="63">
                    <c:v>4</c:v>
                  </c:pt>
                  <c:pt idx="64">
                    <c:v>5</c:v>
                  </c:pt>
                  <c:pt idx="65">
                    <c:v>6</c:v>
                  </c:pt>
                </c:lvl>
                <c:lvl>
                  <c:pt idx="0">
                    <c:v>2021</c:v>
                  </c:pt>
                  <c:pt idx="12">
                    <c:v>2022</c:v>
                  </c:pt>
                  <c:pt idx="24">
                    <c:v>2023</c:v>
                  </c:pt>
                  <c:pt idx="36">
                    <c:v>2024</c:v>
                  </c:pt>
                  <c:pt idx="48">
                    <c:v>2025</c:v>
                  </c:pt>
                  <c:pt idx="60">
                    <c:v>2026</c:v>
                  </c:pt>
                </c:lvl>
              </c:multiLvlStrCache>
            </c:multiLvlStrRef>
          </c:cat>
          <c:val>
            <c:numRef>
              <c:f>'Měnové podmínky 1'!$G$42:$G$107</c:f>
              <c:numCache>
                <c:formatCode>General</c:formatCode>
                <c:ptCount val="66"/>
                <c:pt idx="0">
                  <c:v>0.82</c:v>
                </c:pt>
                <c:pt idx="1">
                  <c:v>1.06</c:v>
                </c:pt>
                <c:pt idx="2">
                  <c:v>1.4</c:v>
                </c:pt>
                <c:pt idx="3">
                  <c:v>1.43</c:v>
                </c:pt>
                <c:pt idx="4">
                  <c:v>1.47</c:v>
                </c:pt>
                <c:pt idx="5">
                  <c:v>1.55</c:v>
                </c:pt>
                <c:pt idx="6">
                  <c:v>1.63</c:v>
                </c:pt>
                <c:pt idx="7">
                  <c:v>1.68</c:v>
                </c:pt>
                <c:pt idx="8">
                  <c:v>1.87</c:v>
                </c:pt>
                <c:pt idx="9">
                  <c:v>2.37</c:v>
                </c:pt>
                <c:pt idx="10">
                  <c:v>2.84</c:v>
                </c:pt>
                <c:pt idx="11">
                  <c:v>2.84</c:v>
                </c:pt>
                <c:pt idx="12">
                  <c:v>3.36</c:v>
                </c:pt>
                <c:pt idx="13">
                  <c:v>3.2</c:v>
                </c:pt>
                <c:pt idx="14">
                  <c:v>3.85</c:v>
                </c:pt>
                <c:pt idx="15">
                  <c:v>4.54</c:v>
                </c:pt>
                <c:pt idx="16">
                  <c:v>4.99</c:v>
                </c:pt>
                <c:pt idx="17">
                  <c:v>5.49</c:v>
                </c:pt>
                <c:pt idx="18">
                  <c:v>5.12</c:v>
                </c:pt>
                <c:pt idx="19">
                  <c:v>4.67</c:v>
                </c:pt>
                <c:pt idx="20">
                  <c:v>5.0599999999999996</c:v>
                </c:pt>
                <c:pt idx="21">
                  <c:v>5.69</c:v>
                </c:pt>
                <c:pt idx="22">
                  <c:v>5.31</c:v>
                </c:pt>
                <c:pt idx="23">
                  <c:v>4.9000000000000004</c:v>
                </c:pt>
                <c:pt idx="24" formatCode="###\ ###\ ###\ ###\ ##0.00;\-###\ ###\ ###\ ###\ ##0.00">
                  <c:v>4.7307064721228871</c:v>
                </c:pt>
                <c:pt idx="25" formatCode="###\ ###\ ###\ ###\ ##0.00;\-###\ ###\ ###\ ###\ ##0.00">
                  <c:v>4.869274267276765</c:v>
                </c:pt>
                <c:pt idx="26" formatCode="###\ ###\ ###\ ###\ ##0.00;\-###\ ###\ ###\ ###\ ##0.00">
                  <c:v>4.8901662581800389</c:v>
                </c:pt>
                <c:pt idx="27" formatCode="###\ ###\ ###\ ###\ ##0.00;\-###\ ###\ ###\ ###\ ##0.00">
                  <c:v>4.9165403661897455</c:v>
                </c:pt>
                <c:pt idx="28" formatCode="###\ ###\ ###\ ###\ ##0.00;\-###\ ###\ ###\ ###\ ##0.00">
                  <c:v>4.8278684891401031</c:v>
                </c:pt>
                <c:pt idx="29" formatCode="###\ ###\ ###\ ###\ ##0.00;\-###\ ###\ ###\ ###\ ##0.00">
                  <c:v>4.641252073600076</c:v>
                </c:pt>
                <c:pt idx="30" formatCode="###\ ###\ ###\ ###\ ##0.00;\-###\ ###\ ###\ ###\ ##0.00">
                  <c:v>4.3712476122939803</c:v>
                </c:pt>
                <c:pt idx="31" formatCode="###\ ###\ ###\ ###\ ##0.00;\-###\ ###\ ###\ ###\ ##0.00">
                  <c:v>4.4394883944569479</c:v>
                </c:pt>
                <c:pt idx="32" formatCode="###\ ###\ ###\ ###\ ##0.00;\-###\ ###\ ###\ ###\ ##0.00">
                  <c:v>4.5697569170379646</c:v>
                </c:pt>
                <c:pt idx="33" formatCode="###\ ###\ ###\ ###\ ##0.00;\-###\ ###\ ###\ ###\ ##0.00">
                  <c:v>4.6213398432367514</c:v>
                </c:pt>
                <c:pt idx="34" formatCode="###\ ###\ ###\ ###\ ##0.00;\-###\ ###\ ###\ ###\ ##0.00">
                  <c:v>4.3189525391351618</c:v>
                </c:pt>
                <c:pt idx="35" formatCode="###\ ###\ ###\ ###\ ##0.00;\-###\ ###\ ###\ ###\ ##0.00">
                  <c:v>3.9581509254616192</c:v>
                </c:pt>
                <c:pt idx="36" formatCode="###\ ###\ ###\ ###\ ##0.00;\-###\ ###\ ###\ ###\ ##0.00">
                  <c:v>3.7948081133062201</c:v>
                </c:pt>
                <c:pt idx="37" formatCode="###\ ###\ ###\ ###\ ##0.00;\-###\ ###\ ###\ ###\ ##0.00">
                  <c:v>3.5373832658022923</c:v>
                </c:pt>
                <c:pt idx="38" formatCode="###\ ###\ ###\ ###\ ##0.00;\-###\ ###\ ###\ ###\ ##0.00">
                  <c:v>3.5659496523361214</c:v>
                </c:pt>
                <c:pt idx="39" formatCode="###\ ###\ ###\ ###\ ##0.00;\-###\ ###\ ###\ ###\ ##0.00">
                  <c:v>4.0341267380705332</c:v>
                </c:pt>
                <c:pt idx="40" formatCode="###\ ###\ ###\ ###\ ##0.00;\-###\ ###\ ###\ ###\ ##0.00">
                  <c:v>4.0872759187026269</c:v>
                </c:pt>
                <c:pt idx="41" formatCode="###\ ###\ ###\ ###\ ##0.00;\-###\ ###\ ###\ ###\ ##0.00">
                  <c:v>4.1227102073974615</c:v>
                </c:pt>
                <c:pt idx="42" formatCode="###\ ###\ ###\ ###\ ##0.00;\-###\ ###\ ###\ ###\ ##0.00">
                  <c:v>3.7623325475565603</c:v>
                </c:pt>
                <c:pt idx="43" formatCode="###\ ###\ ###\ ###\ ##0.00;\-###\ ###\ ###\ ###\ ##0.00">
                  <c:v>3.5039129182503443</c:v>
                </c:pt>
                <c:pt idx="44" formatCode="###\ ###\ ###\ ###\ ##0.00;\-###\ ###\ ###\ ###\ ##0.00">
                  <c:v>3.4678035691094786</c:v>
                </c:pt>
                <c:pt idx="45" formatCode="###\ ###\ ###\ ###\ ##0.00;\-###\ ###\ ###\ ###\ ##0.00">
                  <c:v>3.6478032298510006</c:v>
                </c:pt>
                <c:pt idx="46" formatCode="###\ ###\ ###\ ###\ ##0.00;\-###\ ###\ ###\ ###\ ##0.00">
                  <c:v>3.6973093706088598</c:v>
                </c:pt>
                <c:pt idx="47" formatCode="###\ ###\ ###\ ###\ ##0.00;\-###\ ###\ ###\ ###\ ##0.00">
                  <c:v>3.7325675120007555</c:v>
                </c:pt>
                <c:pt idx="48" formatCode="###\ ###\ ###\ ###\ ##0.00;\-###\ ###\ ###\ ###\ ##0.00">
                  <c:v>3.7588141404146134</c:v>
                </c:pt>
                <c:pt idx="49" formatCode="###\ ###\ ###\ ###\ ##0.00;\-###\ ###\ ###\ ###\ ##0.00">
                  <c:v>3.6352823803920744</c:v>
                </c:pt>
                <c:pt idx="50" formatCode="###\ ###\ ###\ ###\ ##0.00;\-###\ ###\ ###\ ###\ ##0.00">
                  <c:v>3.7899252239626939</c:v>
                </c:pt>
                <c:pt idx="51" formatCode="###\ ###\ ###\ ###\ ##0.00;\-###\ ###\ ###\ ###\ ##0.00">
                  <c:v>3.6082305577112832</c:v>
                </c:pt>
                <c:pt idx="52" formatCode="###\ ###\ ###\ ###\ ##0.00;\-###\ ###\ ###\ ###\ ##0.00">
                  <c:v>3.6407699215316769</c:v>
                </c:pt>
                <c:pt idx="53" formatCode="###\ ###\ ###\ ###\ ##0.00;\-###\ ###\ ###\ ###\ ##0.00">
                  <c:v>3.7391957632436612</c:v>
                </c:pt>
                <c:pt idx="54" formatCode="###\ ###\ ###\ ###\ ##0.00;\-###\ ###\ ###\ ###\ ##0.00">
                  <c:v>3.8233096920115157</c:v>
                </c:pt>
                <c:pt idx="55" formatCode="###\ ###\ ###\ ###\ ##0.00;\-###\ ###\ ###\ ###\ ##0.00">
                  <c:v>3.8536075264749683</c:v>
                </c:pt>
                <c:pt idx="56" formatCode="###\ ###\ ###\ ###\ ##0.00;\-###\ ###\ ###\ ###\ ##0.00">
                  <c:v>3.9325922037802039</c:v>
                </c:pt>
                <c:pt idx="57" formatCode="###\ ###\ ###\ ###\ ##0.00;\-###\ ###\ ###\ ###\ ##0.00">
                  <c:v>3.9580321574258517</c:v>
                </c:pt>
                <c:pt idx="58" formatCode="###\ ###\ ###\ ###\ ##0.00;\-###\ ###\ ###\ ###\ ##0.00">
                  <c:v>4.0644120306794917</c:v>
                </c:pt>
                <c:pt idx="59" formatCode="###\ ###\ ###\ ###\ ##0.00;\-###\ ###\ ###\ ###\ ##0.00">
                  <c:v>4.1202900348510756</c:v>
                </c:pt>
                <c:pt idx="60" formatCode="###\ ###\ ###\ ###\ ##0.00;\-###\ ###\ ###\ ###\ ##0.00">
                  <c:v>3.885740804274787</c:v>
                </c:pt>
                <c:pt idx="61" formatCode="###\ ###\ ###\ ###\ ##0.00;\-###\ ###\ ###\ ###\ ##0.00">
                  <c:v>3.7283504054723107</c:v>
                </c:pt>
                <c:pt idx="62" formatCode="###\ ###\ ###\ ###\ ##0.00;\-###\ ###\ ###\ ###\ ##0.00">
                  <c:v>4.2556336292179004</c:v>
                </c:pt>
                <c:pt idx="63" formatCode="###\ ###\ ###\ ###\ ##0.00;\-###\ ###\ ###\ ###\ ##0.00">
                  <c:v>4.2514390298759475</c:v>
                </c:pt>
                <c:pt idx="64" formatCode="###\ ###\ ###\ ###\ ##0.00;\-###\ ###\ ###\ ###\ ##0.00">
                  <c:v>4.4316819789865072</c:v>
                </c:pt>
                <c:pt idx="65" formatCode="###\ ###\ ###\ ###\ ##0.00;\-###\ ###\ ###\ ###\ ##0.00">
                  <c:v>4.1550090419134724</c:v>
                </c:pt>
              </c:numCache>
            </c:numRef>
          </c:val>
          <c:smooth val="0"/>
          <c:extLst>
            <c:ext xmlns:c16="http://schemas.microsoft.com/office/drawing/2014/chart" uri="{C3380CC4-5D6E-409C-BE32-E72D297353CC}">
              <c16:uniqueId val="{00000003-2A0C-4E7A-9C08-83E8F4B946D1}"/>
            </c:ext>
          </c:extLst>
        </c:ser>
        <c:ser>
          <c:idx val="2"/>
          <c:order val="4"/>
          <c:tx>
            <c:strRef>
              <c:f>'Měnové podmínky 1'!$E$5</c:f>
              <c:strCache>
                <c:ptCount val="1"/>
                <c:pt idx="0">
                  <c:v>PRIBOR (1Y)</c:v>
                </c:pt>
              </c:strCache>
            </c:strRef>
          </c:tx>
          <c:spPr>
            <a:ln w="19050">
              <a:solidFill>
                <a:srgbClr val="BC5B80"/>
              </a:solidFill>
            </a:ln>
          </c:spPr>
          <c:marker>
            <c:symbol val="none"/>
          </c:marker>
          <c:cat>
            <c:multiLvlStrRef>
              <c:f>'Měnové podmínky 1'!$A$42:$B$107</c:f>
              <c:multiLvlStrCache>
                <c:ptCount val="66"/>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pt idx="52">
                    <c:v>5</c:v>
                  </c:pt>
                  <c:pt idx="53">
                    <c:v>6</c:v>
                  </c:pt>
                  <c:pt idx="54">
                    <c:v>7</c:v>
                  </c:pt>
                  <c:pt idx="55">
                    <c:v>8</c:v>
                  </c:pt>
                  <c:pt idx="56">
                    <c:v>9</c:v>
                  </c:pt>
                  <c:pt idx="57">
                    <c:v>10</c:v>
                  </c:pt>
                  <c:pt idx="58">
                    <c:v>11</c:v>
                  </c:pt>
                  <c:pt idx="59">
                    <c:v>12</c:v>
                  </c:pt>
                  <c:pt idx="60">
                    <c:v>1</c:v>
                  </c:pt>
                  <c:pt idx="61">
                    <c:v>2</c:v>
                  </c:pt>
                  <c:pt idx="62">
                    <c:v>3</c:v>
                  </c:pt>
                  <c:pt idx="63">
                    <c:v>4</c:v>
                  </c:pt>
                  <c:pt idx="64">
                    <c:v>5</c:v>
                  </c:pt>
                  <c:pt idx="65">
                    <c:v>6</c:v>
                  </c:pt>
                </c:lvl>
                <c:lvl>
                  <c:pt idx="0">
                    <c:v>2021</c:v>
                  </c:pt>
                  <c:pt idx="12">
                    <c:v>2022</c:v>
                  </c:pt>
                  <c:pt idx="24">
                    <c:v>2023</c:v>
                  </c:pt>
                  <c:pt idx="36">
                    <c:v>2024</c:v>
                  </c:pt>
                  <c:pt idx="48">
                    <c:v>2025</c:v>
                  </c:pt>
                  <c:pt idx="60">
                    <c:v>2026</c:v>
                  </c:pt>
                </c:lvl>
              </c:multiLvlStrCache>
            </c:multiLvlStrRef>
          </c:cat>
          <c:val>
            <c:numRef>
              <c:f>'Měnové podmínky 1'!$E$42:$E$107</c:f>
              <c:numCache>
                <c:formatCode>General</c:formatCode>
                <c:ptCount val="66"/>
                <c:pt idx="0">
                  <c:v>0.49</c:v>
                </c:pt>
                <c:pt idx="1">
                  <c:v>0.54</c:v>
                </c:pt>
                <c:pt idx="2">
                  <c:v>0.56000000000000005</c:v>
                </c:pt>
                <c:pt idx="3">
                  <c:v>0.56000000000000005</c:v>
                </c:pt>
                <c:pt idx="4">
                  <c:v>0.67</c:v>
                </c:pt>
                <c:pt idx="5">
                  <c:v>0.78</c:v>
                </c:pt>
                <c:pt idx="6">
                  <c:v>1</c:v>
                </c:pt>
                <c:pt idx="7">
                  <c:v>1.3</c:v>
                </c:pt>
                <c:pt idx="8">
                  <c:v>1.52</c:v>
                </c:pt>
                <c:pt idx="9">
                  <c:v>2.44</c:v>
                </c:pt>
                <c:pt idx="10">
                  <c:v>3.5</c:v>
                </c:pt>
                <c:pt idx="11">
                  <c:v>3.96</c:v>
                </c:pt>
                <c:pt idx="12">
                  <c:v>4.55</c:v>
                </c:pt>
                <c:pt idx="13">
                  <c:v>4.87</c:v>
                </c:pt>
                <c:pt idx="14">
                  <c:v>5.12</c:v>
                </c:pt>
                <c:pt idx="15">
                  <c:v>5.74</c:v>
                </c:pt>
                <c:pt idx="16">
                  <c:v>6.33</c:v>
                </c:pt>
                <c:pt idx="17">
                  <c:v>7.02</c:v>
                </c:pt>
                <c:pt idx="18">
                  <c:v>7.55</c:v>
                </c:pt>
                <c:pt idx="19">
                  <c:v>7.48</c:v>
                </c:pt>
                <c:pt idx="20">
                  <c:v>7.44</c:v>
                </c:pt>
                <c:pt idx="21">
                  <c:v>7.45</c:v>
                </c:pt>
                <c:pt idx="22">
                  <c:v>7.39</c:v>
                </c:pt>
                <c:pt idx="23">
                  <c:v>7.28</c:v>
                </c:pt>
                <c:pt idx="24" formatCode="###\ ###\ ###\ ###\ ##0.00;\-###\ ###\ ###\ ###\ ##0.00">
                  <c:v>7.2480952380952379</c:v>
                </c:pt>
                <c:pt idx="25" formatCode="###\ ###\ ###\ ###\ ##0.00;\-###\ ###\ ###\ ###\ ##0.00">
                  <c:v>7.2326315789473687</c:v>
                </c:pt>
                <c:pt idx="26" formatCode="###\ ###\ ###\ ###\ ##0.00;\-###\ ###\ ###\ ###\ ##0.00">
                  <c:v>7.2263636363636365</c:v>
                </c:pt>
                <c:pt idx="27" formatCode="###\ ###\ ###\ ###\ ##0.00;\-###\ ###\ ###\ ###\ ##0.00">
                  <c:v>7.2088888888888887</c:v>
                </c:pt>
                <c:pt idx="28" formatCode="###\ ###\ ###\ ###\ ##0.00;\-###\ ###\ ###\ ###\ ##0.00">
                  <c:v>7.196190476190476</c:v>
                </c:pt>
                <c:pt idx="29" formatCode="###\ ###\ ###\ ###\ ##0.00;\-###\ ###\ ###\ ###\ ##0.00">
                  <c:v>7.1377272727272727</c:v>
                </c:pt>
                <c:pt idx="30" formatCode="###\ ###\ ###\ ###\ ##0.00;\-###\ ###\ ###\ ###\ ##0.00">
                  <c:v>7.0289473684210524</c:v>
                </c:pt>
                <c:pt idx="31" formatCode="###\ ###\ ###\ ###\ ##0.00;\-###\ ###\ ###\ ###\ ##0.00">
                  <c:v>6.9473913043478257</c:v>
                </c:pt>
                <c:pt idx="32" formatCode="###\ ###\ ###\ ###\ ##0.00;\-###\ ###\ ###\ ###\ ##0.00">
                  <c:v>6.8470000000000004</c:v>
                </c:pt>
                <c:pt idx="33" formatCode="###\ ###\ ###\ ###\ ##0.00;\-###\ ###\ ###\ ###\ ##0.00">
                  <c:v>6.6090909090909093</c:v>
                </c:pt>
                <c:pt idx="34" formatCode="###\ ###\ ###\ ###\ ##0.00;\-###\ ###\ ###\ ###\ ##0.00">
                  <c:v>6.4771428571428569</c:v>
                </c:pt>
                <c:pt idx="35" formatCode="###\ ###\ ###\ ###\ ##0.00;\-###\ ###\ ###\ ###\ ##0.00">
                  <c:v>6.1873684210526312</c:v>
                </c:pt>
                <c:pt idx="36" formatCode="###\ ###\ ###\ ###\ ##0.00;\-###\ ###\ ###\ ###\ ##0.00">
                  <c:v>5.4690909090909088</c:v>
                </c:pt>
                <c:pt idx="37" formatCode="###\ ###\ ###\ ###\ ##0.00;\-###\ ###\ ###\ ###\ ##0.00">
                  <c:v>5.0338095238095235</c:v>
                </c:pt>
                <c:pt idx="38" formatCode="###\ ###\ ###\ ###\ ##0.00;\-###\ ###\ ###\ ###\ ##0.00">
                  <c:v>4.7994736842105263</c:v>
                </c:pt>
                <c:pt idx="39" formatCode="###\ ###\ ###\ ###\ ##0.00;\-###\ ###\ ###\ ###\ ##0.00">
                  <c:v>4.588571428571429</c:v>
                </c:pt>
                <c:pt idx="40" formatCode="###\ ###\ ###\ ###\ ##0.00;\-###\ ###\ ###\ ###\ ##0.00">
                  <c:v>4.6500000000000004</c:v>
                </c:pt>
                <c:pt idx="41" formatCode="###\ ###\ ###\ ###\ ##0.00;\-###\ ###\ ###\ ###\ ##0.00">
                  <c:v>4.5715000000000003</c:v>
                </c:pt>
                <c:pt idx="42" formatCode="###\ ###\ ###\ ###\ ##0.00;\-###\ ###\ ###\ ###\ ##0.00">
                  <c:v>4.2559090909090909</c:v>
                </c:pt>
                <c:pt idx="43" formatCode="###\ ###\ ###\ ###\ ##0.00;\-###\ ###\ ###\ ###\ ##0.00">
                  <c:v>3.8945454545454545</c:v>
                </c:pt>
                <c:pt idx="44" formatCode="###\ ###\ ###\ ###\ ##0.00;\-###\ ###\ ###\ ###\ ##0.00">
                  <c:v>3.7338095238095237</c:v>
                </c:pt>
                <c:pt idx="45" formatCode="###\ ###\ ###\ ###\ ##0.00;\-###\ ###\ ###\ ###\ ##0.00">
                  <c:v>3.6840909090909091</c:v>
                </c:pt>
                <c:pt idx="46" formatCode="###\ ###\ ###\ ###\ ##0.00;\-###\ ###\ ###\ ###\ ##0.00">
                  <c:v>3.6609523809523807</c:v>
                </c:pt>
                <c:pt idx="47" formatCode="###\ ###\ ###\ ###\ ##0.00;\-###\ ###\ ###\ ###\ ##0.00">
                  <c:v>3.6933333333333334</c:v>
                </c:pt>
                <c:pt idx="48" formatCode="###\ ###\ ###\ ###\ ##0.00;\-###\ ###\ ###\ ###\ ##0.00">
                  <c:v>3.6631818181818181</c:v>
                </c:pt>
                <c:pt idx="49" formatCode="###\ ###\ ###\ ###\ ##0.00;\-###\ ###\ ###\ ###\ ##0.00">
                  <c:v>3.5689473684210524</c:v>
                </c:pt>
                <c:pt idx="50" formatCode="###\ ###\ ###\ ###\ ##0.00;\-###\ ###\ ###\ ###\ ##0.00">
                  <c:v>3.5285000000000002</c:v>
                </c:pt>
                <c:pt idx="51" formatCode="###\ ###\ ###\ ###\ ##0.00;\-###\ ###\ ###\ ###\ ##0.00">
                  <c:v>3.443888888888889</c:v>
                </c:pt>
                <c:pt idx="52" formatCode="###\ ###\ ###\ ###\ ##0.00;\-###\ ###\ ###\ ###\ ##0.00">
                  <c:v>3.3726315789473684</c:v>
                </c:pt>
                <c:pt idx="53" formatCode="###\ ###\ ###\ ###\ ##0.00;\-###\ ###\ ###\ ###\ ##0.00">
                  <c:v>3.4104999999999999</c:v>
                </c:pt>
                <c:pt idx="54" formatCode="###\ ###\ ###\ ###\ ##0.00;\-###\ ###\ ###\ ###\ ##0.00">
                  <c:v>3.4582608695652173</c:v>
                </c:pt>
                <c:pt idx="55" formatCode="###\ ###\ ###\ ###\ ##0.00;\-###\ ###\ ###\ ###\ ##0.00">
                  <c:v>3.4815</c:v>
                </c:pt>
                <c:pt idx="56" formatCode="###\ ###\ ###\ ###\ ##0.00;\-###\ ###\ ###\ ###\ ##0.00">
                  <c:v>3.4776190476190476</c:v>
                </c:pt>
                <c:pt idx="57" formatCode="###\ ###\ ###\ ###\ ##0.00;\-###\ ###\ ###\ ###\ ##0.00">
                  <c:v>3.5395454545454546</c:v>
                </c:pt>
                <c:pt idx="58" formatCode="###\ ###\ ###\ ###\ ##0.00;\-###\ ###\ ###\ ###\ ##0.00">
                  <c:v>3.6111111111111112</c:v>
                </c:pt>
                <c:pt idx="59" formatCode="###\ ###\ ###\ ###\ ##0.00;\-###\ ###\ ###\ ###\ ##0.00">
                  <c:v>3.6016666666666666</c:v>
                </c:pt>
                <c:pt idx="60" formatCode="###\ ###\ ###\ ###\ ##0.00;\-###\ ###\ ###\ ###\ ##0.00">
                  <c:v>3.4655</c:v>
                </c:pt>
                <c:pt idx="61" formatCode="###\ ###\ ###\ ###\ ##0.00;\-###\ ###\ ###\ ###\ ##0.00">
                  <c:v>3.4110526315789476</c:v>
                </c:pt>
                <c:pt idx="62" formatCode="###\ ###\ ###\ ###\ ##0.00;\-###\ ###\ ###\ ###\ ##0.00">
                  <c:v>3.6042857142857141</c:v>
                </c:pt>
                <c:pt idx="63" formatCode="###\ ###\ ###\ ###\ ##0.00;\-###\ ###\ ###\ ###\ ##0.00">
                  <c:v>3.6794444444444445</c:v>
                </c:pt>
                <c:pt idx="64" formatCode="###\ ###\ ###\ ###\ ##0.00;\-###\ ###\ ###\ ###\ ##0.00">
                  <c:v>3.8122222222222222</c:v>
                </c:pt>
                <c:pt idx="65" formatCode="###\ ###\ ###\ ###\ ##0.00;\-###\ ###\ ###\ ###\ ##0.00">
                  <c:v>3.926190476190476</c:v>
                </c:pt>
              </c:numCache>
            </c:numRef>
          </c:val>
          <c:smooth val="0"/>
          <c:extLst>
            <c:ext xmlns:c16="http://schemas.microsoft.com/office/drawing/2014/chart" uri="{C3380CC4-5D6E-409C-BE32-E72D297353CC}">
              <c16:uniqueId val="{00000004-2A0C-4E7A-9C08-83E8F4B946D1}"/>
            </c:ext>
          </c:extLst>
        </c:ser>
        <c:ser>
          <c:idx val="5"/>
          <c:order val="5"/>
          <c:tx>
            <c:strRef>
              <c:f>'Měnové podmínky 1'!$H$5</c:f>
              <c:strCache>
                <c:ptCount val="1"/>
                <c:pt idx="0">
                  <c:v>Průměrný výnos státních dluhopisů (10Y)</c:v>
                </c:pt>
              </c:strCache>
            </c:strRef>
          </c:tx>
          <c:spPr>
            <a:ln w="19050">
              <a:solidFill>
                <a:srgbClr val="174F70"/>
              </a:solidFill>
            </a:ln>
          </c:spPr>
          <c:marker>
            <c:symbol val="none"/>
          </c:marker>
          <c:cat>
            <c:multiLvlStrRef>
              <c:f>'Měnové podmínky 1'!$A$42:$B$107</c:f>
              <c:multiLvlStrCache>
                <c:ptCount val="66"/>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pt idx="52">
                    <c:v>5</c:v>
                  </c:pt>
                  <c:pt idx="53">
                    <c:v>6</c:v>
                  </c:pt>
                  <c:pt idx="54">
                    <c:v>7</c:v>
                  </c:pt>
                  <c:pt idx="55">
                    <c:v>8</c:v>
                  </c:pt>
                  <c:pt idx="56">
                    <c:v>9</c:v>
                  </c:pt>
                  <c:pt idx="57">
                    <c:v>10</c:v>
                  </c:pt>
                  <c:pt idx="58">
                    <c:v>11</c:v>
                  </c:pt>
                  <c:pt idx="59">
                    <c:v>12</c:v>
                  </c:pt>
                  <c:pt idx="60">
                    <c:v>1</c:v>
                  </c:pt>
                  <c:pt idx="61">
                    <c:v>2</c:v>
                  </c:pt>
                  <c:pt idx="62">
                    <c:v>3</c:v>
                  </c:pt>
                  <c:pt idx="63">
                    <c:v>4</c:v>
                  </c:pt>
                  <c:pt idx="64">
                    <c:v>5</c:v>
                  </c:pt>
                  <c:pt idx="65">
                    <c:v>6</c:v>
                  </c:pt>
                </c:lvl>
                <c:lvl>
                  <c:pt idx="0">
                    <c:v>2021</c:v>
                  </c:pt>
                  <c:pt idx="12">
                    <c:v>2022</c:v>
                  </c:pt>
                  <c:pt idx="24">
                    <c:v>2023</c:v>
                  </c:pt>
                  <c:pt idx="36">
                    <c:v>2024</c:v>
                  </c:pt>
                  <c:pt idx="48">
                    <c:v>2025</c:v>
                  </c:pt>
                  <c:pt idx="60">
                    <c:v>2026</c:v>
                  </c:pt>
                </c:lvl>
              </c:multiLvlStrCache>
            </c:multiLvlStrRef>
          </c:cat>
          <c:val>
            <c:numRef>
              <c:f>'Měnové podmínky 1'!$H$42:$H$107</c:f>
              <c:numCache>
                <c:formatCode>General</c:formatCode>
                <c:ptCount val="66"/>
                <c:pt idx="0">
                  <c:v>1.28</c:v>
                </c:pt>
                <c:pt idx="1">
                  <c:v>1.49</c:v>
                </c:pt>
                <c:pt idx="2">
                  <c:v>1.87</c:v>
                </c:pt>
                <c:pt idx="3">
                  <c:v>1.86</c:v>
                </c:pt>
                <c:pt idx="4">
                  <c:v>1.74</c:v>
                </c:pt>
                <c:pt idx="5">
                  <c:v>1.67</c:v>
                </c:pt>
                <c:pt idx="6">
                  <c:v>1.72</c:v>
                </c:pt>
                <c:pt idx="7">
                  <c:v>1.74</c:v>
                </c:pt>
                <c:pt idx="8">
                  <c:v>1.9</c:v>
                </c:pt>
                <c:pt idx="9">
                  <c:v>2.34</c:v>
                </c:pt>
                <c:pt idx="10">
                  <c:v>2.62</c:v>
                </c:pt>
                <c:pt idx="11">
                  <c:v>2.62</c:v>
                </c:pt>
                <c:pt idx="12">
                  <c:v>3.12</c:v>
                </c:pt>
                <c:pt idx="13">
                  <c:v>3.03</c:v>
                </c:pt>
                <c:pt idx="14">
                  <c:v>3.53</c:v>
                </c:pt>
                <c:pt idx="15">
                  <c:v>4.01</c:v>
                </c:pt>
                <c:pt idx="16">
                  <c:v>4.6100000000000003</c:v>
                </c:pt>
                <c:pt idx="17">
                  <c:v>5.12</c:v>
                </c:pt>
                <c:pt idx="18">
                  <c:v>4.4000000000000004</c:v>
                </c:pt>
                <c:pt idx="19">
                  <c:v>4.1100000000000003</c:v>
                </c:pt>
                <c:pt idx="20">
                  <c:v>4.72</c:v>
                </c:pt>
                <c:pt idx="21">
                  <c:v>5.52</c:v>
                </c:pt>
                <c:pt idx="22">
                  <c:v>5.1100000000000003</c:v>
                </c:pt>
                <c:pt idx="23">
                  <c:v>4.71</c:v>
                </c:pt>
                <c:pt idx="24" formatCode="###\ ###\ ###\ ###\ ##0.00;\-###\ ###\ ###\ ###\ ##0.00">
                  <c:v>4.4683071740930735</c:v>
                </c:pt>
                <c:pt idx="25" formatCode="###\ ###\ ###\ ###\ ##0.00;\-###\ ###\ ###\ ###\ ##0.00">
                  <c:v>4.6124456250457779</c:v>
                </c:pt>
                <c:pt idx="26" formatCode="###\ ###\ ###\ ###\ ##0.00;\-###\ ###\ ###\ ###\ ##0.00">
                  <c:v>4.6664316498532505</c:v>
                </c:pt>
                <c:pt idx="27" formatCode="###\ ###\ ###\ ###\ ##0.00;\-###\ ###\ ###\ ###\ ##0.00">
                  <c:v>4.6464031535593682</c:v>
                </c:pt>
                <c:pt idx="28" formatCode="###\ ###\ ###\ ###\ ##0.00;\-###\ ###\ ###\ ###\ ##0.00">
                  <c:v>4.4999821517871696</c:v>
                </c:pt>
                <c:pt idx="29" formatCode="###\ ###\ ###\ ###\ ##0.00;\-###\ ###\ ###\ ###\ ##0.00">
                  <c:v>4.3475817201909166</c:v>
                </c:pt>
                <c:pt idx="30" formatCode="###\ ###\ ###\ ###\ ##0.00;\-###\ ###\ ###\ ###\ ##0.00">
                  <c:v>4.1488922058727873</c:v>
                </c:pt>
                <c:pt idx="31" formatCode="###\ ###\ ###\ ###\ ##0.00;\-###\ ###\ ###\ ###\ ##0.00">
                  <c:v>4.2612326220421171</c:v>
                </c:pt>
                <c:pt idx="32" formatCode="###\ ###\ ###\ ###\ ##0.00;\-###\ ###\ ###\ ###\ ##0.00">
                  <c:v>4.4941452526073471</c:v>
                </c:pt>
                <c:pt idx="33" formatCode="###\ ###\ ###\ ###\ ##0.00;\-###\ ###\ ###\ ###\ ##0.00">
                  <c:v>4.7196492538174732</c:v>
                </c:pt>
                <c:pt idx="34" formatCode="###\ ###\ ###\ ###\ ##0.00;\-###\ ###\ ###\ ###\ ##0.00">
                  <c:v>4.4238011822001155</c:v>
                </c:pt>
                <c:pt idx="35" formatCode="###\ ###\ ###\ ###\ ##0.00;\-###\ ###\ ###\ ###\ ##0.00">
                  <c:v>3.9723129766524465</c:v>
                </c:pt>
                <c:pt idx="36" formatCode="###\ ###\ ###\ ###\ ##0.00;\-###\ ###\ ###\ ###\ ##0.00">
                  <c:v>3.8808928950535173</c:v>
                </c:pt>
                <c:pt idx="37" formatCode="###\ ###\ ###\ ###\ ##0.00;\-###\ ###\ ###\ ###\ ##0.00">
                  <c:v>3.7595547903987336</c:v>
                </c:pt>
                <c:pt idx="38" formatCode="###\ ###\ ###\ ###\ ##0.00;\-###\ ###\ ###\ ###\ ##0.00">
                  <c:v>3.8237627295684833</c:v>
                </c:pt>
                <c:pt idx="39" formatCode="###\ ###\ ###\ ###\ ##0.00;\-###\ ###\ ###\ ###\ ##0.00">
                  <c:v>4.2047003389485704</c:v>
                </c:pt>
                <c:pt idx="40" formatCode="###\ ###\ ###\ ###\ ##0.00;\-###\ ###\ ###\ ###\ ##0.00">
                  <c:v>4.1563388742973695</c:v>
                </c:pt>
                <c:pt idx="41" formatCode="###\ ###\ ###\ ###\ ##0.00;\-###\ ###\ ###\ ###\ ##0.00">
                  <c:v>4.2111868231811522</c:v>
                </c:pt>
                <c:pt idx="42" formatCode="###\ ###\ ###\ ###\ ##0.00;\-###\ ###\ ###\ ###\ ##0.00">
                  <c:v>3.9530858135362124</c:v>
                </c:pt>
                <c:pt idx="43" formatCode="###\ ###\ ###\ ###\ ##0.00;\-###\ ###\ ###\ ###\ ##0.00">
                  <c:v>3.7819619047615758</c:v>
                </c:pt>
                <c:pt idx="44" formatCode="###\ ###\ ###\ ###\ ##0.00;\-###\ ###\ ###\ ###\ ##0.00">
                  <c:v>3.7680573318990085</c:v>
                </c:pt>
                <c:pt idx="45" formatCode="###\ ###\ ###\ ###\ ##0.00;\-###\ ###\ ###\ ###\ ##0.00">
                  <c:v>3.9822987021498251</c:v>
                </c:pt>
                <c:pt idx="46" formatCode="###\ ###\ ###\ ###\ ##0.00;\-###\ ###\ ###\ ###\ ##0.00">
                  <c:v>4.1040262289864691</c:v>
                </c:pt>
                <c:pt idx="47" formatCode="###\ ###\ ###\ ###\ ##0.00;\-###\ ###\ ###\ ###\ ##0.00">
                  <c:v>4.1331038326115088</c:v>
                </c:pt>
                <c:pt idx="48" formatCode="###\ ###\ ###\ ###\ ##0.00;\-###\ ###\ ###\ ###\ ##0.00">
                  <c:v>4.1959770746595213</c:v>
                </c:pt>
                <c:pt idx="49" formatCode="###\ ###\ ###\ ###\ ##0.00;\-###\ ###\ ###\ ###\ ##0.00">
                  <c:v>4.0620794011249552</c:v>
                </c:pt>
                <c:pt idx="50" formatCode="###\ ###\ ###\ ###\ ##0.00;\-###\ ###\ ###\ ###\ ##0.00">
                  <c:v>4.2638389418665579</c:v>
                </c:pt>
                <c:pt idx="51" formatCode="###\ ###\ ###\ ###\ ##0.00;\-###\ ###\ ###\ ###\ ##0.00">
                  <c:v>4.0853304136734021</c:v>
                </c:pt>
                <c:pt idx="52" formatCode="###\ ###\ ###\ ###\ ##0.00;\-###\ ###\ ###\ ###\ ##0.00">
                  <c:v>4.155816660709382</c:v>
                </c:pt>
                <c:pt idx="53" formatCode="###\ ###\ ###\ ###\ ##0.00;\-###\ ###\ ###\ ###\ ##0.00">
                  <c:v>4.2295835387251115</c:v>
                </c:pt>
                <c:pt idx="54" formatCode="###\ ###\ ###\ ###\ ##0.00;\-###\ ###\ ###\ ###\ ##0.00">
                  <c:v>4.3002231108402862</c:v>
                </c:pt>
                <c:pt idx="55" formatCode="###\ ###\ ###\ ###\ ##0.00;\-###\ ###\ ###\ ###\ ##0.00">
                  <c:v>4.3484906070168519</c:v>
                </c:pt>
                <c:pt idx="56" formatCode="###\ ###\ ###\ ###\ ##0.00;\-###\ ###\ ###\ ###\ ##0.00">
                  <c:v>4.423009514594388</c:v>
                </c:pt>
                <c:pt idx="57" formatCode="###\ ###\ ###\ ###\ ##0.00;\-###\ ###\ ###\ ###\ ##0.00">
                  <c:v>4.4581363099927049</c:v>
                </c:pt>
                <c:pt idx="58" formatCode="###\ ###\ ###\ ###\ ##0.00;\-###\ ###\ ###\ ###\ ##0.00">
                  <c:v>4.6089530587514247</c:v>
                </c:pt>
                <c:pt idx="59" formatCode="###\ ###\ ###\ ###\ ##0.00;\-###\ ###\ ###\ ###\ ##0.00">
                  <c:v>4.6478358968116371</c:v>
                </c:pt>
                <c:pt idx="60" formatCode="###\ ###\ ###\ ###\ ##0.00;\-###\ ###\ ###\ ###\ ##0.00">
                  <c:v>4.4598691609446224</c:v>
                </c:pt>
                <c:pt idx="61" formatCode="###\ ###\ ###\ ###\ ##0.00;\-###\ ###\ ###\ ###\ ##0.00">
                  <c:v>4.3705216167447416</c:v>
                </c:pt>
                <c:pt idx="62" formatCode="###\ ###\ ###\ ###\ ##0.00;\-###\ ###\ ###\ ###\ ##0.00">
                  <c:v>4.7236141956727007</c:v>
                </c:pt>
                <c:pt idx="63" formatCode="###\ ###\ ###\ ###\ ##0.00;\-###\ ###\ ###\ ###\ ##0.00">
                  <c:v>4.7382720020846056</c:v>
                </c:pt>
                <c:pt idx="64" formatCode="###\ ###\ ###\ ###\ ##0.00;\-###\ ###\ ###\ ###\ ##0.00">
                  <c:v>4.8857566724506185</c:v>
                </c:pt>
                <c:pt idx="65" formatCode="###\ ###\ ###\ ###\ ##0.00;\-###\ ###\ ###\ ###\ ##0.00">
                  <c:v>4.7005125814799964</c:v>
                </c:pt>
              </c:numCache>
            </c:numRef>
          </c:val>
          <c:smooth val="0"/>
          <c:extLst>
            <c:ext xmlns:c16="http://schemas.microsoft.com/office/drawing/2014/chart" uri="{C3380CC4-5D6E-409C-BE32-E72D297353CC}">
              <c16:uniqueId val="{00000005-2A0C-4E7A-9C08-83E8F4B946D1}"/>
            </c:ext>
          </c:extLst>
        </c:ser>
        <c:dLbls>
          <c:showLegendKey val="0"/>
          <c:showVal val="0"/>
          <c:showCatName val="0"/>
          <c:showSerName val="0"/>
          <c:showPercent val="0"/>
          <c:showBubbleSize val="0"/>
        </c:dLbls>
        <c:marker val="1"/>
        <c:smooth val="0"/>
        <c:axId val="271742464"/>
        <c:axId val="271744000"/>
      </c:lineChart>
      <c:catAx>
        <c:axId val="271742464"/>
        <c:scaling>
          <c:orientation val="minMax"/>
        </c:scaling>
        <c:delete val="0"/>
        <c:axPos val="b"/>
        <c:numFmt formatCode="General" sourceLinked="0"/>
        <c:majorTickMark val="out"/>
        <c:minorTickMark val="none"/>
        <c:tickLblPos val="low"/>
        <c:spPr>
          <a:ln>
            <a:solidFill>
              <a:schemeClr val="tx1"/>
            </a:solidFill>
          </a:ln>
        </c:spPr>
        <c:crossAx val="271744000"/>
        <c:crosses val="autoZero"/>
        <c:auto val="1"/>
        <c:lblAlgn val="ctr"/>
        <c:lblOffset val="100"/>
        <c:noMultiLvlLbl val="0"/>
      </c:catAx>
      <c:valAx>
        <c:axId val="271744000"/>
        <c:scaling>
          <c:orientation val="minMax"/>
          <c:min val="-1"/>
        </c:scaling>
        <c:delete val="0"/>
        <c:axPos val="l"/>
        <c:majorGridlines>
          <c:spPr>
            <a:ln w="6350">
              <a:solidFill>
                <a:schemeClr val="bg1">
                  <a:lumMod val="75000"/>
                </a:schemeClr>
              </a:solidFill>
            </a:ln>
          </c:spPr>
        </c:majorGridlines>
        <c:numFmt formatCode="0" sourceLinked="0"/>
        <c:majorTickMark val="out"/>
        <c:minorTickMark val="none"/>
        <c:tickLblPos val="nextTo"/>
        <c:spPr>
          <a:ln>
            <a:solidFill>
              <a:schemeClr val="tx1"/>
            </a:solidFill>
          </a:ln>
        </c:spPr>
        <c:crossAx val="271742464"/>
        <c:crosses val="autoZero"/>
        <c:crossBetween val="between"/>
        <c:majorUnit val="1"/>
      </c:valAx>
      <c:spPr>
        <a:ln>
          <a:solidFill>
            <a:schemeClr val="tx1"/>
          </a:solidFill>
        </a:ln>
      </c:spPr>
    </c:plotArea>
    <c:legend>
      <c:legendPos val="b"/>
      <c:layout>
        <c:manualLayout>
          <c:xMode val="edge"/>
          <c:yMode val="edge"/>
          <c:x val="4.7501055386693677E-2"/>
          <c:y val="0.87558269120103249"/>
          <c:w val="0.93350515028706516"/>
          <c:h val="0.11015705924459968"/>
        </c:manualLayout>
      </c:layout>
      <c:overlay val="0"/>
      <c:spPr>
        <a:ln w="6350">
          <a:solidFill>
            <a:schemeClr val="tx1"/>
          </a:solidFill>
        </a:ln>
      </c:spPr>
    </c:legend>
    <c:plotVisOnly val="1"/>
    <c:dispBlanksAs val="gap"/>
    <c:showDLblsOverMax val="0"/>
  </c:chart>
  <c:spPr>
    <a:ln>
      <a:noFill/>
    </a:ln>
  </c:spPr>
  <c:txPr>
    <a:bodyPr/>
    <a:lstStyle/>
    <a:p>
      <a:pPr>
        <a:defRPr sz="800" baseline="0">
          <a:latin typeface="Arial" pitchFamily="34" charset="0"/>
        </a:defRPr>
      </a:pPr>
      <a:endParaRPr lang="cs-CZ"/>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655893706870088E-2"/>
          <c:y val="2.0804998806967311E-2"/>
          <c:w val="0.90468575230254245"/>
          <c:h val="0.81643005563375559"/>
        </c:manualLayout>
      </c:layout>
      <c:barChart>
        <c:barDir val="col"/>
        <c:grouping val="clustered"/>
        <c:varyColors val="0"/>
        <c:ser>
          <c:idx val="0"/>
          <c:order val="0"/>
          <c:tx>
            <c:strRef>
              <c:f>'pro graf'!$A$122</c:f>
              <c:strCache>
                <c:ptCount val="1"/>
                <c:pt idx="0">
                  <c:v>EU27</c:v>
                </c:pt>
              </c:strCache>
            </c:strRef>
          </c:tx>
          <c:spPr>
            <a:solidFill>
              <a:srgbClr val="EBECED"/>
            </a:solidFill>
            <a:ln>
              <a:solidFill>
                <a:schemeClr val="bg2">
                  <a:lumMod val="75000"/>
                </a:schemeClr>
              </a:solidFill>
            </a:ln>
            <a:effectLst/>
          </c:spPr>
          <c:invertIfNegative val="0"/>
          <c:cat>
            <c:multiLvlStrRef>
              <c:f>'pro graf'!$B$120:$V$121</c:f>
              <c:multiLvlStrCache>
                <c:ptCount val="21"/>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lvl>
                <c:lvl>
                  <c:pt idx="0">
                    <c:v>2021</c:v>
                  </c:pt>
                  <c:pt idx="4">
                    <c:v>2022</c:v>
                  </c:pt>
                  <c:pt idx="8">
                    <c:v>2023</c:v>
                  </c:pt>
                  <c:pt idx="12">
                    <c:v>2024</c:v>
                  </c:pt>
                  <c:pt idx="16">
                    <c:v>2025</c:v>
                  </c:pt>
                  <c:pt idx="20">
                    <c:v>2026</c:v>
                  </c:pt>
                </c:lvl>
              </c:multiLvlStrCache>
            </c:multiLvlStrRef>
          </c:cat>
          <c:val>
            <c:numRef>
              <c:f>'pro graf'!$B$122:$V$122</c:f>
              <c:numCache>
                <c:formatCode>0.0</c:formatCode>
                <c:ptCount val="21"/>
                <c:pt idx="0">
                  <c:v>-6.2</c:v>
                </c:pt>
                <c:pt idx="1">
                  <c:v>-5.8</c:v>
                </c:pt>
                <c:pt idx="2">
                  <c:v>-3.4</c:v>
                </c:pt>
                <c:pt idx="3">
                  <c:v>-3.1</c:v>
                </c:pt>
                <c:pt idx="4">
                  <c:v>-2.2999999999999998</c:v>
                </c:pt>
                <c:pt idx="5">
                  <c:v>-2.2000000000000002</c:v>
                </c:pt>
                <c:pt idx="6">
                  <c:v>-3.6</c:v>
                </c:pt>
                <c:pt idx="7">
                  <c:v>-4.5</c:v>
                </c:pt>
                <c:pt idx="8">
                  <c:v>-3.1</c:v>
                </c:pt>
                <c:pt idx="9">
                  <c:v>-3.2</c:v>
                </c:pt>
                <c:pt idx="10">
                  <c:v>-3.4</c:v>
                </c:pt>
                <c:pt idx="11">
                  <c:v>-3.9</c:v>
                </c:pt>
                <c:pt idx="12">
                  <c:v>-3</c:v>
                </c:pt>
                <c:pt idx="13">
                  <c:v>-3.1</c:v>
                </c:pt>
                <c:pt idx="14">
                  <c:v>-3</c:v>
                </c:pt>
                <c:pt idx="15">
                  <c:v>-3.4</c:v>
                </c:pt>
                <c:pt idx="16">
                  <c:v>-2.9</c:v>
                </c:pt>
                <c:pt idx="17">
                  <c:v>-2.9</c:v>
                </c:pt>
                <c:pt idx="18">
                  <c:v>-3.2</c:v>
                </c:pt>
                <c:pt idx="19">
                  <c:v>-3.4</c:v>
                </c:pt>
                <c:pt idx="20">
                  <c:v>-3.1</c:v>
                </c:pt>
              </c:numCache>
            </c:numRef>
          </c:val>
          <c:extLst>
            <c:ext xmlns:c16="http://schemas.microsoft.com/office/drawing/2014/chart" uri="{C3380CC4-5D6E-409C-BE32-E72D297353CC}">
              <c16:uniqueId val="{00000000-7379-454C-8B7B-F9D8EE4E7B7F}"/>
            </c:ext>
          </c:extLst>
        </c:ser>
        <c:ser>
          <c:idx val="1"/>
          <c:order val="1"/>
          <c:tx>
            <c:strRef>
              <c:f>'pro graf'!$A$123</c:f>
              <c:strCache>
                <c:ptCount val="1"/>
                <c:pt idx="0">
                  <c:v>Česko</c:v>
                </c:pt>
              </c:strCache>
            </c:strRef>
          </c:tx>
          <c:spPr>
            <a:solidFill>
              <a:srgbClr val="B8BBC2"/>
            </a:solidFill>
            <a:ln>
              <a:noFill/>
            </a:ln>
            <a:effectLst/>
          </c:spPr>
          <c:invertIfNegative val="0"/>
          <c:cat>
            <c:multiLvlStrRef>
              <c:f>'pro graf'!$B$120:$V$121</c:f>
              <c:multiLvlStrCache>
                <c:ptCount val="21"/>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lvl>
                <c:lvl>
                  <c:pt idx="0">
                    <c:v>2021</c:v>
                  </c:pt>
                  <c:pt idx="4">
                    <c:v>2022</c:v>
                  </c:pt>
                  <c:pt idx="8">
                    <c:v>2023</c:v>
                  </c:pt>
                  <c:pt idx="12">
                    <c:v>2024</c:v>
                  </c:pt>
                  <c:pt idx="16">
                    <c:v>2025</c:v>
                  </c:pt>
                  <c:pt idx="20">
                    <c:v>2026</c:v>
                  </c:pt>
                </c:lvl>
              </c:multiLvlStrCache>
            </c:multiLvlStrRef>
          </c:cat>
          <c:val>
            <c:numRef>
              <c:f>'pro graf'!$B$123:$V$123</c:f>
              <c:numCache>
                <c:formatCode>0.0</c:formatCode>
                <c:ptCount val="21"/>
                <c:pt idx="0">
                  <c:v>-7.4</c:v>
                </c:pt>
                <c:pt idx="1">
                  <c:v>-5.4</c:v>
                </c:pt>
                <c:pt idx="2">
                  <c:v>-3.7</c:v>
                </c:pt>
                <c:pt idx="3">
                  <c:v>-3.4</c:v>
                </c:pt>
                <c:pt idx="4">
                  <c:v>-2.2999999999999998</c:v>
                </c:pt>
                <c:pt idx="5">
                  <c:v>-2.6</c:v>
                </c:pt>
                <c:pt idx="6">
                  <c:v>-3.9</c:v>
                </c:pt>
                <c:pt idx="7">
                  <c:v>-3.3</c:v>
                </c:pt>
                <c:pt idx="8">
                  <c:v>-4.5</c:v>
                </c:pt>
                <c:pt idx="9">
                  <c:v>-3.4</c:v>
                </c:pt>
                <c:pt idx="10">
                  <c:v>-3.2</c:v>
                </c:pt>
                <c:pt idx="11">
                  <c:v>-3.9</c:v>
                </c:pt>
                <c:pt idx="12">
                  <c:v>-1.8</c:v>
                </c:pt>
                <c:pt idx="13">
                  <c:v>-2.2999999999999998</c:v>
                </c:pt>
                <c:pt idx="14">
                  <c:v>-2.4</c:v>
                </c:pt>
                <c:pt idx="15">
                  <c:v>-1.7</c:v>
                </c:pt>
                <c:pt idx="16">
                  <c:v>-2.2000000000000002</c:v>
                </c:pt>
                <c:pt idx="17">
                  <c:v>-2.1</c:v>
                </c:pt>
                <c:pt idx="18">
                  <c:v>-2.1</c:v>
                </c:pt>
                <c:pt idx="19">
                  <c:v>-2.2000000000000002</c:v>
                </c:pt>
                <c:pt idx="20">
                  <c:v>-2.2999999999999998</c:v>
                </c:pt>
              </c:numCache>
            </c:numRef>
          </c:val>
          <c:extLst>
            <c:ext xmlns:c16="http://schemas.microsoft.com/office/drawing/2014/chart" uri="{C3380CC4-5D6E-409C-BE32-E72D297353CC}">
              <c16:uniqueId val="{00000001-7379-454C-8B7B-F9D8EE4E7B7F}"/>
            </c:ext>
          </c:extLst>
        </c:ser>
        <c:dLbls>
          <c:showLegendKey val="0"/>
          <c:showVal val="0"/>
          <c:showCatName val="0"/>
          <c:showSerName val="0"/>
          <c:showPercent val="0"/>
          <c:showBubbleSize val="0"/>
        </c:dLbls>
        <c:gapWidth val="150"/>
        <c:axId val="531992144"/>
        <c:axId val="531997552"/>
      </c:barChart>
      <c:lineChart>
        <c:grouping val="standard"/>
        <c:varyColors val="0"/>
        <c:ser>
          <c:idx val="3"/>
          <c:order val="2"/>
          <c:tx>
            <c:strRef>
              <c:f>'pro graf'!$A$124</c:f>
              <c:strCache>
                <c:ptCount val="1"/>
                <c:pt idx="0">
                  <c:v>Německo</c:v>
                </c:pt>
              </c:strCache>
            </c:strRef>
          </c:tx>
          <c:spPr>
            <a:ln w="15875" cap="rnd">
              <a:noFill/>
              <a:prstDash val="dash"/>
              <a:round/>
            </a:ln>
            <a:effectLst/>
          </c:spPr>
          <c:marker>
            <c:symbol val="dash"/>
            <c:size val="8"/>
            <c:spPr>
              <a:solidFill>
                <a:srgbClr val="BC5B80"/>
              </a:solidFill>
              <a:ln w="9525">
                <a:noFill/>
              </a:ln>
              <a:effectLst/>
            </c:spPr>
          </c:marker>
          <c:cat>
            <c:multiLvlStrRef>
              <c:f>'pro graf'!$B$120:$V$121</c:f>
              <c:multiLvlStrCache>
                <c:ptCount val="21"/>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lvl>
                <c:lvl>
                  <c:pt idx="0">
                    <c:v>2021</c:v>
                  </c:pt>
                  <c:pt idx="4">
                    <c:v>2022</c:v>
                  </c:pt>
                  <c:pt idx="8">
                    <c:v>2023</c:v>
                  </c:pt>
                  <c:pt idx="12">
                    <c:v>2024</c:v>
                  </c:pt>
                  <c:pt idx="16">
                    <c:v>2025</c:v>
                  </c:pt>
                  <c:pt idx="20">
                    <c:v>2026</c:v>
                  </c:pt>
                </c:lvl>
              </c:multiLvlStrCache>
            </c:multiLvlStrRef>
          </c:cat>
          <c:val>
            <c:numRef>
              <c:f>'pro graf'!$B$124:$V$124</c:f>
              <c:numCache>
                <c:formatCode>0.0</c:formatCode>
                <c:ptCount val="21"/>
                <c:pt idx="0">
                  <c:v>-4.3</c:v>
                </c:pt>
                <c:pt idx="1">
                  <c:v>-4.9000000000000004</c:v>
                </c:pt>
                <c:pt idx="2">
                  <c:v>-1.9</c:v>
                </c:pt>
                <c:pt idx="3">
                  <c:v>-1.7</c:v>
                </c:pt>
                <c:pt idx="4">
                  <c:v>-0.2</c:v>
                </c:pt>
                <c:pt idx="5">
                  <c:v>-0.7</c:v>
                </c:pt>
                <c:pt idx="6">
                  <c:v>-2.5</c:v>
                </c:pt>
                <c:pt idx="7">
                  <c:v>-4.2</c:v>
                </c:pt>
                <c:pt idx="8">
                  <c:v>-2.6</c:v>
                </c:pt>
                <c:pt idx="9">
                  <c:v>-2.2000000000000002</c:v>
                </c:pt>
                <c:pt idx="10">
                  <c:v>-2.2999999999999998</c:v>
                </c:pt>
                <c:pt idx="11">
                  <c:v>-2.9</c:v>
                </c:pt>
                <c:pt idx="12">
                  <c:v>-3.1</c:v>
                </c:pt>
                <c:pt idx="13">
                  <c:v>-2.7</c:v>
                </c:pt>
                <c:pt idx="14">
                  <c:v>-2.6</c:v>
                </c:pt>
                <c:pt idx="15">
                  <c:v>-2.2999999999999998</c:v>
                </c:pt>
                <c:pt idx="16">
                  <c:v>-2.1</c:v>
                </c:pt>
                <c:pt idx="17">
                  <c:v>-2</c:v>
                </c:pt>
                <c:pt idx="18">
                  <c:v>-2.7</c:v>
                </c:pt>
                <c:pt idx="19">
                  <c:v>-4.2</c:v>
                </c:pt>
                <c:pt idx="20">
                  <c:v>-3.6</c:v>
                </c:pt>
              </c:numCache>
            </c:numRef>
          </c:val>
          <c:smooth val="0"/>
          <c:extLst>
            <c:ext xmlns:c16="http://schemas.microsoft.com/office/drawing/2014/chart" uri="{C3380CC4-5D6E-409C-BE32-E72D297353CC}">
              <c16:uniqueId val="{00000002-7379-454C-8B7B-F9D8EE4E7B7F}"/>
            </c:ext>
          </c:extLst>
        </c:ser>
        <c:ser>
          <c:idx val="4"/>
          <c:order val="3"/>
          <c:tx>
            <c:strRef>
              <c:f>'pro graf'!$A$125</c:f>
              <c:strCache>
                <c:ptCount val="1"/>
                <c:pt idx="0">
                  <c:v>Polsko</c:v>
                </c:pt>
              </c:strCache>
            </c:strRef>
          </c:tx>
          <c:spPr>
            <a:ln w="12700" cap="rnd">
              <a:noFill/>
              <a:prstDash val="sysDot"/>
              <a:round/>
            </a:ln>
            <a:effectLst/>
          </c:spPr>
          <c:marker>
            <c:symbol val="dash"/>
            <c:size val="8"/>
            <c:spPr>
              <a:solidFill>
                <a:srgbClr val="CC9610"/>
              </a:solidFill>
              <a:ln w="6350">
                <a:noFill/>
              </a:ln>
              <a:effectLst/>
            </c:spPr>
          </c:marker>
          <c:cat>
            <c:multiLvlStrRef>
              <c:f>'pro graf'!$B$120:$V$121</c:f>
              <c:multiLvlStrCache>
                <c:ptCount val="21"/>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lvl>
                <c:lvl>
                  <c:pt idx="0">
                    <c:v>2021</c:v>
                  </c:pt>
                  <c:pt idx="4">
                    <c:v>2022</c:v>
                  </c:pt>
                  <c:pt idx="8">
                    <c:v>2023</c:v>
                  </c:pt>
                  <c:pt idx="12">
                    <c:v>2024</c:v>
                  </c:pt>
                  <c:pt idx="16">
                    <c:v>2025</c:v>
                  </c:pt>
                  <c:pt idx="20">
                    <c:v>2026</c:v>
                  </c:pt>
                </c:lvl>
              </c:multiLvlStrCache>
            </c:multiLvlStrRef>
          </c:cat>
          <c:val>
            <c:numRef>
              <c:f>'pro graf'!$B$125:$V$125</c:f>
              <c:numCache>
                <c:formatCode>0.0</c:formatCode>
                <c:ptCount val="21"/>
                <c:pt idx="0">
                  <c:v>-2.6</c:v>
                </c:pt>
                <c:pt idx="1">
                  <c:v>-1.5</c:v>
                </c:pt>
                <c:pt idx="2">
                  <c:v>-0.1</c:v>
                </c:pt>
                <c:pt idx="3">
                  <c:v>-2.4</c:v>
                </c:pt>
                <c:pt idx="4">
                  <c:v>-1.1000000000000001</c:v>
                </c:pt>
                <c:pt idx="5">
                  <c:v>-2</c:v>
                </c:pt>
                <c:pt idx="6">
                  <c:v>-2.8</c:v>
                </c:pt>
                <c:pt idx="7">
                  <c:v>-6.2</c:v>
                </c:pt>
                <c:pt idx="8">
                  <c:v>-3</c:v>
                </c:pt>
                <c:pt idx="9">
                  <c:v>-4.4000000000000004</c:v>
                </c:pt>
                <c:pt idx="10">
                  <c:v>-5.5</c:v>
                </c:pt>
                <c:pt idx="11">
                  <c:v>-5.7</c:v>
                </c:pt>
                <c:pt idx="12">
                  <c:v>-5.0999999999999996</c:v>
                </c:pt>
                <c:pt idx="13">
                  <c:v>-6</c:v>
                </c:pt>
                <c:pt idx="14">
                  <c:v>-6.7</c:v>
                </c:pt>
                <c:pt idx="15">
                  <c:v>-7.1</c:v>
                </c:pt>
                <c:pt idx="16">
                  <c:v>-6.7</c:v>
                </c:pt>
                <c:pt idx="17">
                  <c:v>-7.1</c:v>
                </c:pt>
                <c:pt idx="18">
                  <c:v>-7</c:v>
                </c:pt>
                <c:pt idx="19">
                  <c:v>-7.8</c:v>
                </c:pt>
                <c:pt idx="20">
                  <c:v>-5.9</c:v>
                </c:pt>
              </c:numCache>
            </c:numRef>
          </c:val>
          <c:smooth val="0"/>
          <c:extLst>
            <c:ext xmlns:c16="http://schemas.microsoft.com/office/drawing/2014/chart" uri="{C3380CC4-5D6E-409C-BE32-E72D297353CC}">
              <c16:uniqueId val="{00000003-7379-454C-8B7B-F9D8EE4E7B7F}"/>
            </c:ext>
          </c:extLst>
        </c:ser>
        <c:ser>
          <c:idx val="2"/>
          <c:order val="4"/>
          <c:tx>
            <c:strRef>
              <c:f>'pro graf'!$A$126</c:f>
              <c:strCache>
                <c:ptCount val="1"/>
                <c:pt idx="0">
                  <c:v>Maďarsko</c:v>
                </c:pt>
              </c:strCache>
            </c:strRef>
          </c:tx>
          <c:spPr>
            <a:ln w="25400" cap="rnd">
              <a:noFill/>
              <a:round/>
            </a:ln>
            <a:effectLst/>
          </c:spPr>
          <c:marker>
            <c:symbol val="dash"/>
            <c:size val="8"/>
            <c:spPr>
              <a:solidFill>
                <a:srgbClr val="00B0F0"/>
              </a:solidFill>
              <a:ln w="9525">
                <a:noFill/>
              </a:ln>
              <a:effectLst/>
            </c:spPr>
          </c:marker>
          <c:cat>
            <c:multiLvlStrRef>
              <c:f>'pro graf'!$B$120:$V$121</c:f>
              <c:multiLvlStrCache>
                <c:ptCount val="21"/>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lvl>
                <c:lvl>
                  <c:pt idx="0">
                    <c:v>2021</c:v>
                  </c:pt>
                  <c:pt idx="4">
                    <c:v>2022</c:v>
                  </c:pt>
                  <c:pt idx="8">
                    <c:v>2023</c:v>
                  </c:pt>
                  <c:pt idx="12">
                    <c:v>2024</c:v>
                  </c:pt>
                  <c:pt idx="16">
                    <c:v>2025</c:v>
                  </c:pt>
                  <c:pt idx="20">
                    <c:v>2026</c:v>
                  </c:pt>
                </c:lvl>
              </c:multiLvlStrCache>
            </c:multiLvlStrRef>
          </c:cat>
          <c:val>
            <c:numRef>
              <c:f>'pro graf'!$B$126:$V$126</c:f>
              <c:numCache>
                <c:formatCode>0.0</c:formatCode>
                <c:ptCount val="21"/>
                <c:pt idx="0">
                  <c:v>-9.4</c:v>
                </c:pt>
                <c:pt idx="1">
                  <c:v>-7.4</c:v>
                </c:pt>
                <c:pt idx="2">
                  <c:v>-6.9</c:v>
                </c:pt>
                <c:pt idx="3">
                  <c:v>-5</c:v>
                </c:pt>
                <c:pt idx="4">
                  <c:v>-3.9</c:v>
                </c:pt>
                <c:pt idx="5">
                  <c:v>-5.2</c:v>
                </c:pt>
                <c:pt idx="6">
                  <c:v>-7.3</c:v>
                </c:pt>
                <c:pt idx="7">
                  <c:v>-8.1999999999999993</c:v>
                </c:pt>
                <c:pt idx="8">
                  <c:v>-9</c:v>
                </c:pt>
                <c:pt idx="9">
                  <c:v>-7.1</c:v>
                </c:pt>
                <c:pt idx="10">
                  <c:v>-5.9</c:v>
                </c:pt>
                <c:pt idx="11">
                  <c:v>-6.1</c:v>
                </c:pt>
                <c:pt idx="12">
                  <c:v>-4.9000000000000004</c:v>
                </c:pt>
                <c:pt idx="13">
                  <c:v>-6</c:v>
                </c:pt>
                <c:pt idx="14">
                  <c:v>-5.0999999999999996</c:v>
                </c:pt>
                <c:pt idx="15">
                  <c:v>-4.5</c:v>
                </c:pt>
                <c:pt idx="16">
                  <c:v>-4.4000000000000004</c:v>
                </c:pt>
                <c:pt idx="17">
                  <c:v>-3.8</c:v>
                </c:pt>
                <c:pt idx="18">
                  <c:v>-5.3</c:v>
                </c:pt>
                <c:pt idx="19">
                  <c:v>-5.2</c:v>
                </c:pt>
                <c:pt idx="20">
                  <c:v>-6.6</c:v>
                </c:pt>
              </c:numCache>
            </c:numRef>
          </c:val>
          <c:smooth val="0"/>
          <c:extLst>
            <c:ext xmlns:c16="http://schemas.microsoft.com/office/drawing/2014/chart" uri="{C3380CC4-5D6E-409C-BE32-E72D297353CC}">
              <c16:uniqueId val="{00000004-7379-454C-8B7B-F9D8EE4E7B7F}"/>
            </c:ext>
          </c:extLst>
        </c:ser>
        <c:dLbls>
          <c:showLegendKey val="0"/>
          <c:showVal val="0"/>
          <c:showCatName val="0"/>
          <c:showSerName val="0"/>
          <c:showPercent val="0"/>
          <c:showBubbleSize val="0"/>
        </c:dLbls>
        <c:marker val="1"/>
        <c:smooth val="0"/>
        <c:axId val="531992144"/>
        <c:axId val="531997552"/>
      </c:lineChart>
      <c:catAx>
        <c:axId val="53199214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mn-cs"/>
              </a:defRPr>
            </a:pPr>
            <a:endParaRPr lang="cs-CZ"/>
          </a:p>
        </c:txPr>
        <c:crossAx val="531997552"/>
        <c:crosses val="autoZero"/>
        <c:auto val="1"/>
        <c:lblAlgn val="ctr"/>
        <c:lblOffset val="0"/>
        <c:noMultiLvlLbl val="0"/>
      </c:catAx>
      <c:valAx>
        <c:axId val="531997552"/>
        <c:scaling>
          <c:orientation val="minMax"/>
          <c:max val="1"/>
          <c:min val="-1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mn-cs"/>
              </a:defRPr>
            </a:pPr>
            <a:endParaRPr lang="cs-CZ"/>
          </a:p>
        </c:txPr>
        <c:crossAx val="531992144"/>
        <c:crosses val="autoZero"/>
        <c:crossBetween val="between"/>
        <c:majorUnit val="1"/>
      </c:valAx>
      <c:spPr>
        <a:noFill/>
        <a:ln w="6350">
          <a:solidFill>
            <a:schemeClr val="tx1"/>
          </a:solidFill>
        </a:ln>
        <a:effectLst/>
      </c:spPr>
    </c:plotArea>
    <c:legend>
      <c:legendPos val="b"/>
      <c:layout>
        <c:manualLayout>
          <c:xMode val="edge"/>
          <c:yMode val="edge"/>
          <c:x val="7.0799761296405722E-2"/>
          <c:y val="0.93679796828801454"/>
          <c:w val="0.90607039647393917"/>
          <c:h val="5.1594164041379002E-2"/>
        </c:manualLayout>
      </c:layout>
      <c:overlay val="0"/>
      <c:spPr>
        <a:noFill/>
        <a:ln w="6350">
          <a:solidFill>
            <a:schemeClr val="tx1"/>
          </a:solid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mn-cs"/>
            </a:defRPr>
          </a:pPr>
          <a:endParaRPr lang="cs-CZ"/>
        </a:p>
      </c:txPr>
    </c:legend>
    <c:plotVisOnly val="1"/>
    <c:dispBlanksAs val="gap"/>
    <c:showDLblsOverMax val="0"/>
  </c:chart>
  <c:spPr>
    <a:solidFill>
      <a:schemeClr val="bg1"/>
    </a:solidFill>
    <a:ln w="6350" cap="flat" cmpd="sng" algn="ctr">
      <a:noFill/>
      <a:round/>
    </a:ln>
    <a:effectLst/>
  </c:spPr>
  <c:txPr>
    <a:bodyPr/>
    <a:lstStyle/>
    <a:p>
      <a:pPr>
        <a:defRPr sz="800" baseline="0">
          <a:solidFill>
            <a:sysClr val="windowText" lastClr="000000"/>
          </a:solidFill>
          <a:latin typeface="Arial" panose="020B0604020202020204" pitchFamily="34" charset="0"/>
        </a:defRPr>
      </a:pPr>
      <a:endParaRPr lang="cs-CZ"/>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3402481316341482E-2"/>
          <c:y val="1.7107281879620118E-2"/>
          <c:w val="0.91993550268004531"/>
          <c:h val="0.74263112441057577"/>
        </c:manualLayout>
      </c:layout>
      <c:barChart>
        <c:barDir val="col"/>
        <c:grouping val="stacked"/>
        <c:varyColors val="0"/>
        <c:ser>
          <c:idx val="1"/>
          <c:order val="1"/>
          <c:tx>
            <c:strRef>
              <c:f>'G1-nové pojetí'!$A$6</c:f>
              <c:strCache>
                <c:ptCount val="1"/>
                <c:pt idx="0">
                  <c:v>Ostatní daně a poplatky</c:v>
                </c:pt>
              </c:strCache>
            </c:strRef>
          </c:tx>
          <c:spPr>
            <a:solidFill>
              <a:srgbClr val="D7D9DB"/>
            </a:solidFill>
            <a:ln w="12700">
              <a:noFill/>
              <a:prstDash val="solid"/>
            </a:ln>
          </c:spPr>
          <c:invertIfNegative val="0"/>
          <c:cat>
            <c:strRef>
              <c:f>'G1-nové pojetí'!$B$4:$G$4</c:f>
              <c:strCache>
                <c:ptCount val="6"/>
                <c:pt idx="0">
                  <c:v>2021
1. pol.</c:v>
                </c:pt>
                <c:pt idx="1">
                  <c:v>2022
1. pol.</c:v>
                </c:pt>
                <c:pt idx="2">
                  <c:v>2023
1. pol.</c:v>
                </c:pt>
                <c:pt idx="3">
                  <c:v>2024
1. pol.</c:v>
                </c:pt>
                <c:pt idx="4">
                  <c:v>2025
1. pol.</c:v>
                </c:pt>
                <c:pt idx="5">
                  <c:v>2026
1. pol.</c:v>
                </c:pt>
              </c:strCache>
            </c:strRef>
          </c:cat>
          <c:val>
            <c:numRef>
              <c:f>'G1-nové pojetí'!$B$6:$G$6</c:f>
              <c:numCache>
                <c:formatCode>0.0</c:formatCode>
                <c:ptCount val="6"/>
                <c:pt idx="0">
                  <c:v>-0.57557094156431787</c:v>
                </c:pt>
                <c:pt idx="1">
                  <c:v>0.78502585428938398</c:v>
                </c:pt>
                <c:pt idx="2">
                  <c:v>2.2309684611061136</c:v>
                </c:pt>
                <c:pt idx="3">
                  <c:v>2.5085325698876204</c:v>
                </c:pt>
                <c:pt idx="4">
                  <c:v>1.0188718231456477</c:v>
                </c:pt>
                <c:pt idx="5">
                  <c:v>-2.4640057124266739</c:v>
                </c:pt>
              </c:numCache>
            </c:numRef>
          </c:val>
          <c:extLst>
            <c:ext xmlns:c16="http://schemas.microsoft.com/office/drawing/2014/chart" uri="{C3380CC4-5D6E-409C-BE32-E72D297353CC}">
              <c16:uniqueId val="{00000000-DCA4-4FC2-82C3-86D4741175DF}"/>
            </c:ext>
          </c:extLst>
        </c:ser>
        <c:ser>
          <c:idx val="3"/>
          <c:order val="2"/>
          <c:tx>
            <c:strRef>
              <c:f>'G1-nové pojetí'!$A$7</c:f>
              <c:strCache>
                <c:ptCount val="1"/>
                <c:pt idx="0">
                  <c:v>Daně z příjmů FO, placená plátci</c:v>
                </c:pt>
              </c:strCache>
            </c:strRef>
          </c:tx>
          <c:spPr>
            <a:solidFill>
              <a:srgbClr val="9FC9D7"/>
            </a:solidFill>
            <a:ln w="19050">
              <a:noFill/>
              <a:prstDash val="sysDot"/>
            </a:ln>
          </c:spPr>
          <c:invertIfNegative val="0"/>
          <c:cat>
            <c:strRef>
              <c:f>'G1-nové pojetí'!$B$4:$G$4</c:f>
              <c:strCache>
                <c:ptCount val="6"/>
                <c:pt idx="0">
                  <c:v>2021
1. pol.</c:v>
                </c:pt>
                <c:pt idx="1">
                  <c:v>2022
1. pol.</c:v>
                </c:pt>
                <c:pt idx="2">
                  <c:v>2023
1. pol.</c:v>
                </c:pt>
                <c:pt idx="3">
                  <c:v>2024
1. pol.</c:v>
                </c:pt>
                <c:pt idx="4">
                  <c:v>2025
1. pol.</c:v>
                </c:pt>
                <c:pt idx="5">
                  <c:v>2026
1. pol.</c:v>
                </c:pt>
              </c:strCache>
            </c:strRef>
          </c:cat>
          <c:val>
            <c:numRef>
              <c:f>'G1-nové pojetí'!$B$7:$G$7</c:f>
              <c:numCache>
                <c:formatCode>0.0</c:formatCode>
                <c:ptCount val="6"/>
                <c:pt idx="0">
                  <c:v>-6.0198084538983654</c:v>
                </c:pt>
                <c:pt idx="1">
                  <c:v>1.4133532159550959</c:v>
                </c:pt>
                <c:pt idx="2">
                  <c:v>2.7818509745347071</c:v>
                </c:pt>
                <c:pt idx="3">
                  <c:v>2.0000217898978092</c:v>
                </c:pt>
                <c:pt idx="4">
                  <c:v>1.6295716820137303</c:v>
                </c:pt>
                <c:pt idx="5">
                  <c:v>1.5726928655649646</c:v>
                </c:pt>
              </c:numCache>
            </c:numRef>
          </c:val>
          <c:extLst>
            <c:ext xmlns:c16="http://schemas.microsoft.com/office/drawing/2014/chart" uri="{C3380CC4-5D6E-409C-BE32-E72D297353CC}">
              <c16:uniqueId val="{00000001-DCA4-4FC2-82C3-86D4741175DF}"/>
            </c:ext>
          </c:extLst>
        </c:ser>
        <c:ser>
          <c:idx val="4"/>
          <c:order val="3"/>
          <c:tx>
            <c:strRef>
              <c:f>'G1-nové pojetí'!$A$8</c:f>
              <c:strCache>
                <c:ptCount val="1"/>
                <c:pt idx="0">
                  <c:v>Daně z příjmů fyzických osob (FO), ostatní</c:v>
                </c:pt>
              </c:strCache>
            </c:strRef>
          </c:tx>
          <c:spPr>
            <a:solidFill>
              <a:srgbClr val="009CB5"/>
            </a:solidFill>
            <a:ln w="19050">
              <a:noFill/>
            </a:ln>
          </c:spPr>
          <c:invertIfNegative val="0"/>
          <c:cat>
            <c:strRef>
              <c:f>'G1-nové pojetí'!$B$4:$G$4</c:f>
              <c:strCache>
                <c:ptCount val="6"/>
                <c:pt idx="0">
                  <c:v>2021
1. pol.</c:v>
                </c:pt>
                <c:pt idx="1">
                  <c:v>2022
1. pol.</c:v>
                </c:pt>
                <c:pt idx="2">
                  <c:v>2023
1. pol.</c:v>
                </c:pt>
                <c:pt idx="3">
                  <c:v>2024
1. pol.</c:v>
                </c:pt>
                <c:pt idx="4">
                  <c:v>2025
1. pol.</c:v>
                </c:pt>
                <c:pt idx="5">
                  <c:v>2026
1. pol.</c:v>
                </c:pt>
              </c:strCache>
            </c:strRef>
          </c:cat>
          <c:val>
            <c:numRef>
              <c:f>'G1-nové pojetí'!$B$8:$G$8</c:f>
              <c:numCache>
                <c:formatCode>0.0</c:formatCode>
                <c:ptCount val="6"/>
                <c:pt idx="0">
                  <c:v>1.1905445188146151</c:v>
                </c:pt>
                <c:pt idx="1">
                  <c:v>1.0848278620336691</c:v>
                </c:pt>
                <c:pt idx="2">
                  <c:v>0.87429381000186324</c:v>
                </c:pt>
                <c:pt idx="3">
                  <c:v>0.56500660654026003</c:v>
                </c:pt>
                <c:pt idx="4">
                  <c:v>0.50153227402904321</c:v>
                </c:pt>
                <c:pt idx="5">
                  <c:v>0.63214709284510495</c:v>
                </c:pt>
              </c:numCache>
            </c:numRef>
          </c:val>
          <c:extLst>
            <c:ext xmlns:c16="http://schemas.microsoft.com/office/drawing/2014/chart" uri="{C3380CC4-5D6E-409C-BE32-E72D297353CC}">
              <c16:uniqueId val="{00000002-DCA4-4FC2-82C3-86D4741175DF}"/>
            </c:ext>
          </c:extLst>
        </c:ser>
        <c:ser>
          <c:idx val="2"/>
          <c:order val="4"/>
          <c:tx>
            <c:strRef>
              <c:f>'G1-nové pojetí'!$A$9</c:f>
              <c:strCache>
                <c:ptCount val="1"/>
                <c:pt idx="0">
                  <c:v>Daně z příjmů právnických osob</c:v>
                </c:pt>
              </c:strCache>
            </c:strRef>
          </c:tx>
          <c:spPr>
            <a:solidFill>
              <a:srgbClr val="86BF5E"/>
            </a:solidFill>
            <a:ln>
              <a:noFill/>
            </a:ln>
          </c:spPr>
          <c:invertIfNegative val="0"/>
          <c:cat>
            <c:strRef>
              <c:f>'G1-nové pojetí'!$B$4:$G$4</c:f>
              <c:strCache>
                <c:ptCount val="6"/>
                <c:pt idx="0">
                  <c:v>2021
1. pol.</c:v>
                </c:pt>
                <c:pt idx="1">
                  <c:v>2022
1. pol.</c:v>
                </c:pt>
                <c:pt idx="2">
                  <c:v>2023
1. pol.</c:v>
                </c:pt>
                <c:pt idx="3">
                  <c:v>2024
1. pol.</c:v>
                </c:pt>
                <c:pt idx="4">
                  <c:v>2025
1. pol.</c:v>
                </c:pt>
                <c:pt idx="5">
                  <c:v>2026
1. pol.</c:v>
                </c:pt>
              </c:strCache>
            </c:strRef>
          </c:cat>
          <c:val>
            <c:numRef>
              <c:f>'G1-nové pojetí'!$B$9:$G$9</c:f>
              <c:numCache>
                <c:formatCode>0.0</c:formatCode>
                <c:ptCount val="6"/>
                <c:pt idx="0">
                  <c:v>8.0545419061014698</c:v>
                </c:pt>
                <c:pt idx="1">
                  <c:v>3.4196071209305705</c:v>
                </c:pt>
                <c:pt idx="2">
                  <c:v>5.0089986951406535</c:v>
                </c:pt>
                <c:pt idx="3">
                  <c:v>0.33728578848166757</c:v>
                </c:pt>
                <c:pt idx="4">
                  <c:v>2.0136854346303958</c:v>
                </c:pt>
                <c:pt idx="5">
                  <c:v>2.0865302263270777</c:v>
                </c:pt>
              </c:numCache>
            </c:numRef>
          </c:val>
          <c:extLst>
            <c:ext xmlns:c16="http://schemas.microsoft.com/office/drawing/2014/chart" uri="{C3380CC4-5D6E-409C-BE32-E72D297353CC}">
              <c16:uniqueId val="{00000003-DCA4-4FC2-82C3-86D4741175DF}"/>
            </c:ext>
          </c:extLst>
        </c:ser>
        <c:ser>
          <c:idx val="5"/>
          <c:order val="5"/>
          <c:tx>
            <c:strRef>
              <c:f>'G1-nové pojetí'!$A$10</c:f>
              <c:strCache>
                <c:ptCount val="1"/>
                <c:pt idx="0">
                  <c:v>Spotřební daň</c:v>
                </c:pt>
              </c:strCache>
            </c:strRef>
          </c:tx>
          <c:spPr>
            <a:solidFill>
              <a:srgbClr val="CC9610"/>
            </a:solidFill>
            <a:ln>
              <a:noFill/>
            </a:ln>
          </c:spPr>
          <c:invertIfNegative val="0"/>
          <c:cat>
            <c:strRef>
              <c:f>'G1-nové pojetí'!$B$4:$G$4</c:f>
              <c:strCache>
                <c:ptCount val="6"/>
                <c:pt idx="0">
                  <c:v>2021
1. pol.</c:v>
                </c:pt>
                <c:pt idx="1">
                  <c:v>2022
1. pol.</c:v>
                </c:pt>
                <c:pt idx="2">
                  <c:v>2023
1. pol.</c:v>
                </c:pt>
                <c:pt idx="3">
                  <c:v>2024
1. pol.</c:v>
                </c:pt>
                <c:pt idx="4">
                  <c:v>2025
1. pol.</c:v>
                </c:pt>
                <c:pt idx="5">
                  <c:v>2026
1. pol.</c:v>
                </c:pt>
              </c:strCache>
            </c:strRef>
          </c:cat>
          <c:val>
            <c:numRef>
              <c:f>'G1-nové pojetí'!$B$10:$G$10</c:f>
              <c:numCache>
                <c:formatCode>0.0</c:formatCode>
                <c:ptCount val="6"/>
                <c:pt idx="0">
                  <c:v>-1.71432256636205</c:v>
                </c:pt>
                <c:pt idx="1">
                  <c:v>2.2001267292613349</c:v>
                </c:pt>
                <c:pt idx="2">
                  <c:v>-1.0170175871507856</c:v>
                </c:pt>
                <c:pt idx="3">
                  <c:v>1.1174683098590457</c:v>
                </c:pt>
                <c:pt idx="4">
                  <c:v>0.65579664171622742</c:v>
                </c:pt>
                <c:pt idx="5">
                  <c:v>0.21402873457603214</c:v>
                </c:pt>
              </c:numCache>
            </c:numRef>
          </c:val>
          <c:extLst>
            <c:ext xmlns:c16="http://schemas.microsoft.com/office/drawing/2014/chart" uri="{C3380CC4-5D6E-409C-BE32-E72D297353CC}">
              <c16:uniqueId val="{00000004-DCA4-4FC2-82C3-86D4741175DF}"/>
            </c:ext>
          </c:extLst>
        </c:ser>
        <c:ser>
          <c:idx val="6"/>
          <c:order val="6"/>
          <c:tx>
            <c:strRef>
              <c:f>'G1-nové pojetí'!$A$11</c:f>
              <c:strCache>
                <c:ptCount val="1"/>
                <c:pt idx="0">
                  <c:v>DPH</c:v>
                </c:pt>
              </c:strCache>
            </c:strRef>
          </c:tx>
          <c:spPr>
            <a:solidFill>
              <a:srgbClr val="E6C483"/>
            </a:solidFill>
            <a:ln w="19050">
              <a:noFill/>
            </a:ln>
          </c:spPr>
          <c:invertIfNegative val="0"/>
          <c:cat>
            <c:strRef>
              <c:f>'G1-nové pojetí'!$B$4:$G$4</c:f>
              <c:strCache>
                <c:ptCount val="6"/>
                <c:pt idx="0">
                  <c:v>2021
1. pol.</c:v>
                </c:pt>
                <c:pt idx="1">
                  <c:v>2022
1. pol.</c:v>
                </c:pt>
                <c:pt idx="2">
                  <c:v>2023
1. pol.</c:v>
                </c:pt>
                <c:pt idx="3">
                  <c:v>2024
1. pol.</c:v>
                </c:pt>
                <c:pt idx="4">
                  <c:v>2025
1. pol.</c:v>
                </c:pt>
                <c:pt idx="5">
                  <c:v>2026
1. pol.</c:v>
                </c:pt>
              </c:strCache>
            </c:strRef>
          </c:cat>
          <c:val>
            <c:numRef>
              <c:f>'G1-nové pojetí'!$B$11:$G$11</c:f>
              <c:numCache>
                <c:formatCode>0.0</c:formatCode>
                <c:ptCount val="6"/>
                <c:pt idx="0">
                  <c:v>3.7083912152981675</c:v>
                </c:pt>
                <c:pt idx="1">
                  <c:v>9.7528438385958296</c:v>
                </c:pt>
                <c:pt idx="2">
                  <c:v>2.6897010351263342</c:v>
                </c:pt>
                <c:pt idx="3">
                  <c:v>1.293470941428116</c:v>
                </c:pt>
                <c:pt idx="4">
                  <c:v>2.3000161390613152</c:v>
                </c:pt>
                <c:pt idx="5">
                  <c:v>2.9999614622061479</c:v>
                </c:pt>
              </c:numCache>
            </c:numRef>
          </c:val>
          <c:extLst>
            <c:ext xmlns:c16="http://schemas.microsoft.com/office/drawing/2014/chart" uri="{C3380CC4-5D6E-409C-BE32-E72D297353CC}">
              <c16:uniqueId val="{00000005-DCA4-4FC2-82C3-86D4741175DF}"/>
            </c:ext>
          </c:extLst>
        </c:ser>
        <c:dLbls>
          <c:showLegendKey val="0"/>
          <c:showVal val="0"/>
          <c:showCatName val="0"/>
          <c:showSerName val="0"/>
          <c:showPercent val="0"/>
          <c:showBubbleSize val="0"/>
        </c:dLbls>
        <c:gapWidth val="90"/>
        <c:overlap val="100"/>
        <c:axId val="194467712"/>
        <c:axId val="194473984"/>
      </c:barChart>
      <c:lineChart>
        <c:grouping val="standard"/>
        <c:varyColors val="0"/>
        <c:ser>
          <c:idx val="0"/>
          <c:order val="0"/>
          <c:tx>
            <c:strRef>
              <c:f>'G1-nové pojetí'!$A$5</c:f>
              <c:strCache>
                <c:ptCount val="1"/>
                <c:pt idx="0">
                  <c:v>Celk. daňové příjmy (bez pojistného na SZ)</c:v>
                </c:pt>
              </c:strCache>
            </c:strRef>
          </c:tx>
          <c:spPr>
            <a:ln w="19050">
              <a:noFill/>
            </a:ln>
          </c:spPr>
          <c:marker>
            <c:symbol val="circle"/>
            <c:size val="7"/>
            <c:spPr>
              <a:solidFill>
                <a:schemeClr val="bg1"/>
              </a:solidFill>
              <a:ln>
                <a:solidFill>
                  <a:schemeClr val="tx1">
                    <a:lumMod val="95000"/>
                    <a:lumOff val="5000"/>
                  </a:schemeClr>
                </a:solidFill>
              </a:ln>
            </c:spPr>
          </c:marker>
          <c:cat>
            <c:strRef>
              <c:f>'G1-nové pojetí'!$B$4:$G$4</c:f>
              <c:strCache>
                <c:ptCount val="6"/>
                <c:pt idx="0">
                  <c:v>2021
1. pol.</c:v>
                </c:pt>
                <c:pt idx="1">
                  <c:v>2022
1. pol.</c:v>
                </c:pt>
                <c:pt idx="2">
                  <c:v>2023
1. pol.</c:v>
                </c:pt>
                <c:pt idx="3">
                  <c:v>2024
1. pol.</c:v>
                </c:pt>
                <c:pt idx="4">
                  <c:v>2025
1. pol.</c:v>
                </c:pt>
                <c:pt idx="5">
                  <c:v>2026
1. pol.</c:v>
                </c:pt>
              </c:strCache>
            </c:strRef>
          </c:cat>
          <c:val>
            <c:numRef>
              <c:f>'G1-nové pojetí'!$B$5:$G$5</c:f>
              <c:numCache>
                <c:formatCode>0.0</c:formatCode>
                <c:ptCount val="6"/>
                <c:pt idx="0">
                  <c:v>4.6437756783895168</c:v>
                </c:pt>
                <c:pt idx="1">
                  <c:v>18.655784621065891</c:v>
                </c:pt>
                <c:pt idx="2">
                  <c:v>12.568795388758886</c:v>
                </c:pt>
                <c:pt idx="3">
                  <c:v>7.8217860060945128</c:v>
                </c:pt>
                <c:pt idx="4">
                  <c:v>8.1194739945963619</c:v>
                </c:pt>
                <c:pt idx="5">
                  <c:v>5.0413546690926552</c:v>
                </c:pt>
              </c:numCache>
            </c:numRef>
          </c:val>
          <c:smooth val="0"/>
          <c:extLst>
            <c:ext xmlns:c16="http://schemas.microsoft.com/office/drawing/2014/chart" uri="{C3380CC4-5D6E-409C-BE32-E72D297353CC}">
              <c16:uniqueId val="{00000006-DCA4-4FC2-82C3-86D4741175DF}"/>
            </c:ext>
          </c:extLst>
        </c:ser>
        <c:dLbls>
          <c:showLegendKey val="0"/>
          <c:showVal val="0"/>
          <c:showCatName val="0"/>
          <c:showSerName val="0"/>
          <c:showPercent val="0"/>
          <c:showBubbleSize val="0"/>
        </c:dLbls>
        <c:marker val="1"/>
        <c:smooth val="0"/>
        <c:axId val="194467712"/>
        <c:axId val="194473984"/>
      </c:lineChart>
      <c:catAx>
        <c:axId val="194467712"/>
        <c:scaling>
          <c:orientation val="minMax"/>
        </c:scaling>
        <c:delete val="0"/>
        <c:axPos val="b"/>
        <c:numFmt formatCode="General" sourceLinked="1"/>
        <c:majorTickMark val="out"/>
        <c:minorTickMark val="none"/>
        <c:tickLblPos val="low"/>
        <c:spPr>
          <a:ln w="6350">
            <a:solidFill>
              <a:schemeClr val="tx1"/>
            </a:solidFill>
          </a:ln>
        </c:spPr>
        <c:txPr>
          <a:bodyPr rot="0"/>
          <a:lstStyle/>
          <a:p>
            <a:pPr>
              <a:defRPr sz="800" b="0" i="0"/>
            </a:pPr>
            <a:endParaRPr lang="cs-CZ"/>
          </a:p>
        </c:txPr>
        <c:crossAx val="194473984"/>
        <c:crosses val="autoZero"/>
        <c:auto val="1"/>
        <c:lblAlgn val="ctr"/>
        <c:lblOffset val="0"/>
        <c:noMultiLvlLbl val="0"/>
      </c:catAx>
      <c:valAx>
        <c:axId val="194473984"/>
        <c:scaling>
          <c:orientation val="minMax"/>
          <c:max val="20"/>
          <c:min val="-16"/>
        </c:scaling>
        <c:delete val="0"/>
        <c:axPos val="l"/>
        <c:majorGridlines>
          <c:spPr>
            <a:ln w="6350">
              <a:solidFill>
                <a:schemeClr val="bg1">
                  <a:lumMod val="75000"/>
                </a:schemeClr>
              </a:solidFill>
            </a:ln>
          </c:spPr>
        </c:majorGridlines>
        <c:numFmt formatCode="0" sourceLinked="0"/>
        <c:majorTickMark val="out"/>
        <c:minorTickMark val="none"/>
        <c:tickLblPos val="nextTo"/>
        <c:spPr>
          <a:ln w="6350">
            <a:solidFill>
              <a:schemeClr val="tx1"/>
            </a:solidFill>
          </a:ln>
        </c:spPr>
        <c:txPr>
          <a:bodyPr/>
          <a:lstStyle/>
          <a:p>
            <a:pPr>
              <a:defRPr sz="800" b="0" i="0"/>
            </a:pPr>
            <a:endParaRPr lang="cs-CZ"/>
          </a:p>
        </c:txPr>
        <c:crossAx val="194467712"/>
        <c:crosses val="autoZero"/>
        <c:crossBetween val="between"/>
        <c:majorUnit val="4"/>
      </c:valAx>
      <c:spPr>
        <a:ln w="6350">
          <a:solidFill>
            <a:schemeClr val="tx1"/>
          </a:solidFill>
        </a:ln>
      </c:spPr>
    </c:plotArea>
    <c:legend>
      <c:legendPos val="b"/>
      <c:layout>
        <c:manualLayout>
          <c:xMode val="edge"/>
          <c:yMode val="edge"/>
          <c:x val="5.2655978243683392E-2"/>
          <c:y val="0.84960531302347275"/>
          <c:w val="0.91766878537773144"/>
          <c:h val="0.13935951242809624"/>
        </c:manualLayout>
      </c:layout>
      <c:overlay val="0"/>
      <c:spPr>
        <a:ln w="6350">
          <a:solidFill>
            <a:schemeClr val="tx1"/>
          </a:solidFill>
        </a:ln>
      </c:spPr>
      <c:txPr>
        <a:bodyPr/>
        <a:lstStyle/>
        <a:p>
          <a:pPr>
            <a:defRPr sz="800" b="0" i="0"/>
          </a:pPr>
          <a:endParaRPr lang="cs-CZ"/>
        </a:p>
      </c:txPr>
    </c:legend>
    <c:plotVisOnly val="1"/>
    <c:dispBlanksAs val="gap"/>
    <c:showDLblsOverMax val="0"/>
  </c:chart>
  <c:spPr>
    <a:ln>
      <a:noFill/>
    </a:ln>
  </c:spPr>
  <c:txPr>
    <a:bodyPr/>
    <a:lstStyle/>
    <a:p>
      <a:pPr>
        <a:defRPr sz="700" b="1" i="1">
          <a:latin typeface="Arial" panose="020B0604020202020204" pitchFamily="34" charset="0"/>
          <a:cs typeface="Arial" panose="020B0604020202020204" pitchFamily="34" charset="0"/>
        </a:defRPr>
      </a:pPr>
      <a:endParaRPr lang="cs-CZ"/>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7152891877126683E-2"/>
          <c:y val="1.7107287133586922E-2"/>
          <c:w val="0.90355778536659226"/>
          <c:h val="0.700740253926736"/>
        </c:manualLayout>
      </c:layout>
      <c:barChart>
        <c:barDir val="col"/>
        <c:grouping val="stacked"/>
        <c:varyColors val="0"/>
        <c:ser>
          <c:idx val="0"/>
          <c:order val="0"/>
          <c:tx>
            <c:strRef>
              <c:f>'G-2-nový -přísp'!$M$172</c:f>
              <c:strCache>
                <c:ptCount val="1"/>
                <c:pt idx="0">
                  <c:v>Platy a související výdaje*</c:v>
                </c:pt>
              </c:strCache>
            </c:strRef>
          </c:tx>
          <c:spPr>
            <a:solidFill>
              <a:srgbClr val="E6C483"/>
            </a:solidFill>
            <a:ln w="19050">
              <a:noFill/>
            </a:ln>
          </c:spPr>
          <c:invertIfNegative val="0"/>
          <c:cat>
            <c:strRef>
              <c:f>'G-2-nový -přísp'!$N$171:$S$171</c:f>
              <c:strCache>
                <c:ptCount val="6"/>
                <c:pt idx="0">
                  <c:v>2021
1. pol.</c:v>
                </c:pt>
                <c:pt idx="1">
                  <c:v>2022
1. pol.</c:v>
                </c:pt>
                <c:pt idx="2">
                  <c:v>2023
1. pol.</c:v>
                </c:pt>
                <c:pt idx="3">
                  <c:v>2024
1. pol.</c:v>
                </c:pt>
                <c:pt idx="4">
                  <c:v>2025
1. pol.</c:v>
                </c:pt>
                <c:pt idx="5">
                  <c:v>2026
1. pol.</c:v>
                </c:pt>
              </c:strCache>
            </c:strRef>
          </c:cat>
          <c:val>
            <c:numRef>
              <c:f>'G-2-nový -přísp'!$N$172:$S$172</c:f>
              <c:numCache>
                <c:formatCode>#\ ##0.0</c:formatCode>
                <c:ptCount val="6"/>
                <c:pt idx="0">
                  <c:v>7.4095727894276944E-2</c:v>
                </c:pt>
                <c:pt idx="1">
                  <c:v>1.8894292552087692E-2</c:v>
                </c:pt>
                <c:pt idx="2">
                  <c:v>0.64116253722028793</c:v>
                </c:pt>
                <c:pt idx="3">
                  <c:v>5.0573170896554387E-2</c:v>
                </c:pt>
                <c:pt idx="4">
                  <c:v>0.3584799087795888</c:v>
                </c:pt>
                <c:pt idx="5">
                  <c:v>0.55067281266322765</c:v>
                </c:pt>
              </c:numCache>
            </c:numRef>
          </c:val>
          <c:extLst>
            <c:ext xmlns:c16="http://schemas.microsoft.com/office/drawing/2014/chart" uri="{C3380CC4-5D6E-409C-BE32-E72D297353CC}">
              <c16:uniqueId val="{00000000-C6C3-4E21-9B31-AAB327639D61}"/>
            </c:ext>
          </c:extLst>
        </c:ser>
        <c:ser>
          <c:idx val="1"/>
          <c:order val="1"/>
          <c:tx>
            <c:strRef>
              <c:f>'G-2-nový -přísp'!$M$173</c:f>
              <c:strCache>
                <c:ptCount val="1"/>
                <c:pt idx="0">
                  <c:v>Neinvestiční nákupy a souvis. výdaje**</c:v>
                </c:pt>
              </c:strCache>
            </c:strRef>
          </c:tx>
          <c:spPr>
            <a:solidFill>
              <a:srgbClr val="CC9610"/>
            </a:solidFill>
            <a:ln w="12700">
              <a:noFill/>
              <a:prstDash val="solid"/>
            </a:ln>
          </c:spPr>
          <c:invertIfNegative val="0"/>
          <c:cat>
            <c:strRef>
              <c:f>'G-2-nový -přísp'!$N$171:$S$171</c:f>
              <c:strCache>
                <c:ptCount val="6"/>
                <c:pt idx="0">
                  <c:v>2021
1. pol.</c:v>
                </c:pt>
                <c:pt idx="1">
                  <c:v>2022
1. pol.</c:v>
                </c:pt>
                <c:pt idx="2">
                  <c:v>2023
1. pol.</c:v>
                </c:pt>
                <c:pt idx="3">
                  <c:v>2024
1. pol.</c:v>
                </c:pt>
                <c:pt idx="4">
                  <c:v>2025
1. pol.</c:v>
                </c:pt>
                <c:pt idx="5">
                  <c:v>2026
1. pol.</c:v>
                </c:pt>
              </c:strCache>
            </c:strRef>
          </c:cat>
          <c:val>
            <c:numRef>
              <c:f>'G-2-nový -přísp'!$N$173:$S$173</c:f>
              <c:numCache>
                <c:formatCode>#\ ##0.0</c:formatCode>
                <c:ptCount val="6"/>
                <c:pt idx="0">
                  <c:v>0.28031549320184307</c:v>
                </c:pt>
                <c:pt idx="1">
                  <c:v>1.1875633018489464</c:v>
                </c:pt>
                <c:pt idx="2">
                  <c:v>0.92670507095350174</c:v>
                </c:pt>
                <c:pt idx="3">
                  <c:v>0.95454238820623494</c:v>
                </c:pt>
                <c:pt idx="4">
                  <c:v>0.58551867096455679</c:v>
                </c:pt>
                <c:pt idx="5">
                  <c:v>0.56313145931096054</c:v>
                </c:pt>
              </c:numCache>
            </c:numRef>
          </c:val>
          <c:extLst>
            <c:ext xmlns:c16="http://schemas.microsoft.com/office/drawing/2014/chart" uri="{C3380CC4-5D6E-409C-BE32-E72D297353CC}">
              <c16:uniqueId val="{00000001-C6C3-4E21-9B31-AAB327639D61}"/>
            </c:ext>
          </c:extLst>
        </c:ser>
        <c:ser>
          <c:idx val="3"/>
          <c:order val="2"/>
          <c:tx>
            <c:strRef>
              <c:f>'G-2-nový -přísp'!$M$174</c:f>
              <c:strCache>
                <c:ptCount val="1"/>
                <c:pt idx="0">
                  <c:v>Neinvestiční transfery podnikatelům</c:v>
                </c:pt>
              </c:strCache>
            </c:strRef>
          </c:tx>
          <c:spPr>
            <a:solidFill>
              <a:srgbClr val="9FC9D7"/>
            </a:solidFill>
            <a:ln w="19050">
              <a:noFill/>
              <a:prstDash val="sysDot"/>
            </a:ln>
          </c:spPr>
          <c:invertIfNegative val="0"/>
          <c:cat>
            <c:strRef>
              <c:f>'G-2-nový -přísp'!$N$171:$S$171</c:f>
              <c:strCache>
                <c:ptCount val="6"/>
                <c:pt idx="0">
                  <c:v>2021
1. pol.</c:v>
                </c:pt>
                <c:pt idx="1">
                  <c:v>2022
1. pol.</c:v>
                </c:pt>
                <c:pt idx="2">
                  <c:v>2023
1. pol.</c:v>
                </c:pt>
                <c:pt idx="3">
                  <c:v>2024
1. pol.</c:v>
                </c:pt>
                <c:pt idx="4">
                  <c:v>2025
1. pol.</c:v>
                </c:pt>
                <c:pt idx="5">
                  <c:v>2026
1. pol.</c:v>
                </c:pt>
              </c:strCache>
            </c:strRef>
          </c:cat>
          <c:val>
            <c:numRef>
              <c:f>'G-2-nový -přísp'!$N$174:$S$174</c:f>
              <c:numCache>
                <c:formatCode>#\ ##0.0</c:formatCode>
                <c:ptCount val="6"/>
                <c:pt idx="0">
                  <c:v>3.6148852456816498</c:v>
                </c:pt>
                <c:pt idx="1">
                  <c:v>-5.229086691640541</c:v>
                </c:pt>
                <c:pt idx="2">
                  <c:v>4.506646725506867</c:v>
                </c:pt>
                <c:pt idx="3">
                  <c:v>-3.2892058284050982</c:v>
                </c:pt>
                <c:pt idx="4">
                  <c:v>-0.58554343379710094</c:v>
                </c:pt>
                <c:pt idx="5">
                  <c:v>9.9216404794933363E-2</c:v>
                </c:pt>
              </c:numCache>
            </c:numRef>
          </c:val>
          <c:extLst>
            <c:ext xmlns:c16="http://schemas.microsoft.com/office/drawing/2014/chart" uri="{C3380CC4-5D6E-409C-BE32-E72D297353CC}">
              <c16:uniqueId val="{00000002-C6C3-4E21-9B31-AAB327639D61}"/>
            </c:ext>
          </c:extLst>
        </c:ser>
        <c:ser>
          <c:idx val="4"/>
          <c:order val="3"/>
          <c:tx>
            <c:strRef>
              <c:f>'G-2-nový -přísp'!$M$175</c:f>
              <c:strCache>
                <c:ptCount val="1"/>
                <c:pt idx="0">
                  <c:v>Neinvestiční transfery ostatní***</c:v>
                </c:pt>
              </c:strCache>
            </c:strRef>
          </c:tx>
          <c:spPr>
            <a:solidFill>
              <a:srgbClr val="009CB5"/>
            </a:solidFill>
            <a:ln w="19050">
              <a:noFill/>
            </a:ln>
          </c:spPr>
          <c:invertIfNegative val="0"/>
          <c:cat>
            <c:strRef>
              <c:f>'G-2-nový -přísp'!$N$171:$S$171</c:f>
              <c:strCache>
                <c:ptCount val="6"/>
                <c:pt idx="0">
                  <c:v>2021
1. pol.</c:v>
                </c:pt>
                <c:pt idx="1">
                  <c:v>2022
1. pol.</c:v>
                </c:pt>
                <c:pt idx="2">
                  <c:v>2023
1. pol.</c:v>
                </c:pt>
                <c:pt idx="3">
                  <c:v>2024
1. pol.</c:v>
                </c:pt>
                <c:pt idx="4">
                  <c:v>2025
1. pol.</c:v>
                </c:pt>
                <c:pt idx="5">
                  <c:v>2026
1. pol.</c:v>
                </c:pt>
              </c:strCache>
            </c:strRef>
          </c:cat>
          <c:val>
            <c:numRef>
              <c:f>'G-2-nový -přísp'!$N$175:$S$175</c:f>
              <c:numCache>
                <c:formatCode>#\ ##0.0</c:formatCode>
                <c:ptCount val="6"/>
                <c:pt idx="0">
                  <c:v>-4.3539378280694298E-2</c:v>
                </c:pt>
                <c:pt idx="1">
                  <c:v>-0.87186193126853773</c:v>
                </c:pt>
                <c:pt idx="2">
                  <c:v>0.55420230173723817</c:v>
                </c:pt>
                <c:pt idx="3">
                  <c:v>1.6022844707240993</c:v>
                </c:pt>
                <c:pt idx="4">
                  <c:v>-0.3554151902175936</c:v>
                </c:pt>
                <c:pt idx="5">
                  <c:v>-0.66405139830011495</c:v>
                </c:pt>
              </c:numCache>
            </c:numRef>
          </c:val>
          <c:extLst>
            <c:ext xmlns:c16="http://schemas.microsoft.com/office/drawing/2014/chart" uri="{C3380CC4-5D6E-409C-BE32-E72D297353CC}">
              <c16:uniqueId val="{00000003-C6C3-4E21-9B31-AAB327639D61}"/>
            </c:ext>
          </c:extLst>
        </c:ser>
        <c:ser>
          <c:idx val="2"/>
          <c:order val="4"/>
          <c:tx>
            <c:strRef>
              <c:f>'G-2-nový -přísp'!$M$176</c:f>
              <c:strCache>
                <c:ptCount val="1"/>
                <c:pt idx="0">
                  <c:v>Neinv. transfery fondům soc.a veř.zdrav.poj.</c:v>
                </c:pt>
              </c:strCache>
            </c:strRef>
          </c:tx>
          <c:spPr>
            <a:solidFill>
              <a:srgbClr val="D8A7B7"/>
            </a:solidFill>
            <a:ln>
              <a:noFill/>
            </a:ln>
          </c:spPr>
          <c:invertIfNegative val="0"/>
          <c:cat>
            <c:strRef>
              <c:f>'G-2-nový -přísp'!$N$171:$S$171</c:f>
              <c:strCache>
                <c:ptCount val="6"/>
                <c:pt idx="0">
                  <c:v>2021
1. pol.</c:v>
                </c:pt>
                <c:pt idx="1">
                  <c:v>2022
1. pol.</c:v>
                </c:pt>
                <c:pt idx="2">
                  <c:v>2023
1. pol.</c:v>
                </c:pt>
                <c:pt idx="3">
                  <c:v>2024
1. pol.</c:v>
                </c:pt>
                <c:pt idx="4">
                  <c:v>2025
1. pol.</c:v>
                </c:pt>
                <c:pt idx="5">
                  <c:v>2026
1. pol.</c:v>
                </c:pt>
              </c:strCache>
            </c:strRef>
          </c:cat>
          <c:val>
            <c:numRef>
              <c:f>'G-2-nový -přísp'!$N$176:$S$176</c:f>
              <c:numCache>
                <c:formatCode>#\ ##0.0</c:formatCode>
                <c:ptCount val="6"/>
                <c:pt idx="0">
                  <c:v>2.5031090203322646</c:v>
                </c:pt>
                <c:pt idx="1">
                  <c:v>0.84093665212436786</c:v>
                </c:pt>
                <c:pt idx="2">
                  <c:v>-0.23463679627763118</c:v>
                </c:pt>
                <c:pt idx="3">
                  <c:v>0.58885485363367707</c:v>
                </c:pt>
                <c:pt idx="4">
                  <c:v>9.1191190558826865E-2</c:v>
                </c:pt>
                <c:pt idx="5">
                  <c:v>1.3326543822411687</c:v>
                </c:pt>
              </c:numCache>
            </c:numRef>
          </c:val>
          <c:extLst>
            <c:ext xmlns:c16="http://schemas.microsoft.com/office/drawing/2014/chart" uri="{C3380CC4-5D6E-409C-BE32-E72D297353CC}">
              <c16:uniqueId val="{00000004-C6C3-4E21-9B31-AAB327639D61}"/>
            </c:ext>
          </c:extLst>
        </c:ser>
        <c:ser>
          <c:idx val="5"/>
          <c:order val="5"/>
          <c:tx>
            <c:strRef>
              <c:f>'G-2-nový -přísp'!$M$177</c:f>
              <c:strCache>
                <c:ptCount val="1"/>
                <c:pt idx="0">
                  <c:v>Neinv. transfery územním rozpočtům</c:v>
                </c:pt>
              </c:strCache>
            </c:strRef>
          </c:tx>
          <c:spPr>
            <a:solidFill>
              <a:srgbClr val="BC5B80"/>
            </a:solidFill>
            <a:ln>
              <a:noFill/>
            </a:ln>
          </c:spPr>
          <c:invertIfNegative val="0"/>
          <c:cat>
            <c:strRef>
              <c:f>'G-2-nový -přísp'!$N$171:$S$171</c:f>
              <c:strCache>
                <c:ptCount val="6"/>
                <c:pt idx="0">
                  <c:v>2021
1. pol.</c:v>
                </c:pt>
                <c:pt idx="1">
                  <c:v>2022
1. pol.</c:v>
                </c:pt>
                <c:pt idx="2">
                  <c:v>2023
1. pol.</c:v>
                </c:pt>
                <c:pt idx="3">
                  <c:v>2024
1. pol.</c:v>
                </c:pt>
                <c:pt idx="4">
                  <c:v>2025
1. pol.</c:v>
                </c:pt>
                <c:pt idx="5">
                  <c:v>2026
1. pol.</c:v>
                </c:pt>
              </c:strCache>
            </c:strRef>
          </c:cat>
          <c:val>
            <c:numRef>
              <c:f>'G-2-nový -přísp'!$N$177:$S$177</c:f>
              <c:numCache>
                <c:formatCode>#\ ##0.0</c:formatCode>
                <c:ptCount val="6"/>
                <c:pt idx="0">
                  <c:v>2.1037058739173262</c:v>
                </c:pt>
                <c:pt idx="1">
                  <c:v>-1.1344676610275661E-2</c:v>
                </c:pt>
                <c:pt idx="2">
                  <c:v>2.614137006574635</c:v>
                </c:pt>
                <c:pt idx="3">
                  <c:v>-0.58965642163444709</c:v>
                </c:pt>
                <c:pt idx="4">
                  <c:v>1.1992892156283173</c:v>
                </c:pt>
                <c:pt idx="5">
                  <c:v>-0.96650420340559917</c:v>
                </c:pt>
              </c:numCache>
            </c:numRef>
          </c:val>
          <c:extLst>
            <c:ext xmlns:c16="http://schemas.microsoft.com/office/drawing/2014/chart" uri="{C3380CC4-5D6E-409C-BE32-E72D297353CC}">
              <c16:uniqueId val="{00000005-C6C3-4E21-9B31-AAB327639D61}"/>
            </c:ext>
          </c:extLst>
        </c:ser>
        <c:ser>
          <c:idx val="6"/>
          <c:order val="6"/>
          <c:tx>
            <c:strRef>
              <c:f>'G-2-nový -přísp'!$M$178</c:f>
              <c:strCache>
                <c:ptCount val="1"/>
                <c:pt idx="0">
                  <c:v>Důchody</c:v>
                </c:pt>
              </c:strCache>
            </c:strRef>
          </c:tx>
          <c:spPr>
            <a:solidFill>
              <a:srgbClr val="C3DDAC"/>
            </a:solidFill>
            <a:ln w="19050">
              <a:noFill/>
            </a:ln>
          </c:spPr>
          <c:invertIfNegative val="0"/>
          <c:cat>
            <c:strRef>
              <c:f>'G-2-nový -přísp'!$N$171:$S$171</c:f>
              <c:strCache>
                <c:ptCount val="6"/>
                <c:pt idx="0">
                  <c:v>2021
1. pol.</c:v>
                </c:pt>
                <c:pt idx="1">
                  <c:v>2022
1. pol.</c:v>
                </c:pt>
                <c:pt idx="2">
                  <c:v>2023
1. pol.</c:v>
                </c:pt>
                <c:pt idx="3">
                  <c:v>2024
1. pol.</c:v>
                </c:pt>
                <c:pt idx="4">
                  <c:v>2025
1. pol.</c:v>
                </c:pt>
                <c:pt idx="5">
                  <c:v>2026
1. pol.</c:v>
                </c:pt>
              </c:strCache>
            </c:strRef>
          </c:cat>
          <c:val>
            <c:numRef>
              <c:f>'G-2-nový -přísp'!$N$178:$S$178</c:f>
              <c:numCache>
                <c:formatCode>#\ ##0.0</c:formatCode>
                <c:ptCount val="6"/>
                <c:pt idx="0">
                  <c:v>1.5874089636109858</c:v>
                </c:pt>
                <c:pt idx="1">
                  <c:v>1.8586436047439359</c:v>
                </c:pt>
                <c:pt idx="2">
                  <c:v>5.8084204557645389</c:v>
                </c:pt>
                <c:pt idx="3">
                  <c:v>1.2848762395065934</c:v>
                </c:pt>
                <c:pt idx="4">
                  <c:v>0.11633088038591927</c:v>
                </c:pt>
                <c:pt idx="5">
                  <c:v>1.2032301754918788</c:v>
                </c:pt>
              </c:numCache>
            </c:numRef>
          </c:val>
          <c:extLst>
            <c:ext xmlns:c16="http://schemas.microsoft.com/office/drawing/2014/chart" uri="{C3380CC4-5D6E-409C-BE32-E72D297353CC}">
              <c16:uniqueId val="{00000006-C6C3-4E21-9B31-AAB327639D61}"/>
            </c:ext>
          </c:extLst>
        </c:ser>
        <c:ser>
          <c:idx val="7"/>
          <c:order val="7"/>
          <c:tx>
            <c:strRef>
              <c:f>'G-2-nový -přísp'!$M$179</c:f>
              <c:strCache>
                <c:ptCount val="1"/>
                <c:pt idx="0">
                  <c:v>Ostatní sociální dávky****</c:v>
                </c:pt>
              </c:strCache>
            </c:strRef>
          </c:tx>
          <c:spPr>
            <a:solidFill>
              <a:srgbClr val="86BF5E"/>
            </a:solidFill>
            <a:ln w="6350">
              <a:noFill/>
              <a:prstDash val="dash"/>
            </a:ln>
          </c:spPr>
          <c:invertIfNegative val="0"/>
          <c:cat>
            <c:strRef>
              <c:f>'G-2-nový -přísp'!$N$171:$S$171</c:f>
              <c:strCache>
                <c:ptCount val="6"/>
                <c:pt idx="0">
                  <c:v>2021
1. pol.</c:v>
                </c:pt>
                <c:pt idx="1">
                  <c:v>2022
1. pol.</c:v>
                </c:pt>
                <c:pt idx="2">
                  <c:v>2023
1. pol.</c:v>
                </c:pt>
                <c:pt idx="3">
                  <c:v>2024
1. pol.</c:v>
                </c:pt>
                <c:pt idx="4">
                  <c:v>2025
1. pol.</c:v>
                </c:pt>
                <c:pt idx="5">
                  <c:v>2026
1. pol.</c:v>
                </c:pt>
              </c:strCache>
            </c:strRef>
          </c:cat>
          <c:val>
            <c:numRef>
              <c:f>'G-2-nový -přísp'!$N$179:$S$179</c:f>
              <c:numCache>
                <c:formatCode>#\ ##0.0</c:formatCode>
                <c:ptCount val="6"/>
                <c:pt idx="0">
                  <c:v>-0.19608773251686876</c:v>
                </c:pt>
                <c:pt idx="1">
                  <c:v>0.31640378214155945</c:v>
                </c:pt>
                <c:pt idx="2">
                  <c:v>0.62810938678398587</c:v>
                </c:pt>
                <c:pt idx="3">
                  <c:v>0.2275665437687617</c:v>
                </c:pt>
                <c:pt idx="4">
                  <c:v>0.72603072049179063</c:v>
                </c:pt>
                <c:pt idx="5">
                  <c:v>0.53216833616864778</c:v>
                </c:pt>
              </c:numCache>
            </c:numRef>
          </c:val>
          <c:extLst>
            <c:ext xmlns:c16="http://schemas.microsoft.com/office/drawing/2014/chart" uri="{C3380CC4-5D6E-409C-BE32-E72D297353CC}">
              <c16:uniqueId val="{00000007-C6C3-4E21-9B31-AAB327639D61}"/>
            </c:ext>
          </c:extLst>
        </c:ser>
        <c:ser>
          <c:idx val="8"/>
          <c:order val="8"/>
          <c:tx>
            <c:strRef>
              <c:f>'G-2-nový -přísp'!$M$180</c:f>
              <c:strCache>
                <c:ptCount val="1"/>
                <c:pt idx="0">
                  <c:v>Ostatní běžné výdaje*****</c:v>
                </c:pt>
              </c:strCache>
            </c:strRef>
          </c:tx>
          <c:spPr>
            <a:solidFill>
              <a:srgbClr val="B8BBC0"/>
            </a:solidFill>
            <a:ln w="19050">
              <a:noFill/>
            </a:ln>
          </c:spPr>
          <c:invertIfNegative val="0"/>
          <c:cat>
            <c:strRef>
              <c:f>'G-2-nový -přísp'!$N$171:$S$171</c:f>
              <c:strCache>
                <c:ptCount val="6"/>
                <c:pt idx="0">
                  <c:v>2021
1. pol.</c:v>
                </c:pt>
                <c:pt idx="1">
                  <c:v>2022
1. pol.</c:v>
                </c:pt>
                <c:pt idx="2">
                  <c:v>2023
1. pol.</c:v>
                </c:pt>
                <c:pt idx="3">
                  <c:v>2024
1. pol.</c:v>
                </c:pt>
                <c:pt idx="4">
                  <c:v>2025
1. pol.</c:v>
                </c:pt>
                <c:pt idx="5">
                  <c:v>2026
1. pol.</c:v>
                </c:pt>
              </c:strCache>
            </c:strRef>
          </c:cat>
          <c:val>
            <c:numRef>
              <c:f>'G-2-nový -přísp'!$N$180:$S$180</c:f>
              <c:numCache>
                <c:formatCode>#\ ##0.0</c:formatCode>
                <c:ptCount val="6"/>
                <c:pt idx="0">
                  <c:v>-6.9514068579071275E-2</c:v>
                </c:pt>
                <c:pt idx="1">
                  <c:v>0.23015825211366989</c:v>
                </c:pt>
                <c:pt idx="2">
                  <c:v>0.18180844366078761</c:v>
                </c:pt>
                <c:pt idx="3">
                  <c:v>-0.41361902785904742</c:v>
                </c:pt>
                <c:pt idx="4">
                  <c:v>4.234465471491383E-3</c:v>
                </c:pt>
                <c:pt idx="5">
                  <c:v>1.3165243012349284</c:v>
                </c:pt>
              </c:numCache>
            </c:numRef>
          </c:val>
          <c:extLst>
            <c:ext xmlns:c16="http://schemas.microsoft.com/office/drawing/2014/chart" uri="{C3380CC4-5D6E-409C-BE32-E72D297353CC}">
              <c16:uniqueId val="{00000008-C6C3-4E21-9B31-AAB327639D61}"/>
            </c:ext>
          </c:extLst>
        </c:ser>
        <c:ser>
          <c:idx val="9"/>
          <c:order val="9"/>
          <c:tx>
            <c:strRef>
              <c:f>'G-2-nový -přísp'!$M$181</c:f>
              <c:strCache>
                <c:ptCount val="1"/>
                <c:pt idx="0">
                  <c:v>Kapitálové výdaje</c:v>
                </c:pt>
              </c:strCache>
            </c:strRef>
          </c:tx>
          <c:spPr>
            <a:solidFill>
              <a:srgbClr val="89898E"/>
            </a:solidFill>
            <a:ln w="19050">
              <a:noFill/>
              <a:prstDash val="sysDash"/>
            </a:ln>
          </c:spPr>
          <c:invertIfNegative val="0"/>
          <c:cat>
            <c:strRef>
              <c:f>'G-2-nový -přísp'!$N$171:$S$171</c:f>
              <c:strCache>
                <c:ptCount val="6"/>
                <c:pt idx="0">
                  <c:v>2021
1. pol.</c:v>
                </c:pt>
                <c:pt idx="1">
                  <c:v>2022
1. pol.</c:v>
                </c:pt>
                <c:pt idx="2">
                  <c:v>2023
1. pol.</c:v>
                </c:pt>
                <c:pt idx="3">
                  <c:v>2024
1. pol.</c:v>
                </c:pt>
                <c:pt idx="4">
                  <c:v>2025
1. pol.</c:v>
                </c:pt>
                <c:pt idx="5">
                  <c:v>2026
1. pol.</c:v>
                </c:pt>
              </c:strCache>
            </c:strRef>
          </c:cat>
          <c:val>
            <c:numRef>
              <c:f>'G-2-nový -přísp'!$N$181:$S$181</c:f>
              <c:numCache>
                <c:formatCode>#\ ##0.0</c:formatCode>
                <c:ptCount val="6"/>
                <c:pt idx="0">
                  <c:v>-0.58903031132553563</c:v>
                </c:pt>
                <c:pt idx="1">
                  <c:v>0.8555103759267676</c:v>
                </c:pt>
                <c:pt idx="2">
                  <c:v>1.1378323210553873</c:v>
                </c:pt>
                <c:pt idx="3">
                  <c:v>-0.2210580199357926</c:v>
                </c:pt>
                <c:pt idx="4">
                  <c:v>0.35742461409413834</c:v>
                </c:pt>
                <c:pt idx="5">
                  <c:v>2.2173570785535355</c:v>
                </c:pt>
              </c:numCache>
            </c:numRef>
          </c:val>
          <c:extLst>
            <c:ext xmlns:c16="http://schemas.microsoft.com/office/drawing/2014/chart" uri="{C3380CC4-5D6E-409C-BE32-E72D297353CC}">
              <c16:uniqueId val="{00000009-C6C3-4E21-9B31-AAB327639D61}"/>
            </c:ext>
          </c:extLst>
        </c:ser>
        <c:dLbls>
          <c:showLegendKey val="0"/>
          <c:showVal val="0"/>
          <c:showCatName val="0"/>
          <c:showSerName val="0"/>
          <c:showPercent val="0"/>
          <c:showBubbleSize val="0"/>
        </c:dLbls>
        <c:gapWidth val="90"/>
        <c:overlap val="100"/>
        <c:axId val="194467712"/>
        <c:axId val="194473984"/>
      </c:barChart>
      <c:lineChart>
        <c:grouping val="standard"/>
        <c:varyColors val="0"/>
        <c:ser>
          <c:idx val="10"/>
          <c:order val="10"/>
          <c:tx>
            <c:strRef>
              <c:f>'G-2-nový -přísp'!$M$182</c:f>
              <c:strCache>
                <c:ptCount val="1"/>
                <c:pt idx="0">
                  <c:v>Výdaje celkem</c:v>
                </c:pt>
              </c:strCache>
            </c:strRef>
          </c:tx>
          <c:spPr>
            <a:ln w="22225">
              <a:noFill/>
            </a:ln>
          </c:spPr>
          <c:marker>
            <c:symbol val="circle"/>
            <c:size val="7"/>
            <c:spPr>
              <a:solidFill>
                <a:schemeClr val="bg1"/>
              </a:solidFill>
              <a:ln>
                <a:solidFill>
                  <a:schemeClr val="tx1">
                    <a:lumMod val="95000"/>
                    <a:lumOff val="5000"/>
                  </a:schemeClr>
                </a:solidFill>
              </a:ln>
            </c:spPr>
          </c:marker>
          <c:cat>
            <c:strRef>
              <c:f>'G-2-nový -přísp'!$N$171:$S$171</c:f>
              <c:strCache>
                <c:ptCount val="6"/>
                <c:pt idx="0">
                  <c:v>2021
1. pol.</c:v>
                </c:pt>
                <c:pt idx="1">
                  <c:v>2022
1. pol.</c:v>
                </c:pt>
                <c:pt idx="2">
                  <c:v>2023
1. pol.</c:v>
                </c:pt>
                <c:pt idx="3">
                  <c:v>2024
1. pol.</c:v>
                </c:pt>
                <c:pt idx="4">
                  <c:v>2025
1. pol.</c:v>
                </c:pt>
                <c:pt idx="5">
                  <c:v>2026
1. pol.</c:v>
                </c:pt>
              </c:strCache>
            </c:strRef>
          </c:cat>
          <c:val>
            <c:numRef>
              <c:f>'G-2-nový -přísp'!$N$182:$S$182</c:f>
              <c:numCache>
                <c:formatCode>#\ ##0.0</c:formatCode>
                <c:ptCount val="6"/>
                <c:pt idx="0">
                  <c:v>9.2653488339361871</c:v>
                </c:pt>
                <c:pt idx="1">
                  <c:v>-0.80418303806801816</c:v>
                </c:pt>
                <c:pt idx="2">
                  <c:v>16.764387452979605</c:v>
                </c:pt>
                <c:pt idx="3">
                  <c:v>0.19515836890151661</c:v>
                </c:pt>
                <c:pt idx="4">
                  <c:v>2.4975410423599556</c:v>
                </c:pt>
                <c:pt idx="5">
                  <c:v>6.1843993487535727</c:v>
                </c:pt>
              </c:numCache>
            </c:numRef>
          </c:val>
          <c:smooth val="0"/>
          <c:extLst>
            <c:ext xmlns:c16="http://schemas.microsoft.com/office/drawing/2014/chart" uri="{C3380CC4-5D6E-409C-BE32-E72D297353CC}">
              <c16:uniqueId val="{0000000A-C6C3-4E21-9B31-AAB327639D61}"/>
            </c:ext>
          </c:extLst>
        </c:ser>
        <c:dLbls>
          <c:showLegendKey val="0"/>
          <c:showVal val="0"/>
          <c:showCatName val="0"/>
          <c:showSerName val="0"/>
          <c:showPercent val="0"/>
          <c:showBubbleSize val="0"/>
        </c:dLbls>
        <c:marker val="1"/>
        <c:smooth val="0"/>
        <c:axId val="194467712"/>
        <c:axId val="194473984"/>
      </c:lineChart>
      <c:catAx>
        <c:axId val="194467712"/>
        <c:scaling>
          <c:orientation val="minMax"/>
        </c:scaling>
        <c:delete val="0"/>
        <c:axPos val="b"/>
        <c:numFmt formatCode="General" sourceLinked="1"/>
        <c:majorTickMark val="out"/>
        <c:minorTickMark val="none"/>
        <c:tickLblPos val="low"/>
        <c:spPr>
          <a:ln w="6350">
            <a:solidFill>
              <a:schemeClr val="tx1"/>
            </a:solidFill>
          </a:ln>
        </c:spPr>
        <c:txPr>
          <a:bodyPr rot="0"/>
          <a:lstStyle/>
          <a:p>
            <a:pPr>
              <a:defRPr sz="800" b="0" i="0"/>
            </a:pPr>
            <a:endParaRPr lang="cs-CZ"/>
          </a:p>
        </c:txPr>
        <c:crossAx val="194473984"/>
        <c:crosses val="autoZero"/>
        <c:auto val="1"/>
        <c:lblAlgn val="ctr"/>
        <c:lblOffset val="0"/>
        <c:noMultiLvlLbl val="0"/>
      </c:catAx>
      <c:valAx>
        <c:axId val="194473984"/>
        <c:scaling>
          <c:orientation val="minMax"/>
          <c:max val="18"/>
          <c:min val="-8"/>
        </c:scaling>
        <c:delete val="0"/>
        <c:axPos val="l"/>
        <c:majorGridlines>
          <c:spPr>
            <a:ln w="6350">
              <a:solidFill>
                <a:schemeClr val="bg1">
                  <a:lumMod val="75000"/>
                </a:schemeClr>
              </a:solidFill>
            </a:ln>
          </c:spPr>
        </c:majorGridlines>
        <c:numFmt formatCode="0" sourceLinked="0"/>
        <c:majorTickMark val="out"/>
        <c:minorTickMark val="none"/>
        <c:tickLblPos val="nextTo"/>
        <c:spPr>
          <a:ln w="6350">
            <a:solidFill>
              <a:schemeClr val="tx1"/>
            </a:solidFill>
          </a:ln>
        </c:spPr>
        <c:txPr>
          <a:bodyPr/>
          <a:lstStyle/>
          <a:p>
            <a:pPr>
              <a:defRPr sz="800" b="0" i="0"/>
            </a:pPr>
            <a:endParaRPr lang="cs-CZ"/>
          </a:p>
        </c:txPr>
        <c:crossAx val="194467712"/>
        <c:crosses val="autoZero"/>
        <c:crossBetween val="between"/>
        <c:majorUnit val="2"/>
      </c:valAx>
      <c:spPr>
        <a:noFill/>
        <a:ln w="6350">
          <a:solidFill>
            <a:schemeClr val="tx1">
              <a:lumMod val="95000"/>
              <a:lumOff val="5000"/>
            </a:schemeClr>
          </a:solidFill>
        </a:ln>
      </c:spPr>
    </c:plotArea>
    <c:legend>
      <c:legendPos val="b"/>
      <c:layout>
        <c:manualLayout>
          <c:xMode val="edge"/>
          <c:yMode val="edge"/>
          <c:x val="6.4373448788802023E-2"/>
          <c:y val="0.81611607390919227"/>
          <c:w val="0.90374561875551174"/>
          <c:h val="0.17314990047165649"/>
        </c:manualLayout>
      </c:layout>
      <c:overlay val="0"/>
      <c:spPr>
        <a:ln w="6350">
          <a:solidFill>
            <a:schemeClr val="tx1"/>
          </a:solidFill>
        </a:ln>
      </c:spPr>
      <c:txPr>
        <a:bodyPr/>
        <a:lstStyle/>
        <a:p>
          <a:pPr>
            <a:defRPr sz="800" b="0" i="0"/>
          </a:pPr>
          <a:endParaRPr lang="cs-CZ"/>
        </a:p>
      </c:txPr>
    </c:legend>
    <c:plotVisOnly val="1"/>
    <c:dispBlanksAs val="gap"/>
    <c:showDLblsOverMax val="0"/>
  </c:chart>
  <c:spPr>
    <a:ln>
      <a:noFill/>
    </a:ln>
  </c:spPr>
  <c:txPr>
    <a:bodyPr/>
    <a:lstStyle/>
    <a:p>
      <a:pPr>
        <a:defRPr sz="700" b="1" i="1">
          <a:latin typeface="Arial" panose="020B0604020202020204" pitchFamily="34" charset="0"/>
          <a:cs typeface="Arial" panose="020B0604020202020204" pitchFamily="34" charset="0"/>
        </a:defRPr>
      </a:pPr>
      <a:endParaRPr lang="cs-CZ"/>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734014481433791E-2"/>
          <c:y val="4.1729893778452203E-2"/>
          <c:w val="0.92686115978130079"/>
          <c:h val="0.79069695195536072"/>
        </c:manualLayout>
      </c:layout>
      <c:barChart>
        <c:barDir val="col"/>
        <c:grouping val="clustered"/>
        <c:varyColors val="0"/>
        <c:ser>
          <c:idx val="0"/>
          <c:order val="0"/>
          <c:tx>
            <c:strRef>
              <c:f>'HDP EU'!$C$3</c:f>
              <c:strCache>
                <c:ptCount val="1"/>
                <c:pt idx="0">
                  <c:v>Mezičtvrtletně</c:v>
                </c:pt>
              </c:strCache>
            </c:strRef>
          </c:tx>
          <c:spPr>
            <a:solidFill>
              <a:schemeClr val="accent1"/>
            </a:solidFill>
            <a:ln>
              <a:noFill/>
            </a:ln>
            <a:effectLst/>
          </c:spPr>
          <c:invertIfNegative val="0"/>
          <c:dPt>
            <c:idx val="28"/>
            <c:invertIfNegative val="0"/>
            <c:bubble3D val="0"/>
            <c:spPr>
              <a:solidFill>
                <a:srgbClr val="009CB5"/>
              </a:solidFill>
              <a:ln>
                <a:noFill/>
              </a:ln>
              <a:effectLst/>
            </c:spPr>
            <c:extLst>
              <c:ext xmlns:c16="http://schemas.microsoft.com/office/drawing/2014/chart" uri="{C3380CC4-5D6E-409C-BE32-E72D297353CC}">
                <c16:uniqueId val="{00000001-A296-4FF7-8AC3-9890D48F095B}"/>
              </c:ext>
            </c:extLst>
          </c:dPt>
          <c:cat>
            <c:strRef>
              <c:f>'HDP EU'!$B$4:$B$31</c:f>
              <c:strCache>
                <c:ptCount val="28"/>
                <c:pt idx="0">
                  <c:v>EU</c:v>
                </c:pt>
                <c:pt idx="1">
                  <c:v>CZ</c:v>
                </c:pt>
                <c:pt idx="3">
                  <c:v>MT</c:v>
                </c:pt>
                <c:pt idx="4">
                  <c:v>SI</c:v>
                </c:pt>
                <c:pt idx="5">
                  <c:v>DK</c:v>
                </c:pt>
                <c:pt idx="6">
                  <c:v>LT</c:v>
                </c:pt>
                <c:pt idx="7">
                  <c:v>PL</c:v>
                </c:pt>
                <c:pt idx="8">
                  <c:v>CY</c:v>
                </c:pt>
                <c:pt idx="9">
                  <c:v>SE</c:v>
                </c:pt>
                <c:pt idx="10">
                  <c:v>LV</c:v>
                </c:pt>
                <c:pt idx="11">
                  <c:v>BG</c:v>
                </c:pt>
                <c:pt idx="12">
                  <c:v>ES</c:v>
                </c:pt>
                <c:pt idx="13">
                  <c:v>PT</c:v>
                </c:pt>
                <c:pt idx="14">
                  <c:v>GR</c:v>
                </c:pt>
                <c:pt idx="15">
                  <c:v>EE</c:v>
                </c:pt>
                <c:pt idx="16">
                  <c:v>HR</c:v>
                </c:pt>
                <c:pt idx="17">
                  <c:v>HU</c:v>
                </c:pt>
                <c:pt idx="18">
                  <c:v>FI</c:v>
                </c:pt>
                <c:pt idx="19">
                  <c:v>NL</c:v>
                </c:pt>
                <c:pt idx="20">
                  <c:v>DE</c:v>
                </c:pt>
                <c:pt idx="21">
                  <c:v>IT</c:v>
                </c:pt>
                <c:pt idx="22">
                  <c:v>SK</c:v>
                </c:pt>
                <c:pt idx="23">
                  <c:v>BE</c:v>
                </c:pt>
                <c:pt idx="24">
                  <c:v>FR</c:v>
                </c:pt>
                <c:pt idx="25">
                  <c:v>AT</c:v>
                </c:pt>
                <c:pt idx="26">
                  <c:v>IE</c:v>
                </c:pt>
                <c:pt idx="27">
                  <c:v>RO</c:v>
                </c:pt>
              </c:strCache>
            </c:strRef>
          </c:cat>
          <c:val>
            <c:numRef>
              <c:f>'HDP EU'!$C$4:$C$31</c:f>
              <c:numCache>
                <c:formatCode>#\ ##0.##########</c:formatCode>
                <c:ptCount val="28"/>
                <c:pt idx="0">
                  <c:v>0.7</c:v>
                </c:pt>
                <c:pt idx="1">
                  <c:v>0.4</c:v>
                </c:pt>
                <c:pt idx="3">
                  <c:v>1.1000000000000001</c:v>
                </c:pt>
                <c:pt idx="4">
                  <c:v>1.8</c:v>
                </c:pt>
                <c:pt idx="5">
                  <c:v>0.3</c:v>
                </c:pt>
                <c:pt idx="6">
                  <c:v>1.7</c:v>
                </c:pt>
                <c:pt idx="7" formatCode="#\ ##0.0">
                  <c:v>1</c:v>
                </c:pt>
                <c:pt idx="8">
                  <c:v>0.8</c:v>
                </c:pt>
                <c:pt idx="9">
                  <c:v>1.6</c:v>
                </c:pt>
                <c:pt idx="10">
                  <c:v>0.7</c:v>
                </c:pt>
                <c:pt idx="11">
                  <c:v>0.7</c:v>
                </c:pt>
                <c:pt idx="12">
                  <c:v>0.7</c:v>
                </c:pt>
                <c:pt idx="13">
                  <c:v>0.8</c:v>
                </c:pt>
                <c:pt idx="14">
                  <c:v>0.3</c:v>
                </c:pt>
                <c:pt idx="15">
                  <c:v>0.3</c:v>
                </c:pt>
                <c:pt idx="16">
                  <c:v>0.4</c:v>
                </c:pt>
                <c:pt idx="17">
                  <c:v>0.5</c:v>
                </c:pt>
                <c:pt idx="18">
                  <c:v>0.4</c:v>
                </c:pt>
                <c:pt idx="19">
                  <c:v>0.4</c:v>
                </c:pt>
                <c:pt idx="20">
                  <c:v>0.3</c:v>
                </c:pt>
                <c:pt idx="21">
                  <c:v>0.2</c:v>
                </c:pt>
                <c:pt idx="22">
                  <c:v>0.2</c:v>
                </c:pt>
                <c:pt idx="23" formatCode="#\ ##0.0">
                  <c:v>0</c:v>
                </c:pt>
                <c:pt idx="24" formatCode="#\ ##0.0">
                  <c:v>0</c:v>
                </c:pt>
                <c:pt idx="25">
                  <c:v>-0.1</c:v>
                </c:pt>
                <c:pt idx="26">
                  <c:v>10.199999999999999</c:v>
                </c:pt>
                <c:pt idx="27" formatCode="#\ ##0.0">
                  <c:v>0</c:v>
                </c:pt>
              </c:numCache>
            </c:numRef>
          </c:val>
          <c:extLst>
            <c:ext xmlns:c16="http://schemas.microsoft.com/office/drawing/2014/chart" uri="{C3380CC4-5D6E-409C-BE32-E72D297353CC}">
              <c16:uniqueId val="{00000002-A296-4FF7-8AC3-9890D48F095B}"/>
            </c:ext>
          </c:extLst>
        </c:ser>
        <c:ser>
          <c:idx val="1"/>
          <c:order val="1"/>
          <c:tx>
            <c:strRef>
              <c:f>'HDP EU'!$D$3</c:f>
              <c:strCache>
                <c:ptCount val="1"/>
                <c:pt idx="0">
                  <c:v>Meziročně</c:v>
                </c:pt>
              </c:strCache>
            </c:strRef>
          </c:tx>
          <c:spPr>
            <a:solidFill>
              <a:srgbClr val="BC5B80"/>
            </a:solidFill>
            <a:ln>
              <a:noFill/>
            </a:ln>
            <a:effectLst/>
          </c:spPr>
          <c:invertIfNegative val="0"/>
          <c:cat>
            <c:strRef>
              <c:f>'HDP EU'!$B$4:$B$31</c:f>
              <c:strCache>
                <c:ptCount val="28"/>
                <c:pt idx="0">
                  <c:v>EU</c:v>
                </c:pt>
                <c:pt idx="1">
                  <c:v>CZ</c:v>
                </c:pt>
                <c:pt idx="3">
                  <c:v>MT</c:v>
                </c:pt>
                <c:pt idx="4">
                  <c:v>SI</c:v>
                </c:pt>
                <c:pt idx="5">
                  <c:v>DK</c:v>
                </c:pt>
                <c:pt idx="6">
                  <c:v>LT</c:v>
                </c:pt>
                <c:pt idx="7">
                  <c:v>PL</c:v>
                </c:pt>
                <c:pt idx="8">
                  <c:v>CY</c:v>
                </c:pt>
                <c:pt idx="9">
                  <c:v>SE</c:v>
                </c:pt>
                <c:pt idx="10">
                  <c:v>LV</c:v>
                </c:pt>
                <c:pt idx="11">
                  <c:v>BG</c:v>
                </c:pt>
                <c:pt idx="12">
                  <c:v>ES</c:v>
                </c:pt>
                <c:pt idx="13">
                  <c:v>PT</c:v>
                </c:pt>
                <c:pt idx="14">
                  <c:v>GR</c:v>
                </c:pt>
                <c:pt idx="15">
                  <c:v>EE</c:v>
                </c:pt>
                <c:pt idx="16">
                  <c:v>HR</c:v>
                </c:pt>
                <c:pt idx="17">
                  <c:v>HU</c:v>
                </c:pt>
                <c:pt idx="18">
                  <c:v>FI</c:v>
                </c:pt>
                <c:pt idx="19">
                  <c:v>NL</c:v>
                </c:pt>
                <c:pt idx="20">
                  <c:v>DE</c:v>
                </c:pt>
                <c:pt idx="21">
                  <c:v>IT</c:v>
                </c:pt>
                <c:pt idx="22">
                  <c:v>SK</c:v>
                </c:pt>
                <c:pt idx="23">
                  <c:v>BE</c:v>
                </c:pt>
                <c:pt idx="24">
                  <c:v>FR</c:v>
                </c:pt>
                <c:pt idx="25">
                  <c:v>AT</c:v>
                </c:pt>
                <c:pt idx="26">
                  <c:v>IE</c:v>
                </c:pt>
                <c:pt idx="27">
                  <c:v>RO</c:v>
                </c:pt>
              </c:strCache>
            </c:strRef>
          </c:cat>
          <c:val>
            <c:numRef>
              <c:f>'HDP EU'!$D$4:$D$31</c:f>
              <c:numCache>
                <c:formatCode>#\ ##0.##########</c:formatCode>
                <c:ptCount val="28"/>
                <c:pt idx="0">
                  <c:v>1.4</c:v>
                </c:pt>
                <c:pt idx="1">
                  <c:v>1.9</c:v>
                </c:pt>
                <c:pt idx="3" formatCode="#\ ##0.0">
                  <c:v>5</c:v>
                </c:pt>
                <c:pt idx="4">
                  <c:v>4.8</c:v>
                </c:pt>
                <c:pt idx="5">
                  <c:v>4.5999999999999996</c:v>
                </c:pt>
                <c:pt idx="6">
                  <c:v>3.8</c:v>
                </c:pt>
                <c:pt idx="7">
                  <c:v>3.8</c:v>
                </c:pt>
                <c:pt idx="8">
                  <c:v>3.3</c:v>
                </c:pt>
                <c:pt idx="9">
                  <c:v>3.2</c:v>
                </c:pt>
                <c:pt idx="10" formatCode="#\ ##0.0">
                  <c:v>3</c:v>
                </c:pt>
                <c:pt idx="11">
                  <c:v>2.8</c:v>
                </c:pt>
                <c:pt idx="12">
                  <c:v>2.7</c:v>
                </c:pt>
                <c:pt idx="13">
                  <c:v>2.5</c:v>
                </c:pt>
                <c:pt idx="14">
                  <c:v>1.9</c:v>
                </c:pt>
                <c:pt idx="15">
                  <c:v>1.8</c:v>
                </c:pt>
                <c:pt idx="16">
                  <c:v>1.7</c:v>
                </c:pt>
                <c:pt idx="17">
                  <c:v>1.7</c:v>
                </c:pt>
                <c:pt idx="18">
                  <c:v>1.6</c:v>
                </c:pt>
                <c:pt idx="19">
                  <c:v>1.5</c:v>
                </c:pt>
                <c:pt idx="20" formatCode="#\ ##0.0">
                  <c:v>1</c:v>
                </c:pt>
                <c:pt idx="21" formatCode="#\ ##0.0">
                  <c:v>1</c:v>
                </c:pt>
                <c:pt idx="22">
                  <c:v>0.9</c:v>
                </c:pt>
                <c:pt idx="23">
                  <c:v>0.5</c:v>
                </c:pt>
                <c:pt idx="24">
                  <c:v>0.5</c:v>
                </c:pt>
                <c:pt idx="25">
                  <c:v>0.4</c:v>
                </c:pt>
                <c:pt idx="26">
                  <c:v>-0.4</c:v>
                </c:pt>
                <c:pt idx="27" formatCode="#\ ##0.0">
                  <c:v>-2</c:v>
                </c:pt>
              </c:numCache>
            </c:numRef>
          </c:val>
          <c:extLst>
            <c:ext xmlns:c16="http://schemas.microsoft.com/office/drawing/2014/chart" uri="{C3380CC4-5D6E-409C-BE32-E72D297353CC}">
              <c16:uniqueId val="{00000003-A296-4FF7-8AC3-9890D48F095B}"/>
            </c:ext>
          </c:extLst>
        </c:ser>
        <c:dLbls>
          <c:showLegendKey val="0"/>
          <c:showVal val="0"/>
          <c:showCatName val="0"/>
          <c:showSerName val="0"/>
          <c:showPercent val="0"/>
          <c:showBubbleSize val="0"/>
        </c:dLbls>
        <c:gapWidth val="89"/>
        <c:overlap val="-27"/>
        <c:axId val="879411855"/>
        <c:axId val="588021199"/>
      </c:barChart>
      <c:catAx>
        <c:axId val="879411855"/>
        <c:scaling>
          <c:orientation val="minMax"/>
        </c:scaling>
        <c:delete val="0"/>
        <c:axPos val="b"/>
        <c:numFmt formatCode="General" sourceLinked="1"/>
        <c:majorTickMark val="out"/>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Arial" panose="020B0604020202020204" pitchFamily="34" charset="0"/>
                <a:ea typeface="+mn-ea"/>
                <a:cs typeface="+mn-cs"/>
              </a:defRPr>
            </a:pPr>
            <a:endParaRPr lang="cs-CZ"/>
          </a:p>
        </c:txPr>
        <c:crossAx val="588021199"/>
        <c:crosses val="autoZero"/>
        <c:auto val="1"/>
        <c:lblAlgn val="ctr"/>
        <c:lblOffset val="100"/>
        <c:noMultiLvlLbl val="0"/>
      </c:catAx>
      <c:valAx>
        <c:axId val="588021199"/>
        <c:scaling>
          <c:orientation val="minMax"/>
          <c:max val="11"/>
          <c:min val="-3"/>
        </c:scaling>
        <c:delete val="0"/>
        <c:axPos val="l"/>
        <c:majorGridlines>
          <c:spPr>
            <a:ln w="9525" cap="flat" cmpd="sng" algn="ctr">
              <a:solidFill>
                <a:schemeClr val="tx1">
                  <a:lumMod val="15000"/>
                  <a:lumOff val="85000"/>
                </a:schemeClr>
              </a:solidFill>
              <a:round/>
            </a:ln>
            <a:effectLst/>
          </c:spPr>
        </c:majorGridlines>
        <c:numFmt formatCode="#,##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mn-cs"/>
              </a:defRPr>
            </a:pPr>
            <a:endParaRPr lang="cs-CZ"/>
          </a:p>
        </c:txPr>
        <c:crossAx val="879411855"/>
        <c:crosses val="autoZero"/>
        <c:crossBetween val="between"/>
        <c:majorUnit val="1"/>
      </c:valAx>
      <c:spPr>
        <a:noFill/>
        <a:ln>
          <a:solidFill>
            <a:schemeClr val="tx1"/>
          </a:solidFill>
        </a:ln>
        <a:effectLst/>
      </c:spPr>
    </c:plotArea>
    <c:legend>
      <c:legendPos val="b"/>
      <c:layout>
        <c:manualLayout>
          <c:xMode val="edge"/>
          <c:yMode val="edge"/>
          <c:x val="5.1237546437014517E-2"/>
          <c:y val="0.90194851851851854"/>
          <c:w val="0.92969411665364887"/>
          <c:h val="6.9829259259259258E-2"/>
        </c:manualLayout>
      </c:layout>
      <c:overlay val="0"/>
      <c:spPr>
        <a:noFill/>
        <a:ln>
          <a:solidFill>
            <a:schemeClr val="tx1"/>
          </a:solid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baseline="0">
          <a:solidFill>
            <a:sysClr val="windowText" lastClr="000000"/>
          </a:solidFill>
          <a:latin typeface="Arial" panose="020B0604020202020204" pitchFamily="34" charset="0"/>
        </a:defRPr>
      </a:pPr>
      <a:endParaRPr lang="cs-C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836457277946645E-2"/>
          <c:y val="3.9316672295395698E-2"/>
          <c:w val="0.89767603850050659"/>
          <c:h val="0.62669734323989645"/>
        </c:manualLayout>
      </c:layout>
      <c:barChart>
        <c:barDir val="col"/>
        <c:grouping val="stacked"/>
        <c:varyColors val="0"/>
        <c:ser>
          <c:idx val="5"/>
          <c:order val="0"/>
          <c:tx>
            <c:strRef>
              <c:f>investice!$H$4</c:f>
              <c:strCache>
                <c:ptCount val="1"/>
                <c:pt idx="0">
                  <c:v>Pěstované biologické zdroje</c:v>
                </c:pt>
              </c:strCache>
            </c:strRef>
          </c:tx>
          <c:spPr>
            <a:solidFill>
              <a:srgbClr val="86BF5E"/>
            </a:solidFill>
            <a:ln>
              <a:noFill/>
            </a:ln>
            <a:effectLst/>
          </c:spPr>
          <c:invertIfNegative val="0"/>
          <c:cat>
            <c:multiLvlStrRef>
              <c:f>investice!$A$5:$B$26</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investice!$H$5:$H$26</c:f>
              <c:numCache>
                <c:formatCode>0.0</c:formatCode>
                <c:ptCount val="22"/>
                <c:pt idx="0">
                  <c:v>3.0738538301111971E-2</c:v>
                </c:pt>
                <c:pt idx="1">
                  <c:v>-3.2588274859741119E-2</c:v>
                </c:pt>
                <c:pt idx="2">
                  <c:v>2.3666265410798637E-2</c:v>
                </c:pt>
                <c:pt idx="3">
                  <c:v>-2.7370117131170539E-2</c:v>
                </c:pt>
                <c:pt idx="4">
                  <c:v>6.2812038273908272E-2</c:v>
                </c:pt>
                <c:pt idx="5">
                  <c:v>-7.2101621392254622E-2</c:v>
                </c:pt>
                <c:pt idx="6">
                  <c:v>5.5358903631902143E-2</c:v>
                </c:pt>
                <c:pt idx="7">
                  <c:v>-6.5931180157547176E-2</c:v>
                </c:pt>
                <c:pt idx="8">
                  <c:v>-8.9204503858158507E-2</c:v>
                </c:pt>
                <c:pt idx="9">
                  <c:v>1.2988487575960894E-2</c:v>
                </c:pt>
                <c:pt idx="10">
                  <c:v>-3.6292215592629198E-2</c:v>
                </c:pt>
                <c:pt idx="11">
                  <c:v>8.3790062665832069E-2</c:v>
                </c:pt>
                <c:pt idx="12">
                  <c:v>-2.338570151249213E-2</c:v>
                </c:pt>
                <c:pt idx="13">
                  <c:v>1.8808328856882668E-2</c:v>
                </c:pt>
                <c:pt idx="14">
                  <c:v>-2.5065309301931134E-2</c:v>
                </c:pt>
                <c:pt idx="15">
                  <c:v>6.174304115924991E-2</c:v>
                </c:pt>
                <c:pt idx="16">
                  <c:v>-5.0156568662491595E-2</c:v>
                </c:pt>
                <c:pt idx="17">
                  <c:v>3.1297615632434196E-2</c:v>
                </c:pt>
                <c:pt idx="18">
                  <c:v>-3.0833757901778867E-2</c:v>
                </c:pt>
                <c:pt idx="19">
                  <c:v>-2.8820989809435586E-2</c:v>
                </c:pt>
                <c:pt idx="20">
                  <c:v>4.6243030540614724E-2</c:v>
                </c:pt>
                <c:pt idx="21">
                  <c:v>0.1321260276374068</c:v>
                </c:pt>
              </c:numCache>
            </c:numRef>
          </c:val>
          <c:extLst>
            <c:ext xmlns:c16="http://schemas.microsoft.com/office/drawing/2014/chart" uri="{C3380CC4-5D6E-409C-BE32-E72D297353CC}">
              <c16:uniqueId val="{00000000-A22A-427B-9015-9E1BC682279F}"/>
            </c:ext>
          </c:extLst>
        </c:ser>
        <c:ser>
          <c:idx val="3"/>
          <c:order val="2"/>
          <c:tx>
            <c:strRef>
              <c:f>investice!$F$4</c:f>
              <c:strCache>
                <c:ptCount val="1"/>
                <c:pt idx="0">
                  <c:v>Dopravní prostředky a zařízení</c:v>
                </c:pt>
              </c:strCache>
            </c:strRef>
          </c:tx>
          <c:spPr>
            <a:solidFill>
              <a:srgbClr val="174F70"/>
            </a:solidFill>
            <a:ln>
              <a:noFill/>
            </a:ln>
            <a:effectLst/>
          </c:spPr>
          <c:invertIfNegative val="0"/>
          <c:cat>
            <c:multiLvlStrRef>
              <c:f>investice!$A$5:$B$26</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investice!$F$5:$F$26</c:f>
              <c:numCache>
                <c:formatCode>0.0</c:formatCode>
                <c:ptCount val="22"/>
                <c:pt idx="0">
                  <c:v>0.77609299860059067</c:v>
                </c:pt>
                <c:pt idx="1">
                  <c:v>0.56446383547894274</c:v>
                </c:pt>
                <c:pt idx="2">
                  <c:v>0.37311608531634627</c:v>
                </c:pt>
                <c:pt idx="3">
                  <c:v>0.51119654689773886</c:v>
                </c:pt>
                <c:pt idx="4">
                  <c:v>-0.19167104503118937</c:v>
                </c:pt>
                <c:pt idx="5">
                  <c:v>-0.11103691265491474</c:v>
                </c:pt>
                <c:pt idx="6">
                  <c:v>0.45333123567521166</c:v>
                </c:pt>
                <c:pt idx="7">
                  <c:v>-0.22224034181840396</c:v>
                </c:pt>
                <c:pt idx="8">
                  <c:v>0.82607867560831527</c:v>
                </c:pt>
                <c:pt idx="9">
                  <c:v>0.75961577603220709</c:v>
                </c:pt>
                <c:pt idx="10">
                  <c:v>-0.15675858772258128</c:v>
                </c:pt>
                <c:pt idx="11">
                  <c:v>0.50030620918446667</c:v>
                </c:pt>
                <c:pt idx="12">
                  <c:v>-0.17553544828982826</c:v>
                </c:pt>
                <c:pt idx="13">
                  <c:v>-0.36959996978171888</c:v>
                </c:pt>
                <c:pt idx="14">
                  <c:v>0.25757953269403411</c:v>
                </c:pt>
                <c:pt idx="15">
                  <c:v>-0.25631880901370541</c:v>
                </c:pt>
                <c:pt idx="16">
                  <c:v>-0.16760212733727109</c:v>
                </c:pt>
                <c:pt idx="17">
                  <c:v>-6.4469987669966589E-2</c:v>
                </c:pt>
                <c:pt idx="18">
                  <c:v>-9.2106083470221936E-2</c:v>
                </c:pt>
                <c:pt idx="19">
                  <c:v>-0.31806113441215506</c:v>
                </c:pt>
                <c:pt idx="20">
                  <c:v>2.5108822185522284</c:v>
                </c:pt>
                <c:pt idx="21">
                  <c:v>-0.5007882228404188</c:v>
                </c:pt>
              </c:numCache>
            </c:numRef>
          </c:val>
          <c:extLst>
            <c:ext xmlns:c16="http://schemas.microsoft.com/office/drawing/2014/chart" uri="{C3380CC4-5D6E-409C-BE32-E72D297353CC}">
              <c16:uniqueId val="{00000001-A22A-427B-9015-9E1BC682279F}"/>
            </c:ext>
          </c:extLst>
        </c:ser>
        <c:ser>
          <c:idx val="4"/>
          <c:order val="3"/>
          <c:tx>
            <c:strRef>
              <c:f>investice!$G$4</c:f>
              <c:strCache>
                <c:ptCount val="1"/>
                <c:pt idx="0">
                  <c:v>ICT, Ostatní stroje a zařízení, Zbraňové systémy</c:v>
                </c:pt>
              </c:strCache>
            </c:strRef>
          </c:tx>
          <c:spPr>
            <a:solidFill>
              <a:srgbClr val="009CB5"/>
            </a:solidFill>
            <a:ln>
              <a:noFill/>
            </a:ln>
            <a:effectLst/>
          </c:spPr>
          <c:invertIfNegative val="0"/>
          <c:cat>
            <c:multiLvlStrRef>
              <c:f>investice!$A$5:$B$26</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investice!$G$5:$G$26</c:f>
              <c:numCache>
                <c:formatCode>0.0</c:formatCode>
                <c:ptCount val="22"/>
                <c:pt idx="0">
                  <c:v>1.2952583739919341</c:v>
                </c:pt>
                <c:pt idx="1">
                  <c:v>1.0363583441354891</c:v>
                </c:pt>
                <c:pt idx="2">
                  <c:v>0.7454825739739257</c:v>
                </c:pt>
                <c:pt idx="3">
                  <c:v>0.37119645183751565</c:v>
                </c:pt>
                <c:pt idx="4">
                  <c:v>1.5739586681827347</c:v>
                </c:pt>
                <c:pt idx="5">
                  <c:v>0.593357979104434</c:v>
                </c:pt>
                <c:pt idx="6">
                  <c:v>1.0387707860470698</c:v>
                </c:pt>
                <c:pt idx="7">
                  <c:v>0.35060305766036448</c:v>
                </c:pt>
                <c:pt idx="8">
                  <c:v>-0.29970535590131087</c:v>
                </c:pt>
                <c:pt idx="9">
                  <c:v>0.37921483272770068</c:v>
                </c:pt>
                <c:pt idx="10">
                  <c:v>0.66213414853158969</c:v>
                </c:pt>
                <c:pt idx="11">
                  <c:v>5.7311593244073348E-3</c:v>
                </c:pt>
                <c:pt idx="12">
                  <c:v>-3.1291694782267667</c:v>
                </c:pt>
                <c:pt idx="13">
                  <c:v>-9.4791601576193221E-2</c:v>
                </c:pt>
                <c:pt idx="14">
                  <c:v>0.11089947264874424</c:v>
                </c:pt>
                <c:pt idx="15">
                  <c:v>0.21056734493342372</c:v>
                </c:pt>
                <c:pt idx="16">
                  <c:v>0.10795844601621753</c:v>
                </c:pt>
                <c:pt idx="17">
                  <c:v>0.26349843303742343</c:v>
                </c:pt>
                <c:pt idx="18">
                  <c:v>-3.8078566347798715E-2</c:v>
                </c:pt>
                <c:pt idx="19">
                  <c:v>0.4874525041303901</c:v>
                </c:pt>
                <c:pt idx="20">
                  <c:v>0.61097034787427906</c:v>
                </c:pt>
                <c:pt idx="21">
                  <c:v>-1.8109020040757153</c:v>
                </c:pt>
              </c:numCache>
            </c:numRef>
          </c:val>
          <c:extLst>
            <c:ext xmlns:c16="http://schemas.microsoft.com/office/drawing/2014/chart" uri="{C3380CC4-5D6E-409C-BE32-E72D297353CC}">
              <c16:uniqueId val="{00000002-A22A-427B-9015-9E1BC682279F}"/>
            </c:ext>
          </c:extLst>
        </c:ser>
        <c:ser>
          <c:idx val="6"/>
          <c:order val="4"/>
          <c:tx>
            <c:strRef>
              <c:f>investice!$I$4</c:f>
              <c:strCache>
                <c:ptCount val="1"/>
                <c:pt idx="0">
                  <c:v>Produkty duševního vlastnictví</c:v>
                </c:pt>
              </c:strCache>
            </c:strRef>
          </c:tx>
          <c:spPr>
            <a:solidFill>
              <a:srgbClr val="CC9610"/>
            </a:solidFill>
            <a:ln>
              <a:noFill/>
            </a:ln>
            <a:effectLst/>
          </c:spPr>
          <c:invertIfNegative val="0"/>
          <c:cat>
            <c:multiLvlStrRef>
              <c:f>investice!$A$5:$B$26</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investice!$I$5:$I$26</c:f>
              <c:numCache>
                <c:formatCode>0.0</c:formatCode>
                <c:ptCount val="22"/>
                <c:pt idx="0">
                  <c:v>0.12533711964176303</c:v>
                </c:pt>
                <c:pt idx="1">
                  <c:v>0.3319508920336906</c:v>
                </c:pt>
                <c:pt idx="2">
                  <c:v>0.43922049774535071</c:v>
                </c:pt>
                <c:pt idx="3">
                  <c:v>0.15277140780745296</c:v>
                </c:pt>
                <c:pt idx="4">
                  <c:v>0.62885267705109427</c:v>
                </c:pt>
                <c:pt idx="5">
                  <c:v>7.203237397670359E-2</c:v>
                </c:pt>
                <c:pt idx="6">
                  <c:v>0.51266926269511004</c:v>
                </c:pt>
                <c:pt idx="7">
                  <c:v>0.21466980083176232</c:v>
                </c:pt>
                <c:pt idx="8">
                  <c:v>-0.58446104570148061</c:v>
                </c:pt>
                <c:pt idx="9">
                  <c:v>9.6229411574107998E-2</c:v>
                </c:pt>
                <c:pt idx="10">
                  <c:v>-7.0364111207940117E-2</c:v>
                </c:pt>
                <c:pt idx="11">
                  <c:v>0.37420674127269804</c:v>
                </c:pt>
                <c:pt idx="12">
                  <c:v>0.12244498567945532</c:v>
                </c:pt>
                <c:pt idx="13">
                  <c:v>0.2298657693502234</c:v>
                </c:pt>
                <c:pt idx="14">
                  <c:v>0.56672697853624654</c:v>
                </c:pt>
                <c:pt idx="15">
                  <c:v>-0.40263662863543853</c:v>
                </c:pt>
                <c:pt idx="16">
                  <c:v>0.71402868194331248</c:v>
                </c:pt>
                <c:pt idx="17">
                  <c:v>0.3766019548163535</c:v>
                </c:pt>
                <c:pt idx="18">
                  <c:v>-0.47316020455836544</c:v>
                </c:pt>
                <c:pt idx="19">
                  <c:v>0.86548826473649065</c:v>
                </c:pt>
                <c:pt idx="20">
                  <c:v>-0.75209494938812582</c:v>
                </c:pt>
                <c:pt idx="21">
                  <c:v>0.64858742119975954</c:v>
                </c:pt>
              </c:numCache>
            </c:numRef>
          </c:val>
          <c:extLst>
            <c:ext xmlns:c16="http://schemas.microsoft.com/office/drawing/2014/chart" uri="{C3380CC4-5D6E-409C-BE32-E72D297353CC}">
              <c16:uniqueId val="{00000003-A22A-427B-9015-9E1BC682279F}"/>
            </c:ext>
          </c:extLst>
        </c:ser>
        <c:ser>
          <c:idx val="2"/>
          <c:order val="5"/>
          <c:tx>
            <c:strRef>
              <c:f>investice!$E$4</c:f>
              <c:strCache>
                <c:ptCount val="1"/>
                <c:pt idx="0">
                  <c:v>Ostatní budovy a stavby</c:v>
                </c:pt>
              </c:strCache>
            </c:strRef>
          </c:tx>
          <c:spPr>
            <a:solidFill>
              <a:srgbClr val="D8A7B7"/>
            </a:solidFill>
            <a:ln>
              <a:noFill/>
            </a:ln>
            <a:effectLst/>
          </c:spPr>
          <c:invertIfNegative val="0"/>
          <c:cat>
            <c:multiLvlStrRef>
              <c:f>investice!$A$5:$B$26</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investice!$E$5:$E$26</c:f>
              <c:numCache>
                <c:formatCode>0.0</c:formatCode>
                <c:ptCount val="22"/>
                <c:pt idx="0">
                  <c:v>0.73197354447088037</c:v>
                </c:pt>
                <c:pt idx="1">
                  <c:v>-0.41413613498233887</c:v>
                </c:pt>
                <c:pt idx="2">
                  <c:v>0.11590214489191845</c:v>
                </c:pt>
                <c:pt idx="3">
                  <c:v>0.12323325373311775</c:v>
                </c:pt>
                <c:pt idx="4">
                  <c:v>-0.49808922298804303</c:v>
                </c:pt>
                <c:pt idx="5">
                  <c:v>0.30590713776964479</c:v>
                </c:pt>
                <c:pt idx="6">
                  <c:v>0.56632813347407407</c:v>
                </c:pt>
                <c:pt idx="7">
                  <c:v>-1.1738716923079755</c:v>
                </c:pt>
                <c:pt idx="8">
                  <c:v>1.9413950503077628</c:v>
                </c:pt>
                <c:pt idx="9">
                  <c:v>0.42462350808406035</c:v>
                </c:pt>
                <c:pt idx="10">
                  <c:v>-2.2812623963593386E-2</c:v>
                </c:pt>
                <c:pt idx="11">
                  <c:v>0.29639862597044186</c:v>
                </c:pt>
                <c:pt idx="12">
                  <c:v>-0.52659258033607392</c:v>
                </c:pt>
                <c:pt idx="13">
                  <c:v>2.9195472967904541E-2</c:v>
                </c:pt>
                <c:pt idx="14">
                  <c:v>-4.3811179474178077E-2</c:v>
                </c:pt>
                <c:pt idx="15">
                  <c:v>0.38005644338110667</c:v>
                </c:pt>
                <c:pt idx="16">
                  <c:v>0.26895156338973253</c:v>
                </c:pt>
                <c:pt idx="17">
                  <c:v>0.53557739926960857</c:v>
                </c:pt>
                <c:pt idx="18">
                  <c:v>1.0850514165995224</c:v>
                </c:pt>
                <c:pt idx="19">
                  <c:v>0.86510225527061868</c:v>
                </c:pt>
                <c:pt idx="20">
                  <c:v>0.19518510160490096</c:v>
                </c:pt>
                <c:pt idx="21">
                  <c:v>1.1633048662590477</c:v>
                </c:pt>
              </c:numCache>
            </c:numRef>
          </c:val>
          <c:extLst>
            <c:ext xmlns:c16="http://schemas.microsoft.com/office/drawing/2014/chart" uri="{C3380CC4-5D6E-409C-BE32-E72D297353CC}">
              <c16:uniqueId val="{00000004-A22A-427B-9015-9E1BC682279F}"/>
            </c:ext>
          </c:extLst>
        </c:ser>
        <c:ser>
          <c:idx val="1"/>
          <c:order val="6"/>
          <c:tx>
            <c:strRef>
              <c:f>investice!$D$4</c:f>
              <c:strCache>
                <c:ptCount val="1"/>
                <c:pt idx="0">
                  <c:v>Obydlí</c:v>
                </c:pt>
              </c:strCache>
            </c:strRef>
          </c:tx>
          <c:spPr>
            <a:solidFill>
              <a:srgbClr val="BC5B80"/>
            </a:solidFill>
            <a:ln>
              <a:noFill/>
            </a:ln>
            <a:effectLst/>
          </c:spPr>
          <c:invertIfNegative val="0"/>
          <c:cat>
            <c:multiLvlStrRef>
              <c:f>investice!$A$5:$B$26</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investice!$D$5:$D$26</c:f>
              <c:numCache>
                <c:formatCode>0.0</c:formatCode>
                <c:ptCount val="22"/>
                <c:pt idx="0">
                  <c:v>-0.47948976626078499</c:v>
                </c:pt>
                <c:pt idx="1">
                  <c:v>1.2329652559766819</c:v>
                </c:pt>
                <c:pt idx="2">
                  <c:v>1.0028720168513254</c:v>
                </c:pt>
                <c:pt idx="3">
                  <c:v>-0.32048566237340076</c:v>
                </c:pt>
                <c:pt idx="4">
                  <c:v>1.1372882106634921</c:v>
                </c:pt>
                <c:pt idx="5">
                  <c:v>-0.76746072654484498</c:v>
                </c:pt>
                <c:pt idx="6">
                  <c:v>-1.5325965609005514</c:v>
                </c:pt>
                <c:pt idx="7">
                  <c:v>1.7185076572677638</c:v>
                </c:pt>
                <c:pt idx="8">
                  <c:v>0.1690157749724884</c:v>
                </c:pt>
                <c:pt idx="9">
                  <c:v>-0.29899559127628916</c:v>
                </c:pt>
                <c:pt idx="10">
                  <c:v>-0.11317175128899748</c:v>
                </c:pt>
                <c:pt idx="11">
                  <c:v>-0.23515852597416698</c:v>
                </c:pt>
                <c:pt idx="12">
                  <c:v>0.58870904408774427</c:v>
                </c:pt>
                <c:pt idx="13">
                  <c:v>-0.16751710746024906</c:v>
                </c:pt>
                <c:pt idx="14">
                  <c:v>-1.3509046720392508</c:v>
                </c:pt>
                <c:pt idx="15">
                  <c:v>-0.7051766902429748</c:v>
                </c:pt>
                <c:pt idx="16">
                  <c:v>1.2076639110303695</c:v>
                </c:pt>
                <c:pt idx="17">
                  <c:v>-0.20268838032769212</c:v>
                </c:pt>
                <c:pt idx="18">
                  <c:v>1.3731476227040436</c:v>
                </c:pt>
                <c:pt idx="19">
                  <c:v>-0.20290896470853864</c:v>
                </c:pt>
                <c:pt idx="20">
                  <c:v>-0.68794507441219388</c:v>
                </c:pt>
                <c:pt idx="21">
                  <c:v>1.899336655411068</c:v>
                </c:pt>
              </c:numCache>
            </c:numRef>
          </c:val>
          <c:extLst>
            <c:ext xmlns:c16="http://schemas.microsoft.com/office/drawing/2014/chart" uri="{C3380CC4-5D6E-409C-BE32-E72D297353CC}">
              <c16:uniqueId val="{00000005-A22A-427B-9015-9E1BC682279F}"/>
            </c:ext>
          </c:extLst>
        </c:ser>
        <c:dLbls>
          <c:showLegendKey val="0"/>
          <c:showVal val="0"/>
          <c:showCatName val="0"/>
          <c:showSerName val="0"/>
          <c:showPercent val="0"/>
          <c:showBubbleSize val="0"/>
        </c:dLbls>
        <c:gapWidth val="96"/>
        <c:overlap val="100"/>
        <c:axId val="844820719"/>
        <c:axId val="588086959"/>
      </c:barChart>
      <c:lineChart>
        <c:grouping val="standard"/>
        <c:varyColors val="0"/>
        <c:ser>
          <c:idx val="0"/>
          <c:order val="1"/>
          <c:tx>
            <c:strRef>
              <c:f>investice!$C$4</c:f>
              <c:strCache>
                <c:ptCount val="1"/>
                <c:pt idx="0">
                  <c:v>Tvorba hrubého fixního kapitálu</c:v>
                </c:pt>
              </c:strCache>
            </c:strRef>
          </c:tx>
          <c:spPr>
            <a:ln w="19050" cap="rnd">
              <a:solidFill>
                <a:schemeClr val="tx1"/>
              </a:solidFill>
              <a:round/>
            </a:ln>
            <a:effectLst/>
          </c:spPr>
          <c:marker>
            <c:symbol val="none"/>
          </c:marker>
          <c:cat>
            <c:multiLvlStrRef>
              <c:f>investice!$A$5:$B$26</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investice!$C$5:$C$26</c:f>
              <c:numCache>
                <c:formatCode>0.0</c:formatCode>
                <c:ptCount val="22"/>
                <c:pt idx="0">
                  <c:v>2.4977204560262578</c:v>
                </c:pt>
                <c:pt idx="1">
                  <c:v>2.7307703358155209</c:v>
                </c:pt>
                <c:pt idx="2">
                  <c:v>2.6983529698917437</c:v>
                </c:pt>
                <c:pt idx="3">
                  <c:v>0.87392028757670914</c:v>
                </c:pt>
                <c:pt idx="4">
                  <c:v>2.7498649092652556</c:v>
                </c:pt>
                <c:pt idx="5">
                  <c:v>3.9211010268246582E-2</c:v>
                </c:pt>
                <c:pt idx="6">
                  <c:v>1.1705973094828295</c:v>
                </c:pt>
                <c:pt idx="7">
                  <c:v>0.79727219176220387</c:v>
                </c:pt>
                <c:pt idx="8">
                  <c:v>1.841165372165122</c:v>
                </c:pt>
                <c:pt idx="9">
                  <c:v>1.3707704243002894</c:v>
                </c:pt>
                <c:pt idx="10">
                  <c:v>0.28139662206314142</c:v>
                </c:pt>
                <c:pt idx="11">
                  <c:v>1.005019225689054</c:v>
                </c:pt>
                <c:pt idx="12">
                  <c:v>-3.1637675295082346</c:v>
                </c:pt>
                <c:pt idx="13">
                  <c:v>-0.33316915751180431</c:v>
                </c:pt>
                <c:pt idx="14">
                  <c:v>-0.51687918688358536</c:v>
                </c:pt>
                <c:pt idx="15">
                  <c:v>-0.70272613243625415</c:v>
                </c:pt>
                <c:pt idx="16">
                  <c:v>2.0747435769817457</c:v>
                </c:pt>
                <c:pt idx="17">
                  <c:v>0.94273775168372254</c:v>
                </c:pt>
                <c:pt idx="18">
                  <c:v>1.8012741921359208</c:v>
                </c:pt>
                <c:pt idx="19">
                  <c:v>1.6613349821231793</c:v>
                </c:pt>
                <c:pt idx="20">
                  <c:v>1.9661255849792667</c:v>
                </c:pt>
                <c:pt idx="21">
                  <c:v>1.5180160794157729</c:v>
                </c:pt>
              </c:numCache>
            </c:numRef>
          </c:val>
          <c:smooth val="0"/>
          <c:extLst>
            <c:ext xmlns:c16="http://schemas.microsoft.com/office/drawing/2014/chart" uri="{C3380CC4-5D6E-409C-BE32-E72D297353CC}">
              <c16:uniqueId val="{00000006-A22A-427B-9015-9E1BC682279F}"/>
            </c:ext>
          </c:extLst>
        </c:ser>
        <c:dLbls>
          <c:showLegendKey val="0"/>
          <c:showVal val="0"/>
          <c:showCatName val="0"/>
          <c:showSerName val="0"/>
          <c:showPercent val="0"/>
          <c:showBubbleSize val="0"/>
        </c:dLbls>
        <c:marker val="1"/>
        <c:smooth val="0"/>
        <c:axId val="844820719"/>
        <c:axId val="588086959"/>
      </c:lineChart>
      <c:catAx>
        <c:axId val="844820719"/>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mn-cs"/>
              </a:defRPr>
            </a:pPr>
            <a:endParaRPr lang="cs-CZ"/>
          </a:p>
        </c:txPr>
        <c:crossAx val="588086959"/>
        <c:crosses val="autoZero"/>
        <c:auto val="1"/>
        <c:lblAlgn val="ctr"/>
        <c:lblOffset val="100"/>
        <c:noMultiLvlLbl val="0"/>
      </c:catAx>
      <c:valAx>
        <c:axId val="588086959"/>
        <c:scaling>
          <c:orientation val="minMax"/>
          <c:max val="4"/>
          <c:min val="-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mn-cs"/>
              </a:defRPr>
            </a:pPr>
            <a:endParaRPr lang="cs-CZ"/>
          </a:p>
        </c:txPr>
        <c:crossAx val="844820719"/>
        <c:crosses val="autoZero"/>
        <c:crossBetween val="between"/>
      </c:valAx>
      <c:spPr>
        <a:noFill/>
        <a:ln>
          <a:solidFill>
            <a:schemeClr val="tx1"/>
          </a:solidFill>
        </a:ln>
        <a:effectLst/>
      </c:spPr>
    </c:plotArea>
    <c:legend>
      <c:legendPos val="b"/>
      <c:layout>
        <c:manualLayout>
          <c:xMode val="edge"/>
          <c:yMode val="edge"/>
          <c:x val="7.0243372171563651E-2"/>
          <c:y val="0.78043031633457161"/>
          <c:w val="0.89620694022289771"/>
          <c:h val="0.20608887763143086"/>
        </c:manualLayout>
      </c:layout>
      <c:overlay val="0"/>
      <c:spPr>
        <a:noFill/>
        <a:ln>
          <a:solidFill>
            <a:schemeClr val="tx1"/>
          </a:solid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mn-cs"/>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baseline="0">
          <a:solidFill>
            <a:sysClr val="windowText" lastClr="000000"/>
          </a:solidFill>
          <a:latin typeface="Arial" panose="020B0604020202020204" pitchFamily="34" charset="0"/>
        </a:defRPr>
      </a:pPr>
      <a:endParaRPr lang="cs-CZ"/>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5126857480580882E-2"/>
          <c:y val="2.9499886988623526E-2"/>
          <c:w val="0.9260266801756164"/>
          <c:h val="0.63445260610154264"/>
        </c:manualLayout>
      </c:layout>
      <c:barChart>
        <c:barDir val="col"/>
        <c:grouping val="stacked"/>
        <c:varyColors val="0"/>
        <c:ser>
          <c:idx val="4"/>
          <c:order val="0"/>
          <c:tx>
            <c:strRef>
              <c:f>'souhrnná výkonnost 4'!$C$5</c:f>
              <c:strCache>
                <c:ptCount val="1"/>
                <c:pt idx="0">
                  <c:v>Zemědělství, lesnictví a rybářství</c:v>
                </c:pt>
              </c:strCache>
            </c:strRef>
          </c:tx>
          <c:spPr>
            <a:solidFill>
              <a:srgbClr val="86BF5E"/>
            </a:solidFill>
            <a:ln>
              <a:noFill/>
            </a:ln>
          </c:spPr>
          <c:invertIfNegative val="0"/>
          <c:val>
            <c:numRef>
              <c:f>'souhrnná výkonnost 4'!$C$18:$C$39</c:f>
              <c:numCache>
                <c:formatCode>#\ ##0.0</c:formatCode>
                <c:ptCount val="22"/>
                <c:pt idx="0">
                  <c:v>-0.21016465618804914</c:v>
                </c:pt>
                <c:pt idx="1">
                  <c:v>-8.9010015639096246E-2</c:v>
                </c:pt>
                <c:pt idx="2">
                  <c:v>6.9318767349345048E-3</c:v>
                </c:pt>
                <c:pt idx="3">
                  <c:v>7.314112826928427E-3</c:v>
                </c:pt>
                <c:pt idx="4">
                  <c:v>4.3654501255089143E-2</c:v>
                </c:pt>
                <c:pt idx="5">
                  <c:v>2.9170556017792563E-2</c:v>
                </c:pt>
                <c:pt idx="6">
                  <c:v>2.56111746452365E-2</c:v>
                </c:pt>
                <c:pt idx="7">
                  <c:v>-0.17462814540655808</c:v>
                </c:pt>
                <c:pt idx="8">
                  <c:v>0.67438072358646262</c:v>
                </c:pt>
                <c:pt idx="9">
                  <c:v>-8.5713136501994344E-2</c:v>
                </c:pt>
                <c:pt idx="10">
                  <c:v>-0.17801416987642235</c:v>
                </c:pt>
                <c:pt idx="11">
                  <c:v>0.16308403498801113</c:v>
                </c:pt>
                <c:pt idx="12">
                  <c:v>-7.2497584012224642E-2</c:v>
                </c:pt>
                <c:pt idx="13">
                  <c:v>3.7719645806134263E-3</c:v>
                </c:pt>
                <c:pt idx="14">
                  <c:v>2.6941715364738446E-2</c:v>
                </c:pt>
                <c:pt idx="15">
                  <c:v>-1.3440094606297486E-2</c:v>
                </c:pt>
                <c:pt idx="16">
                  <c:v>2.9477912245653704E-2</c:v>
                </c:pt>
                <c:pt idx="17">
                  <c:v>1.6974176283027838E-2</c:v>
                </c:pt>
                <c:pt idx="18">
                  <c:v>2.419604455944043E-3</c:v>
                </c:pt>
                <c:pt idx="19">
                  <c:v>1.9296737074314226E-2</c:v>
                </c:pt>
                <c:pt idx="20">
                  <c:v>4.151774924263385E-3</c:v>
                </c:pt>
                <c:pt idx="21">
                  <c:v>-3.103831935538599E-2</c:v>
                </c:pt>
              </c:numCache>
            </c:numRef>
          </c:val>
          <c:extLst>
            <c:ext xmlns:c16="http://schemas.microsoft.com/office/drawing/2014/chart" uri="{C3380CC4-5D6E-409C-BE32-E72D297353CC}">
              <c16:uniqueId val="{00000000-34B8-4DA4-B027-56BDE760F23B}"/>
            </c:ext>
          </c:extLst>
        </c:ser>
        <c:ser>
          <c:idx val="3"/>
          <c:order val="1"/>
          <c:tx>
            <c:strRef>
              <c:f>'souhrnná výkonnost 4'!$D$5</c:f>
              <c:strCache>
                <c:ptCount val="1"/>
                <c:pt idx="0">
                  <c:v>Zpracovatelský průmysl (CZ-NACE C)</c:v>
                </c:pt>
              </c:strCache>
            </c:strRef>
          </c:tx>
          <c:spPr>
            <a:solidFill>
              <a:srgbClr val="009CB5"/>
            </a:solidFill>
            <a:ln>
              <a:noFill/>
            </a:ln>
          </c:spPr>
          <c:invertIfNegative val="0"/>
          <c:val>
            <c:numRef>
              <c:f>'souhrnná výkonnost 4'!$D$18:$D$39</c:f>
              <c:numCache>
                <c:formatCode>#\ ##0.0</c:formatCode>
                <c:ptCount val="22"/>
                <c:pt idx="0">
                  <c:v>-0.39422606990664882</c:v>
                </c:pt>
                <c:pt idx="1">
                  <c:v>-0.23770475545776903</c:v>
                </c:pt>
                <c:pt idx="2">
                  <c:v>-0.30339729961955442</c:v>
                </c:pt>
                <c:pt idx="3">
                  <c:v>6.2169959028891629E-2</c:v>
                </c:pt>
                <c:pt idx="4">
                  <c:v>1.1664430306314715</c:v>
                </c:pt>
                <c:pt idx="5">
                  <c:v>0.64214092464415184</c:v>
                </c:pt>
                <c:pt idx="6">
                  <c:v>0.33215772583964209</c:v>
                </c:pt>
                <c:pt idx="7">
                  <c:v>0.45563549275672938</c:v>
                </c:pt>
                <c:pt idx="8">
                  <c:v>0.22805323820112217</c:v>
                </c:pt>
                <c:pt idx="9">
                  <c:v>0.12890925792840582</c:v>
                </c:pt>
                <c:pt idx="10">
                  <c:v>-0.23908499350748316</c:v>
                </c:pt>
                <c:pt idx="11">
                  <c:v>0.34492850643024814</c:v>
                </c:pt>
                <c:pt idx="12">
                  <c:v>-0.65909802846951171</c:v>
                </c:pt>
                <c:pt idx="13">
                  <c:v>-0.16445960583624705</c:v>
                </c:pt>
                <c:pt idx="14">
                  <c:v>0.37798758306928826</c:v>
                </c:pt>
                <c:pt idx="15">
                  <c:v>-2.2754724702839374E-2</c:v>
                </c:pt>
                <c:pt idx="16">
                  <c:v>-3.071489630096284E-2</c:v>
                </c:pt>
                <c:pt idx="17">
                  <c:v>0.17978958166749304</c:v>
                </c:pt>
                <c:pt idx="18">
                  <c:v>0.21726493860777191</c:v>
                </c:pt>
                <c:pt idx="19">
                  <c:v>0.23252610796091144</c:v>
                </c:pt>
                <c:pt idx="20">
                  <c:v>-0.16934779925295232</c:v>
                </c:pt>
                <c:pt idx="21">
                  <c:v>6.7923922312820878E-2</c:v>
                </c:pt>
              </c:numCache>
            </c:numRef>
          </c:val>
          <c:extLst>
            <c:ext xmlns:c16="http://schemas.microsoft.com/office/drawing/2014/chart" uri="{C3380CC4-5D6E-409C-BE32-E72D297353CC}">
              <c16:uniqueId val="{00000001-34B8-4DA4-B027-56BDE760F23B}"/>
            </c:ext>
          </c:extLst>
        </c:ser>
        <c:ser>
          <c:idx val="2"/>
          <c:order val="2"/>
          <c:tx>
            <c:strRef>
              <c:f>'souhrnná výkonnost 4'!$E$5</c:f>
              <c:strCache>
                <c:ptCount val="1"/>
                <c:pt idx="0">
                  <c:v>Ostatní průmyslová odvětví (CZ-NACE B, D, E)</c:v>
                </c:pt>
              </c:strCache>
            </c:strRef>
          </c:tx>
          <c:spPr>
            <a:solidFill>
              <a:srgbClr val="9FC9D7"/>
            </a:solidFill>
            <a:ln>
              <a:noFill/>
            </a:ln>
          </c:spPr>
          <c:invertIfNegative val="0"/>
          <c:val>
            <c:numRef>
              <c:f>'souhrnná výkonnost 4'!$E$18:$E$39</c:f>
              <c:numCache>
                <c:formatCode>#\ ##0.0</c:formatCode>
                <c:ptCount val="22"/>
                <c:pt idx="0">
                  <c:v>8.2072694672079782E-2</c:v>
                </c:pt>
                <c:pt idx="1">
                  <c:v>-5.5768944838059831E-2</c:v>
                </c:pt>
                <c:pt idx="2">
                  <c:v>6.0198553118141263E-2</c:v>
                </c:pt>
                <c:pt idx="3">
                  <c:v>-0.12598900134563104</c:v>
                </c:pt>
                <c:pt idx="4">
                  <c:v>-0.37908025211048302</c:v>
                </c:pt>
                <c:pt idx="5">
                  <c:v>9.4195885607968766E-2</c:v>
                </c:pt>
                <c:pt idx="6">
                  <c:v>-0.15023442350226501</c:v>
                </c:pt>
                <c:pt idx="7">
                  <c:v>-0.41128209604563309</c:v>
                </c:pt>
                <c:pt idx="8">
                  <c:v>-0.28410871264506865</c:v>
                </c:pt>
                <c:pt idx="9">
                  <c:v>-0.12349364364998172</c:v>
                </c:pt>
                <c:pt idx="10">
                  <c:v>-2.9594885384746999E-2</c:v>
                </c:pt>
                <c:pt idx="11">
                  <c:v>-6.1445193248920615E-2</c:v>
                </c:pt>
                <c:pt idx="12">
                  <c:v>3.0305357615878714E-2</c:v>
                </c:pt>
                <c:pt idx="13">
                  <c:v>-3.9252240332702165E-2</c:v>
                </c:pt>
                <c:pt idx="14">
                  <c:v>-6.140335337612679E-2</c:v>
                </c:pt>
                <c:pt idx="15">
                  <c:v>-4.9191481187663699E-2</c:v>
                </c:pt>
                <c:pt idx="16">
                  <c:v>0.1350617382610057</c:v>
                </c:pt>
                <c:pt idx="17">
                  <c:v>4.7918284148914747E-2</c:v>
                </c:pt>
                <c:pt idx="18">
                  <c:v>8.2161914374364597E-3</c:v>
                </c:pt>
                <c:pt idx="19">
                  <c:v>-4.5192898437784901E-2</c:v>
                </c:pt>
                <c:pt idx="20">
                  <c:v>-1.5901349428938977E-2</c:v>
                </c:pt>
                <c:pt idx="21">
                  <c:v>0.16596284372392253</c:v>
                </c:pt>
              </c:numCache>
            </c:numRef>
          </c:val>
          <c:extLst>
            <c:ext xmlns:c16="http://schemas.microsoft.com/office/drawing/2014/chart" uri="{C3380CC4-5D6E-409C-BE32-E72D297353CC}">
              <c16:uniqueId val="{00000002-34B8-4DA4-B027-56BDE760F23B}"/>
            </c:ext>
          </c:extLst>
        </c:ser>
        <c:ser>
          <c:idx val="1"/>
          <c:order val="3"/>
          <c:tx>
            <c:strRef>
              <c:f>'souhrnná výkonnost 4'!$F$5</c:f>
              <c:strCache>
                <c:ptCount val="1"/>
                <c:pt idx="0">
                  <c:v>Stavebnictví</c:v>
                </c:pt>
              </c:strCache>
            </c:strRef>
          </c:tx>
          <c:spPr>
            <a:solidFill>
              <a:srgbClr val="174F70"/>
            </a:solidFill>
            <a:ln>
              <a:noFill/>
            </a:ln>
          </c:spPr>
          <c:invertIfNegative val="0"/>
          <c:val>
            <c:numRef>
              <c:f>'souhrnná výkonnost 4'!$F$18:$F$39</c:f>
              <c:numCache>
                <c:formatCode>#\ ##0.0</c:formatCode>
                <c:ptCount val="22"/>
                <c:pt idx="0">
                  <c:v>-0.12276262260633211</c:v>
                </c:pt>
                <c:pt idx="1">
                  <c:v>2.3637352960532092E-2</c:v>
                </c:pt>
                <c:pt idx="2">
                  <c:v>4.0861309879129053E-2</c:v>
                </c:pt>
                <c:pt idx="3">
                  <c:v>-8.0239571677201499E-2</c:v>
                </c:pt>
                <c:pt idx="4">
                  <c:v>-0.11142112212609062</c:v>
                </c:pt>
                <c:pt idx="5">
                  <c:v>-0.13591206590783669</c:v>
                </c:pt>
                <c:pt idx="6">
                  <c:v>-0.1290409167746972</c:v>
                </c:pt>
                <c:pt idx="7">
                  <c:v>8.3260855069426765E-2</c:v>
                </c:pt>
                <c:pt idx="8">
                  <c:v>1.1921994276463834E-2</c:v>
                </c:pt>
                <c:pt idx="9">
                  <c:v>5.68990960553181E-2</c:v>
                </c:pt>
                <c:pt idx="10">
                  <c:v>6.3707226163507324E-2</c:v>
                </c:pt>
                <c:pt idx="11">
                  <c:v>-9.294592311664418E-2</c:v>
                </c:pt>
                <c:pt idx="12">
                  <c:v>0.13845032199565793</c:v>
                </c:pt>
                <c:pt idx="13">
                  <c:v>-3.9762495943108718E-2</c:v>
                </c:pt>
                <c:pt idx="14">
                  <c:v>-2.6281214799643907E-2</c:v>
                </c:pt>
                <c:pt idx="15">
                  <c:v>0.11217342115815135</c:v>
                </c:pt>
                <c:pt idx="16">
                  <c:v>3.0414881314343892E-2</c:v>
                </c:pt>
                <c:pt idx="17">
                  <c:v>3.4542958257145644E-2</c:v>
                </c:pt>
                <c:pt idx="18">
                  <c:v>4.9695918743827859E-2</c:v>
                </c:pt>
                <c:pt idx="19">
                  <c:v>-2.7427888839428632E-2</c:v>
                </c:pt>
                <c:pt idx="20">
                  <c:v>4.0658595168327129E-2</c:v>
                </c:pt>
                <c:pt idx="21">
                  <c:v>1.6684012352365822E-2</c:v>
                </c:pt>
              </c:numCache>
            </c:numRef>
          </c:val>
          <c:extLst>
            <c:ext xmlns:c16="http://schemas.microsoft.com/office/drawing/2014/chart" uri="{C3380CC4-5D6E-409C-BE32-E72D297353CC}">
              <c16:uniqueId val="{00000003-34B8-4DA4-B027-56BDE760F23B}"/>
            </c:ext>
          </c:extLst>
        </c:ser>
        <c:ser>
          <c:idx val="0"/>
          <c:order val="4"/>
          <c:tx>
            <c:strRef>
              <c:f>'souhrnná výkonnost 4'!$G$5</c:f>
              <c:strCache>
                <c:ptCount val="1"/>
                <c:pt idx="0">
                  <c:v>Služby (CZ-NACE G až U)</c:v>
                </c:pt>
              </c:strCache>
            </c:strRef>
          </c:tx>
          <c:spPr>
            <a:solidFill>
              <a:srgbClr val="BC5B80"/>
            </a:solidFill>
            <a:ln>
              <a:noFill/>
            </a:ln>
          </c:spPr>
          <c:invertIfNegative val="0"/>
          <c:val>
            <c:numRef>
              <c:f>'souhrnná výkonnost 4'!$G$18:$G$39</c:f>
              <c:numCache>
                <c:formatCode>#\ ##0.0</c:formatCode>
                <c:ptCount val="22"/>
                <c:pt idx="0">
                  <c:v>0.38187071657848937</c:v>
                </c:pt>
                <c:pt idx="1">
                  <c:v>1.5924259536680856</c:v>
                </c:pt>
                <c:pt idx="2">
                  <c:v>1.9527393124418904</c:v>
                </c:pt>
                <c:pt idx="3">
                  <c:v>0.76475494372096198</c:v>
                </c:pt>
                <c:pt idx="4">
                  <c:v>-9.3936452074745394E-2</c:v>
                </c:pt>
                <c:pt idx="5">
                  <c:v>1.0201643807904746E-2</c:v>
                </c:pt>
                <c:pt idx="6">
                  <c:v>3.7672109244940216E-2</c:v>
                </c:pt>
                <c:pt idx="7">
                  <c:v>0.33250115603784924</c:v>
                </c:pt>
                <c:pt idx="8">
                  <c:v>-0.1684922439133103</c:v>
                </c:pt>
                <c:pt idx="9">
                  <c:v>-3.6571078370415379E-2</c:v>
                </c:pt>
                <c:pt idx="10">
                  <c:v>7.2765170892712838E-2</c:v>
                </c:pt>
                <c:pt idx="11">
                  <c:v>-0.20007152734877207</c:v>
                </c:pt>
                <c:pt idx="12">
                  <c:v>0.33229607615344486</c:v>
                </c:pt>
                <c:pt idx="13">
                  <c:v>0.576309235224998</c:v>
                </c:pt>
                <c:pt idx="14">
                  <c:v>0.49434179081837309</c:v>
                </c:pt>
                <c:pt idx="15">
                  <c:v>0.499245647451388</c:v>
                </c:pt>
                <c:pt idx="16">
                  <c:v>0.79744444892534361</c:v>
                </c:pt>
                <c:pt idx="17">
                  <c:v>0.33824922355496539</c:v>
                </c:pt>
                <c:pt idx="18">
                  <c:v>0.38211259888627519</c:v>
                </c:pt>
                <c:pt idx="19">
                  <c:v>0.37051656288599788</c:v>
                </c:pt>
                <c:pt idx="20">
                  <c:v>0.26130094950435268</c:v>
                </c:pt>
                <c:pt idx="21">
                  <c:v>0.22168967931813044</c:v>
                </c:pt>
              </c:numCache>
            </c:numRef>
          </c:val>
          <c:extLst>
            <c:ext xmlns:c16="http://schemas.microsoft.com/office/drawing/2014/chart" uri="{C3380CC4-5D6E-409C-BE32-E72D297353CC}">
              <c16:uniqueId val="{00000004-34B8-4DA4-B027-56BDE760F23B}"/>
            </c:ext>
          </c:extLst>
        </c:ser>
        <c:dLbls>
          <c:showLegendKey val="0"/>
          <c:showVal val="0"/>
          <c:showCatName val="0"/>
          <c:showSerName val="0"/>
          <c:showPercent val="0"/>
          <c:showBubbleSize val="0"/>
        </c:dLbls>
        <c:gapWidth val="70"/>
        <c:overlap val="100"/>
        <c:axId val="269005952"/>
        <c:axId val="269007488"/>
      </c:barChart>
      <c:lineChart>
        <c:grouping val="standard"/>
        <c:varyColors val="0"/>
        <c:ser>
          <c:idx val="5"/>
          <c:order val="5"/>
          <c:tx>
            <c:strRef>
              <c:f>'souhrnná výkonnost 4'!$H$5</c:f>
              <c:strCache>
                <c:ptCount val="1"/>
                <c:pt idx="0">
                  <c:v>Hrubá přidaná hodnota celkem</c:v>
                </c:pt>
              </c:strCache>
            </c:strRef>
          </c:tx>
          <c:spPr>
            <a:ln w="19050">
              <a:solidFill>
                <a:prstClr val="black"/>
              </a:solidFill>
            </a:ln>
          </c:spPr>
          <c:marker>
            <c:symbol val="none"/>
          </c:marker>
          <c:cat>
            <c:multiLvlStrRef>
              <c:f>'souhrnná výkonnost 4'!$A$18:$B$39</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'souhrnná výkonnost 4'!$H$18:$H$39</c:f>
              <c:numCache>
                <c:formatCode>#\ ##0.0</c:formatCode>
                <c:ptCount val="22"/>
                <c:pt idx="0">
                  <c:v>-0.26315925186742106</c:v>
                </c:pt>
                <c:pt idx="1">
                  <c:v>1.2335820934109734</c:v>
                </c:pt>
                <c:pt idx="2">
                  <c:v>1.7573392115614865</c:v>
                </c:pt>
                <c:pt idx="3">
                  <c:v>0.62786603707967004</c:v>
                </c:pt>
                <c:pt idx="4">
                  <c:v>0.6258012243813198</c:v>
                </c:pt>
                <c:pt idx="5">
                  <c:v>0.63982584839774859</c:v>
                </c:pt>
                <c:pt idx="6">
                  <c:v>0.1160337701194436</c:v>
                </c:pt>
                <c:pt idx="7">
                  <c:v>0.28563657103978812</c:v>
                </c:pt>
                <c:pt idx="8">
                  <c:v>0.46164596022990168</c:v>
                </c:pt>
                <c:pt idx="9">
                  <c:v>-6.0065381272153218E-2</c:v>
                </c:pt>
                <c:pt idx="10">
                  <c:v>-0.31007059306411122</c:v>
                </c:pt>
                <c:pt idx="11">
                  <c:v>0.15397703998571899</c:v>
                </c:pt>
                <c:pt idx="12">
                  <c:v>-0.23099499837101689</c:v>
                </c:pt>
                <c:pt idx="13">
                  <c:v>0.33664323805386687</c:v>
                </c:pt>
                <c:pt idx="14">
                  <c:v>0.81161643039627052</c:v>
                </c:pt>
                <c:pt idx="15">
                  <c:v>0.52609883924334611</c:v>
                </c:pt>
                <c:pt idx="16">
                  <c:v>0.96164912418532822</c:v>
                </c:pt>
                <c:pt idx="17">
                  <c:v>0.61740487903436758</c:v>
                </c:pt>
                <c:pt idx="18">
                  <c:v>0.65974785081625953</c:v>
                </c:pt>
                <c:pt idx="19">
                  <c:v>0.54981456058304445</c:v>
                </c:pt>
                <c:pt idx="20">
                  <c:v>0.12085009293325299</c:v>
                </c:pt>
                <c:pt idx="21">
                  <c:v>0.44117627368729018</c:v>
                </c:pt>
              </c:numCache>
            </c:numRef>
          </c:val>
          <c:smooth val="0"/>
          <c:extLst>
            <c:ext xmlns:c16="http://schemas.microsoft.com/office/drawing/2014/chart" uri="{C3380CC4-5D6E-409C-BE32-E72D297353CC}">
              <c16:uniqueId val="{00000005-34B8-4DA4-B027-56BDE760F23B}"/>
            </c:ext>
          </c:extLst>
        </c:ser>
        <c:dLbls>
          <c:showLegendKey val="0"/>
          <c:showVal val="0"/>
          <c:showCatName val="0"/>
          <c:showSerName val="0"/>
          <c:showPercent val="0"/>
          <c:showBubbleSize val="0"/>
        </c:dLbls>
        <c:marker val="1"/>
        <c:smooth val="0"/>
        <c:axId val="269005952"/>
        <c:axId val="269007488"/>
      </c:lineChart>
      <c:catAx>
        <c:axId val="269005952"/>
        <c:scaling>
          <c:orientation val="minMax"/>
        </c:scaling>
        <c:delete val="0"/>
        <c:axPos val="b"/>
        <c:majorTickMark val="out"/>
        <c:minorTickMark val="none"/>
        <c:tickLblPos val="low"/>
        <c:spPr>
          <a:ln>
            <a:solidFill>
              <a:schemeClr val="tx1"/>
            </a:solidFill>
          </a:ln>
        </c:spPr>
        <c:txPr>
          <a:bodyPr rot="0" vert="horz"/>
          <a:lstStyle/>
          <a:p>
            <a:pPr>
              <a:defRPr/>
            </a:pPr>
            <a:endParaRPr lang="cs-CZ"/>
          </a:p>
        </c:txPr>
        <c:crossAx val="269007488"/>
        <c:crosses val="autoZero"/>
        <c:auto val="1"/>
        <c:lblAlgn val="ctr"/>
        <c:lblOffset val="100"/>
        <c:noMultiLvlLbl val="0"/>
      </c:catAx>
      <c:valAx>
        <c:axId val="269007488"/>
        <c:scaling>
          <c:orientation val="minMax"/>
        </c:scaling>
        <c:delete val="0"/>
        <c:axPos val="l"/>
        <c:majorGridlines>
          <c:spPr>
            <a:ln w="6350">
              <a:solidFill>
                <a:schemeClr val="bg1">
                  <a:lumMod val="75000"/>
                </a:schemeClr>
              </a:solidFill>
            </a:ln>
          </c:spPr>
        </c:majorGridlines>
        <c:numFmt formatCode="0.0" sourceLinked="0"/>
        <c:majorTickMark val="out"/>
        <c:minorTickMark val="none"/>
        <c:tickLblPos val="nextTo"/>
        <c:spPr>
          <a:ln>
            <a:solidFill>
              <a:schemeClr val="tx1"/>
            </a:solidFill>
          </a:ln>
        </c:spPr>
        <c:crossAx val="269005952"/>
        <c:crosses val="autoZero"/>
        <c:crossBetween val="between"/>
      </c:valAx>
      <c:spPr>
        <a:ln>
          <a:solidFill>
            <a:schemeClr val="tx1"/>
          </a:solidFill>
        </a:ln>
      </c:spPr>
    </c:plotArea>
    <c:legend>
      <c:legendPos val="b"/>
      <c:layout>
        <c:manualLayout>
          <c:xMode val="edge"/>
          <c:yMode val="edge"/>
          <c:x val="5.4144292468760548E-2"/>
          <c:y val="0.79016604750647301"/>
          <c:w val="0.92386482607227283"/>
          <c:h val="0.19462484520994944"/>
        </c:manualLayout>
      </c:layout>
      <c:overlay val="0"/>
      <c:spPr>
        <a:ln w="6350">
          <a:solidFill>
            <a:schemeClr val="tx1"/>
          </a:solidFill>
        </a:ln>
      </c:spPr>
    </c:legend>
    <c:plotVisOnly val="1"/>
    <c:dispBlanksAs val="gap"/>
    <c:showDLblsOverMax val="0"/>
  </c:chart>
  <c:spPr>
    <a:ln>
      <a:noFill/>
    </a:ln>
  </c:spPr>
  <c:txPr>
    <a:bodyPr/>
    <a:lstStyle/>
    <a:p>
      <a:pPr>
        <a:defRPr sz="800" baseline="0">
          <a:latin typeface="Arial" pitchFamily="34" charset="0"/>
        </a:defRPr>
      </a:pPr>
      <a:endParaRPr lang="cs-CZ"/>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0742166058558705E-2"/>
          <c:y val="1.5804737817313768E-2"/>
          <c:w val="0.92925508095319231"/>
          <c:h val="0.71044390007080849"/>
        </c:manualLayout>
      </c:layout>
      <c:barChart>
        <c:barDir val="col"/>
        <c:grouping val="stacked"/>
        <c:varyColors val="0"/>
        <c:ser>
          <c:idx val="0"/>
          <c:order val="0"/>
          <c:tx>
            <c:strRef>
              <c:f>'GRAF příspěvky IPP'!$A$27</c:f>
              <c:strCache>
                <c:ptCount val="1"/>
                <c:pt idx="0">
                  <c:v>Výroba dopravních prostředků (29, 30)</c:v>
                </c:pt>
              </c:strCache>
            </c:strRef>
          </c:tx>
          <c:spPr>
            <a:solidFill>
              <a:srgbClr val="D8A7B7"/>
            </a:solidFill>
          </c:spPr>
          <c:invertIfNegative val="0"/>
          <c:cat>
            <c:multiLvlStrRef>
              <c:f>'GRAF příspěvky IPP'!$AP$25:$BK$26</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'GRAF příspěvky IPP'!$AP$27:$BK$27</c:f>
              <c:numCache>
                <c:formatCode>0.0</c:formatCode>
                <c:ptCount val="22"/>
                <c:pt idx="0">
                  <c:v>1.9009220582212656</c:v>
                </c:pt>
                <c:pt idx="1">
                  <c:v>10.962436300546839</c:v>
                </c:pt>
                <c:pt idx="2">
                  <c:v>-3.7816826515966451</c:v>
                </c:pt>
                <c:pt idx="3">
                  <c:v>-3.2415310878086325</c:v>
                </c:pt>
                <c:pt idx="4">
                  <c:v>-1.9006279034039761</c:v>
                </c:pt>
                <c:pt idx="5">
                  <c:v>9.8882021278874688E-2</c:v>
                </c:pt>
                <c:pt idx="6">
                  <c:v>5.6047148528941628</c:v>
                </c:pt>
                <c:pt idx="7">
                  <c:v>3.9970459414903723</c:v>
                </c:pt>
                <c:pt idx="8">
                  <c:v>5.2762979416848301</c:v>
                </c:pt>
                <c:pt idx="9">
                  <c:v>5.0691801030618473</c:v>
                </c:pt>
                <c:pt idx="10">
                  <c:v>1.3395150948118291</c:v>
                </c:pt>
                <c:pt idx="11">
                  <c:v>3.1934880866006852</c:v>
                </c:pt>
                <c:pt idx="12">
                  <c:v>0.44683712045987689</c:v>
                </c:pt>
                <c:pt idx="13">
                  <c:v>-1.084777099067793</c:v>
                </c:pt>
                <c:pt idx="14">
                  <c:v>0.66912123314032446</c:v>
                </c:pt>
                <c:pt idx="15">
                  <c:v>-1.4432630187184605</c:v>
                </c:pt>
                <c:pt idx="16">
                  <c:v>-0.54269112179143586</c:v>
                </c:pt>
                <c:pt idx="17">
                  <c:v>0.5218638243939383</c:v>
                </c:pt>
                <c:pt idx="18">
                  <c:v>4.2308856127310224E-2</c:v>
                </c:pt>
                <c:pt idx="19">
                  <c:v>0.91758945337407605</c:v>
                </c:pt>
                <c:pt idx="20">
                  <c:v>1.0748049411015055</c:v>
                </c:pt>
                <c:pt idx="21">
                  <c:v>0.58905043036145588</c:v>
                </c:pt>
              </c:numCache>
            </c:numRef>
          </c:val>
          <c:extLst>
            <c:ext xmlns:c16="http://schemas.microsoft.com/office/drawing/2014/chart" uri="{C3380CC4-5D6E-409C-BE32-E72D297353CC}">
              <c16:uniqueId val="{00000000-C214-4B81-A12E-B22211A7646D}"/>
            </c:ext>
          </c:extLst>
        </c:ser>
        <c:ser>
          <c:idx val="1"/>
          <c:order val="1"/>
          <c:tx>
            <c:strRef>
              <c:f>'GRAF příspěvky IPP'!$A$28</c:f>
              <c:strCache>
                <c:ptCount val="1"/>
                <c:pt idx="0">
                  <c:v>Gumárenství, elektrotechnický pr. (22, 27)</c:v>
                </c:pt>
              </c:strCache>
            </c:strRef>
          </c:tx>
          <c:spPr>
            <a:solidFill>
              <a:srgbClr val="BC5B80"/>
            </a:solidFill>
          </c:spPr>
          <c:invertIfNegative val="0"/>
          <c:cat>
            <c:multiLvlStrRef>
              <c:f>'GRAF příspěvky IPP'!$AP$25:$BK$26</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'GRAF příspěvky IPP'!$AP$28:$BK$28</c:f>
              <c:numCache>
                <c:formatCode>0.0</c:formatCode>
                <c:ptCount val="22"/>
                <c:pt idx="0">
                  <c:v>0.71105377730316599</c:v>
                </c:pt>
                <c:pt idx="1">
                  <c:v>5.4813528736391373</c:v>
                </c:pt>
                <c:pt idx="2">
                  <c:v>0.6216905337035239</c:v>
                </c:pt>
                <c:pt idx="3">
                  <c:v>-0.4237146866197381</c:v>
                </c:pt>
                <c:pt idx="4">
                  <c:v>8.5432905047654106E-2</c:v>
                </c:pt>
                <c:pt idx="5">
                  <c:v>0.14017080136165114</c:v>
                </c:pt>
                <c:pt idx="6">
                  <c:v>0.54140847185477736</c:v>
                </c:pt>
                <c:pt idx="7">
                  <c:v>0.61586793753317559</c:v>
                </c:pt>
                <c:pt idx="8">
                  <c:v>0.24643729008607473</c:v>
                </c:pt>
                <c:pt idx="9">
                  <c:v>0.13297387060287902</c:v>
                </c:pt>
                <c:pt idx="10">
                  <c:v>-0.41954906744716108</c:v>
                </c:pt>
                <c:pt idx="11">
                  <c:v>1.8029268216841199E-2</c:v>
                </c:pt>
                <c:pt idx="12">
                  <c:v>3.5719762074797032E-2</c:v>
                </c:pt>
                <c:pt idx="13">
                  <c:v>-0.18845737493805909</c:v>
                </c:pt>
                <c:pt idx="14">
                  <c:v>0.14813881914088348</c:v>
                </c:pt>
                <c:pt idx="15">
                  <c:v>-0.54230725025084103</c:v>
                </c:pt>
                <c:pt idx="16">
                  <c:v>1.966746485500024E-2</c:v>
                </c:pt>
                <c:pt idx="17">
                  <c:v>0.45525345908759884</c:v>
                </c:pt>
                <c:pt idx="18">
                  <c:v>0.31760868121067576</c:v>
                </c:pt>
                <c:pt idx="19">
                  <c:v>0.67195606575933908</c:v>
                </c:pt>
                <c:pt idx="20">
                  <c:v>0.30354562054313466</c:v>
                </c:pt>
                <c:pt idx="21">
                  <c:v>0.16824369867946853</c:v>
                </c:pt>
              </c:numCache>
            </c:numRef>
          </c:val>
          <c:extLst>
            <c:ext xmlns:c16="http://schemas.microsoft.com/office/drawing/2014/chart" uri="{C3380CC4-5D6E-409C-BE32-E72D297353CC}">
              <c16:uniqueId val="{00000001-C214-4B81-A12E-B22211A7646D}"/>
            </c:ext>
          </c:extLst>
        </c:ser>
        <c:ser>
          <c:idx val="2"/>
          <c:order val="2"/>
          <c:tx>
            <c:strRef>
              <c:f>'GRAF příspěvky IPP'!$A$29</c:f>
              <c:strCache>
                <c:ptCount val="1"/>
                <c:pt idx="0">
                  <c:v>Strojírenství (28)</c:v>
                </c:pt>
              </c:strCache>
            </c:strRef>
          </c:tx>
          <c:spPr>
            <a:solidFill>
              <a:srgbClr val="9FC9D7"/>
            </a:solidFill>
          </c:spPr>
          <c:invertIfNegative val="0"/>
          <c:cat>
            <c:multiLvlStrRef>
              <c:f>'GRAF příspěvky IPP'!$AP$25:$BK$26</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'GRAF příspěvky IPP'!$AP$29:$BK$29</c:f>
              <c:numCache>
                <c:formatCode>0.0</c:formatCode>
                <c:ptCount val="22"/>
                <c:pt idx="0">
                  <c:v>6.9523816193354571E-2</c:v>
                </c:pt>
                <c:pt idx="1">
                  <c:v>2.0537889224076182</c:v>
                </c:pt>
                <c:pt idx="2">
                  <c:v>0.54998998649274944</c:v>
                </c:pt>
                <c:pt idx="3">
                  <c:v>0.27824368190942744</c:v>
                </c:pt>
                <c:pt idx="4">
                  <c:v>0.35474059805720581</c:v>
                </c:pt>
                <c:pt idx="5">
                  <c:v>9.159353246407527E-2</c:v>
                </c:pt>
                <c:pt idx="6">
                  <c:v>0.48985672658594026</c:v>
                </c:pt>
                <c:pt idx="7">
                  <c:v>0.65848483899880683</c:v>
                </c:pt>
                <c:pt idx="8">
                  <c:v>0.47009044095931496</c:v>
                </c:pt>
                <c:pt idx="9">
                  <c:v>0.4006172401103964</c:v>
                </c:pt>
                <c:pt idx="10">
                  <c:v>-0.57578518680795432</c:v>
                </c:pt>
                <c:pt idx="11">
                  <c:v>-0.75578874449495581</c:v>
                </c:pt>
                <c:pt idx="12">
                  <c:v>-0.9625142240233997</c:v>
                </c:pt>
                <c:pt idx="13">
                  <c:v>-0.80168828655754398</c:v>
                </c:pt>
                <c:pt idx="14">
                  <c:v>-0.39977018694536648</c:v>
                </c:pt>
                <c:pt idx="15">
                  <c:v>-0.52594869917284226</c:v>
                </c:pt>
                <c:pt idx="16">
                  <c:v>9.3041354664959691E-2</c:v>
                </c:pt>
                <c:pt idx="17">
                  <c:v>-0.14552526853020628</c:v>
                </c:pt>
                <c:pt idx="18">
                  <c:v>0.12346815960260442</c:v>
                </c:pt>
                <c:pt idx="19">
                  <c:v>0.49621663832706497</c:v>
                </c:pt>
                <c:pt idx="20">
                  <c:v>-0.33019006395087219</c:v>
                </c:pt>
                <c:pt idx="21">
                  <c:v>-3.6897165122714751E-2</c:v>
                </c:pt>
              </c:numCache>
            </c:numRef>
          </c:val>
          <c:extLst>
            <c:ext xmlns:c16="http://schemas.microsoft.com/office/drawing/2014/chart" uri="{C3380CC4-5D6E-409C-BE32-E72D297353CC}">
              <c16:uniqueId val="{00000002-C214-4B81-A12E-B22211A7646D}"/>
            </c:ext>
          </c:extLst>
        </c:ser>
        <c:ser>
          <c:idx val="3"/>
          <c:order val="3"/>
          <c:tx>
            <c:strRef>
              <c:f>'GRAF příspěvky IPP'!$A$30</c:f>
              <c:strCache>
                <c:ptCount val="1"/>
                <c:pt idx="0">
                  <c:v>Kovodělný průmysl (25)</c:v>
                </c:pt>
              </c:strCache>
            </c:strRef>
          </c:tx>
          <c:spPr>
            <a:solidFill>
              <a:srgbClr val="009CB5"/>
            </a:solidFill>
          </c:spPr>
          <c:invertIfNegative val="0"/>
          <c:cat>
            <c:multiLvlStrRef>
              <c:f>'GRAF příspěvky IPP'!$AP$25:$BK$26</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'GRAF příspěvky IPP'!$AP$30:$BK$30</c:f>
              <c:numCache>
                <c:formatCode>0.0</c:formatCode>
                <c:ptCount val="22"/>
                <c:pt idx="0">
                  <c:v>0.43211394669446129</c:v>
                </c:pt>
                <c:pt idx="1">
                  <c:v>2.9905594307699275</c:v>
                </c:pt>
                <c:pt idx="2">
                  <c:v>0.80057174840018464</c:v>
                </c:pt>
                <c:pt idx="3">
                  <c:v>1.7842744066281405E-2</c:v>
                </c:pt>
                <c:pt idx="4">
                  <c:v>0.2270419422273395</c:v>
                </c:pt>
                <c:pt idx="5">
                  <c:v>-0.40390149701119177</c:v>
                </c:pt>
                <c:pt idx="6">
                  <c:v>-0.31522655000635558</c:v>
                </c:pt>
                <c:pt idx="7">
                  <c:v>-0.2158460789696578</c:v>
                </c:pt>
                <c:pt idx="8">
                  <c:v>-0.35304158862001117</c:v>
                </c:pt>
                <c:pt idx="9">
                  <c:v>-9.898514727148211E-2</c:v>
                </c:pt>
                <c:pt idx="10">
                  <c:v>-0.21045961248750156</c:v>
                </c:pt>
                <c:pt idx="11">
                  <c:v>-0.27573885577866986</c:v>
                </c:pt>
                <c:pt idx="12">
                  <c:v>-0.20005962705948793</c:v>
                </c:pt>
                <c:pt idx="13">
                  <c:v>-3.6999886884328842E-2</c:v>
                </c:pt>
                <c:pt idx="14">
                  <c:v>0.34489368177621904</c:v>
                </c:pt>
                <c:pt idx="15">
                  <c:v>0.21350994299050982</c:v>
                </c:pt>
                <c:pt idx="16">
                  <c:v>0.2482577580048228</c:v>
                </c:pt>
                <c:pt idx="17">
                  <c:v>0.55947721307818932</c:v>
                </c:pt>
                <c:pt idx="18">
                  <c:v>0.65297800825529917</c:v>
                </c:pt>
                <c:pt idx="19">
                  <c:v>1.3018986212327026</c:v>
                </c:pt>
                <c:pt idx="20">
                  <c:v>0.47722904988677495</c:v>
                </c:pt>
                <c:pt idx="21">
                  <c:v>0.39469189072183186</c:v>
                </c:pt>
              </c:numCache>
            </c:numRef>
          </c:val>
          <c:extLst>
            <c:ext xmlns:c16="http://schemas.microsoft.com/office/drawing/2014/chart" uri="{C3380CC4-5D6E-409C-BE32-E72D297353CC}">
              <c16:uniqueId val="{00000003-C214-4B81-A12E-B22211A7646D}"/>
            </c:ext>
          </c:extLst>
        </c:ser>
        <c:ser>
          <c:idx val="4"/>
          <c:order val="4"/>
          <c:tx>
            <c:strRef>
              <c:f>'GRAF příspěvky IPP'!$A$31</c:f>
              <c:strCache>
                <c:ptCount val="1"/>
                <c:pt idx="0">
                  <c:v>Výroba PC, elektronic. a optic. přístr. (26)</c:v>
                </c:pt>
              </c:strCache>
            </c:strRef>
          </c:tx>
          <c:spPr>
            <a:solidFill>
              <a:srgbClr val="E6C483"/>
            </a:solidFill>
          </c:spPr>
          <c:invertIfNegative val="0"/>
          <c:cat>
            <c:multiLvlStrRef>
              <c:f>'GRAF příspěvky IPP'!$AP$25:$BK$26</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'GRAF příspěvky IPP'!$AP$31:$BK$31</c:f>
              <c:numCache>
                <c:formatCode>0.0</c:formatCode>
                <c:ptCount val="22"/>
                <c:pt idx="0">
                  <c:v>0.12975355540314282</c:v>
                </c:pt>
                <c:pt idx="1">
                  <c:v>0.21201733992680374</c:v>
                </c:pt>
                <c:pt idx="2">
                  <c:v>0.1941841019992544</c:v>
                </c:pt>
                <c:pt idx="3">
                  <c:v>-0.23843126852101912</c:v>
                </c:pt>
                <c:pt idx="4">
                  <c:v>2.2375778653478211E-2</c:v>
                </c:pt>
                <c:pt idx="5">
                  <c:v>-1.8664914809135777E-2</c:v>
                </c:pt>
                <c:pt idx="6">
                  <c:v>5.983720902341521E-2</c:v>
                </c:pt>
                <c:pt idx="7">
                  <c:v>0.43552217534069498</c:v>
                </c:pt>
                <c:pt idx="8">
                  <c:v>0.14470334752654473</c:v>
                </c:pt>
                <c:pt idx="9">
                  <c:v>8.8197188447825356E-2</c:v>
                </c:pt>
                <c:pt idx="10">
                  <c:v>-6.9028846604599223E-2</c:v>
                </c:pt>
                <c:pt idx="11">
                  <c:v>-6.5570020882029928E-2</c:v>
                </c:pt>
                <c:pt idx="12">
                  <c:v>-7.7915888293924231E-3</c:v>
                </c:pt>
                <c:pt idx="13">
                  <c:v>0.21997586638815811</c:v>
                </c:pt>
                <c:pt idx="14">
                  <c:v>0.28884635576240486</c:v>
                </c:pt>
                <c:pt idx="15">
                  <c:v>9.551918740327324E-2</c:v>
                </c:pt>
                <c:pt idx="16">
                  <c:v>6.3492554138264512E-3</c:v>
                </c:pt>
                <c:pt idx="17">
                  <c:v>-0.11311590007736777</c:v>
                </c:pt>
                <c:pt idx="18">
                  <c:v>-0.20805868829400714</c:v>
                </c:pt>
                <c:pt idx="19">
                  <c:v>3.374285216195165E-2</c:v>
                </c:pt>
                <c:pt idx="20">
                  <c:v>0.11568525571634966</c:v>
                </c:pt>
                <c:pt idx="21">
                  <c:v>0.44188816157675431</c:v>
                </c:pt>
              </c:numCache>
            </c:numRef>
          </c:val>
          <c:extLst>
            <c:ext xmlns:c16="http://schemas.microsoft.com/office/drawing/2014/chart" uri="{C3380CC4-5D6E-409C-BE32-E72D297353CC}">
              <c16:uniqueId val="{00000004-C214-4B81-A12E-B22211A7646D}"/>
            </c:ext>
          </c:extLst>
        </c:ser>
        <c:ser>
          <c:idx val="5"/>
          <c:order val="5"/>
          <c:tx>
            <c:strRef>
              <c:f>'GRAF příspěvky IPP'!$A$32</c:f>
              <c:strCache>
                <c:ptCount val="1"/>
                <c:pt idx="0">
                  <c:v>Chemický a farmaceutický pr. (20, 21)</c:v>
                </c:pt>
              </c:strCache>
            </c:strRef>
          </c:tx>
          <c:spPr>
            <a:solidFill>
              <a:srgbClr val="CC9610"/>
            </a:solidFill>
            <a:ln>
              <a:noFill/>
            </a:ln>
          </c:spPr>
          <c:invertIfNegative val="0"/>
          <c:cat>
            <c:multiLvlStrRef>
              <c:f>'GRAF příspěvky IPP'!$AP$25:$BK$26</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'GRAF příspěvky IPP'!$AP$32:$BK$32</c:f>
              <c:numCache>
                <c:formatCode>0.0</c:formatCode>
                <c:ptCount val="22"/>
                <c:pt idx="0">
                  <c:v>0.28426277083090246</c:v>
                </c:pt>
                <c:pt idx="1">
                  <c:v>0.82325325428168006</c:v>
                </c:pt>
                <c:pt idx="2">
                  <c:v>0.31991054650479339</c:v>
                </c:pt>
                <c:pt idx="3">
                  <c:v>8.7688985546260853E-2</c:v>
                </c:pt>
                <c:pt idx="4">
                  <c:v>0.24863963230574521</c:v>
                </c:pt>
                <c:pt idx="5">
                  <c:v>0.15905411527097743</c:v>
                </c:pt>
                <c:pt idx="6">
                  <c:v>-9.9192658046001692E-2</c:v>
                </c:pt>
                <c:pt idx="7">
                  <c:v>-0.29076993899169623</c:v>
                </c:pt>
                <c:pt idx="8">
                  <c:v>-0.60054284095284183</c:v>
                </c:pt>
                <c:pt idx="9">
                  <c:v>-0.17710340225216925</c:v>
                </c:pt>
                <c:pt idx="10">
                  <c:v>-7.3516958752537429E-2</c:v>
                </c:pt>
                <c:pt idx="11">
                  <c:v>-0.12575787999845109</c:v>
                </c:pt>
                <c:pt idx="12">
                  <c:v>0.26823896721095042</c:v>
                </c:pt>
                <c:pt idx="13">
                  <c:v>0.14459515409260676</c:v>
                </c:pt>
                <c:pt idx="14">
                  <c:v>-7.3019869232471224E-2</c:v>
                </c:pt>
                <c:pt idx="15">
                  <c:v>-7.0266611213317939E-2</c:v>
                </c:pt>
                <c:pt idx="16">
                  <c:v>-0.1146939798186169</c:v>
                </c:pt>
                <c:pt idx="17">
                  <c:v>-0.15184580495725425</c:v>
                </c:pt>
                <c:pt idx="18">
                  <c:v>0.18264060676424226</c:v>
                </c:pt>
                <c:pt idx="19">
                  <c:v>0.20375358364677904</c:v>
                </c:pt>
                <c:pt idx="20">
                  <c:v>9.0814162516393876E-2</c:v>
                </c:pt>
                <c:pt idx="21">
                  <c:v>0.1438927321808216</c:v>
                </c:pt>
              </c:numCache>
            </c:numRef>
          </c:val>
          <c:extLst>
            <c:ext xmlns:c16="http://schemas.microsoft.com/office/drawing/2014/chart" uri="{C3380CC4-5D6E-409C-BE32-E72D297353CC}">
              <c16:uniqueId val="{00000005-C214-4B81-A12E-B22211A7646D}"/>
            </c:ext>
          </c:extLst>
        </c:ser>
        <c:ser>
          <c:idx val="6"/>
          <c:order val="6"/>
          <c:tx>
            <c:strRef>
              <c:f>'GRAF příspěvky IPP'!$A$33</c:f>
              <c:strCache>
                <c:ptCount val="1"/>
                <c:pt idx="0">
                  <c:v>Zbývající zpracovatelský průmysl*</c:v>
                </c:pt>
              </c:strCache>
            </c:strRef>
          </c:tx>
          <c:spPr>
            <a:solidFill>
              <a:srgbClr val="C3DDAC"/>
            </a:solidFill>
          </c:spPr>
          <c:invertIfNegative val="0"/>
          <c:cat>
            <c:multiLvlStrRef>
              <c:f>'GRAF příspěvky IPP'!$AP$25:$BK$26</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'GRAF příspěvky IPP'!$AP$33:$BK$33</c:f>
              <c:numCache>
                <c:formatCode>0.0</c:formatCode>
                <c:ptCount val="22"/>
                <c:pt idx="0">
                  <c:v>-2.1128761312970146E-3</c:v>
                </c:pt>
                <c:pt idx="1">
                  <c:v>3.2182826185149889</c:v>
                </c:pt>
                <c:pt idx="2">
                  <c:v>1.5227369240206821</c:v>
                </c:pt>
                <c:pt idx="3">
                  <c:v>1.1735580757843487</c:v>
                </c:pt>
                <c:pt idx="4">
                  <c:v>1.6949563990634429</c:v>
                </c:pt>
                <c:pt idx="5">
                  <c:v>0.27470000381588033</c:v>
                </c:pt>
                <c:pt idx="6">
                  <c:v>-1.6667213846762752</c:v>
                </c:pt>
                <c:pt idx="7">
                  <c:v>-1.5269932606404839</c:v>
                </c:pt>
                <c:pt idx="8">
                  <c:v>-3.3261450575018028</c:v>
                </c:pt>
                <c:pt idx="9">
                  <c:v>-3.5878313003538334</c:v>
                </c:pt>
                <c:pt idx="10">
                  <c:v>-1.8071756863987505</c:v>
                </c:pt>
                <c:pt idx="11">
                  <c:v>-1.6144210415769553</c:v>
                </c:pt>
                <c:pt idx="12">
                  <c:v>0.13077401211331544</c:v>
                </c:pt>
                <c:pt idx="13">
                  <c:v>0.27796430392454941</c:v>
                </c:pt>
                <c:pt idx="14">
                  <c:v>-0.19589531851693803</c:v>
                </c:pt>
                <c:pt idx="15">
                  <c:v>0.25803068209411495</c:v>
                </c:pt>
                <c:pt idx="16">
                  <c:v>0.39233061967167515</c:v>
                </c:pt>
                <c:pt idx="17">
                  <c:v>0.68090920612682204</c:v>
                </c:pt>
                <c:pt idx="18">
                  <c:v>0.24246110208794136</c:v>
                </c:pt>
                <c:pt idx="19">
                  <c:v>0.66236418744352388</c:v>
                </c:pt>
                <c:pt idx="20">
                  <c:v>-0.19770670571548282</c:v>
                </c:pt>
                <c:pt idx="21">
                  <c:v>0.17425142827428519</c:v>
                </c:pt>
              </c:numCache>
            </c:numRef>
          </c:val>
          <c:extLst>
            <c:ext xmlns:c16="http://schemas.microsoft.com/office/drawing/2014/chart" uri="{C3380CC4-5D6E-409C-BE32-E72D297353CC}">
              <c16:uniqueId val="{00000006-C214-4B81-A12E-B22211A7646D}"/>
            </c:ext>
          </c:extLst>
        </c:ser>
        <c:ser>
          <c:idx val="7"/>
          <c:order val="7"/>
          <c:tx>
            <c:strRef>
              <c:f>'GRAF příspěvky IPP'!$A$34</c:f>
              <c:strCache>
                <c:ptCount val="1"/>
                <c:pt idx="0">
                  <c:v>Těžba a energetika (B, D)</c:v>
                </c:pt>
              </c:strCache>
            </c:strRef>
          </c:tx>
          <c:spPr>
            <a:solidFill>
              <a:srgbClr val="86BF5E"/>
            </a:solidFill>
          </c:spPr>
          <c:invertIfNegative val="0"/>
          <c:cat>
            <c:multiLvlStrRef>
              <c:f>'GRAF příspěvky IPP'!$AP$25:$BK$26</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'GRAF příspěvky IPP'!$AP$34:$BK$34</c:f>
              <c:numCache>
                <c:formatCode>0.0</c:formatCode>
                <c:ptCount val="22"/>
                <c:pt idx="0">
                  <c:v>0.59189490518500398</c:v>
                </c:pt>
                <c:pt idx="1">
                  <c:v>0.52656327821300353</c:v>
                </c:pt>
                <c:pt idx="2">
                  <c:v>0.31374008907545176</c:v>
                </c:pt>
                <c:pt idx="3">
                  <c:v>0.81659894104306607</c:v>
                </c:pt>
                <c:pt idx="4">
                  <c:v>-0.20894060705088399</c:v>
                </c:pt>
                <c:pt idx="5">
                  <c:v>0.24268235052886977</c:v>
                </c:pt>
                <c:pt idx="6">
                  <c:v>0.41441971307033448</c:v>
                </c:pt>
                <c:pt idx="7">
                  <c:v>-1.2878566765612138</c:v>
                </c:pt>
                <c:pt idx="8">
                  <c:v>-1.3045936982821111</c:v>
                </c:pt>
                <c:pt idx="9">
                  <c:v>-1.5790684974454656</c:v>
                </c:pt>
                <c:pt idx="10">
                  <c:v>-1.6278225134133213</c:v>
                </c:pt>
                <c:pt idx="11">
                  <c:v>-1.1076317448864703</c:v>
                </c:pt>
                <c:pt idx="12">
                  <c:v>-0.77646516844666147</c:v>
                </c:pt>
                <c:pt idx="13">
                  <c:v>-8.0819445457593481E-2</c:v>
                </c:pt>
                <c:pt idx="14">
                  <c:v>4.8663335749503378E-3</c:v>
                </c:pt>
                <c:pt idx="15">
                  <c:v>-0.18709046803243062</c:v>
                </c:pt>
                <c:pt idx="16">
                  <c:v>0.97124253669976768</c:v>
                </c:pt>
                <c:pt idx="17">
                  <c:v>0.4178870964782746</c:v>
                </c:pt>
                <c:pt idx="18">
                  <c:v>-0.21698633975406861</c:v>
                </c:pt>
                <c:pt idx="19">
                  <c:v>-6.8285150545431245E-2</c:v>
                </c:pt>
                <c:pt idx="20">
                  <c:v>-0.15282193009779654</c:v>
                </c:pt>
                <c:pt idx="21">
                  <c:v>0.49416740172810081</c:v>
                </c:pt>
              </c:numCache>
            </c:numRef>
          </c:val>
          <c:extLst>
            <c:ext xmlns:c16="http://schemas.microsoft.com/office/drawing/2014/chart" uri="{C3380CC4-5D6E-409C-BE32-E72D297353CC}">
              <c16:uniqueId val="{00000007-C214-4B81-A12E-B22211A7646D}"/>
            </c:ext>
          </c:extLst>
        </c:ser>
        <c:dLbls>
          <c:showLegendKey val="0"/>
          <c:showVal val="0"/>
          <c:showCatName val="0"/>
          <c:showSerName val="0"/>
          <c:showPercent val="0"/>
          <c:showBubbleSize val="0"/>
        </c:dLbls>
        <c:gapWidth val="15"/>
        <c:overlap val="100"/>
        <c:axId val="112768128"/>
        <c:axId val="112769664"/>
      </c:barChart>
      <c:lineChart>
        <c:grouping val="standard"/>
        <c:varyColors val="0"/>
        <c:ser>
          <c:idx val="8"/>
          <c:order val="8"/>
          <c:tx>
            <c:strRef>
              <c:f>'GRAF příspěvky IPP'!$A$35</c:f>
              <c:strCache>
                <c:ptCount val="1"/>
                <c:pt idx="0">
                  <c:v>Průmysl celkem (NACE B až D)</c:v>
                </c:pt>
              </c:strCache>
            </c:strRef>
          </c:tx>
          <c:spPr>
            <a:ln w="19050">
              <a:noFill/>
            </a:ln>
          </c:spPr>
          <c:marker>
            <c:symbol val="circle"/>
            <c:size val="4"/>
            <c:spPr>
              <a:solidFill>
                <a:schemeClr val="bg1"/>
              </a:solidFill>
              <a:ln>
                <a:solidFill>
                  <a:schemeClr val="tx1">
                    <a:lumMod val="95000"/>
                    <a:lumOff val="5000"/>
                  </a:schemeClr>
                </a:solidFill>
              </a:ln>
            </c:spPr>
          </c:marker>
          <c:cat>
            <c:multiLvlStrRef>
              <c:f>'GRAF příspěvky IPP'!$AP$25:$BK$26</c:f>
              <c:multiLvlStrCache>
                <c:ptCount val="22"/>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lvl>
                <c:lvl>
                  <c:pt idx="0">
                    <c:v>2021</c:v>
                  </c:pt>
                  <c:pt idx="4">
                    <c:v>2022</c:v>
                  </c:pt>
                  <c:pt idx="8">
                    <c:v>2023</c:v>
                  </c:pt>
                  <c:pt idx="12">
                    <c:v>2024</c:v>
                  </c:pt>
                  <c:pt idx="16">
                    <c:v>2025</c:v>
                  </c:pt>
                  <c:pt idx="20">
                    <c:v>2026</c:v>
                  </c:pt>
                </c:lvl>
              </c:multiLvlStrCache>
            </c:multiLvlStrRef>
          </c:cat>
          <c:val>
            <c:numRef>
              <c:f>'GRAF příspěvky IPP'!$AP$35:$BK$35</c:f>
              <c:numCache>
                <c:formatCode>0.0</c:formatCode>
                <c:ptCount val="22"/>
                <c:pt idx="0">
                  <c:v>4.1168725211000066</c:v>
                </c:pt>
                <c:pt idx="1">
                  <c:v>26.265769118799994</c:v>
                </c:pt>
                <c:pt idx="2">
                  <c:v>0.54199852979999719</c:v>
                </c:pt>
                <c:pt idx="3">
                  <c:v>-1.5307568214000042</c:v>
                </c:pt>
                <c:pt idx="4">
                  <c:v>0.52242344610000657</c:v>
                </c:pt>
                <c:pt idx="5">
                  <c:v>0.58376745799999696</c:v>
                </c:pt>
                <c:pt idx="6">
                  <c:v>5.0291005280000007</c:v>
                </c:pt>
                <c:pt idx="7">
                  <c:v>2.3867960538999995</c:v>
                </c:pt>
                <c:pt idx="8">
                  <c:v>0.54910159659999636</c:v>
                </c:pt>
                <c:pt idx="9">
                  <c:v>0.25366354800000579</c:v>
                </c:pt>
                <c:pt idx="10">
                  <c:v>-3.4405520449000022</c:v>
                </c:pt>
                <c:pt idx="11">
                  <c:v>-0.73423712599999646</c:v>
                </c:pt>
                <c:pt idx="12">
                  <c:v>-1.0590406973999933</c:v>
                </c:pt>
                <c:pt idx="13">
                  <c:v>-1.5528120830000063</c:v>
                </c:pt>
                <c:pt idx="14">
                  <c:v>0.78003301340000064</c:v>
                </c:pt>
                <c:pt idx="15">
                  <c:v>-2.2021802377000057</c:v>
                </c:pt>
                <c:pt idx="16">
                  <c:v>1.0735038876999994</c:v>
                </c:pt>
                <c:pt idx="17">
                  <c:v>2.2249038255999949</c:v>
                </c:pt>
                <c:pt idx="18">
                  <c:v>1.1364203859999975</c:v>
                </c:pt>
                <c:pt idx="19">
                  <c:v>4.2192362514000052</c:v>
                </c:pt>
                <c:pt idx="20">
                  <c:v>1.3813603300000068</c:v>
                </c:pt>
                <c:pt idx="21">
                  <c:v>2.3692885784000026</c:v>
                </c:pt>
              </c:numCache>
            </c:numRef>
          </c:val>
          <c:smooth val="0"/>
          <c:extLst>
            <c:ext xmlns:c16="http://schemas.microsoft.com/office/drawing/2014/chart" uri="{C3380CC4-5D6E-409C-BE32-E72D297353CC}">
              <c16:uniqueId val="{00000008-C214-4B81-A12E-B22211A7646D}"/>
            </c:ext>
          </c:extLst>
        </c:ser>
        <c:dLbls>
          <c:showLegendKey val="0"/>
          <c:showVal val="0"/>
          <c:showCatName val="0"/>
          <c:showSerName val="0"/>
          <c:showPercent val="0"/>
          <c:showBubbleSize val="0"/>
        </c:dLbls>
        <c:marker val="1"/>
        <c:smooth val="0"/>
        <c:axId val="112768128"/>
        <c:axId val="112769664"/>
      </c:lineChart>
      <c:catAx>
        <c:axId val="112768128"/>
        <c:scaling>
          <c:orientation val="minMax"/>
        </c:scaling>
        <c:delete val="0"/>
        <c:axPos val="b"/>
        <c:numFmt formatCode="General" sourceLinked="1"/>
        <c:majorTickMark val="none"/>
        <c:minorTickMark val="none"/>
        <c:tickLblPos val="low"/>
        <c:txPr>
          <a:bodyPr/>
          <a:lstStyle/>
          <a:p>
            <a:pPr>
              <a:defRPr sz="800">
                <a:latin typeface="Arial" pitchFamily="34" charset="0"/>
                <a:cs typeface="Arial" pitchFamily="34" charset="0"/>
              </a:defRPr>
            </a:pPr>
            <a:endParaRPr lang="cs-CZ"/>
          </a:p>
        </c:txPr>
        <c:crossAx val="112769664"/>
        <c:crosses val="autoZero"/>
        <c:auto val="1"/>
        <c:lblAlgn val="ctr"/>
        <c:lblOffset val="0"/>
        <c:noMultiLvlLbl val="0"/>
      </c:catAx>
      <c:valAx>
        <c:axId val="112769664"/>
        <c:scaling>
          <c:orientation val="minMax"/>
          <c:max val="28"/>
          <c:min val="-8"/>
        </c:scaling>
        <c:delete val="0"/>
        <c:axPos val="l"/>
        <c:majorGridlines>
          <c:spPr>
            <a:ln>
              <a:solidFill>
                <a:srgbClr val="BEBEBE"/>
              </a:solidFill>
            </a:ln>
          </c:spPr>
        </c:majorGridlines>
        <c:numFmt formatCode="0" sourceLinked="0"/>
        <c:majorTickMark val="out"/>
        <c:minorTickMark val="none"/>
        <c:tickLblPos val="nextTo"/>
        <c:txPr>
          <a:bodyPr/>
          <a:lstStyle/>
          <a:p>
            <a:pPr>
              <a:defRPr sz="800">
                <a:latin typeface="Arial" pitchFamily="34" charset="0"/>
                <a:cs typeface="Arial" pitchFamily="34" charset="0"/>
              </a:defRPr>
            </a:pPr>
            <a:endParaRPr lang="cs-CZ"/>
          </a:p>
        </c:txPr>
        <c:crossAx val="112768128"/>
        <c:crosses val="autoZero"/>
        <c:crossBetween val="between"/>
        <c:majorUnit val="4"/>
      </c:valAx>
      <c:spPr>
        <a:noFill/>
        <a:ln w="6350">
          <a:solidFill>
            <a:prstClr val="black">
              <a:lumMod val="95000"/>
              <a:lumOff val="5000"/>
            </a:prstClr>
          </a:solidFill>
        </a:ln>
      </c:spPr>
    </c:plotArea>
    <c:legend>
      <c:legendPos val="r"/>
      <c:layout>
        <c:manualLayout>
          <c:xMode val="edge"/>
          <c:yMode val="edge"/>
          <c:x val="4.6105052893994747E-2"/>
          <c:y val="0.81639977400602937"/>
          <c:w val="0.93011470148370468"/>
          <c:h val="0.17704298175785912"/>
        </c:manualLayout>
      </c:layout>
      <c:overlay val="0"/>
      <c:spPr>
        <a:ln w="6350">
          <a:solidFill>
            <a:prstClr val="black">
              <a:lumMod val="95000"/>
              <a:lumOff val="5000"/>
            </a:prstClr>
          </a:solidFill>
        </a:ln>
      </c:spPr>
      <c:txPr>
        <a:bodyPr/>
        <a:lstStyle/>
        <a:p>
          <a:pPr>
            <a:defRPr sz="800">
              <a:latin typeface="Arial" pitchFamily="34" charset="0"/>
              <a:cs typeface="Arial" pitchFamily="34" charset="0"/>
            </a:defRPr>
          </a:pPr>
          <a:endParaRPr lang="cs-CZ"/>
        </a:p>
      </c:txPr>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2746300854145584E-2"/>
          <c:y val="1.5647041011259352E-2"/>
          <c:w val="0.91780899788858206"/>
          <c:h val="0.76121701409139131"/>
        </c:manualLayout>
      </c:layout>
      <c:barChart>
        <c:barDir val="col"/>
        <c:grouping val="clustered"/>
        <c:varyColors val="0"/>
        <c:ser>
          <c:idx val="0"/>
          <c:order val="0"/>
          <c:tx>
            <c:strRef>
              <c:f>'výkonnost odvětví 2'!$A$36</c:f>
              <c:strCache>
                <c:ptCount val="1"/>
                <c:pt idx="0">
                  <c:v>Průmyslové zakázky celkem</c:v>
                </c:pt>
              </c:strCache>
            </c:strRef>
          </c:tx>
          <c:spPr>
            <a:solidFill>
              <a:srgbClr val="86BF5E"/>
            </a:solidFill>
            <a:ln>
              <a:noFill/>
            </a:ln>
          </c:spPr>
          <c:invertIfNegative val="0"/>
          <c:cat>
            <c:multiLvlStrRef>
              <c:f>'výkonnost odvětví 2'!$AP$34:$BL$35</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'výkonnost odvětví 2'!$AP$36:$BL$36</c:f>
              <c:numCache>
                <c:formatCode>##0.0</c:formatCode>
                <c:ptCount val="23"/>
                <c:pt idx="0">
                  <c:v>10.604235177800007</c:v>
                </c:pt>
                <c:pt idx="1">
                  <c:v>46.728308701499998</c:v>
                </c:pt>
                <c:pt idx="2">
                  <c:v>7.4466496054999993</c:v>
                </c:pt>
                <c:pt idx="3">
                  <c:v>4.0119161703999993</c:v>
                </c:pt>
                <c:pt idx="4">
                  <c:v>6.356727203600002</c:v>
                </c:pt>
                <c:pt idx="5">
                  <c:v>10.097314984299999</c:v>
                </c:pt>
                <c:pt idx="6">
                  <c:v>15.276770302299994</c:v>
                </c:pt>
                <c:pt idx="7">
                  <c:v>12.582418127599993</c:v>
                </c:pt>
                <c:pt idx="8">
                  <c:v>3.1280309439000007</c:v>
                </c:pt>
                <c:pt idx="9">
                  <c:v>-2.2493627854999971</c:v>
                </c:pt>
                <c:pt idx="10">
                  <c:v>-3.8342366656000024</c:v>
                </c:pt>
                <c:pt idx="11">
                  <c:v>-0.94176836840000533</c:v>
                </c:pt>
                <c:pt idx="12">
                  <c:v>4.4876596448000043</c:v>
                </c:pt>
                <c:pt idx="13">
                  <c:v>4.4814919468000056</c:v>
                </c:pt>
                <c:pt idx="14">
                  <c:v>4.3701535717000013</c:v>
                </c:pt>
                <c:pt idx="15">
                  <c:v>1.2150424327000025</c:v>
                </c:pt>
                <c:pt idx="16">
                  <c:v>-0.12859206109999377</c:v>
                </c:pt>
                <c:pt idx="17" formatCode="#\ ##0.0">
                  <c:v>3.4043568106000066</c:v>
                </c:pt>
                <c:pt idx="18" formatCode="#\ ##0.0">
                  <c:v>2.2391494465999955</c:v>
                </c:pt>
                <c:pt idx="19" formatCode="#\ ##0.0">
                  <c:v>10.301430084900005</c:v>
                </c:pt>
                <c:pt idx="20" formatCode="#\ ##0.0">
                  <c:v>3.9650292808999978</c:v>
                </c:pt>
                <c:pt idx="21" formatCode="#\ ##0.0">
                  <c:v>6.6973747742</c:v>
                </c:pt>
              </c:numCache>
            </c:numRef>
          </c:val>
          <c:extLst>
            <c:ext xmlns:c16="http://schemas.microsoft.com/office/drawing/2014/chart" uri="{C3380CC4-5D6E-409C-BE32-E72D297353CC}">
              <c16:uniqueId val="{00000000-C5A6-48C5-8D17-98FE5BB23330}"/>
            </c:ext>
          </c:extLst>
        </c:ser>
        <c:dLbls>
          <c:showLegendKey val="0"/>
          <c:showVal val="0"/>
          <c:showCatName val="0"/>
          <c:showSerName val="0"/>
          <c:showPercent val="0"/>
          <c:showBubbleSize val="0"/>
        </c:dLbls>
        <c:gapWidth val="30"/>
        <c:axId val="112768128"/>
        <c:axId val="112769664"/>
      </c:barChart>
      <c:lineChart>
        <c:grouping val="standard"/>
        <c:varyColors val="0"/>
        <c:ser>
          <c:idx val="1"/>
          <c:order val="1"/>
          <c:tx>
            <c:strRef>
              <c:f>'výkonnost odvětví 2'!$A$37</c:f>
              <c:strCache>
                <c:ptCount val="1"/>
                <c:pt idx="0">
                  <c:v>z toho: zakázky z tuzemska</c:v>
                </c:pt>
              </c:strCache>
            </c:strRef>
          </c:tx>
          <c:spPr>
            <a:ln w="15875">
              <a:noFill/>
              <a:prstDash val="sysDot"/>
            </a:ln>
          </c:spPr>
          <c:marker>
            <c:symbol val="circle"/>
            <c:size val="5"/>
            <c:spPr>
              <a:solidFill>
                <a:schemeClr val="bg1"/>
              </a:solidFill>
              <a:ln w="12700">
                <a:solidFill>
                  <a:srgbClr val="85BF5E"/>
                </a:solidFill>
              </a:ln>
            </c:spPr>
          </c:marker>
          <c:cat>
            <c:multiLvlStrRef>
              <c:f>'výkonnost odvětví 2'!$AP$34:$BL$35</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'výkonnost odvětví 2'!$AP$37:$BL$37</c:f>
              <c:numCache>
                <c:formatCode>##0.0</c:formatCode>
                <c:ptCount val="23"/>
                <c:pt idx="0">
                  <c:v>2.2004655299000007</c:v>
                </c:pt>
                <c:pt idx="1">
                  <c:v>42.217352803199987</c:v>
                </c:pt>
                <c:pt idx="2">
                  <c:v>9.2691617169000011</c:v>
                </c:pt>
                <c:pt idx="3">
                  <c:v>5.7638066604999949</c:v>
                </c:pt>
                <c:pt idx="4">
                  <c:v>8.7209050958999939</c:v>
                </c:pt>
                <c:pt idx="5">
                  <c:v>15.451566326000005</c:v>
                </c:pt>
                <c:pt idx="6">
                  <c:v>26.230660505800003</c:v>
                </c:pt>
                <c:pt idx="7">
                  <c:v>19.294277493300001</c:v>
                </c:pt>
                <c:pt idx="8">
                  <c:v>11.972474484000003</c:v>
                </c:pt>
                <c:pt idx="9">
                  <c:v>2.3732362854999991</c:v>
                </c:pt>
                <c:pt idx="10">
                  <c:v>-6.7666305145999956</c:v>
                </c:pt>
                <c:pt idx="11">
                  <c:v>-0.67773158740000383</c:v>
                </c:pt>
                <c:pt idx="12">
                  <c:v>3.480101154099998</c:v>
                </c:pt>
                <c:pt idx="13">
                  <c:v>3.085780016399994</c:v>
                </c:pt>
                <c:pt idx="14">
                  <c:v>7.8628991544999991</c:v>
                </c:pt>
                <c:pt idx="15">
                  <c:v>2.4191420900999958</c:v>
                </c:pt>
                <c:pt idx="16">
                  <c:v>0.47799061009999377</c:v>
                </c:pt>
                <c:pt idx="17" formatCode="#\ ##0.0">
                  <c:v>2.3784755613999948</c:v>
                </c:pt>
                <c:pt idx="18" formatCode="#\ ##0.0">
                  <c:v>4.5008512379999956</c:v>
                </c:pt>
                <c:pt idx="19" formatCode="#\ ##0.0">
                  <c:v>0.1822216103000045</c:v>
                </c:pt>
                <c:pt idx="20" formatCode="#\ ##0.0">
                  <c:v>2.4963724752000047</c:v>
                </c:pt>
                <c:pt idx="21" formatCode="#\ ##0.0">
                  <c:v>2.1657138125000017</c:v>
                </c:pt>
              </c:numCache>
            </c:numRef>
          </c:val>
          <c:smooth val="0"/>
          <c:extLst>
            <c:ext xmlns:c16="http://schemas.microsoft.com/office/drawing/2014/chart" uri="{C3380CC4-5D6E-409C-BE32-E72D297353CC}">
              <c16:uniqueId val="{00000001-C5A6-48C5-8D17-98FE5BB23330}"/>
            </c:ext>
          </c:extLst>
        </c:ser>
        <c:ser>
          <c:idx val="4"/>
          <c:order val="2"/>
          <c:tx>
            <c:strRef>
              <c:f>'výkonnost odvětví 2'!$A$40</c:f>
              <c:strCache>
                <c:ptCount val="1"/>
                <c:pt idx="0">
                  <c:v>Bariéra růstu: nedostatečná poptávka</c:v>
                </c:pt>
              </c:strCache>
            </c:strRef>
          </c:tx>
          <c:spPr>
            <a:ln w="15875">
              <a:solidFill>
                <a:srgbClr val="8390A7"/>
              </a:solidFill>
              <a:prstDash val="solid"/>
            </a:ln>
          </c:spPr>
          <c:marker>
            <c:symbol val="none"/>
          </c:marker>
          <c:cat>
            <c:multiLvlStrRef>
              <c:f>'výkonnost odvětví 2'!$AP$34:$BL$35</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'výkonnost odvětví 2'!$AP$40:$BL$40</c:f>
              <c:numCache>
                <c:formatCode>#\ ##0.0</c:formatCode>
                <c:ptCount val="23"/>
                <c:pt idx="0">
                  <c:v>46.9</c:v>
                </c:pt>
                <c:pt idx="1">
                  <c:v>38.700000000000003</c:v>
                </c:pt>
                <c:pt idx="2">
                  <c:v>25.4</c:v>
                </c:pt>
                <c:pt idx="3">
                  <c:v>27.9</c:v>
                </c:pt>
                <c:pt idx="4">
                  <c:v>29.9</c:v>
                </c:pt>
                <c:pt idx="5">
                  <c:v>21.3</c:v>
                </c:pt>
                <c:pt idx="6">
                  <c:v>18.7</c:v>
                </c:pt>
                <c:pt idx="7">
                  <c:v>29.4</c:v>
                </c:pt>
                <c:pt idx="8">
                  <c:v>42.5</c:v>
                </c:pt>
                <c:pt idx="9">
                  <c:v>42</c:v>
                </c:pt>
                <c:pt idx="10">
                  <c:v>44.3</c:v>
                </c:pt>
                <c:pt idx="11">
                  <c:v>46.2</c:v>
                </c:pt>
                <c:pt idx="12">
                  <c:v>47.5</c:v>
                </c:pt>
                <c:pt idx="13">
                  <c:v>49.8</c:v>
                </c:pt>
                <c:pt idx="14">
                  <c:v>52</c:v>
                </c:pt>
                <c:pt idx="15">
                  <c:v>49</c:v>
                </c:pt>
                <c:pt idx="16">
                  <c:v>63.5</c:v>
                </c:pt>
                <c:pt idx="17">
                  <c:v>51.7</c:v>
                </c:pt>
                <c:pt idx="18">
                  <c:v>52.7</c:v>
                </c:pt>
                <c:pt idx="19">
                  <c:v>54.2</c:v>
                </c:pt>
                <c:pt idx="20">
                  <c:v>53</c:v>
                </c:pt>
                <c:pt idx="21">
                  <c:v>59.3</c:v>
                </c:pt>
                <c:pt idx="22" formatCode="General">
                  <c:v>47.6</c:v>
                </c:pt>
              </c:numCache>
            </c:numRef>
          </c:val>
          <c:smooth val="0"/>
          <c:extLst>
            <c:ext xmlns:c16="http://schemas.microsoft.com/office/drawing/2014/chart" uri="{C3380CC4-5D6E-409C-BE32-E72D297353CC}">
              <c16:uniqueId val="{00000002-C5A6-48C5-8D17-98FE5BB23330}"/>
            </c:ext>
          </c:extLst>
        </c:ser>
        <c:ser>
          <c:idx val="6"/>
          <c:order val="3"/>
          <c:tx>
            <c:strRef>
              <c:f>'výkonnost odvětví 2'!$A$42</c:f>
              <c:strCache>
                <c:ptCount val="1"/>
                <c:pt idx="0">
                  <c:v>Bariéra růstu: nedost. materiálu a zaříz.</c:v>
                </c:pt>
              </c:strCache>
            </c:strRef>
          </c:tx>
          <c:spPr>
            <a:ln w="15875">
              <a:solidFill>
                <a:srgbClr val="B8BBC0"/>
              </a:solidFill>
              <a:prstDash val="dash"/>
            </a:ln>
          </c:spPr>
          <c:marker>
            <c:symbol val="none"/>
          </c:marker>
          <c:cat>
            <c:multiLvlStrRef>
              <c:f>'výkonnost odvětví 2'!$AP$34:$BL$35</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'výkonnost odvětví 2'!$AP$42:$BL$42</c:f>
              <c:numCache>
                <c:formatCode>#\ ##0.0</c:formatCode>
                <c:ptCount val="23"/>
                <c:pt idx="0">
                  <c:v>23.1</c:v>
                </c:pt>
                <c:pt idx="1">
                  <c:v>32.1</c:v>
                </c:pt>
                <c:pt idx="2">
                  <c:v>45.9</c:v>
                </c:pt>
                <c:pt idx="3">
                  <c:v>41.2</c:v>
                </c:pt>
                <c:pt idx="4">
                  <c:v>39.299999999999997</c:v>
                </c:pt>
                <c:pt idx="5">
                  <c:v>47.8</c:v>
                </c:pt>
                <c:pt idx="6">
                  <c:v>53.4</c:v>
                </c:pt>
                <c:pt idx="7">
                  <c:v>46.4</c:v>
                </c:pt>
                <c:pt idx="8">
                  <c:v>37.4</c:v>
                </c:pt>
                <c:pt idx="9">
                  <c:v>32.5</c:v>
                </c:pt>
                <c:pt idx="10">
                  <c:v>20.6</c:v>
                </c:pt>
                <c:pt idx="11">
                  <c:v>17.100000000000001</c:v>
                </c:pt>
                <c:pt idx="12">
                  <c:v>32.700000000000003</c:v>
                </c:pt>
                <c:pt idx="13">
                  <c:v>28.1</c:v>
                </c:pt>
                <c:pt idx="14">
                  <c:v>13</c:v>
                </c:pt>
                <c:pt idx="15">
                  <c:v>24.7</c:v>
                </c:pt>
                <c:pt idx="16">
                  <c:v>11.9</c:v>
                </c:pt>
                <c:pt idx="17">
                  <c:v>25</c:v>
                </c:pt>
                <c:pt idx="18">
                  <c:v>11</c:v>
                </c:pt>
                <c:pt idx="19">
                  <c:v>11.2</c:v>
                </c:pt>
                <c:pt idx="20">
                  <c:v>11.4</c:v>
                </c:pt>
                <c:pt idx="21">
                  <c:v>11.6</c:v>
                </c:pt>
                <c:pt idx="22" formatCode="General">
                  <c:v>11.3</c:v>
                </c:pt>
              </c:numCache>
            </c:numRef>
          </c:val>
          <c:smooth val="0"/>
          <c:extLst>
            <c:ext xmlns:c16="http://schemas.microsoft.com/office/drawing/2014/chart" uri="{C3380CC4-5D6E-409C-BE32-E72D297353CC}">
              <c16:uniqueId val="{00000003-C5A6-48C5-8D17-98FE5BB23330}"/>
            </c:ext>
          </c:extLst>
        </c:ser>
        <c:ser>
          <c:idx val="7"/>
          <c:order val="4"/>
          <c:tx>
            <c:strRef>
              <c:f>'výkonnost odvětví 2'!$A$43</c:f>
              <c:strCache>
                <c:ptCount val="1"/>
                <c:pt idx="0">
                  <c:v>Saldo souhrn. indik. důvěry v průmyslu</c:v>
                </c:pt>
              </c:strCache>
            </c:strRef>
          </c:tx>
          <c:spPr>
            <a:ln w="15875">
              <a:solidFill>
                <a:srgbClr val="CC9610"/>
              </a:solidFill>
              <a:prstDash val="sysDot"/>
            </a:ln>
          </c:spPr>
          <c:marker>
            <c:symbol val="diamond"/>
            <c:size val="5"/>
            <c:spPr>
              <a:solidFill>
                <a:srgbClr val="CC9610"/>
              </a:solidFill>
              <a:ln>
                <a:solidFill>
                  <a:srgbClr val="CC9610"/>
                </a:solidFill>
              </a:ln>
            </c:spPr>
          </c:marker>
          <c:cat>
            <c:multiLvlStrRef>
              <c:f>'výkonnost odvětví 2'!$AP$34:$BL$35</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'výkonnost odvětví 2'!$AP$43:$BL$43</c:f>
              <c:numCache>
                <c:formatCode>#\ ##0.0</c:formatCode>
                <c:ptCount val="23"/>
                <c:pt idx="0">
                  <c:v>-3.1999999999999997</c:v>
                </c:pt>
                <c:pt idx="1">
                  <c:v>6.4333333333333336</c:v>
                </c:pt>
                <c:pt idx="2">
                  <c:v>-2.3333333333333335</c:v>
                </c:pt>
                <c:pt idx="3">
                  <c:v>-6.666666666666667</c:v>
                </c:pt>
                <c:pt idx="4">
                  <c:v>-2</c:v>
                </c:pt>
                <c:pt idx="5">
                  <c:v>5.666666666666667</c:v>
                </c:pt>
                <c:pt idx="6">
                  <c:v>-2.1333333333333333</c:v>
                </c:pt>
                <c:pt idx="7">
                  <c:v>-7.7666666666666666</c:v>
                </c:pt>
                <c:pt idx="8">
                  <c:v>-6.3666666666666671</c:v>
                </c:pt>
                <c:pt idx="9">
                  <c:v>-6.4666666666666659</c:v>
                </c:pt>
                <c:pt idx="10">
                  <c:v>-10.799999999999999</c:v>
                </c:pt>
                <c:pt idx="11">
                  <c:v>-5.1333333333333329</c:v>
                </c:pt>
                <c:pt idx="12">
                  <c:v>-11.200000000000001</c:v>
                </c:pt>
                <c:pt idx="13">
                  <c:v>-6.5666666666666664</c:v>
                </c:pt>
                <c:pt idx="14">
                  <c:v>-7.2333333333333334</c:v>
                </c:pt>
                <c:pt idx="15">
                  <c:v>-7.7666666666666666</c:v>
                </c:pt>
                <c:pt idx="16">
                  <c:v>-5.666666666666667</c:v>
                </c:pt>
                <c:pt idx="17">
                  <c:v>-6.5333333333333341</c:v>
                </c:pt>
                <c:pt idx="18">
                  <c:v>-5.333333333333333</c:v>
                </c:pt>
                <c:pt idx="19">
                  <c:v>-4.7666666666666666</c:v>
                </c:pt>
                <c:pt idx="20">
                  <c:v>-3.4666666666666668</c:v>
                </c:pt>
                <c:pt idx="21">
                  <c:v>-3.4333333333333336</c:v>
                </c:pt>
                <c:pt idx="22">
                  <c:v>-1.85</c:v>
                </c:pt>
              </c:numCache>
            </c:numRef>
          </c:val>
          <c:smooth val="0"/>
          <c:extLst>
            <c:ext xmlns:c16="http://schemas.microsoft.com/office/drawing/2014/chart" uri="{C3380CC4-5D6E-409C-BE32-E72D297353CC}">
              <c16:uniqueId val="{00000004-C5A6-48C5-8D17-98FE5BB23330}"/>
            </c:ext>
          </c:extLst>
        </c:ser>
        <c:dLbls>
          <c:showLegendKey val="0"/>
          <c:showVal val="0"/>
          <c:showCatName val="0"/>
          <c:showSerName val="0"/>
          <c:showPercent val="0"/>
          <c:showBubbleSize val="0"/>
        </c:dLbls>
        <c:marker val="1"/>
        <c:smooth val="0"/>
        <c:axId val="112768128"/>
        <c:axId val="112769664"/>
      </c:lineChart>
      <c:catAx>
        <c:axId val="112768128"/>
        <c:scaling>
          <c:orientation val="minMax"/>
        </c:scaling>
        <c:delete val="0"/>
        <c:axPos val="b"/>
        <c:numFmt formatCode="General" sourceLinked="1"/>
        <c:majorTickMark val="out"/>
        <c:minorTickMark val="none"/>
        <c:tickLblPos val="low"/>
        <c:crossAx val="112769664"/>
        <c:crosses val="autoZero"/>
        <c:auto val="1"/>
        <c:lblAlgn val="ctr"/>
        <c:lblOffset val="0"/>
        <c:noMultiLvlLbl val="0"/>
      </c:catAx>
      <c:valAx>
        <c:axId val="112769664"/>
        <c:scaling>
          <c:orientation val="minMax"/>
          <c:max val="70"/>
          <c:min val="-20"/>
        </c:scaling>
        <c:delete val="0"/>
        <c:axPos val="l"/>
        <c:majorGridlines>
          <c:spPr>
            <a:ln>
              <a:solidFill>
                <a:srgbClr val="BEBEBE"/>
              </a:solidFill>
            </a:ln>
          </c:spPr>
        </c:majorGridlines>
        <c:numFmt formatCode="0" sourceLinked="0"/>
        <c:majorTickMark val="out"/>
        <c:minorTickMark val="none"/>
        <c:tickLblPos val="nextTo"/>
        <c:crossAx val="112768128"/>
        <c:crosses val="autoZero"/>
        <c:crossBetween val="between"/>
        <c:majorUnit val="10"/>
      </c:valAx>
      <c:spPr>
        <a:noFill/>
        <a:ln w="6350">
          <a:solidFill>
            <a:prstClr val="black">
              <a:lumMod val="95000"/>
              <a:lumOff val="5000"/>
            </a:prstClr>
          </a:solidFill>
        </a:ln>
      </c:spPr>
    </c:plotArea>
    <c:legend>
      <c:legendPos val="r"/>
      <c:layout>
        <c:manualLayout>
          <c:xMode val="edge"/>
          <c:yMode val="edge"/>
          <c:x val="5.024508272843501E-2"/>
          <c:y val="0.87353462305389384"/>
          <c:w val="0.93114922631990038"/>
          <c:h val="0.11948133459972562"/>
        </c:manualLayout>
      </c:layout>
      <c:overlay val="0"/>
      <c:spPr>
        <a:ln w="6350">
          <a:solidFill>
            <a:prstClr val="black">
              <a:lumMod val="95000"/>
              <a:lumOff val="5000"/>
            </a:prstClr>
          </a:solidFill>
        </a:ln>
      </c:spPr>
      <c:txPr>
        <a:bodyPr/>
        <a:lstStyle/>
        <a:p>
          <a:pPr>
            <a:defRPr sz="780"/>
          </a:pPr>
          <a:endParaRPr lang="cs-CZ"/>
        </a:p>
      </c:txPr>
    </c:legend>
    <c:plotVisOnly val="1"/>
    <c:dispBlanksAs val="gap"/>
    <c:showDLblsOverMax val="0"/>
  </c:chart>
  <c:spPr>
    <a:ln>
      <a:noFill/>
    </a:ln>
  </c:spPr>
  <c:txPr>
    <a:bodyPr/>
    <a:lstStyle/>
    <a:p>
      <a:pPr>
        <a:defRPr sz="800">
          <a:latin typeface="Arial" panose="020B0604020202020204" pitchFamily="34" charset="0"/>
          <a:cs typeface="Arial" panose="020B0604020202020204" pitchFamily="34" charset="0"/>
        </a:defRPr>
      </a:pPr>
      <a:endParaRPr lang="cs-CZ"/>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852733524588496E-2"/>
          <c:y val="1.6492431800159527E-2"/>
          <c:w val="0.8549624610877129"/>
          <c:h val="0.75413191483370345"/>
        </c:manualLayout>
      </c:layout>
      <c:barChart>
        <c:barDir val="col"/>
        <c:grouping val="stacked"/>
        <c:varyColors val="0"/>
        <c:ser>
          <c:idx val="1"/>
          <c:order val="1"/>
          <c:tx>
            <c:strRef>
              <c:f>'výkonnost odvětví 3'!$U$52</c:f>
              <c:strCache>
                <c:ptCount val="1"/>
                <c:pt idx="0">
                  <c:v>Pozemní stavitelství</c:v>
                </c:pt>
              </c:strCache>
            </c:strRef>
          </c:tx>
          <c:spPr>
            <a:solidFill>
              <a:srgbClr val="9FC9D7"/>
            </a:solidFill>
            <a:ln>
              <a:noFill/>
            </a:ln>
          </c:spPr>
          <c:invertIfNegative val="0"/>
          <c:cat>
            <c:multiLvlStrRef>
              <c:f>'výkonnost odvětví 3'!$R$53:$S$75</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'výkonnost odvětví 3'!$U$53:$U$75</c:f>
              <c:numCache>
                <c:formatCode>0.0</c:formatCode>
                <c:ptCount val="23"/>
                <c:pt idx="0">
                  <c:v>-5.0660837283894127</c:v>
                </c:pt>
                <c:pt idx="1">
                  <c:v>2.4656819622014705</c:v>
                </c:pt>
                <c:pt idx="2">
                  <c:v>2.7078036992242112</c:v>
                </c:pt>
                <c:pt idx="3">
                  <c:v>5.3885116062898586</c:v>
                </c:pt>
                <c:pt idx="4">
                  <c:v>7.2599370375691361</c:v>
                </c:pt>
                <c:pt idx="5">
                  <c:v>3.5228521802835968</c:v>
                </c:pt>
                <c:pt idx="6">
                  <c:v>-0.76086526249632169</c:v>
                </c:pt>
                <c:pt idx="7">
                  <c:v>-1.4422238162798067</c:v>
                </c:pt>
                <c:pt idx="8">
                  <c:v>2.0785501415796661</c:v>
                </c:pt>
                <c:pt idx="9">
                  <c:v>-1.7940004523509017</c:v>
                </c:pt>
                <c:pt idx="10">
                  <c:v>-0.44420059250800503</c:v>
                </c:pt>
                <c:pt idx="11">
                  <c:v>-2.3463867721548444</c:v>
                </c:pt>
                <c:pt idx="12">
                  <c:v>-5.1543406570414874</c:v>
                </c:pt>
                <c:pt idx="13">
                  <c:v>-3.1463977386870448</c:v>
                </c:pt>
                <c:pt idx="14">
                  <c:v>-1.8872107153037683</c:v>
                </c:pt>
                <c:pt idx="15">
                  <c:v>1.6874158785106754</c:v>
                </c:pt>
                <c:pt idx="16">
                  <c:v>7.1050689620756158</c:v>
                </c:pt>
                <c:pt idx="17">
                  <c:v>7.3083691806545366</c:v>
                </c:pt>
                <c:pt idx="18">
                  <c:v>8.1561639741042313</c:v>
                </c:pt>
                <c:pt idx="19">
                  <c:v>4.934183736192943</c:v>
                </c:pt>
                <c:pt idx="20">
                  <c:v>4</c:v>
                </c:pt>
                <c:pt idx="21">
                  <c:v>4.3354985512150002</c:v>
                </c:pt>
              </c:numCache>
            </c:numRef>
          </c:val>
          <c:extLst>
            <c:ext xmlns:c16="http://schemas.microsoft.com/office/drawing/2014/chart" uri="{C3380CC4-5D6E-409C-BE32-E72D297353CC}">
              <c16:uniqueId val="{00000000-BF4A-4D1B-90AB-B2EB5AE96707}"/>
            </c:ext>
          </c:extLst>
        </c:ser>
        <c:ser>
          <c:idx val="2"/>
          <c:order val="2"/>
          <c:tx>
            <c:strRef>
              <c:f>'výkonnost odvětví 3'!$V$52</c:f>
              <c:strCache>
                <c:ptCount val="1"/>
                <c:pt idx="0">
                  <c:v>Inženýrské stavitelství</c:v>
                </c:pt>
              </c:strCache>
            </c:strRef>
          </c:tx>
          <c:spPr>
            <a:solidFill>
              <a:srgbClr val="009CB5"/>
            </a:solidFill>
            <a:ln>
              <a:noFill/>
            </a:ln>
          </c:spPr>
          <c:invertIfNegative val="0"/>
          <c:cat>
            <c:multiLvlStrRef>
              <c:f>'výkonnost odvětví 3'!$R$53:$S$75</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'výkonnost odvětví 3'!$V$53:$V$75</c:f>
              <c:numCache>
                <c:formatCode>0.0</c:formatCode>
                <c:ptCount val="23"/>
                <c:pt idx="0">
                  <c:v>-0.39522301308242569</c:v>
                </c:pt>
                <c:pt idx="1">
                  <c:v>1.8600290235434405</c:v>
                </c:pt>
                <c:pt idx="2">
                  <c:v>0.52162218280948758</c:v>
                </c:pt>
                <c:pt idx="3">
                  <c:v>-1.0553579383328437</c:v>
                </c:pt>
                <c:pt idx="4">
                  <c:v>5.3542662490461961</c:v>
                </c:pt>
                <c:pt idx="5">
                  <c:v>1.3478592062038046</c:v>
                </c:pt>
                <c:pt idx="6">
                  <c:v>0.66736359398673328</c:v>
                </c:pt>
                <c:pt idx="7">
                  <c:v>1.4188446024940988</c:v>
                </c:pt>
                <c:pt idx="8">
                  <c:v>-3.8410888445248759</c:v>
                </c:pt>
                <c:pt idx="9">
                  <c:v>-2.3631236527439059</c:v>
                </c:pt>
                <c:pt idx="10">
                  <c:v>-0.13182183197812178</c:v>
                </c:pt>
                <c:pt idx="11">
                  <c:v>-0.56534456319622506</c:v>
                </c:pt>
                <c:pt idx="12">
                  <c:v>1.1608192067090914</c:v>
                </c:pt>
                <c:pt idx="13">
                  <c:v>-1.4573196686113525</c:v>
                </c:pt>
                <c:pt idx="14">
                  <c:v>0.30856458109758472</c:v>
                </c:pt>
                <c:pt idx="15">
                  <c:v>1.5095691516466947</c:v>
                </c:pt>
                <c:pt idx="16">
                  <c:v>2.8429452920484981</c:v>
                </c:pt>
                <c:pt idx="17">
                  <c:v>4.6745610681433529</c:v>
                </c:pt>
                <c:pt idx="18">
                  <c:v>5.5844079848996229</c:v>
                </c:pt>
                <c:pt idx="19">
                  <c:v>2.8341560537560264</c:v>
                </c:pt>
                <c:pt idx="20">
                  <c:v>-0.3</c:v>
                </c:pt>
                <c:pt idx="21">
                  <c:v>-0.17723944854000137</c:v>
                </c:pt>
              </c:numCache>
            </c:numRef>
          </c:val>
          <c:extLst>
            <c:ext xmlns:c16="http://schemas.microsoft.com/office/drawing/2014/chart" uri="{C3380CC4-5D6E-409C-BE32-E72D297353CC}">
              <c16:uniqueId val="{00000001-BF4A-4D1B-90AB-B2EB5AE96707}"/>
            </c:ext>
          </c:extLst>
        </c:ser>
        <c:dLbls>
          <c:showLegendKey val="0"/>
          <c:showVal val="0"/>
          <c:showCatName val="0"/>
          <c:showSerName val="0"/>
          <c:showPercent val="0"/>
          <c:showBubbleSize val="0"/>
        </c:dLbls>
        <c:gapWidth val="30"/>
        <c:overlap val="100"/>
        <c:axId val="112768128"/>
        <c:axId val="112769664"/>
      </c:barChart>
      <c:lineChart>
        <c:grouping val="standard"/>
        <c:varyColors val="0"/>
        <c:ser>
          <c:idx val="0"/>
          <c:order val="0"/>
          <c:tx>
            <c:strRef>
              <c:f>'výkonnost odvětví 3'!$T$52</c:f>
              <c:strCache>
                <c:ptCount val="1"/>
                <c:pt idx="0">
                  <c:v>Stavební produkce celkem</c:v>
                </c:pt>
              </c:strCache>
            </c:strRef>
          </c:tx>
          <c:spPr>
            <a:ln>
              <a:noFill/>
            </a:ln>
          </c:spPr>
          <c:marker>
            <c:symbol val="dash"/>
            <c:size val="10"/>
            <c:spPr>
              <a:solidFill>
                <a:schemeClr val="tx1">
                  <a:lumMod val="95000"/>
                  <a:lumOff val="5000"/>
                </a:schemeClr>
              </a:solidFill>
              <a:ln>
                <a:noFill/>
              </a:ln>
            </c:spPr>
          </c:marker>
          <c:cat>
            <c:multiLvlStrRef>
              <c:f>'výkonnost odvětví 3'!$R$53:$S$75</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'výkonnost odvětví 3'!$T$53:$T$75</c:f>
              <c:numCache>
                <c:formatCode>0.0</c:formatCode>
                <c:ptCount val="23"/>
                <c:pt idx="0">
                  <c:v>-5.449827937799995</c:v>
                </c:pt>
                <c:pt idx="1">
                  <c:v>4.3346326277000031</c:v>
                </c:pt>
                <c:pt idx="2">
                  <c:v>3.2527324745999948</c:v>
                </c:pt>
                <c:pt idx="3">
                  <c:v>4.3444783167000054</c:v>
                </c:pt>
                <c:pt idx="4">
                  <c:v>12.605105655499997</c:v>
                </c:pt>
                <c:pt idx="5">
                  <c:v>4.8704536909999945</c:v>
                </c:pt>
                <c:pt idx="6">
                  <c:v>-9.4174134400006437E-2</c:v>
                </c:pt>
                <c:pt idx="7">
                  <c:v>-1.3883214100005148E-2</c:v>
                </c:pt>
                <c:pt idx="8">
                  <c:v>-1.7717177847000016</c:v>
                </c:pt>
                <c:pt idx="9">
                  <c:v>-4.1402313415999998</c:v>
                </c:pt>
                <c:pt idx="10">
                  <c:v>-0.56619568009999455</c:v>
                </c:pt>
                <c:pt idx="11">
                  <c:v>-2.9142969090000008</c:v>
                </c:pt>
                <c:pt idx="12">
                  <c:v>-3.966105693800003</c:v>
                </c:pt>
                <c:pt idx="13">
                  <c:v>-4.6095742126999966</c:v>
                </c:pt>
                <c:pt idx="14">
                  <c:v>-1.6053599297000005</c:v>
                </c:pt>
                <c:pt idx="15">
                  <c:v>3.1979198801000024</c:v>
                </c:pt>
                <c:pt idx="16">
                  <c:v>9.9456413813000069</c:v>
                </c:pt>
                <c:pt idx="17">
                  <c:v>11.992779862299997</c:v>
                </c:pt>
                <c:pt idx="18">
                  <c:v>13.730028734300006</c:v>
                </c:pt>
                <c:pt idx="19">
                  <c:v>7.7796862008000005</c:v>
                </c:pt>
                <c:pt idx="20">
                  <c:v>3.7364473016999966</c:v>
                </c:pt>
                <c:pt idx="21">
                  <c:v>4.1282368793000046</c:v>
                </c:pt>
              </c:numCache>
            </c:numRef>
          </c:val>
          <c:smooth val="0"/>
          <c:extLst>
            <c:ext xmlns:c16="http://schemas.microsoft.com/office/drawing/2014/chart" uri="{C3380CC4-5D6E-409C-BE32-E72D297353CC}">
              <c16:uniqueId val="{00000002-BF4A-4D1B-90AB-B2EB5AE96707}"/>
            </c:ext>
          </c:extLst>
        </c:ser>
        <c:dLbls>
          <c:showLegendKey val="0"/>
          <c:showVal val="0"/>
          <c:showCatName val="0"/>
          <c:showSerName val="0"/>
          <c:showPercent val="0"/>
          <c:showBubbleSize val="0"/>
        </c:dLbls>
        <c:marker val="1"/>
        <c:smooth val="0"/>
        <c:axId val="112768128"/>
        <c:axId val="112769664"/>
      </c:lineChart>
      <c:lineChart>
        <c:grouping val="standard"/>
        <c:varyColors val="0"/>
        <c:ser>
          <c:idx val="3"/>
          <c:order val="3"/>
          <c:tx>
            <c:strRef>
              <c:f>'výkonnost odvětví 3'!$W$52</c:f>
              <c:strCache>
                <c:ptCount val="1"/>
                <c:pt idx="0">
                  <c:v>Nové stavební zakázky v tuzemsku</c:v>
                </c:pt>
              </c:strCache>
            </c:strRef>
          </c:tx>
          <c:spPr>
            <a:ln w="9525">
              <a:solidFill>
                <a:srgbClr val="86BF5E"/>
              </a:solidFill>
              <a:prstDash val="sysDot"/>
            </a:ln>
          </c:spPr>
          <c:marker>
            <c:symbol val="circle"/>
            <c:size val="5"/>
            <c:spPr>
              <a:solidFill>
                <a:srgbClr val="85BF5E"/>
              </a:solidFill>
              <a:ln>
                <a:noFill/>
              </a:ln>
            </c:spPr>
          </c:marker>
          <c:cat>
            <c:multiLvlStrRef>
              <c:f>'výkonnost odvětví 3'!$R$53:$S$75</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'výkonnost odvětví 3'!$W$53:$W$75</c:f>
              <c:numCache>
                <c:formatCode>0.0</c:formatCode>
                <c:ptCount val="23"/>
                <c:pt idx="0">
                  <c:v>28.856340981154375</c:v>
                </c:pt>
                <c:pt idx="1">
                  <c:v>22.0478670382426</c:v>
                </c:pt>
                <c:pt idx="2">
                  <c:v>10.015015612184257</c:v>
                </c:pt>
                <c:pt idx="3">
                  <c:v>1.0053213537781147</c:v>
                </c:pt>
                <c:pt idx="4">
                  <c:v>13.067478460417888</c:v>
                </c:pt>
                <c:pt idx="5">
                  <c:v>17.619167772184284</c:v>
                </c:pt>
                <c:pt idx="6">
                  <c:v>12.421954480552543</c:v>
                </c:pt>
                <c:pt idx="7">
                  <c:v>13.031852753748723</c:v>
                </c:pt>
                <c:pt idx="8">
                  <c:v>-10.144501025957553</c:v>
                </c:pt>
                <c:pt idx="9">
                  <c:v>-18.697561390531931</c:v>
                </c:pt>
                <c:pt idx="10">
                  <c:v>27.514816854662854</c:v>
                </c:pt>
                <c:pt idx="11">
                  <c:v>9.3063425617587683</c:v>
                </c:pt>
                <c:pt idx="12">
                  <c:v>30.48574840110382</c:v>
                </c:pt>
                <c:pt idx="13">
                  <c:v>24.810378988741093</c:v>
                </c:pt>
                <c:pt idx="14">
                  <c:v>-2.1445567903011948</c:v>
                </c:pt>
                <c:pt idx="15">
                  <c:v>17.246427278094785</c:v>
                </c:pt>
                <c:pt idx="16">
                  <c:v>14.966548023920552</c:v>
                </c:pt>
                <c:pt idx="17">
                  <c:v>18.397953312123349</c:v>
                </c:pt>
                <c:pt idx="18">
                  <c:v>8.8509967247769197</c:v>
                </c:pt>
                <c:pt idx="19">
                  <c:v>-2.6142731987564503</c:v>
                </c:pt>
                <c:pt idx="20">
                  <c:v>-7.4593940388818112</c:v>
                </c:pt>
                <c:pt idx="21">
                  <c:v>7.8010519659062822</c:v>
                </c:pt>
              </c:numCache>
            </c:numRef>
          </c:val>
          <c:smooth val="0"/>
          <c:extLst>
            <c:ext xmlns:c16="http://schemas.microsoft.com/office/drawing/2014/chart" uri="{C3380CC4-5D6E-409C-BE32-E72D297353CC}">
              <c16:uniqueId val="{00000003-BF4A-4D1B-90AB-B2EB5AE96707}"/>
            </c:ext>
          </c:extLst>
        </c:ser>
        <c:ser>
          <c:idx val="7"/>
          <c:order val="4"/>
          <c:tx>
            <c:strRef>
              <c:f>'výkonnost odvětví 3'!$X$52</c:f>
              <c:strCache>
                <c:ptCount val="1"/>
                <c:pt idx="0">
                  <c:v>Saldo indikátoru důvěry ve stavebnictví</c:v>
                </c:pt>
              </c:strCache>
            </c:strRef>
          </c:tx>
          <c:spPr>
            <a:ln w="15875">
              <a:solidFill>
                <a:srgbClr val="CC9610"/>
              </a:solidFill>
              <a:prstDash val="sysDot"/>
            </a:ln>
          </c:spPr>
          <c:marker>
            <c:symbol val="diamond"/>
            <c:size val="5"/>
            <c:spPr>
              <a:solidFill>
                <a:srgbClr val="CC9610"/>
              </a:solidFill>
              <a:ln>
                <a:solidFill>
                  <a:srgbClr val="CC9610"/>
                </a:solidFill>
              </a:ln>
            </c:spPr>
          </c:marker>
          <c:cat>
            <c:multiLvlStrRef>
              <c:f>'výkonnost odvětví 3'!$R$53:$S$75</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'výkonnost odvětví 3'!$X$53:$X$75</c:f>
              <c:numCache>
                <c:formatCode>0.0</c:formatCode>
                <c:ptCount val="23"/>
                <c:pt idx="0">
                  <c:v>-7.166666666666667</c:v>
                </c:pt>
                <c:pt idx="1">
                  <c:v>-6.5</c:v>
                </c:pt>
                <c:pt idx="2">
                  <c:v>-6.5</c:v>
                </c:pt>
                <c:pt idx="3">
                  <c:v>-6.833333333333333</c:v>
                </c:pt>
                <c:pt idx="4">
                  <c:v>3.8333333333333335</c:v>
                </c:pt>
                <c:pt idx="5">
                  <c:v>-1</c:v>
                </c:pt>
                <c:pt idx="6">
                  <c:v>-6.333333333333333</c:v>
                </c:pt>
                <c:pt idx="7">
                  <c:v>-8.1666666666666661</c:v>
                </c:pt>
                <c:pt idx="8">
                  <c:v>-13.666666666666666</c:v>
                </c:pt>
                <c:pt idx="9">
                  <c:v>-15</c:v>
                </c:pt>
                <c:pt idx="10">
                  <c:v>-16.666666666666668</c:v>
                </c:pt>
                <c:pt idx="11">
                  <c:v>-14.333333333333334</c:v>
                </c:pt>
                <c:pt idx="12">
                  <c:v>-9</c:v>
                </c:pt>
                <c:pt idx="13">
                  <c:v>-13.5</c:v>
                </c:pt>
                <c:pt idx="14">
                  <c:v>-10.5</c:v>
                </c:pt>
                <c:pt idx="15">
                  <c:v>-6.166666666666667</c:v>
                </c:pt>
                <c:pt idx="16">
                  <c:v>-4.5</c:v>
                </c:pt>
                <c:pt idx="17">
                  <c:v>-1.6666666666666667</c:v>
                </c:pt>
                <c:pt idx="18">
                  <c:v>3</c:v>
                </c:pt>
                <c:pt idx="19">
                  <c:v>-1.3333333333333333</c:v>
                </c:pt>
                <c:pt idx="20">
                  <c:v>-3.8333333333333335</c:v>
                </c:pt>
                <c:pt idx="21">
                  <c:v>-3</c:v>
                </c:pt>
                <c:pt idx="22">
                  <c:v>-4.75</c:v>
                </c:pt>
              </c:numCache>
            </c:numRef>
          </c:val>
          <c:smooth val="0"/>
          <c:extLst>
            <c:ext xmlns:c16="http://schemas.microsoft.com/office/drawing/2014/chart" uri="{C3380CC4-5D6E-409C-BE32-E72D297353CC}">
              <c16:uniqueId val="{00000004-BF4A-4D1B-90AB-B2EB5AE96707}"/>
            </c:ext>
          </c:extLst>
        </c:ser>
        <c:dLbls>
          <c:showLegendKey val="0"/>
          <c:showVal val="0"/>
          <c:showCatName val="0"/>
          <c:showSerName val="0"/>
          <c:showPercent val="0"/>
          <c:showBubbleSize val="0"/>
        </c:dLbls>
        <c:marker val="1"/>
        <c:smooth val="0"/>
        <c:axId val="1118074639"/>
        <c:axId val="1118080463"/>
      </c:lineChart>
      <c:catAx>
        <c:axId val="112768128"/>
        <c:scaling>
          <c:orientation val="minMax"/>
        </c:scaling>
        <c:delete val="0"/>
        <c:axPos val="b"/>
        <c:numFmt formatCode="General" sourceLinked="1"/>
        <c:majorTickMark val="out"/>
        <c:minorTickMark val="none"/>
        <c:tickLblPos val="low"/>
        <c:txPr>
          <a:bodyPr/>
          <a:lstStyle/>
          <a:p>
            <a:pPr>
              <a:defRPr sz="800">
                <a:latin typeface="Arial" pitchFamily="34" charset="0"/>
                <a:cs typeface="Arial" pitchFamily="34" charset="0"/>
              </a:defRPr>
            </a:pPr>
            <a:endParaRPr lang="cs-CZ"/>
          </a:p>
        </c:txPr>
        <c:crossAx val="112769664"/>
        <c:crosses val="autoZero"/>
        <c:auto val="1"/>
        <c:lblAlgn val="ctr"/>
        <c:lblOffset val="0"/>
        <c:noMultiLvlLbl val="0"/>
      </c:catAx>
      <c:valAx>
        <c:axId val="112769664"/>
        <c:scaling>
          <c:orientation val="minMax"/>
          <c:max val="25"/>
          <c:min val="-10"/>
        </c:scaling>
        <c:delete val="0"/>
        <c:axPos val="l"/>
        <c:majorGridlines>
          <c:spPr>
            <a:ln>
              <a:solidFill>
                <a:srgbClr val="BEBEBE"/>
              </a:solidFill>
            </a:ln>
          </c:spPr>
        </c:majorGridlines>
        <c:title>
          <c:tx>
            <c:rich>
              <a:bodyPr/>
              <a:lstStyle/>
              <a:p>
                <a:pPr>
                  <a:defRPr sz="700" b="0" i="1">
                    <a:latin typeface="Arial" panose="020B0604020202020204" pitchFamily="34" charset="0"/>
                    <a:cs typeface="Arial" panose="020B0604020202020204" pitchFamily="34" charset="0"/>
                  </a:defRPr>
                </a:pPr>
                <a:r>
                  <a:rPr lang="cs-CZ" sz="700" b="0" i="1">
                    <a:latin typeface="Arial" panose="020B0604020202020204" pitchFamily="34" charset="0"/>
                    <a:cs typeface="Arial" panose="020B0604020202020204" pitchFamily="34" charset="0"/>
                  </a:rPr>
                  <a:t>Stavební produkce</a:t>
                </a:r>
              </a:p>
            </c:rich>
          </c:tx>
          <c:overlay val="0"/>
        </c:title>
        <c:numFmt formatCode="0" sourceLinked="0"/>
        <c:majorTickMark val="out"/>
        <c:minorTickMark val="none"/>
        <c:tickLblPos val="nextTo"/>
        <c:txPr>
          <a:bodyPr/>
          <a:lstStyle/>
          <a:p>
            <a:pPr>
              <a:defRPr sz="800">
                <a:latin typeface="Arial" pitchFamily="34" charset="0"/>
                <a:cs typeface="Arial" pitchFamily="34" charset="0"/>
              </a:defRPr>
            </a:pPr>
            <a:endParaRPr lang="cs-CZ"/>
          </a:p>
        </c:txPr>
        <c:crossAx val="112768128"/>
        <c:crosses val="autoZero"/>
        <c:crossBetween val="between"/>
        <c:majorUnit val="5"/>
      </c:valAx>
      <c:valAx>
        <c:axId val="1118080463"/>
        <c:scaling>
          <c:orientation val="minMax"/>
          <c:max val="40"/>
          <c:min val="-100"/>
        </c:scaling>
        <c:delete val="0"/>
        <c:axPos val="r"/>
        <c:title>
          <c:tx>
            <c:rich>
              <a:bodyPr/>
              <a:lstStyle/>
              <a:p>
                <a:pPr>
                  <a:defRPr sz="700" b="0" i="1">
                    <a:latin typeface="Arial" panose="020B0604020202020204" pitchFamily="34" charset="0"/>
                    <a:cs typeface="Arial" panose="020B0604020202020204" pitchFamily="34" charset="0"/>
                  </a:defRPr>
                </a:pPr>
                <a:r>
                  <a:rPr lang="cs-CZ" sz="700" b="0" i="1" u="none" strike="noStrike" kern="1200" baseline="0">
                    <a:solidFill>
                      <a:sysClr val="windowText" lastClr="000000"/>
                    </a:solidFill>
                    <a:latin typeface="Arial" panose="020B0604020202020204" pitchFamily="34" charset="0"/>
                    <a:cs typeface="Arial" panose="020B0604020202020204" pitchFamily="34" charset="0"/>
                  </a:rPr>
                  <a:t>Zakázky, s</a:t>
                </a:r>
                <a:r>
                  <a:rPr lang="cs-CZ" sz="700" b="0" i="1">
                    <a:latin typeface="Arial" panose="020B0604020202020204" pitchFamily="34" charset="0"/>
                    <a:cs typeface="Arial" panose="020B0604020202020204" pitchFamily="34" charset="0"/>
                  </a:rPr>
                  <a:t>aldo důvěry</a:t>
                </a:r>
              </a:p>
            </c:rich>
          </c:tx>
          <c:overlay val="0"/>
        </c:title>
        <c:numFmt formatCode="0" sourceLinked="0"/>
        <c:majorTickMark val="out"/>
        <c:minorTickMark val="none"/>
        <c:tickLblPos val="nextTo"/>
        <c:txPr>
          <a:bodyPr/>
          <a:lstStyle/>
          <a:p>
            <a:pPr>
              <a:defRPr sz="800">
                <a:latin typeface="Arial" panose="020B0604020202020204" pitchFamily="34" charset="0"/>
                <a:cs typeface="Arial" panose="020B0604020202020204" pitchFamily="34" charset="0"/>
              </a:defRPr>
            </a:pPr>
            <a:endParaRPr lang="cs-CZ"/>
          </a:p>
        </c:txPr>
        <c:crossAx val="1118074639"/>
        <c:crosses val="max"/>
        <c:crossBetween val="between"/>
        <c:majorUnit val="20"/>
      </c:valAx>
      <c:catAx>
        <c:axId val="1118074639"/>
        <c:scaling>
          <c:orientation val="minMax"/>
        </c:scaling>
        <c:delete val="1"/>
        <c:axPos val="b"/>
        <c:numFmt formatCode="General" sourceLinked="1"/>
        <c:majorTickMark val="out"/>
        <c:minorTickMark val="none"/>
        <c:tickLblPos val="nextTo"/>
        <c:crossAx val="1118080463"/>
        <c:crosses val="autoZero"/>
        <c:auto val="1"/>
        <c:lblAlgn val="ctr"/>
        <c:lblOffset val="100"/>
        <c:noMultiLvlLbl val="0"/>
      </c:catAx>
      <c:spPr>
        <a:noFill/>
        <a:ln w="6350">
          <a:solidFill>
            <a:prstClr val="black">
              <a:lumMod val="95000"/>
              <a:lumOff val="5000"/>
            </a:prstClr>
          </a:solidFill>
        </a:ln>
      </c:spPr>
    </c:plotArea>
    <c:legend>
      <c:legendPos val="r"/>
      <c:layout>
        <c:manualLayout>
          <c:xMode val="edge"/>
          <c:yMode val="edge"/>
          <c:x val="6.9689830437861935E-2"/>
          <c:y val="0.87030042400171759"/>
          <c:w val="0.89592230971128606"/>
          <c:h val="0.11928626377558324"/>
        </c:manualLayout>
      </c:layout>
      <c:overlay val="0"/>
      <c:spPr>
        <a:ln w="6350">
          <a:solidFill>
            <a:prstClr val="black">
              <a:lumMod val="95000"/>
              <a:lumOff val="5000"/>
            </a:prstClr>
          </a:solidFill>
        </a:ln>
      </c:spPr>
      <c:txPr>
        <a:bodyPr/>
        <a:lstStyle/>
        <a:p>
          <a:pPr>
            <a:defRPr sz="750">
              <a:latin typeface="Arial" pitchFamily="34" charset="0"/>
              <a:cs typeface="Arial" pitchFamily="34" charset="0"/>
            </a:defRPr>
          </a:pPr>
          <a:endParaRPr lang="cs-CZ"/>
        </a:p>
      </c:txPr>
    </c:legend>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1103461956681463E-2"/>
          <c:y val="1.6079035728293573E-2"/>
          <c:w val="0.85232138637098975"/>
          <c:h val="0.74333452737491468"/>
        </c:manualLayout>
      </c:layout>
      <c:barChart>
        <c:barDir val="col"/>
        <c:grouping val="stacked"/>
        <c:varyColors val="0"/>
        <c:ser>
          <c:idx val="1"/>
          <c:order val="1"/>
          <c:tx>
            <c:strRef>
              <c:f>'Služby-příspěvky k růstu-4'!$D$33</c:f>
              <c:strCache>
                <c:ptCount val="1"/>
                <c:pt idx="0">
                  <c:v>Doprava a skladování</c:v>
                </c:pt>
              </c:strCache>
            </c:strRef>
          </c:tx>
          <c:spPr>
            <a:solidFill>
              <a:srgbClr val="85BF5E"/>
            </a:solidFill>
            <a:ln>
              <a:noFill/>
            </a:ln>
          </c:spPr>
          <c:invertIfNegative val="0"/>
          <c:cat>
            <c:multiLvlStrRef>
              <c:f>'Služby-příspěvky k růstu-4'!$A$70:$B$92</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'Služby-příspěvky k růstu-4'!$D$70:$D$92</c:f>
              <c:numCache>
                <c:formatCode>0.0</c:formatCode>
                <c:ptCount val="23"/>
                <c:pt idx="0">
                  <c:v>0.339424474017815</c:v>
                </c:pt>
                <c:pt idx="1">
                  <c:v>6.4769797031497607</c:v>
                </c:pt>
                <c:pt idx="2">
                  <c:v>3.6889628511037609</c:v>
                </c:pt>
                <c:pt idx="3">
                  <c:v>3.3165927698599269</c:v>
                </c:pt>
                <c:pt idx="4">
                  <c:v>3.9470600999621772</c:v>
                </c:pt>
                <c:pt idx="5">
                  <c:v>4.0149179535188493</c:v>
                </c:pt>
                <c:pt idx="6">
                  <c:v>3.2325096024643996</c:v>
                </c:pt>
                <c:pt idx="7">
                  <c:v>0.69379105004502784</c:v>
                </c:pt>
                <c:pt idx="8">
                  <c:v>-1.2161396930190405</c:v>
                </c:pt>
                <c:pt idx="9">
                  <c:v>-3.0939854937459703</c:v>
                </c:pt>
                <c:pt idx="10">
                  <c:v>-3.4666853638300101</c:v>
                </c:pt>
                <c:pt idx="11">
                  <c:v>-2.6087324525460365</c:v>
                </c:pt>
                <c:pt idx="12">
                  <c:v>0.22215379874635741</c:v>
                </c:pt>
                <c:pt idx="13">
                  <c:v>1.1334584885357104</c:v>
                </c:pt>
                <c:pt idx="14">
                  <c:v>1.5974384509373598</c:v>
                </c:pt>
                <c:pt idx="15">
                  <c:v>1.3973357604610437</c:v>
                </c:pt>
                <c:pt idx="16">
                  <c:v>0.80325056787954308</c:v>
                </c:pt>
                <c:pt idx="17">
                  <c:v>0.54015078832255659</c:v>
                </c:pt>
                <c:pt idx="18" formatCode="##0.0">
                  <c:v>-0.18721090556233616</c:v>
                </c:pt>
                <c:pt idx="19" formatCode="##0.0">
                  <c:v>0.33254686563740377</c:v>
                </c:pt>
                <c:pt idx="20" formatCode="##0.00">
                  <c:v>0.28811224359021398</c:v>
                </c:pt>
                <c:pt idx="21" formatCode="##0.0">
                  <c:v>1.007754550533426</c:v>
                </c:pt>
              </c:numCache>
            </c:numRef>
          </c:val>
          <c:extLst>
            <c:ext xmlns:c16="http://schemas.microsoft.com/office/drawing/2014/chart" uri="{C3380CC4-5D6E-409C-BE32-E72D297353CC}">
              <c16:uniqueId val="{00000000-4C6A-472C-ACF6-B1CFC8705DA2}"/>
            </c:ext>
          </c:extLst>
        </c:ser>
        <c:ser>
          <c:idx val="2"/>
          <c:order val="2"/>
          <c:tx>
            <c:strRef>
              <c:f>'Služby-příspěvky k růstu-4'!$E$33</c:f>
              <c:strCache>
                <c:ptCount val="1"/>
                <c:pt idx="0">
                  <c:v>Ubytování, stravování a pohostinství</c:v>
                </c:pt>
              </c:strCache>
            </c:strRef>
          </c:tx>
          <c:spPr>
            <a:solidFill>
              <a:srgbClr val="C3DDAC"/>
            </a:solidFill>
            <a:ln>
              <a:noFill/>
            </a:ln>
          </c:spPr>
          <c:invertIfNegative val="0"/>
          <c:cat>
            <c:multiLvlStrRef>
              <c:f>'Služby-příspěvky k růstu-4'!$A$70:$B$92</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'Služby-příspěvky k růstu-4'!$E$70:$E$92</c:f>
              <c:numCache>
                <c:formatCode>0.0</c:formatCode>
                <c:ptCount val="23"/>
                <c:pt idx="0">
                  <c:v>-3.6481810348244856</c:v>
                </c:pt>
                <c:pt idx="1">
                  <c:v>1.4037988406202084</c:v>
                </c:pt>
                <c:pt idx="2">
                  <c:v>0.65953594741947219</c:v>
                </c:pt>
                <c:pt idx="3">
                  <c:v>2.895453687502811</c:v>
                </c:pt>
                <c:pt idx="4">
                  <c:v>2.8324438712139846</c:v>
                </c:pt>
                <c:pt idx="5">
                  <c:v>2.4351384435535226</c:v>
                </c:pt>
                <c:pt idx="6">
                  <c:v>-0.45786033686732791</c:v>
                </c:pt>
                <c:pt idx="7">
                  <c:v>0.56712079637132995</c:v>
                </c:pt>
                <c:pt idx="8">
                  <c:v>0.4723075875012247</c:v>
                </c:pt>
                <c:pt idx="9">
                  <c:v>-2.9299883973641278E-2</c:v>
                </c:pt>
                <c:pt idx="10">
                  <c:v>0.13053617447369642</c:v>
                </c:pt>
                <c:pt idx="11">
                  <c:v>7.6420413212893251E-2</c:v>
                </c:pt>
                <c:pt idx="12">
                  <c:v>0.20145632085284665</c:v>
                </c:pt>
                <c:pt idx="13">
                  <c:v>0.17229933870263658</c:v>
                </c:pt>
                <c:pt idx="14" formatCode="0.00">
                  <c:v>-0.15247052022392038</c:v>
                </c:pt>
                <c:pt idx="15">
                  <c:v>-2.0658054410665041E-3</c:v>
                </c:pt>
                <c:pt idx="16">
                  <c:v>-7.2379808866863612E-2</c:v>
                </c:pt>
                <c:pt idx="17">
                  <c:v>0.18602301571860602</c:v>
                </c:pt>
                <c:pt idx="18" formatCode="##0.0">
                  <c:v>9.6409614713450983E-2</c:v>
                </c:pt>
                <c:pt idx="19" formatCode="##0.0">
                  <c:v>0.10549799268773981</c:v>
                </c:pt>
                <c:pt idx="20" formatCode="##0.00">
                  <c:v>5.9168888885642743E-2</c:v>
                </c:pt>
                <c:pt idx="21" formatCode="##0.0">
                  <c:v>1.5701139825883326E-2</c:v>
                </c:pt>
              </c:numCache>
            </c:numRef>
          </c:val>
          <c:extLst>
            <c:ext xmlns:c16="http://schemas.microsoft.com/office/drawing/2014/chart" uri="{C3380CC4-5D6E-409C-BE32-E72D297353CC}">
              <c16:uniqueId val="{00000001-4C6A-472C-ACF6-B1CFC8705DA2}"/>
            </c:ext>
          </c:extLst>
        </c:ser>
        <c:ser>
          <c:idx val="3"/>
          <c:order val="3"/>
          <c:tx>
            <c:strRef>
              <c:f>'Služby-příspěvky k růstu-4'!$F$33</c:f>
              <c:strCache>
                <c:ptCount val="1"/>
                <c:pt idx="0">
                  <c:v>Informační a komunikační činnosti</c:v>
                </c:pt>
              </c:strCache>
            </c:strRef>
          </c:tx>
          <c:spPr>
            <a:solidFill>
              <a:srgbClr val="9FC9D7"/>
            </a:solidFill>
            <a:ln w="9525">
              <a:noFill/>
              <a:prstDash val="sysDot"/>
            </a:ln>
          </c:spPr>
          <c:invertIfNegative val="0"/>
          <c:cat>
            <c:multiLvlStrRef>
              <c:f>'Služby-příspěvky k růstu-4'!$A$70:$B$92</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'Služby-příspěvky k růstu-4'!$F$70:$F$92</c:f>
              <c:numCache>
                <c:formatCode>0.0</c:formatCode>
                <c:ptCount val="23"/>
                <c:pt idx="0">
                  <c:v>0.7988501443406586</c:v>
                </c:pt>
                <c:pt idx="1">
                  <c:v>1.7181750258280606</c:v>
                </c:pt>
                <c:pt idx="2">
                  <c:v>1.7378716382378383</c:v>
                </c:pt>
                <c:pt idx="3">
                  <c:v>2.1146664892810083</c:v>
                </c:pt>
                <c:pt idx="4">
                  <c:v>1.7486967131569446</c:v>
                </c:pt>
                <c:pt idx="5">
                  <c:v>0.98429447082323185</c:v>
                </c:pt>
                <c:pt idx="6">
                  <c:v>0.77312161208373731</c:v>
                </c:pt>
                <c:pt idx="7">
                  <c:v>0.37849138255379744</c:v>
                </c:pt>
                <c:pt idx="8">
                  <c:v>0.58328729987999939</c:v>
                </c:pt>
                <c:pt idx="9">
                  <c:v>-7.5730778386939148E-3</c:v>
                </c:pt>
                <c:pt idx="10">
                  <c:v>-0.79323887005342941</c:v>
                </c:pt>
                <c:pt idx="11">
                  <c:v>-0.79223292270674051</c:v>
                </c:pt>
                <c:pt idx="12">
                  <c:v>0.10170859512000795</c:v>
                </c:pt>
                <c:pt idx="13">
                  <c:v>0.47948732516812043</c:v>
                </c:pt>
                <c:pt idx="14">
                  <c:v>0.84486717556551161</c:v>
                </c:pt>
                <c:pt idx="15">
                  <c:v>0.51262848620882862</c:v>
                </c:pt>
                <c:pt idx="16">
                  <c:v>0.98600582961254812</c:v>
                </c:pt>
                <c:pt idx="17">
                  <c:v>0.74167636187881258</c:v>
                </c:pt>
                <c:pt idx="18" formatCode="##0.0">
                  <c:v>0.1147257241443904</c:v>
                </c:pt>
                <c:pt idx="19" formatCode="##0.0">
                  <c:v>0.67839818243854277</c:v>
                </c:pt>
                <c:pt idx="20" formatCode="##0.00">
                  <c:v>0.57150016256675851</c:v>
                </c:pt>
                <c:pt idx="21" formatCode="##0.0">
                  <c:v>0.30261297593303971</c:v>
                </c:pt>
              </c:numCache>
            </c:numRef>
          </c:val>
          <c:extLst>
            <c:ext xmlns:c16="http://schemas.microsoft.com/office/drawing/2014/chart" uri="{C3380CC4-5D6E-409C-BE32-E72D297353CC}">
              <c16:uniqueId val="{00000002-4C6A-472C-ACF6-B1CFC8705DA2}"/>
            </c:ext>
          </c:extLst>
        </c:ser>
        <c:ser>
          <c:idx val="4"/>
          <c:order val="4"/>
          <c:tx>
            <c:strRef>
              <c:f>'Služby-příspěvky k růstu-4'!$G$33</c:f>
              <c:strCache>
                <c:ptCount val="1"/>
                <c:pt idx="0">
                  <c:v>Činnosti v oblasti nemovitostí</c:v>
                </c:pt>
              </c:strCache>
            </c:strRef>
          </c:tx>
          <c:spPr>
            <a:solidFill>
              <a:srgbClr val="8390A7"/>
            </a:solidFill>
            <a:ln w="15875">
              <a:noFill/>
              <a:prstDash val="solid"/>
            </a:ln>
          </c:spPr>
          <c:invertIfNegative val="0"/>
          <c:cat>
            <c:multiLvlStrRef>
              <c:f>'Služby-příspěvky k růstu-4'!$A$70:$B$92</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'Služby-příspěvky k růstu-4'!$G$70:$G$92</c:f>
              <c:numCache>
                <c:formatCode>0.0</c:formatCode>
                <c:ptCount val="23"/>
                <c:pt idx="0">
                  <c:v>-0.21094775963960005</c:v>
                </c:pt>
                <c:pt idx="1">
                  <c:v>0.51155875534620054</c:v>
                </c:pt>
                <c:pt idx="2">
                  <c:v>-2.3689723896500255E-2</c:v>
                </c:pt>
                <c:pt idx="3">
                  <c:v>0.25599910697759964</c:v>
                </c:pt>
                <c:pt idx="4">
                  <c:v>0.96345448971199943</c:v>
                </c:pt>
                <c:pt idx="5">
                  <c:v>0.47159042328799955</c:v>
                </c:pt>
                <c:pt idx="6">
                  <c:v>0.2185622188815784</c:v>
                </c:pt>
                <c:pt idx="7">
                  <c:v>0.33309446355833333</c:v>
                </c:pt>
                <c:pt idx="8">
                  <c:v>0.16012954609680044</c:v>
                </c:pt>
                <c:pt idx="9">
                  <c:v>-0.18624032886239958</c:v>
                </c:pt>
                <c:pt idx="10">
                  <c:v>-0.27795457738857821</c:v>
                </c:pt>
                <c:pt idx="11">
                  <c:v>-0.2089599685726716</c:v>
                </c:pt>
                <c:pt idx="12">
                  <c:v>-0.20651327563660776</c:v>
                </c:pt>
                <c:pt idx="13">
                  <c:v>0.27793895598753937</c:v>
                </c:pt>
                <c:pt idx="14">
                  <c:v>-0.11784164354918217</c:v>
                </c:pt>
                <c:pt idx="15">
                  <c:v>-4.2577128381585134E-3</c:v>
                </c:pt>
                <c:pt idx="16">
                  <c:v>0.24983684273778797</c:v>
                </c:pt>
                <c:pt idx="17">
                  <c:v>-3.5129585766133953E-2</c:v>
                </c:pt>
                <c:pt idx="18" formatCode="##0.00">
                  <c:v>7.2348490771794213E-2</c:v>
                </c:pt>
                <c:pt idx="19" formatCode="##0.00">
                  <c:v>-2.6007249512033318E-3</c:v>
                </c:pt>
                <c:pt idx="20" formatCode="##0.00">
                  <c:v>0.10846010076821222</c:v>
                </c:pt>
                <c:pt idx="21" formatCode="##0.00">
                  <c:v>-4.1973790651377595E-2</c:v>
                </c:pt>
              </c:numCache>
            </c:numRef>
          </c:val>
          <c:extLst>
            <c:ext xmlns:c16="http://schemas.microsoft.com/office/drawing/2014/chart" uri="{C3380CC4-5D6E-409C-BE32-E72D297353CC}">
              <c16:uniqueId val="{00000003-4C6A-472C-ACF6-B1CFC8705DA2}"/>
            </c:ext>
          </c:extLst>
        </c:ser>
        <c:ser>
          <c:idx val="5"/>
          <c:order val="5"/>
          <c:tx>
            <c:strRef>
              <c:f>'Služby-příspěvky k růstu-4'!$H$33</c:f>
              <c:strCache>
                <c:ptCount val="1"/>
                <c:pt idx="0">
                  <c:v>Profesní, vědecké a technické čin.</c:v>
                </c:pt>
              </c:strCache>
            </c:strRef>
          </c:tx>
          <c:spPr>
            <a:solidFill>
              <a:srgbClr val="D8A7B7"/>
            </a:solidFill>
            <a:ln w="15875">
              <a:noFill/>
              <a:prstDash val="sysDash"/>
            </a:ln>
          </c:spPr>
          <c:invertIfNegative val="0"/>
          <c:cat>
            <c:multiLvlStrRef>
              <c:f>'Služby-příspěvky k růstu-4'!$A$70:$B$92</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'Služby-příspěvky k růstu-4'!$H$70:$H$92</c:f>
              <c:numCache>
                <c:formatCode>0.0</c:formatCode>
                <c:ptCount val="23"/>
                <c:pt idx="0">
                  <c:v>-1.7950376935096992</c:v>
                </c:pt>
                <c:pt idx="1">
                  <c:v>2.6109436485369422</c:v>
                </c:pt>
                <c:pt idx="2">
                  <c:v>1.7658640715104823</c:v>
                </c:pt>
                <c:pt idx="3">
                  <c:v>2.2127999066374913</c:v>
                </c:pt>
                <c:pt idx="4">
                  <c:v>2.2724371059363357</c:v>
                </c:pt>
                <c:pt idx="5">
                  <c:v>1.3852889410778095</c:v>
                </c:pt>
                <c:pt idx="6">
                  <c:v>0.99380318082145103</c:v>
                </c:pt>
                <c:pt idx="7">
                  <c:v>0.14402260783636861</c:v>
                </c:pt>
                <c:pt idx="8">
                  <c:v>0.81830585604138473</c:v>
                </c:pt>
                <c:pt idx="9">
                  <c:v>0.82445770430622045</c:v>
                </c:pt>
                <c:pt idx="10">
                  <c:v>0.13034479111537206</c:v>
                </c:pt>
                <c:pt idx="11">
                  <c:v>0.83926985282434741</c:v>
                </c:pt>
                <c:pt idx="12">
                  <c:v>0.47900305251715447</c:v>
                </c:pt>
                <c:pt idx="13">
                  <c:v>0.6811209478493595</c:v>
                </c:pt>
                <c:pt idx="14">
                  <c:v>0.26171925847671451</c:v>
                </c:pt>
                <c:pt idx="15">
                  <c:v>5.2664778577602829E-2</c:v>
                </c:pt>
                <c:pt idx="16">
                  <c:v>1.1345609464854818</c:v>
                </c:pt>
                <c:pt idx="17">
                  <c:v>0.7856538852501882</c:v>
                </c:pt>
                <c:pt idx="18" formatCode="##0.0">
                  <c:v>0.42580499337647543</c:v>
                </c:pt>
                <c:pt idx="19" formatCode="##0.0">
                  <c:v>0.81694680701116895</c:v>
                </c:pt>
                <c:pt idx="20" formatCode="##0.00">
                  <c:v>1.0962359844946965</c:v>
                </c:pt>
                <c:pt idx="21" formatCode="##0.00">
                  <c:v>1.5977164564734303</c:v>
                </c:pt>
              </c:numCache>
            </c:numRef>
          </c:val>
          <c:extLst>
            <c:ext xmlns:c16="http://schemas.microsoft.com/office/drawing/2014/chart" uri="{C3380CC4-5D6E-409C-BE32-E72D297353CC}">
              <c16:uniqueId val="{00000004-4C6A-472C-ACF6-B1CFC8705DA2}"/>
            </c:ext>
          </c:extLst>
        </c:ser>
        <c:ser>
          <c:idx val="6"/>
          <c:order val="6"/>
          <c:tx>
            <c:strRef>
              <c:f>'Služby-příspěvky k růstu-4'!$I$33</c:f>
              <c:strCache>
                <c:ptCount val="1"/>
                <c:pt idx="0">
                  <c:v>Administrativní a podpůrné činnosti</c:v>
                </c:pt>
              </c:strCache>
            </c:strRef>
          </c:tx>
          <c:spPr>
            <a:solidFill>
              <a:srgbClr val="BC5B80"/>
            </a:solidFill>
            <a:ln w="15875">
              <a:noFill/>
              <a:prstDash val="dash"/>
            </a:ln>
          </c:spPr>
          <c:invertIfNegative val="0"/>
          <c:cat>
            <c:multiLvlStrRef>
              <c:f>'Služby-příspěvky k růstu-4'!$A$70:$B$92</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'Služby-příspěvky k růstu-4'!$I$70:$I$92</c:f>
              <c:numCache>
                <c:formatCode>0.0</c:formatCode>
                <c:ptCount val="23"/>
                <c:pt idx="0">
                  <c:v>-1.4358217562142097</c:v>
                </c:pt>
                <c:pt idx="1">
                  <c:v>2.2464230275243353</c:v>
                </c:pt>
                <c:pt idx="2">
                  <c:v>2.1186703809511758</c:v>
                </c:pt>
                <c:pt idx="3">
                  <c:v>1.4303808425259847</c:v>
                </c:pt>
                <c:pt idx="4">
                  <c:v>1.7130286439903932</c:v>
                </c:pt>
                <c:pt idx="5">
                  <c:v>3.1134189678455448</c:v>
                </c:pt>
                <c:pt idx="6">
                  <c:v>2.2147457278098601</c:v>
                </c:pt>
                <c:pt idx="7">
                  <c:v>0.75981525938647765</c:v>
                </c:pt>
                <c:pt idx="8">
                  <c:v>0.44351110190196352</c:v>
                </c:pt>
                <c:pt idx="9">
                  <c:v>0.17445700794147556</c:v>
                </c:pt>
                <c:pt idx="10">
                  <c:v>-0.14076488780736343</c:v>
                </c:pt>
                <c:pt idx="11">
                  <c:v>-4.4118459768652668E-2</c:v>
                </c:pt>
                <c:pt idx="12">
                  <c:v>0.38907387149663825</c:v>
                </c:pt>
                <c:pt idx="13">
                  <c:v>0.14119431179866418</c:v>
                </c:pt>
                <c:pt idx="14">
                  <c:v>0.42156883926372257</c:v>
                </c:pt>
                <c:pt idx="15">
                  <c:v>0.1753380195098404</c:v>
                </c:pt>
                <c:pt idx="16">
                  <c:v>0.20110493372888275</c:v>
                </c:pt>
                <c:pt idx="17">
                  <c:v>-6.0928454451434383E-2</c:v>
                </c:pt>
                <c:pt idx="18" formatCode="##0.0">
                  <c:v>-0.29813668231958129</c:v>
                </c:pt>
                <c:pt idx="19" formatCode="##0.0">
                  <c:v>0.21794576654740916</c:v>
                </c:pt>
                <c:pt idx="20" formatCode="##0.00">
                  <c:v>0.19235653309962822</c:v>
                </c:pt>
                <c:pt idx="21" formatCode="##0.00">
                  <c:v>-1.3074840033455808E-2</c:v>
                </c:pt>
              </c:numCache>
            </c:numRef>
          </c:val>
          <c:extLst>
            <c:ext xmlns:c16="http://schemas.microsoft.com/office/drawing/2014/chart" uri="{C3380CC4-5D6E-409C-BE32-E72D297353CC}">
              <c16:uniqueId val="{00000005-4C6A-472C-ACF6-B1CFC8705DA2}"/>
            </c:ext>
          </c:extLst>
        </c:ser>
        <c:dLbls>
          <c:showLegendKey val="0"/>
          <c:showVal val="0"/>
          <c:showCatName val="0"/>
          <c:showSerName val="0"/>
          <c:showPercent val="0"/>
          <c:showBubbleSize val="0"/>
        </c:dLbls>
        <c:gapWidth val="30"/>
        <c:overlap val="100"/>
        <c:axId val="112768128"/>
        <c:axId val="112769664"/>
      </c:barChart>
      <c:lineChart>
        <c:grouping val="standard"/>
        <c:varyColors val="0"/>
        <c:ser>
          <c:idx val="0"/>
          <c:order val="0"/>
          <c:tx>
            <c:strRef>
              <c:f>'Služby-příspěvky k růstu-4'!$C$33</c:f>
              <c:strCache>
                <c:ptCount val="1"/>
                <c:pt idx="0">
                  <c:v>Služby celkem (meziroční růst v %)</c:v>
                </c:pt>
              </c:strCache>
            </c:strRef>
          </c:tx>
          <c:spPr>
            <a:ln>
              <a:noFill/>
            </a:ln>
          </c:spPr>
          <c:marker>
            <c:symbol val="circle"/>
            <c:size val="5"/>
            <c:spPr>
              <a:solidFill>
                <a:schemeClr val="bg1"/>
              </a:solidFill>
              <a:ln>
                <a:solidFill>
                  <a:schemeClr val="bg2">
                    <a:lumMod val="25000"/>
                  </a:schemeClr>
                </a:solidFill>
              </a:ln>
            </c:spPr>
          </c:marker>
          <c:cat>
            <c:multiLvlStrRef>
              <c:f>'Služby-příspěvky k růstu-4'!$A$70:$B$92</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'Služby-příspěvky k růstu-4'!$C$70:$C$92</c:f>
              <c:numCache>
                <c:formatCode>##0.0</c:formatCode>
                <c:ptCount val="23"/>
                <c:pt idx="0">
                  <c:v>-6.4132536481999978</c:v>
                </c:pt>
                <c:pt idx="1">
                  <c:v>14.467562655400002</c:v>
                </c:pt>
                <c:pt idx="2">
                  <c:v>9.8320905563000025</c:v>
                </c:pt>
                <c:pt idx="3">
                  <c:v>12.455555082499998</c:v>
                </c:pt>
                <c:pt idx="4">
                  <c:v>13.606929218800005</c:v>
                </c:pt>
                <c:pt idx="5">
                  <c:v>12.572544585499998</c:v>
                </c:pt>
                <c:pt idx="6">
                  <c:v>6.879013124599993</c:v>
                </c:pt>
                <c:pt idx="7">
                  <c:v>3.1298011397999943</c:v>
                </c:pt>
                <c:pt idx="8">
                  <c:v>1.6153658048000068</c:v>
                </c:pt>
                <c:pt idx="9">
                  <c:v>-1.6536002934000038</c:v>
                </c:pt>
                <c:pt idx="10">
                  <c:v>-3.8563340338999978</c:v>
                </c:pt>
                <c:pt idx="11">
                  <c:v>-2.1916659226999968</c:v>
                </c:pt>
                <c:pt idx="12">
                  <c:v>1.1705021491000025</c:v>
                </c:pt>
                <c:pt idx="13">
                  <c:v>2.8897127916000045</c:v>
                </c:pt>
                <c:pt idx="14">
                  <c:v>2.8739830930000068</c:v>
                </c:pt>
                <c:pt idx="15">
                  <c:v>2.1315290016000006</c:v>
                </c:pt>
                <c:pt idx="16">
                  <c:v>3.3033721543999945</c:v>
                </c:pt>
                <c:pt idx="17">
                  <c:v>2.1538382643999938</c:v>
                </c:pt>
                <c:pt idx="18">
                  <c:v>0.22968848959999377</c:v>
                </c:pt>
                <c:pt idx="19">
                  <c:v>2.1487386682999983</c:v>
                </c:pt>
                <c:pt idx="20">
                  <c:v>2.3158332446000003</c:v>
                </c:pt>
                <c:pt idx="21">
                  <c:v>2.8791146047590415</c:v>
                </c:pt>
              </c:numCache>
            </c:numRef>
          </c:val>
          <c:smooth val="0"/>
          <c:extLst>
            <c:ext xmlns:c16="http://schemas.microsoft.com/office/drawing/2014/chart" uri="{C3380CC4-5D6E-409C-BE32-E72D297353CC}">
              <c16:uniqueId val="{00000006-4C6A-472C-ACF6-B1CFC8705DA2}"/>
            </c:ext>
          </c:extLst>
        </c:ser>
        <c:dLbls>
          <c:showLegendKey val="0"/>
          <c:showVal val="0"/>
          <c:showCatName val="0"/>
          <c:showSerName val="0"/>
          <c:showPercent val="0"/>
          <c:showBubbleSize val="0"/>
        </c:dLbls>
        <c:marker val="1"/>
        <c:smooth val="0"/>
        <c:axId val="112768128"/>
        <c:axId val="112769664"/>
      </c:lineChart>
      <c:lineChart>
        <c:grouping val="standard"/>
        <c:varyColors val="0"/>
        <c:ser>
          <c:idx val="7"/>
          <c:order val="7"/>
          <c:tx>
            <c:strRef>
              <c:f>'Služby-příspěvky k růstu-4'!$J$33</c:f>
              <c:strCache>
                <c:ptCount val="1"/>
                <c:pt idx="0">
                  <c:v>Saldo indikátoru důvěry ve službách</c:v>
                </c:pt>
              </c:strCache>
            </c:strRef>
          </c:tx>
          <c:spPr>
            <a:ln w="15875">
              <a:solidFill>
                <a:srgbClr val="CC9610"/>
              </a:solidFill>
              <a:prstDash val="sysDot"/>
            </a:ln>
          </c:spPr>
          <c:marker>
            <c:symbol val="diamond"/>
            <c:size val="5"/>
            <c:spPr>
              <a:solidFill>
                <a:srgbClr val="E6C45B"/>
              </a:solidFill>
              <a:ln>
                <a:solidFill>
                  <a:srgbClr val="E6C45B"/>
                </a:solidFill>
              </a:ln>
            </c:spPr>
          </c:marker>
          <c:cat>
            <c:multiLvlStrRef>
              <c:f>'Služby-příspěvky k růstu-4'!$A$70:$B$92</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'Služby-příspěvky k růstu-4'!$J$70:$J$92</c:f>
              <c:numCache>
                <c:formatCode>#\ ##0.0</c:formatCode>
                <c:ptCount val="23"/>
                <c:pt idx="0">
                  <c:v>4.1000000000000005</c:v>
                </c:pt>
                <c:pt idx="1">
                  <c:v>21.233333333333334</c:v>
                </c:pt>
                <c:pt idx="2">
                  <c:v>26.233333333333334</c:v>
                </c:pt>
                <c:pt idx="3">
                  <c:v>27.133333333333336</c:v>
                </c:pt>
                <c:pt idx="4">
                  <c:v>30.666666666666668</c:v>
                </c:pt>
                <c:pt idx="5">
                  <c:v>36.699999999999996</c:v>
                </c:pt>
                <c:pt idx="6">
                  <c:v>26.566666666666666</c:v>
                </c:pt>
                <c:pt idx="7">
                  <c:v>21.533333333333331</c:v>
                </c:pt>
                <c:pt idx="8">
                  <c:v>23.099999999999998</c:v>
                </c:pt>
                <c:pt idx="9" formatCode="0.0">
                  <c:v>26</c:v>
                </c:pt>
                <c:pt idx="10" formatCode="0.0">
                  <c:v>23.366666666666664</c:v>
                </c:pt>
                <c:pt idx="11" formatCode="0.0">
                  <c:v>22.8</c:v>
                </c:pt>
                <c:pt idx="12" formatCode="0.0">
                  <c:v>23.2</c:v>
                </c:pt>
                <c:pt idx="13" formatCode="0.0">
                  <c:v>29.7</c:v>
                </c:pt>
                <c:pt idx="14" formatCode="0.0">
                  <c:v>25.766666666666666</c:v>
                </c:pt>
                <c:pt idx="15" formatCode="0.0">
                  <c:v>31.8</c:v>
                </c:pt>
                <c:pt idx="16" formatCode="0.0">
                  <c:v>32.1</c:v>
                </c:pt>
                <c:pt idx="17" formatCode="0.0">
                  <c:v>35.56666666666667</c:v>
                </c:pt>
                <c:pt idx="18" formatCode="0.0">
                  <c:v>37.43333333333333</c:v>
                </c:pt>
                <c:pt idx="19" formatCode="0.0">
                  <c:v>37.133333333333333</c:v>
                </c:pt>
                <c:pt idx="20" formatCode="0.0">
                  <c:v>33.199999999999996</c:v>
                </c:pt>
                <c:pt idx="21" formatCode="0.0">
                  <c:v>34.133333333333333</c:v>
                </c:pt>
                <c:pt idx="22" formatCode="0.0">
                  <c:v>33.85</c:v>
                </c:pt>
              </c:numCache>
            </c:numRef>
          </c:val>
          <c:smooth val="0"/>
          <c:extLst>
            <c:ext xmlns:c16="http://schemas.microsoft.com/office/drawing/2014/chart" uri="{C3380CC4-5D6E-409C-BE32-E72D297353CC}">
              <c16:uniqueId val="{00000007-4C6A-472C-ACF6-B1CFC8705DA2}"/>
            </c:ext>
          </c:extLst>
        </c:ser>
        <c:dLbls>
          <c:showLegendKey val="0"/>
          <c:showVal val="0"/>
          <c:showCatName val="0"/>
          <c:showSerName val="0"/>
          <c:showPercent val="0"/>
          <c:showBubbleSize val="0"/>
        </c:dLbls>
        <c:marker val="1"/>
        <c:smooth val="0"/>
        <c:axId val="1118074639"/>
        <c:axId val="1118080463"/>
      </c:lineChart>
      <c:catAx>
        <c:axId val="112768128"/>
        <c:scaling>
          <c:orientation val="minMax"/>
        </c:scaling>
        <c:delete val="0"/>
        <c:axPos val="b"/>
        <c:numFmt formatCode="General" sourceLinked="1"/>
        <c:majorTickMark val="out"/>
        <c:minorTickMark val="none"/>
        <c:tickLblPos val="low"/>
        <c:txPr>
          <a:bodyPr/>
          <a:lstStyle/>
          <a:p>
            <a:pPr>
              <a:defRPr sz="800">
                <a:latin typeface="Arial" pitchFamily="34" charset="0"/>
                <a:cs typeface="Arial" pitchFamily="34" charset="0"/>
              </a:defRPr>
            </a:pPr>
            <a:endParaRPr lang="cs-CZ"/>
          </a:p>
        </c:txPr>
        <c:crossAx val="112769664"/>
        <c:crosses val="autoZero"/>
        <c:auto val="1"/>
        <c:lblAlgn val="ctr"/>
        <c:lblOffset val="0"/>
        <c:noMultiLvlLbl val="0"/>
      </c:catAx>
      <c:valAx>
        <c:axId val="112769664"/>
        <c:scaling>
          <c:orientation val="minMax"/>
          <c:max val="16"/>
          <c:min val="-8"/>
        </c:scaling>
        <c:delete val="0"/>
        <c:axPos val="l"/>
        <c:majorGridlines>
          <c:spPr>
            <a:ln>
              <a:solidFill>
                <a:srgbClr val="BEBEBE"/>
              </a:solidFill>
            </a:ln>
          </c:spPr>
        </c:majorGridlines>
        <c:title>
          <c:tx>
            <c:rich>
              <a:bodyPr/>
              <a:lstStyle/>
              <a:p>
                <a:pPr marL="0" marR="0" lvl="0" indent="0" algn="ctr" defTabSz="914400" rtl="0" eaLnBrk="1" fontAlgn="auto" latinLnBrk="0" hangingPunct="1">
                  <a:lnSpc>
                    <a:spcPct val="100000"/>
                  </a:lnSpc>
                  <a:spcBef>
                    <a:spcPts val="0"/>
                  </a:spcBef>
                  <a:spcAft>
                    <a:spcPts val="0"/>
                  </a:spcAft>
                  <a:buClrTx/>
                  <a:buSzTx/>
                  <a:buFontTx/>
                  <a:buNone/>
                  <a:tabLst/>
                  <a:defRPr sz="700" b="0" i="1"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cs-CZ" sz="700" b="0" i="1" u="none" strike="noStrike" kern="1200" baseline="0">
                    <a:solidFill>
                      <a:sysClr val="windowText" lastClr="000000"/>
                    </a:solidFill>
                    <a:latin typeface="Arial" pitchFamily="34" charset="0"/>
                  </a:rPr>
                  <a:t>Tržby</a:t>
                </a:r>
              </a:p>
            </c:rich>
          </c:tx>
          <c:overlay val="0"/>
        </c:title>
        <c:numFmt formatCode="0" sourceLinked="0"/>
        <c:majorTickMark val="out"/>
        <c:minorTickMark val="none"/>
        <c:tickLblPos val="nextTo"/>
        <c:txPr>
          <a:bodyPr/>
          <a:lstStyle/>
          <a:p>
            <a:pPr>
              <a:defRPr sz="800">
                <a:latin typeface="Arial" pitchFamily="34" charset="0"/>
                <a:cs typeface="Arial" pitchFamily="34" charset="0"/>
              </a:defRPr>
            </a:pPr>
            <a:endParaRPr lang="cs-CZ"/>
          </a:p>
        </c:txPr>
        <c:crossAx val="112768128"/>
        <c:crosses val="autoZero"/>
        <c:crossBetween val="between"/>
        <c:majorUnit val="2"/>
      </c:valAx>
      <c:valAx>
        <c:axId val="1118080463"/>
        <c:scaling>
          <c:orientation val="minMax"/>
          <c:max val="90"/>
          <c:min val="-90"/>
        </c:scaling>
        <c:delete val="0"/>
        <c:axPos val="r"/>
        <c:title>
          <c:tx>
            <c:rich>
              <a:bodyPr/>
              <a:lstStyle/>
              <a:p>
                <a:pPr>
                  <a:defRPr sz="700" b="0" i="1">
                    <a:latin typeface="Arial" panose="020B0604020202020204" pitchFamily="34" charset="0"/>
                    <a:cs typeface="Arial" panose="020B0604020202020204" pitchFamily="34" charset="0"/>
                  </a:defRPr>
                </a:pPr>
                <a:r>
                  <a:rPr lang="cs-CZ" sz="700" b="0" i="1" u="none" strike="noStrike" kern="1200" baseline="0">
                    <a:solidFill>
                      <a:sysClr val="windowText" lastClr="000000"/>
                    </a:solidFill>
                    <a:effectLst/>
                    <a:latin typeface="Arial" pitchFamily="34" charset="0"/>
                  </a:rPr>
                  <a:t>S</a:t>
                </a:r>
                <a:r>
                  <a:rPr lang="cs-CZ" sz="700" b="0" i="1" u="none" strike="noStrike" kern="1200" baseline="0">
                    <a:solidFill>
                      <a:sysClr val="windowText" lastClr="000000"/>
                    </a:solidFill>
                    <a:latin typeface="Arial" pitchFamily="34" charset="0"/>
                  </a:rPr>
                  <a:t>aldo důvěry</a:t>
                </a:r>
              </a:p>
            </c:rich>
          </c:tx>
          <c:overlay val="0"/>
        </c:title>
        <c:numFmt formatCode="0" sourceLinked="0"/>
        <c:majorTickMark val="out"/>
        <c:minorTickMark val="none"/>
        <c:tickLblPos val="nextTo"/>
        <c:txPr>
          <a:bodyPr/>
          <a:lstStyle/>
          <a:p>
            <a:pPr>
              <a:defRPr sz="800">
                <a:latin typeface="Arial" panose="020B0604020202020204" pitchFamily="34" charset="0"/>
                <a:cs typeface="Arial" panose="020B0604020202020204" pitchFamily="34" charset="0"/>
              </a:defRPr>
            </a:pPr>
            <a:endParaRPr lang="cs-CZ"/>
          </a:p>
        </c:txPr>
        <c:crossAx val="1118074639"/>
        <c:crosses val="max"/>
        <c:crossBetween val="between"/>
        <c:majorUnit val="15"/>
      </c:valAx>
      <c:catAx>
        <c:axId val="1118074639"/>
        <c:scaling>
          <c:orientation val="minMax"/>
        </c:scaling>
        <c:delete val="1"/>
        <c:axPos val="b"/>
        <c:numFmt formatCode="General" sourceLinked="1"/>
        <c:majorTickMark val="out"/>
        <c:minorTickMark val="none"/>
        <c:tickLblPos val="nextTo"/>
        <c:crossAx val="1118080463"/>
        <c:crosses val="autoZero"/>
        <c:auto val="1"/>
        <c:lblAlgn val="ctr"/>
        <c:lblOffset val="100"/>
        <c:noMultiLvlLbl val="0"/>
      </c:catAx>
      <c:spPr>
        <a:noFill/>
        <a:ln w="6350">
          <a:solidFill>
            <a:prstClr val="black">
              <a:lumMod val="95000"/>
              <a:lumOff val="5000"/>
            </a:prstClr>
          </a:solidFill>
        </a:ln>
      </c:spPr>
    </c:plotArea>
    <c:legend>
      <c:legendPos val="r"/>
      <c:layout>
        <c:manualLayout>
          <c:xMode val="edge"/>
          <c:yMode val="edge"/>
          <c:x val="7.0001801900296201E-2"/>
          <c:y val="0.85963107523768045"/>
          <c:w val="0.84916191390155948"/>
          <c:h val="0.13343471350937136"/>
        </c:manualLayout>
      </c:layout>
      <c:overlay val="0"/>
      <c:spPr>
        <a:ln w="6350">
          <a:solidFill>
            <a:prstClr val="black">
              <a:lumMod val="95000"/>
              <a:lumOff val="5000"/>
            </a:prstClr>
          </a:solidFill>
        </a:ln>
      </c:spPr>
      <c:txPr>
        <a:bodyPr/>
        <a:lstStyle/>
        <a:p>
          <a:pPr>
            <a:defRPr sz="750">
              <a:latin typeface="Arial" pitchFamily="34" charset="0"/>
              <a:cs typeface="Arial" pitchFamily="34" charset="0"/>
            </a:defRPr>
          </a:pPr>
          <a:endParaRPr lang="cs-CZ"/>
        </a:p>
      </c:txPr>
    </c:legend>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461666861125732E-2"/>
          <c:y val="1.5803328678987455E-2"/>
          <c:w val="0.85878628700879256"/>
          <c:h val="0.72017726231386026"/>
        </c:manualLayout>
      </c:layout>
      <c:barChart>
        <c:barDir val="col"/>
        <c:grouping val="stacked"/>
        <c:varyColors val="0"/>
        <c:ser>
          <c:idx val="0"/>
          <c:order val="1"/>
          <c:tx>
            <c:strRef>
              <c:f>'výkonnost odvětví 5a'!$AE$94</c:f>
              <c:strCache>
                <c:ptCount val="1"/>
                <c:pt idx="0">
                  <c:v>Maloobchodní prodej PHM</c:v>
                </c:pt>
              </c:strCache>
            </c:strRef>
          </c:tx>
          <c:spPr>
            <a:solidFill>
              <a:srgbClr val="D8A7B7"/>
            </a:solidFill>
            <a:ln w="15875">
              <a:noFill/>
            </a:ln>
          </c:spPr>
          <c:invertIfNegative val="0"/>
          <c:cat>
            <c:multiLvlStrRef>
              <c:f>'výkonnost odvětví 5a'!$AB$95:$AC$117</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'výkonnost odvětví 5a'!$AE$95:$AE$117</c:f>
              <c:numCache>
                <c:formatCode>#\ ##0.0</c:formatCode>
                <c:ptCount val="23"/>
                <c:pt idx="0">
                  <c:v>-0.81633308384803649</c:v>
                </c:pt>
                <c:pt idx="1">
                  <c:v>1.0661245592829736</c:v>
                </c:pt>
                <c:pt idx="2">
                  <c:v>0.3708178364450001</c:v>
                </c:pt>
                <c:pt idx="3">
                  <c:v>0.92292154230298873</c:v>
                </c:pt>
                <c:pt idx="4">
                  <c:v>1.2419630506136443</c:v>
                </c:pt>
                <c:pt idx="5">
                  <c:v>-0.71067684522765739</c:v>
                </c:pt>
                <c:pt idx="6">
                  <c:v>-1.4491644290911438</c:v>
                </c:pt>
                <c:pt idx="7">
                  <c:v>-0.42995505381927168</c:v>
                </c:pt>
                <c:pt idx="8">
                  <c:v>9.5458675092153264E-2</c:v>
                </c:pt>
                <c:pt idx="9">
                  <c:v>1.0492722703411108</c:v>
                </c:pt>
                <c:pt idx="10">
                  <c:v>1.0264386851088958</c:v>
                </c:pt>
                <c:pt idx="11">
                  <c:v>0.21049074889666031</c:v>
                </c:pt>
                <c:pt idx="12">
                  <c:v>0.60481791909109861</c:v>
                </c:pt>
                <c:pt idx="13">
                  <c:v>0.24849103372461948</c:v>
                </c:pt>
                <c:pt idx="14">
                  <c:v>0.43089986377264855</c:v>
                </c:pt>
                <c:pt idx="15">
                  <c:v>1.0777096930205046</c:v>
                </c:pt>
                <c:pt idx="16">
                  <c:v>0.84754168746101166</c:v>
                </c:pt>
                <c:pt idx="17">
                  <c:v>1.4338258372744686</c:v>
                </c:pt>
                <c:pt idx="18">
                  <c:v>1.1260107270445603</c:v>
                </c:pt>
                <c:pt idx="19">
                  <c:v>0.51079691665369509</c:v>
                </c:pt>
                <c:pt idx="20">
                  <c:v>0.78439860155785146</c:v>
                </c:pt>
                <c:pt idx="21">
                  <c:v>-0.37834397088344307</c:v>
                </c:pt>
              </c:numCache>
            </c:numRef>
          </c:val>
          <c:extLst>
            <c:ext xmlns:c16="http://schemas.microsoft.com/office/drawing/2014/chart" uri="{C3380CC4-5D6E-409C-BE32-E72D297353CC}">
              <c16:uniqueId val="{00000000-6023-43F2-8AF8-6439AB18574D}"/>
            </c:ext>
          </c:extLst>
        </c:ser>
        <c:ser>
          <c:idx val="1"/>
          <c:order val="2"/>
          <c:tx>
            <c:strRef>
              <c:f>'výkonnost odvětví 5a'!$AF$94</c:f>
              <c:strCache>
                <c:ptCount val="1"/>
                <c:pt idx="0">
                  <c:v>Maloobchod s potravinami</c:v>
                </c:pt>
              </c:strCache>
            </c:strRef>
          </c:tx>
          <c:spPr>
            <a:solidFill>
              <a:srgbClr val="9FC9D7"/>
            </a:solidFill>
            <a:ln w="15875">
              <a:noFill/>
            </a:ln>
          </c:spPr>
          <c:invertIfNegative val="0"/>
          <c:cat>
            <c:multiLvlStrRef>
              <c:f>'výkonnost odvětví 5a'!$AB$95:$AC$117</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'výkonnost odvětví 5a'!$AF$95:$AF$117</c:f>
              <c:numCache>
                <c:formatCode>#\ ##0.0</c:formatCode>
                <c:ptCount val="23"/>
                <c:pt idx="0">
                  <c:v>-0.60800150069014991</c:v>
                </c:pt>
                <c:pt idx="1">
                  <c:v>0.49250944633700811</c:v>
                </c:pt>
                <c:pt idx="2">
                  <c:v>-0.28688609101343943</c:v>
                </c:pt>
                <c:pt idx="3">
                  <c:v>4.3800306137142479E-3</c:v>
                </c:pt>
                <c:pt idx="4">
                  <c:v>-6.4175842874484551E-2</c:v>
                </c:pt>
                <c:pt idx="5">
                  <c:v>-1.0911352734755946</c:v>
                </c:pt>
                <c:pt idx="6">
                  <c:v>-2.2916947244037824</c:v>
                </c:pt>
                <c:pt idx="7">
                  <c:v>-3.2405346948524247</c:v>
                </c:pt>
                <c:pt idx="8">
                  <c:v>-3.1003225513686483</c:v>
                </c:pt>
                <c:pt idx="9">
                  <c:v>-2.8643617620019293</c:v>
                </c:pt>
                <c:pt idx="10">
                  <c:v>-1.6895878324348372</c:v>
                </c:pt>
                <c:pt idx="11">
                  <c:v>-0.73810904871198657</c:v>
                </c:pt>
                <c:pt idx="12">
                  <c:v>0.86894606289846266</c:v>
                </c:pt>
                <c:pt idx="13">
                  <c:v>1.1051650678258578</c:v>
                </c:pt>
                <c:pt idx="14">
                  <c:v>0.8563953272815128</c:v>
                </c:pt>
                <c:pt idx="15">
                  <c:v>0.64937589110840233</c:v>
                </c:pt>
                <c:pt idx="16">
                  <c:v>0.26057701986251053</c:v>
                </c:pt>
                <c:pt idx="17">
                  <c:v>0.45745604123417072</c:v>
                </c:pt>
                <c:pt idx="18">
                  <c:v>-0.20194711801004936</c:v>
                </c:pt>
                <c:pt idx="19">
                  <c:v>0.15922035729177425</c:v>
                </c:pt>
                <c:pt idx="20">
                  <c:v>0.8706919317042322</c:v>
                </c:pt>
                <c:pt idx="21">
                  <c:v>0.40870830283788773</c:v>
                </c:pt>
              </c:numCache>
            </c:numRef>
          </c:val>
          <c:extLst>
            <c:ext xmlns:c16="http://schemas.microsoft.com/office/drawing/2014/chart" uri="{C3380CC4-5D6E-409C-BE32-E72D297353CC}">
              <c16:uniqueId val="{00000001-6023-43F2-8AF8-6439AB18574D}"/>
            </c:ext>
          </c:extLst>
        </c:ser>
        <c:ser>
          <c:idx val="4"/>
          <c:order val="3"/>
          <c:tx>
            <c:strRef>
              <c:f>'výkonnost odvětví 5a'!$AG$94</c:f>
              <c:strCache>
                <c:ptCount val="1"/>
                <c:pt idx="0">
                  <c:v>Prodej přes internet a zásilk. sl. (4791)</c:v>
                </c:pt>
              </c:strCache>
            </c:strRef>
          </c:tx>
          <c:spPr>
            <a:solidFill>
              <a:srgbClr val="86BF5E"/>
            </a:solidFill>
            <a:ln w="15875">
              <a:noFill/>
            </a:ln>
          </c:spPr>
          <c:invertIfNegative val="0"/>
          <c:cat>
            <c:multiLvlStrRef>
              <c:f>'výkonnost odvětví 5a'!$AB$95:$AC$117</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'výkonnost odvětví 5a'!$AG$95:$AG$117</c:f>
              <c:numCache>
                <c:formatCode>0.0</c:formatCode>
                <c:ptCount val="23"/>
                <c:pt idx="0">
                  <c:v>6.2238854273550013</c:v>
                </c:pt>
                <c:pt idx="1">
                  <c:v>1.9673322846559995</c:v>
                </c:pt>
                <c:pt idx="2">
                  <c:v>2.8897118076869992</c:v>
                </c:pt>
                <c:pt idx="3">
                  <c:v>0.34179985445399946</c:v>
                </c:pt>
                <c:pt idx="4">
                  <c:v>-2.4078707420265935</c:v>
                </c:pt>
                <c:pt idx="5">
                  <c:v>-1.349955965070883</c:v>
                </c:pt>
                <c:pt idx="6">
                  <c:v>-1.0048027273966744</c:v>
                </c:pt>
                <c:pt idx="7">
                  <c:v>-2.3459348297332032</c:v>
                </c:pt>
                <c:pt idx="8">
                  <c:v>-1.3265584415025811</c:v>
                </c:pt>
                <c:pt idx="9">
                  <c:v>-0.91879385638196398</c:v>
                </c:pt>
                <c:pt idx="10">
                  <c:v>0.15432045252273588</c:v>
                </c:pt>
                <c:pt idx="11">
                  <c:v>1.0599391386010431</c:v>
                </c:pt>
                <c:pt idx="12">
                  <c:v>1.9544124034542716</c:v>
                </c:pt>
                <c:pt idx="13">
                  <c:v>2.1075071094211357</c:v>
                </c:pt>
                <c:pt idx="14">
                  <c:v>2.2593762471344836</c:v>
                </c:pt>
                <c:pt idx="15">
                  <c:v>2.6348346674843302</c:v>
                </c:pt>
                <c:pt idx="16">
                  <c:v>1.6390411946382319</c:v>
                </c:pt>
                <c:pt idx="17">
                  <c:v>1.6485400657428455</c:v>
                </c:pt>
                <c:pt idx="18">
                  <c:v>0.85158954348677929</c:v>
                </c:pt>
                <c:pt idx="19">
                  <c:v>1.4394944108959997</c:v>
                </c:pt>
                <c:pt idx="20">
                  <c:v>2.5447494407586366</c:v>
                </c:pt>
                <c:pt idx="21">
                  <c:v>1.6488656198111336</c:v>
                </c:pt>
              </c:numCache>
            </c:numRef>
          </c:val>
          <c:extLst>
            <c:ext xmlns:c16="http://schemas.microsoft.com/office/drawing/2014/chart" uri="{C3380CC4-5D6E-409C-BE32-E72D297353CC}">
              <c16:uniqueId val="{00000002-6023-43F2-8AF8-6439AB18574D}"/>
            </c:ext>
          </c:extLst>
        </c:ser>
        <c:ser>
          <c:idx val="7"/>
          <c:order val="4"/>
          <c:tx>
            <c:strRef>
              <c:f>'výkonnost odvětví 5a'!$AH$94</c:f>
              <c:strCache>
                <c:ptCount val="1"/>
                <c:pt idx="0">
                  <c:v>Mal. s nepotravinář. zbožím (bez 4791)</c:v>
                </c:pt>
              </c:strCache>
            </c:strRef>
          </c:tx>
          <c:spPr>
            <a:solidFill>
              <a:srgbClr val="C3DDAC"/>
            </a:solidFill>
            <a:ln w="3175">
              <a:noFill/>
              <a:prstDash val="sysDash"/>
            </a:ln>
          </c:spPr>
          <c:invertIfNegative val="0"/>
          <c:cat>
            <c:multiLvlStrRef>
              <c:f>'výkonnost odvětví 5a'!$AB$95:$AC$117</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'výkonnost odvětví 5a'!$AH$95:$AH$117</c:f>
              <c:numCache>
                <c:formatCode>0.0</c:formatCode>
                <c:ptCount val="23"/>
                <c:pt idx="0">
                  <c:v>-6.4378832740831777</c:v>
                </c:pt>
                <c:pt idx="1">
                  <c:v>3.6127103130279985</c:v>
                </c:pt>
                <c:pt idx="2">
                  <c:v>0.73630771937103123</c:v>
                </c:pt>
                <c:pt idx="3">
                  <c:v>5.3320966130746958</c:v>
                </c:pt>
                <c:pt idx="4">
                  <c:v>8.4003136537116685</c:v>
                </c:pt>
                <c:pt idx="5">
                  <c:v>0.39774275692530625</c:v>
                </c:pt>
                <c:pt idx="6">
                  <c:v>-2.9364594892099953</c:v>
                </c:pt>
                <c:pt idx="7">
                  <c:v>-3.2956745451924179</c:v>
                </c:pt>
                <c:pt idx="8">
                  <c:v>-3.4576994027970742</c:v>
                </c:pt>
                <c:pt idx="9">
                  <c:v>-3.5742421547066727</c:v>
                </c:pt>
                <c:pt idx="10">
                  <c:v>-2.6144486307594161</c:v>
                </c:pt>
                <c:pt idx="11">
                  <c:v>-0.60913827462999803</c:v>
                </c:pt>
                <c:pt idx="12">
                  <c:v>0.83153037049008405</c:v>
                </c:pt>
                <c:pt idx="13">
                  <c:v>0.48596020541238572</c:v>
                </c:pt>
                <c:pt idx="14">
                  <c:v>1.1133090618165551</c:v>
                </c:pt>
                <c:pt idx="15">
                  <c:v>0.87270334517766601</c:v>
                </c:pt>
                <c:pt idx="16">
                  <c:v>0.47104673234671557</c:v>
                </c:pt>
                <c:pt idx="17">
                  <c:v>1.1988419090889981</c:v>
                </c:pt>
                <c:pt idx="18">
                  <c:v>0.75812356604077813</c:v>
                </c:pt>
                <c:pt idx="19">
                  <c:v>0.67985914667585545</c:v>
                </c:pt>
                <c:pt idx="20">
                  <c:v>0.8033903559583071</c:v>
                </c:pt>
                <c:pt idx="21">
                  <c:v>1.3291917221854421</c:v>
                </c:pt>
              </c:numCache>
            </c:numRef>
          </c:val>
          <c:extLst>
            <c:ext xmlns:c16="http://schemas.microsoft.com/office/drawing/2014/chart" uri="{C3380CC4-5D6E-409C-BE32-E72D297353CC}">
              <c16:uniqueId val="{00000003-6023-43F2-8AF8-6439AB18574D}"/>
            </c:ext>
          </c:extLst>
        </c:ser>
        <c:dLbls>
          <c:showLegendKey val="0"/>
          <c:showVal val="0"/>
          <c:showCatName val="0"/>
          <c:showSerName val="0"/>
          <c:showPercent val="0"/>
          <c:showBubbleSize val="0"/>
        </c:dLbls>
        <c:gapWidth val="30"/>
        <c:overlap val="100"/>
        <c:axId val="156100864"/>
        <c:axId val="156573696"/>
      </c:barChart>
      <c:lineChart>
        <c:grouping val="standard"/>
        <c:varyColors val="0"/>
        <c:ser>
          <c:idx val="3"/>
          <c:order val="0"/>
          <c:tx>
            <c:strRef>
              <c:f>'výkonnost odvětví 5a'!$AD$94</c:f>
              <c:strCache>
                <c:ptCount val="1"/>
                <c:pt idx="0">
                  <c:v>Maloobchod celkem</c:v>
                </c:pt>
              </c:strCache>
            </c:strRef>
          </c:tx>
          <c:spPr>
            <a:ln>
              <a:noFill/>
            </a:ln>
          </c:spPr>
          <c:marker>
            <c:symbol val="circle"/>
            <c:size val="6"/>
            <c:spPr>
              <a:solidFill>
                <a:schemeClr val="bg1"/>
              </a:solidFill>
              <a:ln w="6350">
                <a:solidFill>
                  <a:schemeClr val="tx1">
                    <a:lumMod val="95000"/>
                    <a:lumOff val="5000"/>
                  </a:schemeClr>
                </a:solidFill>
              </a:ln>
            </c:spPr>
          </c:marker>
          <c:cat>
            <c:multiLvlStrRef>
              <c:f>'výkonnost odvětví 5a'!$AB$95:$AC$117</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'výkonnost odvětví 5a'!$AD$95:$AD$117</c:f>
              <c:numCache>
                <c:formatCode>#\ ##0.0</c:formatCode>
                <c:ptCount val="23"/>
                <c:pt idx="0">
                  <c:v>-1.6944738047999977</c:v>
                </c:pt>
                <c:pt idx="1">
                  <c:v>6.9699746755999996</c:v>
                </c:pt>
                <c:pt idx="2">
                  <c:v>3.5945193927999952</c:v>
                </c:pt>
                <c:pt idx="3">
                  <c:v>6.501938194600001</c:v>
                </c:pt>
                <c:pt idx="4">
                  <c:v>6.7636861944999964</c:v>
                </c:pt>
                <c:pt idx="5">
                  <c:v>-2.7937071447999955</c:v>
                </c:pt>
                <c:pt idx="6">
                  <c:v>-7.661441571200001</c:v>
                </c:pt>
                <c:pt idx="7">
                  <c:v>-9.3128019889999933</c:v>
                </c:pt>
                <c:pt idx="8">
                  <c:v>-7.7706820764000071</c:v>
                </c:pt>
                <c:pt idx="9">
                  <c:v>-6.2954328725000011</c:v>
                </c:pt>
                <c:pt idx="10">
                  <c:v>-3.1409401905000038</c:v>
                </c:pt>
                <c:pt idx="11">
                  <c:v>-0.14030773449999856</c:v>
                </c:pt>
                <c:pt idx="12">
                  <c:v>4.2562721995000032</c:v>
                </c:pt>
                <c:pt idx="13">
                  <c:v>3.9476722012000067</c:v>
                </c:pt>
                <c:pt idx="14">
                  <c:v>4.6595745105999953</c:v>
                </c:pt>
                <c:pt idx="15">
                  <c:v>5.2336453399999954</c:v>
                </c:pt>
                <c:pt idx="16">
                  <c:v>3.2172809716000046</c:v>
                </c:pt>
                <c:pt idx="17">
                  <c:v>4.7393316045999967</c:v>
                </c:pt>
                <c:pt idx="18">
                  <c:v>2.533373490200006</c:v>
                </c:pt>
                <c:pt idx="19">
                  <c:v>2.7902028445000013</c:v>
                </c:pt>
                <c:pt idx="20">
                  <c:v>5.0030300485999959</c:v>
                </c:pt>
                <c:pt idx="21">
                  <c:v>3.0091654543000033</c:v>
                </c:pt>
              </c:numCache>
            </c:numRef>
          </c:val>
          <c:smooth val="0"/>
          <c:extLst>
            <c:ext xmlns:c16="http://schemas.microsoft.com/office/drawing/2014/chart" uri="{C3380CC4-5D6E-409C-BE32-E72D297353CC}">
              <c16:uniqueId val="{00000004-6023-43F2-8AF8-6439AB18574D}"/>
            </c:ext>
          </c:extLst>
        </c:ser>
        <c:ser>
          <c:idx val="8"/>
          <c:order val="5"/>
          <c:tx>
            <c:strRef>
              <c:f>'výkonnost odvětví 5a'!$AI$94</c:f>
              <c:strCache>
                <c:ptCount val="1"/>
              </c:strCache>
            </c:strRef>
          </c:tx>
          <c:spPr>
            <a:ln w="12700">
              <a:noFill/>
              <a:prstDash val="sysDot"/>
            </a:ln>
          </c:spPr>
          <c:marker>
            <c:symbol val="none"/>
          </c:marker>
          <c:cat>
            <c:multiLvlStrRef>
              <c:f>'výkonnost odvětví 5a'!$AB$95:$AC$117</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'výkonnost odvětví 5a'!$AI$95:$AI$117</c:f>
              <c:numCache>
                <c:formatCode>#,##0</c:formatCode>
                <c:ptCount val="23"/>
                <c:pt idx="0">
                  <c:v>9999</c:v>
                </c:pt>
                <c:pt idx="1">
                  <c:v>9999</c:v>
                </c:pt>
                <c:pt idx="2">
                  <c:v>9999</c:v>
                </c:pt>
                <c:pt idx="3">
                  <c:v>9999</c:v>
                </c:pt>
                <c:pt idx="4">
                  <c:v>9999</c:v>
                </c:pt>
                <c:pt idx="5">
                  <c:v>9999</c:v>
                </c:pt>
                <c:pt idx="6">
                  <c:v>9999</c:v>
                </c:pt>
                <c:pt idx="7">
                  <c:v>9999</c:v>
                </c:pt>
                <c:pt idx="8">
                  <c:v>9999</c:v>
                </c:pt>
                <c:pt idx="9">
                  <c:v>9999</c:v>
                </c:pt>
                <c:pt idx="10">
                  <c:v>9999</c:v>
                </c:pt>
                <c:pt idx="11">
                  <c:v>9999</c:v>
                </c:pt>
                <c:pt idx="12">
                  <c:v>9999</c:v>
                </c:pt>
                <c:pt idx="13">
                  <c:v>9999</c:v>
                </c:pt>
                <c:pt idx="14">
                  <c:v>9999</c:v>
                </c:pt>
                <c:pt idx="15">
                  <c:v>9999</c:v>
                </c:pt>
                <c:pt idx="16">
                  <c:v>9999</c:v>
                </c:pt>
                <c:pt idx="17">
                  <c:v>9999</c:v>
                </c:pt>
                <c:pt idx="18">
                  <c:v>9999</c:v>
                </c:pt>
                <c:pt idx="19">
                  <c:v>9999</c:v>
                </c:pt>
                <c:pt idx="20">
                  <c:v>9999</c:v>
                </c:pt>
                <c:pt idx="21">
                  <c:v>9999</c:v>
                </c:pt>
              </c:numCache>
            </c:numRef>
          </c:val>
          <c:smooth val="0"/>
          <c:extLst>
            <c:ext xmlns:c16="http://schemas.microsoft.com/office/drawing/2014/chart" uri="{C3380CC4-5D6E-409C-BE32-E72D297353CC}">
              <c16:uniqueId val="{00000005-6023-43F2-8AF8-6439AB18574D}"/>
            </c:ext>
          </c:extLst>
        </c:ser>
        <c:dLbls>
          <c:showLegendKey val="0"/>
          <c:showVal val="0"/>
          <c:showCatName val="0"/>
          <c:showSerName val="0"/>
          <c:showPercent val="0"/>
          <c:showBubbleSize val="0"/>
        </c:dLbls>
        <c:marker val="1"/>
        <c:smooth val="0"/>
        <c:axId val="156100864"/>
        <c:axId val="156573696"/>
      </c:lineChart>
      <c:lineChart>
        <c:grouping val="standard"/>
        <c:varyColors val="0"/>
        <c:ser>
          <c:idx val="9"/>
          <c:order val="6"/>
          <c:tx>
            <c:strRef>
              <c:f>'výkonnost odvětví 5a'!$AJ$94</c:f>
              <c:strCache>
                <c:ptCount val="1"/>
                <c:pt idx="0">
                  <c:v>Saldo indikátoru důvěry spotřebitelů</c:v>
                </c:pt>
              </c:strCache>
            </c:strRef>
          </c:tx>
          <c:spPr>
            <a:ln w="6350">
              <a:solidFill>
                <a:schemeClr val="bg1">
                  <a:lumMod val="65000"/>
                </a:schemeClr>
              </a:solidFill>
              <a:prstDash val="sysDash"/>
            </a:ln>
          </c:spPr>
          <c:marker>
            <c:symbol val="triangle"/>
            <c:size val="4"/>
            <c:spPr>
              <a:solidFill>
                <a:srgbClr val="009CB5"/>
              </a:solidFill>
              <a:ln>
                <a:solidFill>
                  <a:srgbClr val="009CB5"/>
                </a:solidFill>
              </a:ln>
            </c:spPr>
          </c:marker>
          <c:cat>
            <c:multiLvlStrRef>
              <c:f>'výkonnost odvětví 5a'!$AB$95:$AC$117</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'výkonnost odvětví 5a'!$AJ$95:$AJ$117</c:f>
              <c:numCache>
                <c:formatCode>0.0</c:formatCode>
                <c:ptCount val="23"/>
                <c:pt idx="0">
                  <c:v>-16.083333333333332</c:v>
                </c:pt>
                <c:pt idx="1">
                  <c:v>-8</c:v>
                </c:pt>
                <c:pt idx="2">
                  <c:v>-6.25</c:v>
                </c:pt>
                <c:pt idx="3">
                  <c:v>-13.933333333333332</c:v>
                </c:pt>
                <c:pt idx="4">
                  <c:v>-19.433333333333334</c:v>
                </c:pt>
                <c:pt idx="5">
                  <c:v>-29.666666666666668</c:v>
                </c:pt>
                <c:pt idx="6">
                  <c:v>-32.199999999999996</c:v>
                </c:pt>
                <c:pt idx="7">
                  <c:v>-32.43333333333333</c:v>
                </c:pt>
                <c:pt idx="8">
                  <c:v>-22.599999999999998</c:v>
                </c:pt>
                <c:pt idx="9">
                  <c:v>-19.466666666666669</c:v>
                </c:pt>
                <c:pt idx="10">
                  <c:v>-18.333333333333332</c:v>
                </c:pt>
                <c:pt idx="11">
                  <c:v>-19.433333333333334</c:v>
                </c:pt>
                <c:pt idx="12">
                  <c:v>-14.866666666666667</c:v>
                </c:pt>
                <c:pt idx="13">
                  <c:v>-8.5</c:v>
                </c:pt>
                <c:pt idx="14">
                  <c:v>-12.300000000000002</c:v>
                </c:pt>
                <c:pt idx="15">
                  <c:v>-9.6</c:v>
                </c:pt>
                <c:pt idx="16">
                  <c:v>-12.666666666666666</c:v>
                </c:pt>
                <c:pt idx="17">
                  <c:v>-10.700000000000001</c:v>
                </c:pt>
                <c:pt idx="18">
                  <c:v>-8.4666666666666668</c:v>
                </c:pt>
                <c:pt idx="19">
                  <c:v>-1.4333333333333333</c:v>
                </c:pt>
                <c:pt idx="20">
                  <c:v>-2.5</c:v>
                </c:pt>
                <c:pt idx="21">
                  <c:v>-5.6000000000000005</c:v>
                </c:pt>
                <c:pt idx="22">
                  <c:v>-6.8000000000000007</c:v>
                </c:pt>
              </c:numCache>
            </c:numRef>
          </c:val>
          <c:smooth val="0"/>
          <c:extLst>
            <c:ext xmlns:c16="http://schemas.microsoft.com/office/drawing/2014/chart" uri="{C3380CC4-5D6E-409C-BE32-E72D297353CC}">
              <c16:uniqueId val="{00000006-6023-43F2-8AF8-6439AB18574D}"/>
            </c:ext>
          </c:extLst>
        </c:ser>
        <c:ser>
          <c:idx val="2"/>
          <c:order val="7"/>
          <c:tx>
            <c:strRef>
              <c:f>'výkonnost odvětví 5a'!$AK$94</c:f>
              <c:strCache>
                <c:ptCount val="1"/>
                <c:pt idx="0">
                  <c:v>Saldo indikátoru důvěry obchodníků</c:v>
                </c:pt>
              </c:strCache>
            </c:strRef>
          </c:tx>
          <c:spPr>
            <a:ln w="15875">
              <a:solidFill>
                <a:srgbClr val="CC9610"/>
              </a:solidFill>
              <a:prstDash val="sysDot"/>
            </a:ln>
          </c:spPr>
          <c:marker>
            <c:symbol val="diamond"/>
            <c:size val="4"/>
            <c:spPr>
              <a:solidFill>
                <a:srgbClr val="CC9610"/>
              </a:solidFill>
              <a:ln>
                <a:solidFill>
                  <a:srgbClr val="CC9610"/>
                </a:solidFill>
              </a:ln>
            </c:spPr>
          </c:marker>
          <c:cat>
            <c:multiLvlStrRef>
              <c:f>'výkonnost odvětví 5a'!$AB$95:$AC$117</c:f>
              <c:multiLvlStrCache>
                <c:ptCount val="23"/>
                <c:lvl>
                  <c:pt idx="0">
                    <c:v>1</c:v>
                  </c:pt>
                  <c:pt idx="1">
                    <c:v>2</c:v>
                  </c:pt>
                  <c:pt idx="2">
                    <c:v>3</c:v>
                  </c:pt>
                  <c:pt idx="3">
                    <c:v>4</c:v>
                  </c:pt>
                  <c:pt idx="4">
                    <c:v>1</c:v>
                  </c:pt>
                  <c:pt idx="5">
                    <c:v>2</c:v>
                  </c:pt>
                  <c:pt idx="6">
                    <c:v>3</c:v>
                  </c:pt>
                  <c:pt idx="7">
                    <c:v>4</c:v>
                  </c:pt>
                  <c:pt idx="8">
                    <c:v>1</c:v>
                  </c:pt>
                  <c:pt idx="9">
                    <c:v>2</c:v>
                  </c:pt>
                  <c:pt idx="10">
                    <c:v>3</c:v>
                  </c:pt>
                  <c:pt idx="11">
                    <c:v>4</c:v>
                  </c:pt>
                  <c:pt idx="12">
                    <c:v>1</c:v>
                  </c:pt>
                  <c:pt idx="13">
                    <c:v>2</c:v>
                  </c:pt>
                  <c:pt idx="14">
                    <c:v>3</c:v>
                  </c:pt>
                  <c:pt idx="15">
                    <c:v>4</c:v>
                  </c:pt>
                  <c:pt idx="16">
                    <c:v>1</c:v>
                  </c:pt>
                  <c:pt idx="17">
                    <c:v>2</c:v>
                  </c:pt>
                  <c:pt idx="18">
                    <c:v>3</c:v>
                  </c:pt>
                  <c:pt idx="19">
                    <c:v>4</c:v>
                  </c:pt>
                  <c:pt idx="20">
                    <c:v>1</c:v>
                  </c:pt>
                  <c:pt idx="21">
                    <c:v>2</c:v>
                  </c:pt>
                  <c:pt idx="22">
                    <c:v>3</c:v>
                  </c:pt>
                </c:lvl>
                <c:lvl>
                  <c:pt idx="0">
                    <c:v>2021</c:v>
                  </c:pt>
                  <c:pt idx="4">
                    <c:v>2022</c:v>
                  </c:pt>
                  <c:pt idx="8">
                    <c:v>2023</c:v>
                  </c:pt>
                  <c:pt idx="12">
                    <c:v>2024</c:v>
                  </c:pt>
                  <c:pt idx="16">
                    <c:v>2025</c:v>
                  </c:pt>
                  <c:pt idx="20">
                    <c:v>2026</c:v>
                  </c:pt>
                </c:lvl>
              </c:multiLvlStrCache>
            </c:multiLvlStrRef>
          </c:cat>
          <c:val>
            <c:numRef>
              <c:f>'výkonnost odvětví 5a'!$AK$95:$AK$117</c:f>
              <c:numCache>
                <c:formatCode>0.0</c:formatCode>
                <c:ptCount val="23"/>
                <c:pt idx="0">
                  <c:v>2.2333333333333334</c:v>
                </c:pt>
                <c:pt idx="1">
                  <c:v>15.433333333333332</c:v>
                </c:pt>
                <c:pt idx="2">
                  <c:v>19.866666666666667</c:v>
                </c:pt>
                <c:pt idx="3">
                  <c:v>22.333333333333332</c:v>
                </c:pt>
                <c:pt idx="4">
                  <c:v>19.766666666666666</c:v>
                </c:pt>
                <c:pt idx="5">
                  <c:v>17.099999999999998</c:v>
                </c:pt>
                <c:pt idx="6">
                  <c:v>10.200000000000001</c:v>
                </c:pt>
                <c:pt idx="7">
                  <c:v>12.333333333333334</c:v>
                </c:pt>
                <c:pt idx="8">
                  <c:v>11.433333333333332</c:v>
                </c:pt>
                <c:pt idx="9">
                  <c:v>12.533333333333333</c:v>
                </c:pt>
                <c:pt idx="10">
                  <c:v>6.7666666666666666</c:v>
                </c:pt>
                <c:pt idx="11">
                  <c:v>4.2</c:v>
                </c:pt>
                <c:pt idx="12">
                  <c:v>5</c:v>
                </c:pt>
                <c:pt idx="13">
                  <c:v>9.5333333333333332</c:v>
                </c:pt>
                <c:pt idx="14">
                  <c:v>10.533333333333333</c:v>
                </c:pt>
                <c:pt idx="15">
                  <c:v>9.6666666666666661</c:v>
                </c:pt>
                <c:pt idx="16">
                  <c:v>14.466666666666667</c:v>
                </c:pt>
                <c:pt idx="17">
                  <c:v>12.533333333333333</c:v>
                </c:pt>
                <c:pt idx="18">
                  <c:v>13.333333333333334</c:v>
                </c:pt>
                <c:pt idx="19">
                  <c:v>10.933333333333332</c:v>
                </c:pt>
                <c:pt idx="20">
                  <c:v>11.866666666666667</c:v>
                </c:pt>
                <c:pt idx="21">
                  <c:v>7.2333333333333334</c:v>
                </c:pt>
                <c:pt idx="22">
                  <c:v>6.65</c:v>
                </c:pt>
              </c:numCache>
            </c:numRef>
          </c:val>
          <c:smooth val="0"/>
          <c:extLst>
            <c:ext xmlns:c16="http://schemas.microsoft.com/office/drawing/2014/chart" uri="{C3380CC4-5D6E-409C-BE32-E72D297353CC}">
              <c16:uniqueId val="{00000007-6023-43F2-8AF8-6439AB18574D}"/>
            </c:ext>
          </c:extLst>
        </c:ser>
        <c:dLbls>
          <c:showLegendKey val="0"/>
          <c:showVal val="0"/>
          <c:showCatName val="0"/>
          <c:showSerName val="0"/>
          <c:showPercent val="0"/>
          <c:showBubbleSize val="0"/>
        </c:dLbls>
        <c:marker val="1"/>
        <c:smooth val="0"/>
        <c:axId val="1875570767"/>
        <c:axId val="1875563695"/>
      </c:lineChart>
      <c:catAx>
        <c:axId val="156100864"/>
        <c:scaling>
          <c:orientation val="minMax"/>
        </c:scaling>
        <c:delete val="0"/>
        <c:axPos val="b"/>
        <c:numFmt formatCode="General" sourceLinked="0"/>
        <c:majorTickMark val="out"/>
        <c:minorTickMark val="none"/>
        <c:tickLblPos val="low"/>
        <c:txPr>
          <a:bodyPr/>
          <a:lstStyle/>
          <a:p>
            <a:pPr>
              <a:defRPr sz="800"/>
            </a:pPr>
            <a:endParaRPr lang="cs-CZ"/>
          </a:p>
        </c:txPr>
        <c:crossAx val="156573696"/>
        <c:crosses val="autoZero"/>
        <c:auto val="1"/>
        <c:lblAlgn val="ctr"/>
        <c:lblOffset val="0"/>
        <c:noMultiLvlLbl val="0"/>
      </c:catAx>
      <c:valAx>
        <c:axId val="156573696"/>
        <c:scaling>
          <c:orientation val="minMax"/>
          <c:max val="12"/>
          <c:min val="-10"/>
        </c:scaling>
        <c:delete val="0"/>
        <c:axPos val="l"/>
        <c:majorGridlines>
          <c:spPr>
            <a:ln w="6350">
              <a:solidFill>
                <a:schemeClr val="bg1">
                  <a:lumMod val="75000"/>
                </a:schemeClr>
              </a:solidFill>
            </a:ln>
          </c:spPr>
        </c:majorGridlines>
        <c:title>
          <c:tx>
            <c:rich>
              <a:bodyPr/>
              <a:lstStyle/>
              <a:p>
                <a:pPr>
                  <a:defRPr sz="750" b="0" i="1"/>
                </a:pPr>
                <a:r>
                  <a:rPr lang="cs-CZ" sz="750" b="0" i="1"/>
                  <a:t>Tržby</a:t>
                </a:r>
              </a:p>
            </c:rich>
          </c:tx>
          <c:layout>
            <c:manualLayout>
              <c:xMode val="edge"/>
              <c:yMode val="edge"/>
              <c:x val="2.6086947381477195E-3"/>
              <c:y val="0.34214060710194732"/>
            </c:manualLayout>
          </c:layout>
          <c:overlay val="0"/>
        </c:title>
        <c:numFmt formatCode="0" sourceLinked="0"/>
        <c:majorTickMark val="out"/>
        <c:minorTickMark val="none"/>
        <c:tickLblPos val="nextTo"/>
        <c:txPr>
          <a:bodyPr/>
          <a:lstStyle/>
          <a:p>
            <a:pPr>
              <a:defRPr sz="800"/>
            </a:pPr>
            <a:endParaRPr lang="cs-CZ"/>
          </a:p>
        </c:txPr>
        <c:crossAx val="156100864"/>
        <c:crosses val="autoZero"/>
        <c:crossBetween val="between"/>
        <c:majorUnit val="2"/>
      </c:valAx>
      <c:valAx>
        <c:axId val="1875563695"/>
        <c:scaling>
          <c:orientation val="minMax"/>
          <c:max val="120"/>
          <c:min val="-45"/>
        </c:scaling>
        <c:delete val="0"/>
        <c:axPos val="r"/>
        <c:title>
          <c:tx>
            <c:rich>
              <a:bodyPr/>
              <a:lstStyle/>
              <a:p>
                <a:pPr>
                  <a:defRPr sz="750" b="0" i="1"/>
                </a:pPr>
                <a:r>
                  <a:rPr lang="cs-CZ" sz="750" b="0" i="1" u="none" strike="noStrike" baseline="0">
                    <a:effectLst/>
                    <a:latin typeface="Arial" panose="020B0604020202020204" pitchFamily="34" charset="0"/>
                    <a:cs typeface="Arial" panose="020B0604020202020204" pitchFamily="34" charset="0"/>
                  </a:rPr>
                  <a:t>Saldo důvěry</a:t>
                </a:r>
                <a:endParaRPr lang="cs-CZ" sz="750" b="0" i="1">
                  <a:latin typeface="Arial" panose="020B0604020202020204" pitchFamily="34" charset="0"/>
                  <a:cs typeface="Arial" panose="020B0604020202020204" pitchFamily="34" charset="0"/>
                </a:endParaRPr>
              </a:p>
            </c:rich>
          </c:tx>
          <c:layout>
            <c:manualLayout>
              <c:xMode val="edge"/>
              <c:yMode val="edge"/>
              <c:x val="0.96896265019335537"/>
              <c:y val="0.32911091593913405"/>
            </c:manualLayout>
          </c:layout>
          <c:overlay val="0"/>
        </c:title>
        <c:numFmt formatCode="#,##0" sourceLinked="0"/>
        <c:majorTickMark val="out"/>
        <c:minorTickMark val="none"/>
        <c:tickLblPos val="nextTo"/>
        <c:txPr>
          <a:bodyPr/>
          <a:lstStyle/>
          <a:p>
            <a:pPr>
              <a:defRPr sz="800"/>
            </a:pPr>
            <a:endParaRPr lang="cs-CZ"/>
          </a:p>
        </c:txPr>
        <c:crossAx val="1875570767"/>
        <c:crosses val="max"/>
        <c:crossBetween val="between"/>
        <c:majorUnit val="15"/>
      </c:valAx>
      <c:catAx>
        <c:axId val="1875570767"/>
        <c:scaling>
          <c:orientation val="minMax"/>
        </c:scaling>
        <c:delete val="1"/>
        <c:axPos val="b"/>
        <c:numFmt formatCode="General" sourceLinked="1"/>
        <c:majorTickMark val="out"/>
        <c:minorTickMark val="none"/>
        <c:tickLblPos val="nextTo"/>
        <c:crossAx val="1875563695"/>
        <c:crosses val="autoZero"/>
        <c:auto val="1"/>
        <c:lblAlgn val="ctr"/>
        <c:lblOffset val="100"/>
        <c:noMultiLvlLbl val="0"/>
      </c:catAx>
      <c:spPr>
        <a:ln>
          <a:solidFill>
            <a:schemeClr val="tx1"/>
          </a:solidFill>
        </a:ln>
      </c:spPr>
    </c:plotArea>
    <c:legend>
      <c:legendPos val="r"/>
      <c:layout>
        <c:manualLayout>
          <c:xMode val="edge"/>
          <c:yMode val="edge"/>
          <c:x val="3.4507130341186319E-2"/>
          <c:y val="0.83746678121420393"/>
          <c:w val="0.95214351710241263"/>
          <c:h val="0.14798568155784653"/>
        </c:manualLayout>
      </c:layout>
      <c:overlay val="0"/>
      <c:spPr>
        <a:ln w="6350">
          <a:solidFill>
            <a:schemeClr val="tx1"/>
          </a:solidFill>
        </a:ln>
      </c:spPr>
      <c:txPr>
        <a:bodyPr/>
        <a:lstStyle/>
        <a:p>
          <a:pPr>
            <a:defRPr sz="800"/>
          </a:pPr>
          <a:endParaRPr lang="cs-CZ"/>
        </a:p>
      </c:txPr>
    </c:legend>
    <c:plotVisOnly val="1"/>
    <c:dispBlanksAs val="gap"/>
    <c:showDLblsOverMax val="0"/>
  </c:chart>
  <c:spPr>
    <a:ln>
      <a:noFill/>
    </a:ln>
  </c:spPr>
  <c:txPr>
    <a:bodyPr/>
    <a:lstStyle/>
    <a:p>
      <a:pPr>
        <a:defRPr sz="1500" baseline="0">
          <a:latin typeface="Arial" pitchFamily="34" charset="0"/>
        </a:defRPr>
      </a:pPr>
      <a:endParaRPr lang="cs-CZ"/>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istorieverze xmlns="8675fb2b-b414-4bad-b4c4-d9349268b5a1" xsi:nil="true"/>
    <Verzeform xmlns="8675fb2b-b414-4bad-b4c4-d9349268b5a1">v1.2</Verzeform>
    <Forma xmlns="8675fb2b-b414-4bad-b4c4-d9349268b5a1">
      <Value>Elektronická</Value>
    </Forma>
    <Vazbanaproces xmlns="8675fb2b-b414-4bad-b4c4-d9349268b5a1">179. Vnější komunikace
</Vazbanaproces>
    <Gestor xmlns="8675fb2b-b414-4bad-b4c4-d9349268b5a1">
      <UserInfo>
        <DisplayName>Novotný Michal</DisplayName>
        <AccountId>24</AccountId>
        <AccountType/>
      </UserInfo>
    </Gestor>
    <Form_c xmlns="8675fb2b-b414-4bad-b4c4-d9349268b5a1">444</Form_c>
    <NazevForm xmlns="8675fb2b-b414-4bad-b4c4-d9349268b5a1">Publikace CZ barevná - regiony a země - analýzy</NazevForm>
    <UcinnostOdForm xmlns="8675fb2b-b414-4bad-b4c4-d9349268b5a1">2026-09-06T22:00:00+00:00</UcinnostOdForm>
    <PredpisForm xmlns="8675fb2b-b414-4bad-b4c4-d9349268b5a1">Manuál značky a jednotného vizuálního stylu Českého statistického úřadu</PredpisForm>
    <UstanoveniForm xmlns="8675fb2b-b414-4bad-b4c4-d9349268b5a1" xsi:nil="true"/>
    <PoznForm xmlns="8675fb2b-b414-4bad-b4c4-d9349268b5a1" xsi:nil="true"/>
    <Oznaceni xmlns="8675fb2b-b414-4bad-b4c4-d9349268b5a1">Form_c444</Oznaceni>
    <UcinnostDoForm xmlns="8675fb2b-b414-4bad-b4c4-d9349268b5a1" xsi:nil="true"/>
    <Platnost xmlns="8675fb2b-b414-4bad-b4c4-d9349268b5a1">true</Platnost>
    <Odkaz xmlns="8675fb2b-b414-4bad-b4c4-d9349268b5a1">
      <Url xsi:nil="true"/>
      <Description xsi:nil="true"/>
    </Odkaz>
    <lcf76f155ced4ddcb4097134ff3c332f xmlns="8675fb2b-b414-4bad-b4c4-d9349268b5a1">
      <Terms xmlns="http://schemas.microsoft.com/office/infopath/2007/PartnerControls"/>
    </lcf76f155ced4ddcb4097134ff3c332f>
    <TaxCatchAll xmlns="406a38fe-c53c-4047-b0f8-c641386931ae" xsi:nil="true"/>
    <ProcDomena xmlns="406a38fe-c53c-4047-b0f8-c641386931ae">
      <Value>P4 Komunikace a propagace</Value>
    </ProcDomena>
    <DomenaForm xmlns="8675fb2b-b414-4bad-b4c4-d9349268b5a1" xsi:nil="true"/>
    <SiteKnihDok xmlns="406a38fe-c53c-4047-b0f8-c641386931ae">Vnitřní předpisy</SiteKnihDok>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BD76F913C5B1A4797255AD7259AA9ED" ma:contentTypeVersion="40" ma:contentTypeDescription="Vytvoří nový dokument" ma:contentTypeScope="" ma:versionID="110421115ddc15f999b8bb81d2de1ec1">
  <xsd:schema xmlns:xsd="http://www.w3.org/2001/XMLSchema" xmlns:xs="http://www.w3.org/2001/XMLSchema" xmlns:p="http://schemas.microsoft.com/office/2006/metadata/properties" xmlns:ns2="8675fb2b-b414-4bad-b4c4-d9349268b5a1" xmlns:ns3="406a38fe-c53c-4047-b0f8-c641386931ae" targetNamespace="http://schemas.microsoft.com/office/2006/metadata/properties" ma:root="true" ma:fieldsID="68ff216229c3f5ed4e0b6e8627bc5742" ns2:_="" ns3:_="">
    <xsd:import namespace="8675fb2b-b414-4bad-b4c4-d9349268b5a1"/>
    <xsd:import namespace="406a38fe-c53c-4047-b0f8-c641386931ae"/>
    <xsd:element name="properties">
      <xsd:complexType>
        <xsd:sequence>
          <xsd:element name="documentManagement">
            <xsd:complexType>
              <xsd:all>
                <xsd:element ref="ns2:Forma" minOccurs="0"/>
                <xsd:element ref="ns2:Verzeform" minOccurs="0"/>
                <xsd:element ref="ns2:Vazbanaproces" minOccurs="0"/>
                <xsd:element ref="ns2:Gestor" minOccurs="0"/>
                <xsd:element ref="ns2:Historieverze" minOccurs="0"/>
                <xsd:element ref="ns2:MediaServiceMetadata" minOccurs="0"/>
                <xsd:element ref="ns2:MediaServiceFastMetadata" minOccurs="0"/>
                <xsd:element ref="ns2:Form_c" minOccurs="0"/>
                <xsd:element ref="ns2:NazevForm" minOccurs="0"/>
                <xsd:element ref="ns2:UcinnostOdForm" minOccurs="0"/>
                <xsd:element ref="ns2:DomenaForm" minOccurs="0"/>
                <xsd:element ref="ns2:PredpisForm" minOccurs="0"/>
                <xsd:element ref="ns2:UstanoveniForm" minOccurs="0"/>
                <xsd:element ref="ns2:PoznForm" minOccurs="0"/>
                <xsd:element ref="ns2:Oznaceni" minOccurs="0"/>
                <xsd:element ref="ns2:UcinnostDoForm" minOccurs="0"/>
                <xsd:element ref="ns2:MediaServiceObjectDetectorVersions" minOccurs="0"/>
                <xsd:element ref="ns2:Platnost" minOccurs="0"/>
                <xsd:element ref="ns2:Odkaz"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iteKnihDok" minOccurs="0"/>
                <xsd:element ref="ns3:ProcDomen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75fb2b-b414-4bad-b4c4-d9349268b5a1" elementFormDefault="qualified">
    <xsd:import namespace="http://schemas.microsoft.com/office/2006/documentManagement/types"/>
    <xsd:import namespace="http://schemas.microsoft.com/office/infopath/2007/PartnerControls"/>
    <xsd:element name="Forma" ma:index="8" nillable="true" ma:displayName="Forma" ma:description="Forma formuláře" ma:format="Dropdown" ma:internalName="Forma">
      <xsd:complexType>
        <xsd:complexContent>
          <xsd:extension base="dms:MultiChoice">
            <xsd:sequence>
              <xsd:element name="Value" maxOccurs="unbounded" minOccurs="0" nillable="true">
                <xsd:simpleType>
                  <xsd:restriction base="dms:Choice">
                    <xsd:enumeration value="Listinná  (analogová)"/>
                    <xsd:enumeration value="Elektronická"/>
                    <xsd:enumeration value="Formulář IS"/>
                  </xsd:restriction>
                </xsd:simpleType>
              </xsd:element>
            </xsd:sequence>
          </xsd:extension>
        </xsd:complexContent>
      </xsd:complexType>
    </xsd:element>
    <xsd:element name="Verzeform" ma:index="9" nillable="true" ma:displayName="Ver." ma:format="Dropdown" ma:internalName="Verzeform">
      <xsd:simpleType>
        <xsd:restriction base="dms:Text">
          <xsd:maxLength value="255"/>
        </xsd:restriction>
      </xsd:simpleType>
    </xsd:element>
    <xsd:element name="Vazbanaproces" ma:index="10" nillable="true" ma:displayName="Vazba na proces" ma:format="Dropdown" ma:internalName="Vazbanaproces">
      <xsd:simpleType>
        <xsd:restriction base="dms:Note">
          <xsd:maxLength value="255"/>
        </xsd:restriction>
      </xsd:simpleType>
    </xsd:element>
    <xsd:element name="Gestor" ma:index="11" nillable="true" ma:displayName="Gestor" ma:format="Dropdown" ma:list="UserInfo" ma:SharePointGroup="0" ma:internalName="Gest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istorieverze" ma:index="12" nillable="true" ma:displayName="Historie verze" ma:format="Dropdown" ma:internalName="Historieverze">
      <xsd:simpleType>
        <xsd:restriction base="dms:Note">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Form_c" ma:index="15" nillable="true" ma:displayName="Form_c" ma:format="Dropdown" ma:internalName="Form_c" ma:percentage="FALSE">
      <xsd:simpleType>
        <xsd:restriction base="dms:Number"/>
      </xsd:simpleType>
    </xsd:element>
    <xsd:element name="NazevForm" ma:index="16" nillable="true" ma:displayName="Název formuláře" ma:internalName="NazevForm">
      <xsd:simpleType>
        <xsd:restriction base="dms:Text">
          <xsd:maxLength value="255"/>
        </xsd:restriction>
      </xsd:simpleType>
    </xsd:element>
    <xsd:element name="UcinnostOdForm" ma:index="17" nillable="true" ma:displayName="Účinnost od" ma:description="Datum účinnosti formuláře" ma:format="DateOnly" ma:internalName="UcinnostOdForm">
      <xsd:simpleType>
        <xsd:restriction base="dms:DateTime"/>
      </xsd:simpleType>
    </xsd:element>
    <xsd:element name="DomenaForm" ma:index="18" nillable="true" ma:displayName="Doména_old" ma:description="Na formuláře na procesní doménu" ma:format="Dropdown" ma:internalName="DomenaForm">
      <xsd:complexType>
        <xsd:complexContent>
          <xsd:extension base="dms:MultiChoice">
            <xsd:sequence>
              <xsd:element name="Value" maxOccurs="unbounded" minOccurs="0" nillable="true">
                <xsd:simpleType>
                  <xsd:restriction base="dms:Choice">
                    <xsd:enumeration value="P1 Bezpečnost"/>
                    <xsd:enumeration value="P2 Účetnictví"/>
                    <xsd:enumeration value="P3 Správa dokumentů"/>
                    <xsd:enumeration value="P4 Komunikace a propagace"/>
                    <xsd:enumeration value="P5 Právní služby"/>
                    <xsd:enumeration value="P6 Personalistika"/>
                    <xsd:enumeration value="P7 Nákup a investice"/>
                    <xsd:enumeration value="P8 Projektové řízení"/>
                    <xsd:enumeration value="P9 IT"/>
                    <xsd:enumeration value="P10 Hospodaření, nakládání s majetkem a jeho správa"/>
                    <xsd:enumeration value="P11 Služební a pracovní tuzemské a zahraniční cesty"/>
                    <xsd:enumeration value="P12 Mezinárodní spolupráce"/>
                    <xsd:enumeration value="P13 Legislativa"/>
                    <xsd:enumeration value="R1 Interní audit"/>
                    <xsd:enumeration value="R2 Řízení a plánování"/>
                    <xsd:enumeration value="R3 Ochrana osobních údajů"/>
                    <xsd:enumeration value="R4 Finanční řízení"/>
                    <xsd:enumeration value="H1. Koordinace a správa metodiky"/>
                    <xsd:enumeration value="H2. Posouzení požadavků"/>
                    <xsd:enumeration value="H3. Specifikace úlohy"/>
                    <xsd:enumeration value="H4. Příprava zpracování"/>
                    <xsd:enumeration value="H5. Sběr dat"/>
                    <xsd:enumeration value="H6. Statistické zpracování"/>
                    <xsd:enumeration value="H7. Analýza a tvorba výstupů"/>
                    <xsd:enumeration value="H8. Diseminace"/>
                    <xsd:enumeration value="H9. Evaluace"/>
                    <xsd:enumeration value="H10. Zpracování voleb"/>
                  </xsd:restriction>
                </xsd:simpleType>
              </xsd:element>
            </xsd:sequence>
          </xsd:extension>
        </xsd:complexContent>
      </xsd:complexType>
    </xsd:element>
    <xsd:element name="PredpisForm" ma:index="19" nillable="true" ma:displayName="Definiční předpis" ma:description="Definiční předpis formuláře" ma:format="Dropdown" ma:internalName="PredpisForm">
      <xsd:simpleType>
        <xsd:restriction base="dms:Text">
          <xsd:maxLength value="255"/>
        </xsd:restriction>
      </xsd:simpleType>
    </xsd:element>
    <xsd:element name="UstanoveniForm" ma:index="20" nillable="true" ma:displayName="Ustanovení" ma:description="Ustanovení (čl., odst., písm.)" ma:format="Dropdown" ma:internalName="UstanoveniForm">
      <xsd:simpleType>
        <xsd:restriction base="dms:Note">
          <xsd:maxLength value="255"/>
        </xsd:restriction>
      </xsd:simpleType>
    </xsd:element>
    <xsd:element name="PoznForm" ma:index="21" nillable="true" ma:displayName="Poznámka" ma:description="Poznámka k formuláři" ma:format="Dropdown" ma:internalName="PoznForm">
      <xsd:simpleType>
        <xsd:restriction base="dms:Note">
          <xsd:maxLength value="255"/>
        </xsd:restriction>
      </xsd:simpleType>
    </xsd:element>
    <xsd:element name="Oznaceni" ma:index="22" nillable="true" ma:displayName="Označení" ma:description="Označení formuláře" ma:format="Dropdown" ma:internalName="Oznaceni">
      <xsd:simpleType>
        <xsd:restriction base="dms:Text">
          <xsd:maxLength value="12"/>
        </xsd:restriction>
      </xsd:simpleType>
    </xsd:element>
    <xsd:element name="UcinnostDoForm" ma:index="23" nillable="true" ma:displayName="Účinnost do" ma:format="DateOnly" ma:internalName="UcinnostDoForm">
      <xsd:simpleType>
        <xsd:restriction base="dms:DateTim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Platnost" ma:index="25" nillable="true" ma:displayName="Platnost" ma:default="1" ma:internalName="Platnost">
      <xsd:simpleType>
        <xsd:restriction base="dms:Boolean"/>
      </xsd:simpleType>
    </xsd:element>
    <xsd:element name="Odkaz" ma:index="26" nillable="true" ma:displayName="Odkaz" ma:format="Hyperlink" ma:internalName="Odkaz">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lcf76f155ced4ddcb4097134ff3c332f" ma:index="31" nillable="true" ma:taxonomy="true" ma:internalName="lcf76f155ced4ddcb4097134ff3c332f" ma:taxonomyFieldName="MediaServiceImageTags" ma:displayName="Značky obrázků" ma:readOnly="false" ma:fieldId="{5cf76f15-5ced-4ddc-b409-7134ff3c332f}" ma:taxonomyMulti="true" ma:sspId="ba8a29a4-82ad-4cdb-8b82-dfa74bb481e8" ma:termSetId="09814cd3-568e-fe90-9814-8d621ff8fb84" ma:anchorId="fba54fb3-c3e1-fe81-a776-ca4b69148c4d" ma:open="true" ma:isKeyword="false">
      <xsd:complexType>
        <xsd:sequence>
          <xsd:element ref="pc:Terms" minOccurs="0" maxOccurs="1"/>
        </xsd:sequence>
      </xsd:complexType>
    </xsd:element>
    <xsd:element name="MediaServiceDateTaken" ma:index="33" nillable="true" ma:displayName="MediaServiceDateTaken" ma:hidden="true" ma:indexed="true" ma:internalName="MediaServiceDateTake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6a38fe-c53c-4047-b0f8-c641386931ae" elementFormDefault="qualified">
    <xsd:import namespace="http://schemas.microsoft.com/office/2006/documentManagement/types"/>
    <xsd:import namespace="http://schemas.microsoft.com/office/infopath/2007/PartnerControls"/>
    <xsd:element name="SharedWithUsers" ma:index="2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dílené s podrobnostmi" ma:internalName="SharedWithDetails" ma:readOnly="true">
      <xsd:simpleType>
        <xsd:restriction base="dms:Note">
          <xsd:maxLength value="255"/>
        </xsd:restriction>
      </xsd:simpleType>
    </xsd:element>
    <xsd:element name="TaxCatchAll" ma:index="32" nillable="true" ma:displayName="Taxonomy Catch All Column" ma:hidden="true" ma:list="{d4d15468-1f14-4f0d-947e-4bef9f86f2ae}" ma:internalName="TaxCatchAll" ma:showField="CatchAllData" ma:web="406a38fe-c53c-4047-b0f8-c641386931ae">
      <xsd:complexType>
        <xsd:complexContent>
          <xsd:extension base="dms:MultiChoiceLookup">
            <xsd:sequence>
              <xsd:element name="Value" type="dms:Lookup" maxOccurs="unbounded" minOccurs="0" nillable="true"/>
            </xsd:sequence>
          </xsd:extension>
        </xsd:complexContent>
      </xsd:complexType>
    </xsd:element>
    <xsd:element name="SiteKnihDok" ma:index="37" nillable="true" ma:displayName="SiteKnihDok" ma:default="Vnitřní předpisy" ma:description="Seznam knihoven v Site Knihovna dokumentů ČSÚ" ma:format="Dropdown" ma:internalName="SiteKnihDok">
      <xsd:simpleType>
        <xsd:restriction base="dms:Choice">
          <xsd:enumeration value="Vnitřní předpisy"/>
          <xsd:enumeration value="Formuláře"/>
          <xsd:enumeration value="Návody a manuály"/>
          <xsd:enumeration value="Zápisy a reporty"/>
        </xsd:restriction>
      </xsd:simpleType>
    </xsd:element>
    <xsd:element name="ProcDomena" ma:index="38" nillable="true" ma:displayName="Procesní doména" ma:default="P1 Bezpečnost" ma:internalName="ProcDomena">
      <xsd:complexType>
        <xsd:complexContent>
          <xsd:extension base="dms:MultiChoice">
            <xsd:sequence>
              <xsd:element name="Value" maxOccurs="unbounded" minOccurs="0" nillable="true">
                <xsd:simpleType>
                  <xsd:restriction base="dms:Choice">
                    <xsd:enumeration value="P1 Bezpečnost"/>
                    <xsd:enumeration value="P2 Účetnictví"/>
                    <xsd:enumeration value="P3 Správa dokumentů"/>
                    <xsd:enumeration value="P4 Komunikace a propagace"/>
                    <xsd:enumeration value="P5 Právní služby"/>
                    <xsd:enumeration value="P6 Personalistika"/>
                    <xsd:enumeration value="P7 Nákup a investice"/>
                    <xsd:enumeration value="P8 Projektové řízení"/>
                    <xsd:enumeration value="P9 IT"/>
                    <xsd:enumeration value="P10 Hospodaření, nakládání s majetkem a jeho správa"/>
                    <xsd:enumeration value="P11 Služební a pracovní tuzemské a zahraniční cesty"/>
                    <xsd:enumeration value="P12 Mezinárodní spolupráce"/>
                    <xsd:enumeration value="P13 Legislativa"/>
                    <xsd:enumeration value="R1 Interní audit"/>
                    <xsd:enumeration value="R2 Řízení a plánování"/>
                    <xsd:enumeration value="R3 Ochrana osobních údajů"/>
                    <xsd:enumeration value="R4 Finanční řízení"/>
                    <xsd:enumeration value="H1 Koordinace a správa metodiky"/>
                    <xsd:enumeration value="H2 Posouzení požadavků"/>
                    <xsd:enumeration value="H3 Specifikace úlohy"/>
                    <xsd:enumeration value="H4 Příprava zpracování"/>
                    <xsd:enumeration value="H5 Sběr dat"/>
                    <xsd:enumeration value="H6 Statistické zpracování"/>
                    <xsd:enumeration value="H7 Analýza a tvorba výstupů"/>
                    <xsd:enumeration value="H8 Diseminace"/>
                    <xsd:enumeration value="H9 Evaluace"/>
                    <xsd:enumeration value="H10 Zpracování voleb"/>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7681AD-41B0-431A-9D34-CF6700A12FAC}">
  <ds:schemaRefs>
    <ds:schemaRef ds:uri="http://schemas.microsoft.com/office/2006/metadata/properties"/>
    <ds:schemaRef ds:uri="http://schemas.microsoft.com/office/infopath/2007/PartnerControls"/>
    <ds:schemaRef ds:uri="8675fb2b-b414-4bad-b4c4-d9349268b5a1"/>
    <ds:schemaRef ds:uri="406a38fe-c53c-4047-b0f8-c641386931ae"/>
  </ds:schemaRefs>
</ds:datastoreItem>
</file>

<file path=customXml/itemProps2.xml><?xml version="1.0" encoding="utf-8"?>
<ds:datastoreItem xmlns:ds="http://schemas.openxmlformats.org/officeDocument/2006/customXml" ds:itemID="{BD4A6635-18E5-4C5D-A03B-290B098117D4}">
  <ds:schemaRefs>
    <ds:schemaRef ds:uri="http://schemas.openxmlformats.org/officeDocument/2006/bibliography"/>
  </ds:schemaRefs>
</ds:datastoreItem>
</file>

<file path=customXml/itemProps3.xml><?xml version="1.0" encoding="utf-8"?>
<ds:datastoreItem xmlns:ds="http://schemas.openxmlformats.org/officeDocument/2006/customXml" ds:itemID="{DFA8A1E1-1E99-4B4F-B9B5-70567730AA3A}">
  <ds:schemaRefs>
    <ds:schemaRef ds:uri="http://schemas.microsoft.com/sharepoint/v3/contenttype/forms"/>
  </ds:schemaRefs>
</ds:datastoreItem>
</file>

<file path=customXml/itemProps4.xml><?xml version="1.0" encoding="utf-8"?>
<ds:datastoreItem xmlns:ds="http://schemas.openxmlformats.org/officeDocument/2006/customXml" ds:itemID="{4520BFF4-F202-41B8-B99D-38B5B95117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75fb2b-b414-4bad-b4c4-d9349268b5a1"/>
    <ds:schemaRef ds:uri="406a38fe-c53c-4047-b0f8-c641386931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Form_c444_Publikace_regiony a zeme - analyzy.dotx</Template>
  <TotalTime>89</TotalTime>
  <Pages>51</Pages>
  <Words>20173</Words>
  <Characters>119021</Characters>
  <Application>Microsoft Office Word</Application>
  <DocSecurity>0</DocSecurity>
  <Lines>991</Lines>
  <Paragraphs>277</Paragraphs>
  <ScaleCrop>false</ScaleCrop>
  <HeadingPairs>
    <vt:vector size="6" baseType="variant">
      <vt:variant>
        <vt:lpstr>Název</vt:lpstr>
      </vt:variant>
      <vt:variant>
        <vt:i4>1</vt:i4>
      </vt:variant>
      <vt:variant>
        <vt:lpstr>Title</vt:lpstr>
      </vt:variant>
      <vt:variant>
        <vt:i4>1</vt:i4>
      </vt:variant>
      <vt:variant>
        <vt:lpstr>Headings</vt:lpstr>
      </vt:variant>
      <vt:variant>
        <vt:i4>8</vt:i4>
      </vt:variant>
    </vt:vector>
  </HeadingPairs>
  <TitlesOfParts>
    <vt:vector size="10" baseType="lpstr">
      <vt:lpstr/>
      <vt:lpstr/>
      <vt:lpstr>Styl: Nadpis 1</vt:lpstr>
      <vt:lpstr>    Styl: Nadpis 2</vt:lpstr>
      <vt:lpstr>        Styl: Nadpis 3</vt:lpstr>
      <vt:lpstr>        Styl: Nadpis 3</vt:lpstr>
      <vt:lpstr>    Styl: Nadpis 2</vt:lpstr>
      <vt:lpstr>        Styl: Nadpis 3</vt:lpstr>
      <vt:lpstr>    Styl: Nadpis 2</vt:lpstr>
      <vt:lpstr>        Styl: Nadpis 3</vt:lpstr>
    </vt:vector>
  </TitlesOfParts>
  <Company>CSU</Company>
  <LinksUpToDate>false</LinksUpToDate>
  <CharactersWithSpaces>138917</CharactersWithSpaces>
  <SharedDoc>false</SharedDoc>
  <HLinks>
    <vt:vector size="18" baseType="variant">
      <vt:variant>
        <vt:i4>7602181</vt:i4>
      </vt:variant>
      <vt:variant>
        <vt:i4>11092</vt:i4>
      </vt:variant>
      <vt:variant>
        <vt:i4>1025</vt:i4>
      </vt:variant>
      <vt:variant>
        <vt:i4>1</vt:i4>
      </vt:variant>
      <vt:variant>
        <vt:lpwstr>msoFAAF</vt:lpwstr>
      </vt:variant>
      <vt:variant>
        <vt:lpwstr/>
      </vt:variant>
      <vt:variant>
        <vt:i4>7995509</vt:i4>
      </vt:variant>
      <vt:variant>
        <vt:i4>-1</vt:i4>
      </vt:variant>
      <vt:variant>
        <vt:i4>2058</vt:i4>
      </vt:variant>
      <vt:variant>
        <vt:i4>1</vt:i4>
      </vt:variant>
      <vt:variant>
        <vt:lpwstr>CSU RGB CZ logo-02</vt:lpwstr>
      </vt:variant>
      <vt:variant>
        <vt:lpwstr/>
      </vt:variant>
      <vt:variant>
        <vt:i4>7929973</vt:i4>
      </vt:variant>
      <vt:variant>
        <vt:i4>-1</vt:i4>
      </vt:variant>
      <vt:variant>
        <vt:i4>2059</vt:i4>
      </vt:variant>
      <vt:variant>
        <vt:i4>1</vt:i4>
      </vt:variant>
      <vt:variant>
        <vt:lpwstr>CSU RGB CZ logo-01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Publikace CZ barevná - regiony a země - analýzy</dc:title>
  <dc:subject/>
  <dc:creator>Zábojníková Karolína</dc:creator>
  <cp:keywords/>
  <cp:lastModifiedBy>Zábojníková Karolína</cp:lastModifiedBy>
  <cp:revision>45</cp:revision>
  <cp:lastPrinted>2014-07-17T14:07:00Z</cp:lastPrinted>
  <dcterms:created xsi:type="dcterms:W3CDTF">2026-09-14T09:32:00Z</dcterms:created>
  <dcterms:modified xsi:type="dcterms:W3CDTF">2026-09-15T10:17:00Z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0x010100FBD76F913C5B1A4797255AD7259AA9ED</vt:lpwstr>
  </property>
  <property fmtid="{D5CDD505-2E9C-101B-9397-08002B2CF9AE}" pid="3" name="Názevformuláře">
    <vt:lpwstr>Publikace CZ barevné - vícetematické analýzy
</vt:lpwstr>
  </property>
  <property fmtid="{D5CDD505-2E9C-101B-9397-08002B2CF9AE}" pid="4" name="Vazbanaprocesnídoménu">
    <vt:lpwstr>;#4. Komunikace a propagace;#</vt:lpwstr>
  </property>
  <property fmtid="{D5CDD505-2E9C-101B-9397-08002B2CF9AE}" pid="5" name="Vazbanadefiničnípředpis">
    <vt:lpwstr>Manuál ke zveřejňování produktů ČSÚ
</vt:lpwstr>
  </property>
  <property fmtid="{D5CDD505-2E9C-101B-9397-08002B2CF9AE}" pid="6" name="Ustanovení">
    <vt:lpwstr>část první čl. 2, odst. 3b,c; část pátá; příloha 1
</vt:lpwstr>
  </property>
  <property fmtid="{D5CDD505-2E9C-101B-9397-08002B2CF9AE}" pid="7" name="Účinnostod">
    <vt:filetime>2018-04-17T07:00:00Z</vt:filetime>
  </property>
  <property fmtid="{D5CDD505-2E9C-101B-9397-08002B2CF9AE}" pid="8" name="Označení">
    <vt:lpwstr>Form_c444</vt:lpwstr>
  </property>
  <property fmtid="{D5CDD505-2E9C-101B-9397-08002B2CF9AE}" pid="9" name="MediaServiceImageTags">
    <vt:lpwstr/>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xd_Signature">
    <vt:bool>false</vt:bool>
  </property>
</Properties>
</file>