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274F5" w14:textId="77777777" w:rsidR="008F2E83" w:rsidRDefault="008F2E83" w:rsidP="008F2E83">
      <w:pPr>
        <w:pStyle w:val="Nadpis11"/>
        <w:spacing w:after="120"/>
      </w:pPr>
      <w:bookmarkStart w:id="0" w:name="_Toc114134050"/>
      <w:r>
        <w:t>7. Měnové podmínky</w:t>
      </w:r>
      <w:bookmarkEnd w:id="0"/>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8F2E83" w:rsidRPr="0037004A" w14:paraId="14D9691D" w14:textId="77777777" w:rsidTr="000C7A79">
        <w:trPr>
          <w:trHeight w:val="145"/>
        </w:trPr>
        <w:tc>
          <w:tcPr>
            <w:tcW w:w="1802" w:type="dxa"/>
          </w:tcPr>
          <w:p w14:paraId="077D8D5C" w14:textId="77777777" w:rsidR="008F2E83" w:rsidRDefault="008F2E83" w:rsidP="000C7A79">
            <w:pPr>
              <w:pStyle w:val="Marginlie"/>
              <w:rPr>
                <w:lang w:eastAsia="en-US"/>
              </w:rPr>
            </w:pPr>
            <w:r>
              <w:rPr>
                <w:lang w:eastAsia="en-US"/>
              </w:rPr>
              <w:t>V průběhu 2. čtvrtletí došlo k trojímu zvýšení měnověpolitických úrokových sazeb.</w:t>
            </w:r>
          </w:p>
        </w:tc>
        <w:tc>
          <w:tcPr>
            <w:tcW w:w="229" w:type="dxa"/>
          </w:tcPr>
          <w:p w14:paraId="76A4B84B" w14:textId="77777777" w:rsidR="008F2E83" w:rsidRDefault="008F2E83" w:rsidP="000C7A79">
            <w:pPr>
              <w:pStyle w:val="Textpoznpodarou"/>
              <w:jc w:val="both"/>
              <w:rPr>
                <w:spacing w:val="-4"/>
                <w:lang w:eastAsia="en-US"/>
              </w:rPr>
            </w:pPr>
          </w:p>
        </w:tc>
        <w:tc>
          <w:tcPr>
            <w:tcW w:w="7610" w:type="dxa"/>
          </w:tcPr>
          <w:p w14:paraId="283F0617" w14:textId="77777777" w:rsidR="008F2E83" w:rsidRPr="0037004A" w:rsidRDefault="008F2E83" w:rsidP="000C7A79">
            <w:pPr>
              <w:rPr>
                <w:spacing w:val="-2"/>
                <w:lang w:eastAsia="en-US"/>
              </w:rPr>
            </w:pPr>
            <w:r>
              <w:rPr>
                <w:spacing w:val="-2"/>
                <w:lang w:eastAsia="en-US"/>
              </w:rPr>
              <w:t>V prostředí výrazně zrychlující inflace došlo v průběhu 2. čtvrtletí ke třem zvýšením měnověpolitických úrokových sazeb. Nejprve byla dvoutýdenní repo sazba v dubnu zvýšena o 0,50 p. b. na 5,00 %</w:t>
            </w:r>
            <w:r w:rsidRPr="0037004A">
              <w:rPr>
                <w:rStyle w:val="Znakapoznpodarou"/>
                <w:spacing w:val="-2"/>
                <w:lang w:eastAsia="en-US"/>
              </w:rPr>
              <w:footnoteReference w:id="1"/>
            </w:r>
            <w:r>
              <w:rPr>
                <w:spacing w:val="-2"/>
                <w:lang w:eastAsia="en-US"/>
              </w:rPr>
              <w:t xml:space="preserve">, v květnu došlo k dalšímu zvýšení na 5,75 % </w:t>
            </w:r>
            <w:r>
              <w:rPr>
                <w:spacing w:val="-2"/>
                <w:lang w:eastAsia="en-US"/>
              </w:rPr>
              <w:br/>
              <w:t xml:space="preserve">a v červnu ještě na 7,00 %. Diskontní sazba ke konci 2. kvartálu dosahovala 6,00 % </w:t>
            </w:r>
            <w:r>
              <w:rPr>
                <w:spacing w:val="-2"/>
                <w:lang w:eastAsia="en-US"/>
              </w:rPr>
              <w:br/>
              <w:t xml:space="preserve">a lombardní sazba 8,00 %. Kurz koruny vůči euru ve 2. čtvrtletí dosáhl průměrné hodnoty 24,64 CZK/EUR. Výrazný podíl na tom měly intervence ČNB, které po prudkém oslabení, ke kterému došlo v polovině května, kurz vrátily na předchozí úroveň a dalšímu oslabování bránily. Oproti loňskému 2. kvartálu byl kurz koruny vůči euru silnější o 3,9 % a mezičtvrtletně se téměř nezměnil. Kurz koruny vůči dolaru v průběhu 2. čtvrtletí fluktuoval výrazněji. Průměr za celé 2. čtvrtletí dosáhl 23,16 CZK/USD, kurz ale z úrovně 22,06 korun za dolar, kterou měl na začátku dubna, oslabil na konci června až na 23,82 korun. Ke skokovému oslabení, které bylo společné všem zemím střední Evropy s vlastní měnou, došlo v druhé polovině dubna v souvislosti s přerušením dodávek plynu do Evropy a květnový i červnový posun kurzu na slabší úroveň se časově kryly s obdobím zveřejňování inflačních dat. Kurz koruny vůči dolaru byl ve 2. čtvrtletí meziročně slabší o 8,9 % a mezičtvrtletně o 5,3 %.   </w:t>
            </w:r>
          </w:p>
        </w:tc>
      </w:tr>
      <w:tr w:rsidR="008F2E83" w14:paraId="4E0E3F42" w14:textId="77777777" w:rsidTr="000C7A79">
        <w:trPr>
          <w:trHeight w:val="145"/>
        </w:trPr>
        <w:tc>
          <w:tcPr>
            <w:tcW w:w="1802" w:type="dxa"/>
          </w:tcPr>
          <w:p w14:paraId="73A23F52" w14:textId="77777777" w:rsidR="008F2E83" w:rsidRDefault="008F2E83" w:rsidP="000C7A79">
            <w:pPr>
              <w:pStyle w:val="Marginlie"/>
              <w:rPr>
                <w:lang w:eastAsia="en-US"/>
              </w:rPr>
            </w:pPr>
            <w:r>
              <w:rPr>
                <w:lang w:eastAsia="en-US"/>
              </w:rPr>
              <w:t>Rostly výnosy vládních dluhopisů.</w:t>
            </w:r>
          </w:p>
        </w:tc>
        <w:tc>
          <w:tcPr>
            <w:tcW w:w="229" w:type="dxa"/>
          </w:tcPr>
          <w:p w14:paraId="32641910" w14:textId="77777777" w:rsidR="008F2E83" w:rsidRDefault="008F2E83" w:rsidP="000C7A79">
            <w:pPr>
              <w:pStyle w:val="Textpoznpodarou"/>
              <w:jc w:val="both"/>
              <w:rPr>
                <w:spacing w:val="-4"/>
                <w:lang w:eastAsia="en-US"/>
              </w:rPr>
            </w:pPr>
          </w:p>
        </w:tc>
        <w:tc>
          <w:tcPr>
            <w:tcW w:w="7610" w:type="dxa"/>
          </w:tcPr>
          <w:p w14:paraId="4522406C" w14:textId="77777777" w:rsidR="008F2E83" w:rsidRDefault="008F2E83" w:rsidP="000C7A79">
            <w:pPr>
              <w:rPr>
                <w:spacing w:val="-1"/>
                <w:lang w:eastAsia="en-US"/>
              </w:rPr>
            </w:pPr>
            <w:r>
              <w:rPr>
                <w:spacing w:val="-1"/>
                <w:lang w:eastAsia="en-US"/>
              </w:rPr>
              <w:t>Na zvýšení měnověpolitických úrokových sazeb reagovaly mezibankovní sazby obdobným nárůstem. Tříměsíční sazba PRIBOR ve 2. čtvrtletí vzrostla o 1,78 p. b.</w:t>
            </w:r>
            <w:r>
              <w:rPr>
                <w:rStyle w:val="Znakapoznpodarou"/>
                <w:spacing w:val="-1"/>
                <w:lang w:eastAsia="en-US"/>
              </w:rPr>
              <w:t xml:space="preserve"> </w:t>
            </w:r>
            <w:r>
              <w:rPr>
                <w:rStyle w:val="Znakapoznpodarou"/>
                <w:spacing w:val="-1"/>
                <w:lang w:eastAsia="en-US"/>
              </w:rPr>
              <w:footnoteReference w:id="2"/>
            </w:r>
            <w:r>
              <w:rPr>
                <w:spacing w:val="-1"/>
                <w:lang w:eastAsia="en-US"/>
              </w:rPr>
              <w:t xml:space="preserve"> na 6,64 % a podobně se pohybovaly i úrokové sazby ostatních splatností. Výnosy vládních dluhopisů ve 2. čtvrtletí pokračovaly v navyšování, které trvá od druhé poloviny roku 2020. Dluhopisy s krátkodobou splatností tak byly ke konci června 2022 úročeny průměrně 6,26 % (nárůst o 1,72 p. b.), se střednědobou 5,49 % (+1,64 p. b.) </w:t>
            </w:r>
            <w:r>
              <w:rPr>
                <w:spacing w:val="-1"/>
                <w:lang w:eastAsia="en-US"/>
              </w:rPr>
              <w:br/>
              <w:t xml:space="preserve">a s dlouhodobou 5,12 % (+1,59 p. b.).         </w:t>
            </w:r>
          </w:p>
        </w:tc>
      </w:tr>
      <w:tr w:rsidR="008F2E83" w14:paraId="28F666DF" w14:textId="77777777" w:rsidTr="000C7A79">
        <w:trPr>
          <w:trHeight w:val="145"/>
        </w:trPr>
        <w:tc>
          <w:tcPr>
            <w:tcW w:w="1802" w:type="dxa"/>
            <w:hideMark/>
          </w:tcPr>
          <w:p w14:paraId="139DA085" w14:textId="77777777" w:rsidR="008F2E83" w:rsidRDefault="008F2E83" w:rsidP="000C7A79">
            <w:pPr>
              <w:pStyle w:val="Marginlie"/>
              <w:rPr>
                <w:lang w:eastAsia="en-US"/>
              </w:rPr>
            </w:pPr>
            <w:r>
              <w:rPr>
                <w:lang w:eastAsia="en-US"/>
              </w:rPr>
              <w:t>Pokračoval silný příliv finančních prostředků na termínované vklady.</w:t>
            </w:r>
          </w:p>
        </w:tc>
        <w:tc>
          <w:tcPr>
            <w:tcW w:w="229" w:type="dxa"/>
          </w:tcPr>
          <w:p w14:paraId="2123C41E" w14:textId="77777777" w:rsidR="008F2E83" w:rsidRDefault="008F2E83" w:rsidP="000C7A79">
            <w:pPr>
              <w:pStyle w:val="Textpoznpodarou"/>
              <w:jc w:val="both"/>
              <w:rPr>
                <w:spacing w:val="-4"/>
                <w:lang w:eastAsia="en-US"/>
              </w:rPr>
            </w:pPr>
          </w:p>
        </w:tc>
        <w:tc>
          <w:tcPr>
            <w:tcW w:w="7610" w:type="dxa"/>
          </w:tcPr>
          <w:p w14:paraId="74277668" w14:textId="77777777" w:rsidR="008F2E83" w:rsidRDefault="008F2E83" w:rsidP="000C7A79">
            <w:pPr>
              <w:rPr>
                <w:spacing w:val="-3"/>
                <w:lang w:eastAsia="en-US"/>
              </w:rPr>
            </w:pPr>
            <w:r>
              <w:rPr>
                <w:spacing w:val="-3"/>
                <w:lang w:eastAsia="en-US"/>
              </w:rPr>
              <w:t>Úrokové sazby na klientských vkladech se také většinou pohybovaly vzhůru. V případě běžných účtů domácností</w:t>
            </w:r>
            <w:r>
              <w:rPr>
                <w:rStyle w:val="Znakapoznpodarou"/>
                <w:spacing w:val="-3"/>
                <w:lang w:eastAsia="en-US"/>
              </w:rPr>
              <w:footnoteReference w:id="3"/>
            </w:r>
            <w:r>
              <w:rPr>
                <w:spacing w:val="-3"/>
                <w:lang w:eastAsia="en-US"/>
              </w:rPr>
              <w:t xml:space="preserve"> zůstaly úroky na velmi nízké úrovni (0,08 %), ale průměrné úročení jednodenních vkladů vzrostlo ve 2. čtvrtletí o 0,26 p. b. na 0,77 %. K velkému posunu došlo u vkladů s dohodnutou splatností (o 1,86 p. b. na 5,37 %). Běžné účty nefinančních podniků byly ke konci 2. čtvrtletí úročeny průměrně 0,7 %, což představuje navýšení o 0,33 p. b. Na jejich vkladech s dohodnutou splatností vzrostla průměrná úroková sazba o 1,9 p. b. na 5,8 %. Na vývoji objemu vkladů se odrážela rostoucí inflace a posun úrokových sazeb. Ve 2. čtvrtletí dál pokračoval z dlouhodobého hlediska netypický pokles objemu netermínovaných vkladů (meziročně o 261,6 mld. korun, mezičtvrtletně o 54,9 mld.). Tento pokles byl zřejmě absorbován termínovanými vklady, které jsou aktuálně výrazně lépe úročeny. Meziročně se zvýšily o 746,9 mld. korun </w:t>
            </w:r>
            <w:r>
              <w:rPr>
                <w:spacing w:val="-3"/>
                <w:lang w:eastAsia="en-US"/>
              </w:rPr>
              <w:br/>
              <w:t xml:space="preserve">a mezičtvrtletně o 223,2 mld. Dynamika celkového objemu vkladů se výrazněji neměnila.    </w:t>
            </w:r>
          </w:p>
        </w:tc>
      </w:tr>
      <w:tr w:rsidR="008F2E83" w14:paraId="4FC029DB" w14:textId="77777777" w:rsidTr="000C7A79">
        <w:trPr>
          <w:trHeight w:val="145"/>
        </w:trPr>
        <w:tc>
          <w:tcPr>
            <w:tcW w:w="1802" w:type="dxa"/>
          </w:tcPr>
          <w:p w14:paraId="0FD552DB" w14:textId="77777777" w:rsidR="008F2E83" w:rsidRDefault="008F2E83" w:rsidP="000C7A79">
            <w:pPr>
              <w:pStyle w:val="Marginlie"/>
              <w:rPr>
                <w:lang w:eastAsia="en-US"/>
              </w:rPr>
            </w:pPr>
            <w:r>
              <w:rPr>
                <w:lang w:eastAsia="en-US"/>
              </w:rPr>
              <w:t>Zvýšení úrokových sazeb úvěrů pro domácnosti bylo doprovázeno ochlazením jejich poskytování.</w:t>
            </w:r>
          </w:p>
        </w:tc>
        <w:tc>
          <w:tcPr>
            <w:tcW w:w="229" w:type="dxa"/>
          </w:tcPr>
          <w:p w14:paraId="05D846DF" w14:textId="77777777" w:rsidR="008F2E83" w:rsidRDefault="008F2E83" w:rsidP="000C7A79">
            <w:pPr>
              <w:pStyle w:val="Textpoznpodarou"/>
              <w:jc w:val="both"/>
              <w:rPr>
                <w:spacing w:val="-4"/>
                <w:lang w:eastAsia="en-US"/>
              </w:rPr>
            </w:pPr>
          </w:p>
        </w:tc>
        <w:tc>
          <w:tcPr>
            <w:tcW w:w="7610" w:type="dxa"/>
          </w:tcPr>
          <w:p w14:paraId="55238C09" w14:textId="77777777" w:rsidR="008F2E83" w:rsidRDefault="008F2E83" w:rsidP="000C7A79">
            <w:pPr>
              <w:rPr>
                <w:lang w:eastAsia="en-US"/>
              </w:rPr>
            </w:pPr>
            <w:r>
              <w:rPr>
                <w:lang w:eastAsia="en-US"/>
              </w:rPr>
              <w:t xml:space="preserve">Pokračoval také růst úrokových sazeb úvěrů pro domácnosti. Průměrné úročení úvěrů na spotřebu se v průběhu 2. čtvrtletí zvýšilo o 0,64 p. b. na 8,84 %, což je nejvíce od konce 3. kvartálu 2017. Další výrazný přírůstek měla také průměrná úroková sazba úvěrů na nákup bytové nemovitosti (o 0,59 p. b. na 4,43 %). Růst objemu úvěrů poskytnutých domácnostem ve 2. čtvrtletí znatelně zpomalil. Meziroční přírůstek úvěrů na spotřebu ve 2. čtvrtletí zpomalil na 7,1 %. Stále poměrně silnému přírůstku pomohla slabší srovnávací základna loňského 2. kvartálu, kdy se maloobchod rozbíhal po pandemické uzávěře. Mezičtvrtletní nárůst ale zpomalil na 0,4 %, zatímco v předchozích čtyřech kvartálech byl více než 2 %. Objem poskytnutých úvěrů na bydlení byl ke konci června 2022 meziročně vyšší o 8,8 %. Jejich nárůst mezi koncem </w:t>
            </w:r>
            <w:r>
              <w:rPr>
                <w:lang w:eastAsia="en-US"/>
              </w:rPr>
              <w:lastRenderedPageBreak/>
              <w:t>června a března ale zpomalil na 0,7 %, což bylo nejméně od 1. čtvrtletí 2014. Prudký nárůst sazeb dál brzdil poskytování nových hypoték. Objem nových hypotečních úvěrů dosáhl 28,2 mld. korun, což bylo nejméně od konce roku 2019. Propadaly se především čisté nové úvěry</w:t>
            </w:r>
            <w:r>
              <w:rPr>
                <w:rStyle w:val="Znakapoznpodarou"/>
                <w:lang w:eastAsia="en-US"/>
              </w:rPr>
              <w:footnoteReference w:id="4"/>
            </w:r>
            <w:r>
              <w:rPr>
                <w:lang w:eastAsia="en-US"/>
              </w:rPr>
              <w:t xml:space="preserve">. Celkové zadlužení domácností meziročně vzrostlo o 8,1 %, ale mezičtvrtletní přírůstek zpomalil na 0,7 %.  </w:t>
            </w:r>
          </w:p>
        </w:tc>
      </w:tr>
      <w:tr w:rsidR="008F2E83" w14:paraId="52013F4A" w14:textId="77777777" w:rsidTr="000C7A79">
        <w:trPr>
          <w:trHeight w:val="145"/>
        </w:trPr>
        <w:tc>
          <w:tcPr>
            <w:tcW w:w="1802" w:type="dxa"/>
          </w:tcPr>
          <w:p w14:paraId="1A12A8AD" w14:textId="77777777" w:rsidR="008F2E83" w:rsidRDefault="008F2E83" w:rsidP="000C7A79">
            <w:pPr>
              <w:pStyle w:val="Marginlie"/>
              <w:rPr>
                <w:lang w:eastAsia="en-US"/>
              </w:rPr>
            </w:pPr>
            <w:r>
              <w:rPr>
                <w:lang w:eastAsia="en-US"/>
              </w:rPr>
              <w:lastRenderedPageBreak/>
              <w:t>Prudce rostl objem úvěrů a pohledávek nefinančních podniků v cizích měnách.</w:t>
            </w:r>
          </w:p>
        </w:tc>
        <w:tc>
          <w:tcPr>
            <w:tcW w:w="229" w:type="dxa"/>
          </w:tcPr>
          <w:p w14:paraId="58DDC0D3" w14:textId="77777777" w:rsidR="008F2E83" w:rsidRDefault="008F2E83" w:rsidP="000C7A79">
            <w:pPr>
              <w:pStyle w:val="Textpoznpodarou"/>
              <w:jc w:val="both"/>
              <w:rPr>
                <w:spacing w:val="-4"/>
                <w:lang w:eastAsia="en-US"/>
              </w:rPr>
            </w:pPr>
          </w:p>
        </w:tc>
        <w:tc>
          <w:tcPr>
            <w:tcW w:w="7610" w:type="dxa"/>
          </w:tcPr>
          <w:p w14:paraId="4E3B3F89" w14:textId="77777777" w:rsidR="008F2E83" w:rsidRDefault="008F2E83" w:rsidP="000C7A79">
            <w:pPr>
              <w:rPr>
                <w:lang w:eastAsia="en-US"/>
              </w:rPr>
            </w:pPr>
            <w:r>
              <w:rPr>
                <w:lang w:eastAsia="en-US"/>
              </w:rPr>
              <w:t xml:space="preserve">Nefinančním podnikům úvěrové financování rovněž zdražilo. Nejvíce se ve 2. čtvrtletí zvýšilo úročení úvěrů s objemem nad 30 milionů korun (o 1,92 p. b. na 8,14 %). </w:t>
            </w:r>
            <w:r>
              <w:rPr>
                <w:lang w:eastAsia="en-US"/>
              </w:rPr>
              <w:br/>
              <w:t xml:space="preserve">U střední kategorie úvěrů mezi 7,5 a 30 miliony úroková sazba vzrostla o 0,78 p. b. na 6,56 % a v případě úvěrů do 7,5 milionu o 0,63 p. b. na 6,9 %. Celkový objem úvěrů a pohledávek nefinančních podniků byl ve 2. čtvrtletí meziročně vyšší o 7,7 %. Rostly především krátkodobé úvěry (17,6 %). Meziročně nižší byl přitom objem úvěrů poskytnutých v korunách (−5,7 %), zatímco ty denominované v cizích měnách vzrostly o 36,2 % a jejich podíl na celkovém objemu poskytnutých úvěrů vystoupal nad 40 %. Z hlediska jednotlivých odvětví nejvíce meziročně narůstal objem úvěrů poskytnutých ve velkoobchodě, maloobchodě a opravách a údržbě motorových vozidel (20,4 %), v dopravě a skladování (17,1 %) a prudce tempo zrychlilo v peněžnictví a pojišťovnictví (12,6 %). Posílil také meziroční přírůstek objemu úvěrů v činnostech v oblasti nemovitostí (7,9 %). Kromě obvyklého propadu úvěrů pro těžbu a dobývání (−45,0 %) výrazně klesly také půjčky ve veřejné správě a obraně, povinném sociálním zabezpečení, vzdělávání, zdravotní a sociální péči (−27,9 %). O 7,2 % klesl objem úvěrů pro výrobu a rozvod elektřiny, plynu, tepla, vzduchu, vody a odpadní vody.  </w:t>
            </w:r>
          </w:p>
        </w:tc>
      </w:tr>
      <w:tr w:rsidR="008F2E83" w14:paraId="40DC5ADC" w14:textId="77777777" w:rsidTr="000C7A79">
        <w:trPr>
          <w:trHeight w:val="304"/>
        </w:trPr>
        <w:tc>
          <w:tcPr>
            <w:tcW w:w="1802" w:type="dxa"/>
            <w:vMerge w:val="restart"/>
          </w:tcPr>
          <w:p w14:paraId="14E5CF87" w14:textId="77777777" w:rsidR="008F2E83" w:rsidRDefault="008F2E83" w:rsidP="000C7A79">
            <w:pPr>
              <w:pStyle w:val="Marginlie"/>
              <w:rPr>
                <w:lang w:eastAsia="en-US"/>
              </w:rPr>
            </w:pPr>
          </w:p>
        </w:tc>
        <w:tc>
          <w:tcPr>
            <w:tcW w:w="229" w:type="dxa"/>
            <w:vMerge w:val="restart"/>
          </w:tcPr>
          <w:p w14:paraId="4F57391F" w14:textId="77777777" w:rsidR="008F2E83" w:rsidRDefault="008F2E83" w:rsidP="000C7A79">
            <w:pPr>
              <w:pStyle w:val="Textpoznpodarou"/>
              <w:jc w:val="both"/>
              <w:rPr>
                <w:spacing w:val="-4"/>
                <w:lang w:eastAsia="en-US"/>
              </w:rPr>
            </w:pPr>
          </w:p>
        </w:tc>
        <w:tc>
          <w:tcPr>
            <w:tcW w:w="7610" w:type="dxa"/>
            <w:hideMark/>
          </w:tcPr>
          <w:p w14:paraId="60373440" w14:textId="77777777" w:rsidR="008F2E83" w:rsidRPr="00D721B4" w:rsidRDefault="008F2E83" w:rsidP="000C7A79">
            <w:pPr>
              <w:spacing w:after="0"/>
              <w:rPr>
                <w:szCs w:val="20"/>
                <w:lang w:eastAsia="en-US"/>
              </w:rPr>
            </w:pPr>
            <w:r>
              <w:rPr>
                <w:rFonts w:cs="Arial"/>
                <w:b/>
                <w:bCs/>
                <w:color w:val="000000"/>
                <w:szCs w:val="20"/>
                <w:lang w:eastAsia="en-US"/>
              </w:rPr>
              <w:t>Graf č. 16</w:t>
            </w:r>
            <w:r w:rsidRPr="00D721B4">
              <w:rPr>
                <w:rFonts w:cs="Arial"/>
                <w:b/>
                <w:bCs/>
                <w:color w:val="000000"/>
                <w:szCs w:val="20"/>
                <w:lang w:eastAsia="en-US"/>
              </w:rPr>
              <w:t xml:space="preserve"> </w:t>
            </w:r>
            <w:r w:rsidRPr="00D721B4">
              <w:rPr>
                <w:b/>
                <w:spacing w:val="-4"/>
                <w:szCs w:val="20"/>
                <w:lang w:eastAsia="en-US"/>
              </w:rPr>
              <w:t xml:space="preserve">Tržní úrokové sazby </w:t>
            </w:r>
            <w:r w:rsidRPr="00D721B4">
              <w:rPr>
                <w:bCs/>
                <w:spacing w:val="-4"/>
                <w:szCs w:val="20"/>
                <w:lang w:eastAsia="en-US"/>
              </w:rPr>
              <w:t>(v</w:t>
            </w:r>
            <w:r>
              <w:rPr>
                <w:bCs/>
                <w:spacing w:val="-4"/>
                <w:szCs w:val="20"/>
                <w:lang w:eastAsia="en-US"/>
              </w:rPr>
              <w:t> %</w:t>
            </w:r>
            <w:r w:rsidRPr="00D721B4">
              <w:rPr>
                <w:bCs/>
                <w:spacing w:val="-4"/>
                <w:szCs w:val="20"/>
                <w:lang w:eastAsia="en-US"/>
              </w:rPr>
              <w:t>)</w:t>
            </w:r>
          </w:p>
        </w:tc>
      </w:tr>
      <w:tr w:rsidR="008F2E83" w14:paraId="0F32CEE4" w14:textId="77777777" w:rsidTr="000C7A79">
        <w:tblPrEx>
          <w:tblCellMar>
            <w:left w:w="70" w:type="dxa"/>
            <w:right w:w="70" w:type="dxa"/>
          </w:tblCellMar>
        </w:tblPrEx>
        <w:trPr>
          <w:trHeight w:val="170"/>
        </w:trPr>
        <w:tc>
          <w:tcPr>
            <w:tcW w:w="1802" w:type="dxa"/>
            <w:vMerge/>
            <w:vAlign w:val="center"/>
            <w:hideMark/>
          </w:tcPr>
          <w:p w14:paraId="60967B11" w14:textId="77777777" w:rsidR="008F2E83" w:rsidRDefault="008F2E83" w:rsidP="000C7A79">
            <w:pPr>
              <w:spacing w:after="0" w:line="240" w:lineRule="auto"/>
              <w:jc w:val="left"/>
              <w:rPr>
                <w:spacing w:val="-2"/>
                <w:sz w:val="16"/>
                <w:szCs w:val="16"/>
                <w:lang w:eastAsia="en-US"/>
              </w:rPr>
            </w:pPr>
          </w:p>
        </w:tc>
        <w:tc>
          <w:tcPr>
            <w:tcW w:w="229" w:type="dxa"/>
            <w:vMerge/>
            <w:vAlign w:val="center"/>
            <w:hideMark/>
          </w:tcPr>
          <w:p w14:paraId="07FC3084" w14:textId="77777777" w:rsidR="008F2E83" w:rsidRDefault="008F2E83" w:rsidP="000C7A79">
            <w:pPr>
              <w:spacing w:after="0" w:line="240" w:lineRule="auto"/>
              <w:jc w:val="left"/>
              <w:rPr>
                <w:rFonts w:eastAsia="Calibri"/>
                <w:spacing w:val="-4"/>
                <w:szCs w:val="20"/>
                <w:lang w:eastAsia="en-US"/>
              </w:rPr>
            </w:pPr>
          </w:p>
        </w:tc>
        <w:tc>
          <w:tcPr>
            <w:tcW w:w="7610" w:type="dxa"/>
            <w:hideMark/>
          </w:tcPr>
          <w:p w14:paraId="70DDFCA9" w14:textId="77777777" w:rsidR="008F2E83" w:rsidRDefault="008F2E83" w:rsidP="000C7A79">
            <w:pPr>
              <w:spacing w:after="0"/>
              <w:rPr>
                <w:sz w:val="14"/>
                <w:szCs w:val="14"/>
                <w:lang w:eastAsia="en-US"/>
              </w:rPr>
            </w:pPr>
            <w:r>
              <w:rPr>
                <w:noProof/>
              </w:rPr>
              <w:drawing>
                <wp:inline distT="0" distB="0" distL="0" distR="0" wp14:anchorId="73F74EBA" wp14:editId="71943C5D">
                  <wp:extent cx="4737600" cy="3553200"/>
                  <wp:effectExtent l="0" t="0" r="6350" b="0"/>
                  <wp:docPr id="15" name="Graf 15">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8F2E83" w14:paraId="5257CE52" w14:textId="77777777" w:rsidTr="000C7A79">
        <w:trPr>
          <w:trHeight w:val="170"/>
        </w:trPr>
        <w:tc>
          <w:tcPr>
            <w:tcW w:w="0" w:type="auto"/>
            <w:vMerge/>
            <w:vAlign w:val="center"/>
            <w:hideMark/>
          </w:tcPr>
          <w:p w14:paraId="2B37BF18" w14:textId="77777777" w:rsidR="008F2E83" w:rsidRDefault="008F2E83" w:rsidP="000C7A79">
            <w:pPr>
              <w:spacing w:after="0" w:line="240" w:lineRule="auto"/>
              <w:jc w:val="left"/>
              <w:rPr>
                <w:spacing w:val="-2"/>
                <w:sz w:val="16"/>
                <w:szCs w:val="16"/>
                <w:lang w:eastAsia="en-US"/>
              </w:rPr>
            </w:pPr>
          </w:p>
        </w:tc>
        <w:tc>
          <w:tcPr>
            <w:tcW w:w="0" w:type="auto"/>
            <w:vMerge/>
            <w:vAlign w:val="center"/>
            <w:hideMark/>
          </w:tcPr>
          <w:p w14:paraId="14AAD363" w14:textId="77777777" w:rsidR="008F2E83" w:rsidRDefault="008F2E83" w:rsidP="000C7A79">
            <w:pPr>
              <w:spacing w:after="0" w:line="240" w:lineRule="auto"/>
              <w:jc w:val="left"/>
              <w:rPr>
                <w:rFonts w:eastAsia="Calibri"/>
                <w:spacing w:val="-4"/>
                <w:szCs w:val="20"/>
                <w:lang w:eastAsia="en-US"/>
              </w:rPr>
            </w:pPr>
          </w:p>
        </w:tc>
        <w:tc>
          <w:tcPr>
            <w:tcW w:w="7610" w:type="dxa"/>
            <w:hideMark/>
          </w:tcPr>
          <w:p w14:paraId="787C445E" w14:textId="77777777" w:rsidR="008F2E83" w:rsidRDefault="008F2E83" w:rsidP="000C7A79">
            <w:pPr>
              <w:rPr>
                <w:sz w:val="14"/>
                <w:szCs w:val="14"/>
                <w:lang w:eastAsia="en-US"/>
              </w:rPr>
            </w:pPr>
            <w:r>
              <w:rPr>
                <w:sz w:val="14"/>
                <w:szCs w:val="14"/>
                <w:lang w:eastAsia="en-US"/>
              </w:rPr>
              <w:t>Zdroj: ČNB</w:t>
            </w:r>
          </w:p>
        </w:tc>
      </w:tr>
    </w:tbl>
    <w:p w14:paraId="0D930984" w14:textId="77777777" w:rsidR="008F2E83" w:rsidRPr="00E42054" w:rsidRDefault="008F2E83" w:rsidP="008F2E83">
      <w:pPr>
        <w:pStyle w:val="Nadpis11"/>
        <w:rPr>
          <w:b w:val="0"/>
          <w:sz w:val="2"/>
          <w:szCs w:val="2"/>
        </w:rPr>
      </w:pPr>
    </w:p>
    <w:p w14:paraId="5CE0CBBE" w14:textId="77777777" w:rsidR="008F2E83" w:rsidRPr="00E42054" w:rsidRDefault="008F2E83" w:rsidP="008F2E83">
      <w:pPr>
        <w:pStyle w:val="Nadpis11"/>
        <w:rPr>
          <w:b w:val="0"/>
          <w:sz w:val="2"/>
          <w:szCs w:val="2"/>
        </w:rPr>
      </w:pPr>
    </w:p>
    <w:p w14:paraId="36F51A1B" w14:textId="77777777" w:rsidR="008F2E83" w:rsidRDefault="008F2E83" w:rsidP="008F2E83">
      <w:pPr>
        <w:pStyle w:val="Nadpis11"/>
        <w:rPr>
          <w:b w:val="0"/>
          <w:sz w:val="2"/>
          <w:szCs w:val="2"/>
        </w:rPr>
      </w:pPr>
    </w:p>
    <w:p w14:paraId="3409E2F5" w14:textId="77777777" w:rsidR="008F2E83" w:rsidRPr="000F45E7" w:rsidRDefault="008F2E83" w:rsidP="008F2E83">
      <w:pPr>
        <w:pStyle w:val="Nadpis11"/>
        <w:spacing w:after="0"/>
        <w:rPr>
          <w:b w:val="0"/>
          <w:sz w:val="2"/>
          <w:szCs w:val="2"/>
        </w:rPr>
      </w:pPr>
      <w:bookmarkStart w:id="1" w:name="_GoBack"/>
      <w:bookmarkEnd w:id="1"/>
    </w:p>
    <w:p w14:paraId="5BAB8EA3" w14:textId="3E49B7A0" w:rsidR="000663F0" w:rsidRPr="00E42054" w:rsidRDefault="000663F0" w:rsidP="00A315D0">
      <w:pPr>
        <w:pStyle w:val="Nadpis11"/>
        <w:rPr>
          <w:b w:val="0"/>
          <w:sz w:val="2"/>
          <w:szCs w:val="2"/>
        </w:rPr>
      </w:pPr>
    </w:p>
    <w:sectPr w:rsidR="000663F0" w:rsidRPr="00E42054" w:rsidSect="00CD0047">
      <w:headerReference w:type="even" r:id="rId10"/>
      <w:headerReference w:type="default" r:id="rId11"/>
      <w:footerReference w:type="even" r:id="rId12"/>
      <w:footerReference w:type="default" r:id="rId13"/>
      <w:pgSz w:w="11906" w:h="16838" w:code="9"/>
      <w:pgMar w:top="1134" w:right="1134" w:bottom="1418" w:left="1134" w:header="680" w:footer="737"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F9CBD" w14:textId="77777777" w:rsidR="00612C00" w:rsidRDefault="00612C00" w:rsidP="00E71A58">
      <w:r>
        <w:separator/>
      </w:r>
    </w:p>
  </w:endnote>
  <w:endnote w:type="continuationSeparator" w:id="0">
    <w:p w14:paraId="20C2329F" w14:textId="77777777" w:rsidR="00612C00" w:rsidRDefault="00612C0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65D40389" w:rsidR="00CF35A7" w:rsidRPr="00932443" w:rsidRDefault="00CF35A7"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CD0047">
      <w:rPr>
        <w:szCs w:val="16"/>
      </w:rPr>
      <w:t>32</w:t>
    </w:r>
    <w:r w:rsidRPr="00932443">
      <w:rPr>
        <w:szCs w:val="16"/>
      </w:rPr>
      <w:fldChar w:fldCharType="end"/>
    </w:r>
    <w:r w:rsidRPr="00932443">
      <w:rPr>
        <w:szCs w:val="16"/>
      </w:rPr>
      <w:tab/>
    </w:r>
    <w:r>
      <w:rPr>
        <w:szCs w:val="16"/>
      </w:rPr>
      <w:t>1. pololetí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0EDA6742" w:rsidR="00CF35A7" w:rsidRPr="00932443" w:rsidRDefault="00CF35A7" w:rsidP="00FA6CB6">
    <w:pPr>
      <w:pStyle w:val="Zpat"/>
      <w:rPr>
        <w:szCs w:val="16"/>
      </w:rPr>
    </w:pPr>
    <w:r w:rsidRPr="00FA6CB6">
      <w:rPr>
        <w:szCs w:val="16"/>
      </w:rPr>
      <w:tab/>
    </w:r>
    <w:r>
      <w:rPr>
        <w:szCs w:val="16"/>
      </w:rPr>
      <w:t>1. pololetí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CD0047">
      <w:rPr>
        <w:rStyle w:val="ZpatChar"/>
        <w:szCs w:val="16"/>
      </w:rPr>
      <w:t>31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D669" w14:textId="77777777" w:rsidR="00612C00" w:rsidRDefault="00612C00" w:rsidP="00A21B4D">
      <w:pPr>
        <w:spacing w:after="0"/>
      </w:pPr>
      <w:r>
        <w:separator/>
      </w:r>
    </w:p>
  </w:footnote>
  <w:footnote w:type="continuationSeparator" w:id="0">
    <w:p w14:paraId="0199BF62" w14:textId="77777777" w:rsidR="00612C00" w:rsidRDefault="00612C00" w:rsidP="00E71A58">
      <w:r>
        <w:continuationSeparator/>
      </w:r>
    </w:p>
  </w:footnote>
  <w:footnote w:id="1">
    <w:p w14:paraId="5EDCB34B" w14:textId="77777777" w:rsidR="00CF35A7" w:rsidRDefault="00CF35A7" w:rsidP="008F2E83">
      <w:pPr>
        <w:pStyle w:val="Textpoznpodarou"/>
        <w:rPr>
          <w:sz w:val="16"/>
          <w:szCs w:val="16"/>
        </w:rPr>
      </w:pPr>
      <w:r>
        <w:rPr>
          <w:rStyle w:val="Znakapoznpodarou"/>
          <w:sz w:val="16"/>
          <w:szCs w:val="16"/>
        </w:rPr>
        <w:footnoteRef/>
      </w:r>
      <w:r>
        <w:rPr>
          <w:sz w:val="16"/>
          <w:szCs w:val="16"/>
        </w:rPr>
        <w:t xml:space="preserve"> Není-li uvedeno jinak, je zdrojem údajů v této kapitole databáze ARAD České národní banky. Hodnoty směnných kurzů jsou rovněž převzaty od ČNB.</w:t>
      </w:r>
    </w:p>
  </w:footnote>
  <w:footnote w:id="2">
    <w:p w14:paraId="53D739A8" w14:textId="77777777" w:rsidR="00CF35A7" w:rsidRPr="001F5F82" w:rsidRDefault="00CF35A7" w:rsidP="008F2E83">
      <w:pPr>
        <w:pStyle w:val="Textpoznpodarou"/>
        <w:rPr>
          <w:sz w:val="16"/>
          <w:szCs w:val="16"/>
        </w:rPr>
      </w:pPr>
      <w:r w:rsidRPr="001F5F82">
        <w:rPr>
          <w:rStyle w:val="Znakapoznpodarou"/>
          <w:sz w:val="16"/>
          <w:szCs w:val="16"/>
        </w:rPr>
        <w:footnoteRef/>
      </w:r>
      <w:r w:rsidRPr="001F5F82">
        <w:rPr>
          <w:sz w:val="16"/>
          <w:szCs w:val="16"/>
        </w:rPr>
        <w:t xml:space="preserve"> Není-li uvedeno jinak, je změnou úrokových sazeb myšlen rozdíl mezi hodnotou ke dni 3</w:t>
      </w:r>
      <w:r>
        <w:rPr>
          <w:sz w:val="16"/>
          <w:szCs w:val="16"/>
        </w:rPr>
        <w:t>0. 6</w:t>
      </w:r>
      <w:r w:rsidRPr="001F5F82">
        <w:rPr>
          <w:sz w:val="16"/>
          <w:szCs w:val="16"/>
        </w:rPr>
        <w:t>.</w:t>
      </w:r>
      <w:r>
        <w:rPr>
          <w:sz w:val="16"/>
          <w:szCs w:val="16"/>
        </w:rPr>
        <w:t xml:space="preserve"> 2022</w:t>
      </w:r>
      <w:r w:rsidRPr="001F5F82">
        <w:rPr>
          <w:sz w:val="16"/>
          <w:szCs w:val="16"/>
        </w:rPr>
        <w:t xml:space="preserve"> a</w:t>
      </w:r>
      <w:r>
        <w:rPr>
          <w:sz w:val="16"/>
          <w:szCs w:val="16"/>
        </w:rPr>
        <w:t> </w:t>
      </w:r>
      <w:r w:rsidRPr="001F5F82">
        <w:rPr>
          <w:sz w:val="16"/>
          <w:szCs w:val="16"/>
        </w:rPr>
        <w:t>3</w:t>
      </w:r>
      <w:r>
        <w:rPr>
          <w:sz w:val="16"/>
          <w:szCs w:val="16"/>
        </w:rPr>
        <w:t>1. 3</w:t>
      </w:r>
      <w:r w:rsidRPr="001F5F82">
        <w:rPr>
          <w:sz w:val="16"/>
          <w:szCs w:val="16"/>
        </w:rPr>
        <w:t>.</w:t>
      </w:r>
      <w:r>
        <w:rPr>
          <w:sz w:val="16"/>
          <w:szCs w:val="16"/>
        </w:rPr>
        <w:t xml:space="preserve"> 2022.</w:t>
      </w:r>
    </w:p>
  </w:footnote>
  <w:footnote w:id="3">
    <w:p w14:paraId="02CBD413" w14:textId="77777777" w:rsidR="00CF35A7" w:rsidRPr="00651A71" w:rsidRDefault="00CF35A7" w:rsidP="008F2E83">
      <w:pPr>
        <w:pStyle w:val="Textpoznpodarou"/>
        <w:rPr>
          <w:sz w:val="16"/>
          <w:szCs w:val="16"/>
        </w:rPr>
      </w:pPr>
      <w:r w:rsidRPr="00651A71">
        <w:rPr>
          <w:rStyle w:val="Znakapoznpodarou"/>
          <w:sz w:val="16"/>
          <w:szCs w:val="16"/>
        </w:rPr>
        <w:footnoteRef/>
      </w:r>
      <w:r w:rsidRPr="00651A71">
        <w:rPr>
          <w:sz w:val="16"/>
          <w:szCs w:val="16"/>
        </w:rPr>
        <w:t xml:space="preserve"> O</w:t>
      </w:r>
      <w:r w:rsidRPr="00651A71">
        <w:rPr>
          <w:spacing w:val="-3"/>
          <w:sz w:val="16"/>
          <w:szCs w:val="16"/>
          <w:lang w:eastAsia="en-US"/>
        </w:rPr>
        <w:t>byvatelstvo</w:t>
      </w:r>
      <w:r>
        <w:rPr>
          <w:spacing w:val="-3"/>
          <w:sz w:val="16"/>
          <w:szCs w:val="16"/>
          <w:lang w:eastAsia="en-US"/>
        </w:rPr>
        <w:t xml:space="preserve"> včetně </w:t>
      </w:r>
      <w:r w:rsidRPr="00651A71">
        <w:rPr>
          <w:spacing w:val="-3"/>
          <w:sz w:val="16"/>
          <w:szCs w:val="16"/>
          <w:lang w:eastAsia="en-US"/>
        </w:rPr>
        <w:t>živnostníků.</w:t>
      </w:r>
    </w:p>
  </w:footnote>
  <w:footnote w:id="4">
    <w:p w14:paraId="6093A1E9" w14:textId="77777777" w:rsidR="00CF35A7" w:rsidRPr="00284DA5" w:rsidRDefault="00CF35A7" w:rsidP="008F2E83">
      <w:pPr>
        <w:pStyle w:val="Textpoznpodarou"/>
        <w:rPr>
          <w:sz w:val="16"/>
          <w:szCs w:val="16"/>
        </w:rPr>
      </w:pPr>
      <w:r w:rsidRPr="00284DA5">
        <w:rPr>
          <w:rStyle w:val="Znakapoznpodarou"/>
          <w:sz w:val="16"/>
          <w:szCs w:val="16"/>
        </w:rPr>
        <w:footnoteRef/>
      </w:r>
      <w:r w:rsidRPr="00284DA5">
        <w:rPr>
          <w:sz w:val="16"/>
          <w:szCs w:val="16"/>
        </w:rPr>
        <w:t xml:space="preserve"> V nových smlouvách jsou zahrnuty i</w:t>
      </w:r>
      <w:r>
        <w:rPr>
          <w:sz w:val="16"/>
          <w:szCs w:val="16"/>
        </w:rPr>
        <w:t> </w:t>
      </w:r>
      <w:r w:rsidRPr="00284DA5">
        <w:rPr>
          <w:sz w:val="16"/>
          <w:szCs w:val="16"/>
        </w:rPr>
        <w:t>refinancované úvěry a</w:t>
      </w:r>
      <w:r>
        <w:rPr>
          <w:sz w:val="16"/>
          <w:szCs w:val="16"/>
        </w:rPr>
        <w:t> </w:t>
      </w:r>
      <w:r w:rsidRPr="00284DA5">
        <w:rPr>
          <w:sz w:val="16"/>
          <w:szCs w:val="16"/>
        </w:rPr>
        <w:t>ostatní ujednání (v</w:t>
      </w:r>
      <w:r>
        <w:rPr>
          <w:sz w:val="16"/>
          <w:szCs w:val="16"/>
        </w:rPr>
        <w:t> </w:t>
      </w:r>
      <w:r w:rsidRPr="00284DA5">
        <w:rPr>
          <w:sz w:val="16"/>
          <w:szCs w:val="16"/>
        </w:rPr>
        <w:t>poslední</w:t>
      </w:r>
      <w:r>
        <w:rPr>
          <w:sz w:val="16"/>
          <w:szCs w:val="16"/>
        </w:rPr>
        <w:t>ch</w:t>
      </w:r>
      <w:r w:rsidRPr="00284DA5">
        <w:rPr>
          <w:sz w:val="16"/>
          <w:szCs w:val="16"/>
        </w:rPr>
        <w:t xml:space="preserve"> </w:t>
      </w:r>
      <w:r>
        <w:rPr>
          <w:sz w:val="16"/>
          <w:szCs w:val="16"/>
        </w:rPr>
        <w:t>dvou letech</w:t>
      </w:r>
      <w:r w:rsidRPr="00284DA5">
        <w:rPr>
          <w:sz w:val="16"/>
          <w:szCs w:val="16"/>
        </w:rPr>
        <w:t xml:space="preserve"> zejména odklady splátek).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CF35A7" w:rsidRDefault="00CF35A7" w:rsidP="00937AE2">
    <w:pPr>
      <w:pStyle w:val="Zhlav"/>
    </w:pPr>
    <w:r>
      <w:t>Vývoj ekonomiky České republiky</w:t>
    </w:r>
  </w:p>
  <w:p w14:paraId="3E881AB3" w14:textId="77777777" w:rsidR="00CF35A7" w:rsidRPr="006F5416" w:rsidRDefault="00CF35A7"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CF35A7" w:rsidRDefault="00CF35A7" w:rsidP="00937AE2">
    <w:pPr>
      <w:pStyle w:val="Zhlav"/>
    </w:pPr>
    <w:r>
      <w:t>Vývoj ekonomiky České republiky</w:t>
    </w:r>
  </w:p>
  <w:p w14:paraId="57266714" w14:textId="77777777" w:rsidR="00CF35A7" w:rsidRPr="006F5416" w:rsidRDefault="00CF35A7"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389"/>
    <w:rsid w:val="0002669F"/>
    <w:rsid w:val="000279E5"/>
    <w:rsid w:val="000305E0"/>
    <w:rsid w:val="00031AE0"/>
    <w:rsid w:val="00031BB2"/>
    <w:rsid w:val="000322EF"/>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AD4"/>
    <w:rsid w:val="00047D54"/>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F0"/>
    <w:rsid w:val="00066558"/>
    <w:rsid w:val="000671DB"/>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7CD"/>
    <w:rsid w:val="00083B7F"/>
    <w:rsid w:val="00084BFF"/>
    <w:rsid w:val="00085395"/>
    <w:rsid w:val="00086896"/>
    <w:rsid w:val="00086AC1"/>
    <w:rsid w:val="00086D19"/>
    <w:rsid w:val="00087634"/>
    <w:rsid w:val="00087F2B"/>
    <w:rsid w:val="00090694"/>
    <w:rsid w:val="00090EE2"/>
    <w:rsid w:val="00090FC6"/>
    <w:rsid w:val="000913B1"/>
    <w:rsid w:val="0009290F"/>
    <w:rsid w:val="00093241"/>
    <w:rsid w:val="00093868"/>
    <w:rsid w:val="00094A84"/>
    <w:rsid w:val="00095025"/>
    <w:rsid w:val="00095135"/>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A2C"/>
    <w:rsid w:val="000A3D9E"/>
    <w:rsid w:val="000A4A54"/>
    <w:rsid w:val="000A4ED9"/>
    <w:rsid w:val="000A5DB7"/>
    <w:rsid w:val="000A6753"/>
    <w:rsid w:val="000A6D94"/>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E0E96"/>
    <w:rsid w:val="000E298B"/>
    <w:rsid w:val="000E2C7D"/>
    <w:rsid w:val="000E3E56"/>
    <w:rsid w:val="000E440D"/>
    <w:rsid w:val="000E4AC5"/>
    <w:rsid w:val="000E6253"/>
    <w:rsid w:val="000E6AC4"/>
    <w:rsid w:val="000E6E4D"/>
    <w:rsid w:val="000E6FBD"/>
    <w:rsid w:val="000E6FCB"/>
    <w:rsid w:val="000F090B"/>
    <w:rsid w:val="000F15F7"/>
    <w:rsid w:val="000F1AA2"/>
    <w:rsid w:val="000F378E"/>
    <w:rsid w:val="000F3F3B"/>
    <w:rsid w:val="000F4721"/>
    <w:rsid w:val="000F47E8"/>
    <w:rsid w:val="000F70E4"/>
    <w:rsid w:val="000F76EA"/>
    <w:rsid w:val="00100A8B"/>
    <w:rsid w:val="00100F5C"/>
    <w:rsid w:val="00101B15"/>
    <w:rsid w:val="00101CDA"/>
    <w:rsid w:val="00102037"/>
    <w:rsid w:val="00103DCB"/>
    <w:rsid w:val="00104C4C"/>
    <w:rsid w:val="00105015"/>
    <w:rsid w:val="001055D2"/>
    <w:rsid w:val="001057C2"/>
    <w:rsid w:val="00107124"/>
    <w:rsid w:val="0011038E"/>
    <w:rsid w:val="00111573"/>
    <w:rsid w:val="001125EF"/>
    <w:rsid w:val="00112CAB"/>
    <w:rsid w:val="0011440C"/>
    <w:rsid w:val="00114C33"/>
    <w:rsid w:val="00116D3F"/>
    <w:rsid w:val="00117474"/>
    <w:rsid w:val="00117623"/>
    <w:rsid w:val="00117FEA"/>
    <w:rsid w:val="001200CF"/>
    <w:rsid w:val="001208E3"/>
    <w:rsid w:val="00121609"/>
    <w:rsid w:val="0012192F"/>
    <w:rsid w:val="00122994"/>
    <w:rsid w:val="00123204"/>
    <w:rsid w:val="00124B46"/>
    <w:rsid w:val="001257BE"/>
    <w:rsid w:val="001257E0"/>
    <w:rsid w:val="00125D69"/>
    <w:rsid w:val="0012799C"/>
    <w:rsid w:val="00127BC2"/>
    <w:rsid w:val="00127E15"/>
    <w:rsid w:val="00130ADC"/>
    <w:rsid w:val="00130D9F"/>
    <w:rsid w:val="00132C4D"/>
    <w:rsid w:val="00133FC1"/>
    <w:rsid w:val="00134659"/>
    <w:rsid w:val="00135111"/>
    <w:rsid w:val="00136A6F"/>
    <w:rsid w:val="00136C1A"/>
    <w:rsid w:val="00137812"/>
    <w:rsid w:val="001405FA"/>
    <w:rsid w:val="00140D1A"/>
    <w:rsid w:val="00141184"/>
    <w:rsid w:val="00141315"/>
    <w:rsid w:val="00141AA0"/>
    <w:rsid w:val="001425C3"/>
    <w:rsid w:val="0014262D"/>
    <w:rsid w:val="00142B29"/>
    <w:rsid w:val="00144108"/>
    <w:rsid w:val="00144588"/>
    <w:rsid w:val="001447DD"/>
    <w:rsid w:val="00145358"/>
    <w:rsid w:val="001459BC"/>
    <w:rsid w:val="00150ECA"/>
    <w:rsid w:val="00151707"/>
    <w:rsid w:val="00152C86"/>
    <w:rsid w:val="00152F4F"/>
    <w:rsid w:val="00153264"/>
    <w:rsid w:val="0015329F"/>
    <w:rsid w:val="001544A1"/>
    <w:rsid w:val="001553B8"/>
    <w:rsid w:val="001554C2"/>
    <w:rsid w:val="00156D04"/>
    <w:rsid w:val="001571C0"/>
    <w:rsid w:val="0015753D"/>
    <w:rsid w:val="00157984"/>
    <w:rsid w:val="00157CC9"/>
    <w:rsid w:val="00160C21"/>
    <w:rsid w:val="001612F4"/>
    <w:rsid w:val="00161553"/>
    <w:rsid w:val="0016216F"/>
    <w:rsid w:val="0016256B"/>
    <w:rsid w:val="00162F81"/>
    <w:rsid w:val="00163793"/>
    <w:rsid w:val="00164CA1"/>
    <w:rsid w:val="00165313"/>
    <w:rsid w:val="001665AB"/>
    <w:rsid w:val="00167485"/>
    <w:rsid w:val="001679F5"/>
    <w:rsid w:val="00167B92"/>
    <w:rsid w:val="00167CB9"/>
    <w:rsid w:val="00167DD8"/>
    <w:rsid w:val="001705AD"/>
    <w:rsid w:val="001706D6"/>
    <w:rsid w:val="001714F2"/>
    <w:rsid w:val="00171FEA"/>
    <w:rsid w:val="00173622"/>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4B8F"/>
    <w:rsid w:val="001C4BB8"/>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7EFD"/>
    <w:rsid w:val="001D7F60"/>
    <w:rsid w:val="001E085B"/>
    <w:rsid w:val="001E149B"/>
    <w:rsid w:val="001E15CB"/>
    <w:rsid w:val="001E3306"/>
    <w:rsid w:val="001E504C"/>
    <w:rsid w:val="001E56AC"/>
    <w:rsid w:val="001E5A17"/>
    <w:rsid w:val="001E74C5"/>
    <w:rsid w:val="001F1236"/>
    <w:rsid w:val="001F2F90"/>
    <w:rsid w:val="001F4597"/>
    <w:rsid w:val="001F4826"/>
    <w:rsid w:val="001F4933"/>
    <w:rsid w:val="001F59C8"/>
    <w:rsid w:val="001F6CD3"/>
    <w:rsid w:val="001F75DA"/>
    <w:rsid w:val="001F7931"/>
    <w:rsid w:val="001F7CE0"/>
    <w:rsid w:val="00200085"/>
    <w:rsid w:val="00201633"/>
    <w:rsid w:val="00203332"/>
    <w:rsid w:val="00203CD5"/>
    <w:rsid w:val="00203D8F"/>
    <w:rsid w:val="00203DA4"/>
    <w:rsid w:val="00204EA6"/>
    <w:rsid w:val="00205186"/>
    <w:rsid w:val="00206516"/>
    <w:rsid w:val="002070CF"/>
    <w:rsid w:val="002071D5"/>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496"/>
    <w:rsid w:val="00251B08"/>
    <w:rsid w:val="00251C53"/>
    <w:rsid w:val="00252AB9"/>
    <w:rsid w:val="002532B1"/>
    <w:rsid w:val="00253C0F"/>
    <w:rsid w:val="002558C1"/>
    <w:rsid w:val="00256207"/>
    <w:rsid w:val="002575F3"/>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63A2"/>
    <w:rsid w:val="00276B33"/>
    <w:rsid w:val="00277669"/>
    <w:rsid w:val="002803A5"/>
    <w:rsid w:val="00280ACB"/>
    <w:rsid w:val="002812E3"/>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17EC"/>
    <w:rsid w:val="00302165"/>
    <w:rsid w:val="00303BB4"/>
    <w:rsid w:val="00304771"/>
    <w:rsid w:val="00304F9C"/>
    <w:rsid w:val="003052D4"/>
    <w:rsid w:val="00305863"/>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3A2F"/>
    <w:rsid w:val="003247E1"/>
    <w:rsid w:val="00324B59"/>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541BB"/>
    <w:rsid w:val="00354F89"/>
    <w:rsid w:val="0035506D"/>
    <w:rsid w:val="0036077F"/>
    <w:rsid w:val="00360C86"/>
    <w:rsid w:val="00360F7A"/>
    <w:rsid w:val="00360FBC"/>
    <w:rsid w:val="00361537"/>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45E3"/>
    <w:rsid w:val="003A46B8"/>
    <w:rsid w:val="003A478C"/>
    <w:rsid w:val="003A4A38"/>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6920"/>
    <w:rsid w:val="003E0249"/>
    <w:rsid w:val="003E08A4"/>
    <w:rsid w:val="003E1EF8"/>
    <w:rsid w:val="003E2DFB"/>
    <w:rsid w:val="003E4466"/>
    <w:rsid w:val="003E4C91"/>
    <w:rsid w:val="003E52D8"/>
    <w:rsid w:val="003E62F1"/>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1179"/>
    <w:rsid w:val="004225D7"/>
    <w:rsid w:val="00423623"/>
    <w:rsid w:val="0042470E"/>
    <w:rsid w:val="00425352"/>
    <w:rsid w:val="00426C99"/>
    <w:rsid w:val="004272BE"/>
    <w:rsid w:val="00430C96"/>
    <w:rsid w:val="0043174F"/>
    <w:rsid w:val="00431BFF"/>
    <w:rsid w:val="00432199"/>
    <w:rsid w:val="00432A58"/>
    <w:rsid w:val="004331C3"/>
    <w:rsid w:val="00433C17"/>
    <w:rsid w:val="00434617"/>
    <w:rsid w:val="00434DE9"/>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735C"/>
    <w:rsid w:val="004776BC"/>
    <w:rsid w:val="00477820"/>
    <w:rsid w:val="00477B96"/>
    <w:rsid w:val="00480802"/>
    <w:rsid w:val="00480BAE"/>
    <w:rsid w:val="00480D7F"/>
    <w:rsid w:val="0048139F"/>
    <w:rsid w:val="00481E40"/>
    <w:rsid w:val="00482405"/>
    <w:rsid w:val="004826A7"/>
    <w:rsid w:val="0048368C"/>
    <w:rsid w:val="0048372F"/>
    <w:rsid w:val="00483A0C"/>
    <w:rsid w:val="004841CC"/>
    <w:rsid w:val="00484ECE"/>
    <w:rsid w:val="00485E82"/>
    <w:rsid w:val="00486132"/>
    <w:rsid w:val="0048686D"/>
    <w:rsid w:val="00486A4D"/>
    <w:rsid w:val="004915CB"/>
    <w:rsid w:val="004924DC"/>
    <w:rsid w:val="00492879"/>
    <w:rsid w:val="00493E85"/>
    <w:rsid w:val="00495145"/>
    <w:rsid w:val="0049531F"/>
    <w:rsid w:val="004979A5"/>
    <w:rsid w:val="004A0144"/>
    <w:rsid w:val="004A036E"/>
    <w:rsid w:val="004A0498"/>
    <w:rsid w:val="004A06B0"/>
    <w:rsid w:val="004A0D0E"/>
    <w:rsid w:val="004A14E4"/>
    <w:rsid w:val="004A204E"/>
    <w:rsid w:val="004A26A5"/>
    <w:rsid w:val="004A27F0"/>
    <w:rsid w:val="004A3212"/>
    <w:rsid w:val="004A37CD"/>
    <w:rsid w:val="004A40D9"/>
    <w:rsid w:val="004A49A5"/>
    <w:rsid w:val="004A4F8A"/>
    <w:rsid w:val="004A52AB"/>
    <w:rsid w:val="004A5494"/>
    <w:rsid w:val="004A5D4E"/>
    <w:rsid w:val="004A61C5"/>
    <w:rsid w:val="004A62A0"/>
    <w:rsid w:val="004A77DF"/>
    <w:rsid w:val="004B1417"/>
    <w:rsid w:val="004B305C"/>
    <w:rsid w:val="004B31B8"/>
    <w:rsid w:val="004B339A"/>
    <w:rsid w:val="004B4C83"/>
    <w:rsid w:val="004B55B7"/>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D31"/>
    <w:rsid w:val="004D2E03"/>
    <w:rsid w:val="004D3296"/>
    <w:rsid w:val="004D4056"/>
    <w:rsid w:val="004D4CB0"/>
    <w:rsid w:val="004D5B0F"/>
    <w:rsid w:val="004D7626"/>
    <w:rsid w:val="004E085C"/>
    <w:rsid w:val="004E12DF"/>
    <w:rsid w:val="004E186A"/>
    <w:rsid w:val="004E1A40"/>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3A3"/>
    <w:rsid w:val="005455F6"/>
    <w:rsid w:val="0054582F"/>
    <w:rsid w:val="00546FC7"/>
    <w:rsid w:val="005500F9"/>
    <w:rsid w:val="00550160"/>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C41"/>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BC3"/>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90608"/>
    <w:rsid w:val="00590B28"/>
    <w:rsid w:val="005911BE"/>
    <w:rsid w:val="00591273"/>
    <w:rsid w:val="00591E9E"/>
    <w:rsid w:val="005927A4"/>
    <w:rsid w:val="00593152"/>
    <w:rsid w:val="00593389"/>
    <w:rsid w:val="00593FE6"/>
    <w:rsid w:val="005956A3"/>
    <w:rsid w:val="00595958"/>
    <w:rsid w:val="00595CAB"/>
    <w:rsid w:val="0059622E"/>
    <w:rsid w:val="00597671"/>
    <w:rsid w:val="00597BBF"/>
    <w:rsid w:val="005A040C"/>
    <w:rsid w:val="005A0463"/>
    <w:rsid w:val="005A0948"/>
    <w:rsid w:val="005A0A03"/>
    <w:rsid w:val="005A10F2"/>
    <w:rsid w:val="005A16C0"/>
    <w:rsid w:val="005A2156"/>
    <w:rsid w:val="005A21E0"/>
    <w:rsid w:val="005A28FF"/>
    <w:rsid w:val="005A2C09"/>
    <w:rsid w:val="005A3778"/>
    <w:rsid w:val="005A37B0"/>
    <w:rsid w:val="005A3DF8"/>
    <w:rsid w:val="005A5549"/>
    <w:rsid w:val="005A566A"/>
    <w:rsid w:val="005A56E0"/>
    <w:rsid w:val="005A70CA"/>
    <w:rsid w:val="005A7ABD"/>
    <w:rsid w:val="005A7CF8"/>
    <w:rsid w:val="005B0EDA"/>
    <w:rsid w:val="005B121D"/>
    <w:rsid w:val="005B26B0"/>
    <w:rsid w:val="005B41C9"/>
    <w:rsid w:val="005B44E6"/>
    <w:rsid w:val="005B4853"/>
    <w:rsid w:val="005B6CA1"/>
    <w:rsid w:val="005B770C"/>
    <w:rsid w:val="005C06ED"/>
    <w:rsid w:val="005C0CE1"/>
    <w:rsid w:val="005C11B8"/>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66E6"/>
    <w:rsid w:val="005D7119"/>
    <w:rsid w:val="005D76C8"/>
    <w:rsid w:val="005D7890"/>
    <w:rsid w:val="005E19C1"/>
    <w:rsid w:val="005E2194"/>
    <w:rsid w:val="005E24F0"/>
    <w:rsid w:val="005E3113"/>
    <w:rsid w:val="005E36FE"/>
    <w:rsid w:val="005E3F66"/>
    <w:rsid w:val="005E490F"/>
    <w:rsid w:val="005E4BC9"/>
    <w:rsid w:val="005E531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60120D"/>
    <w:rsid w:val="006017C1"/>
    <w:rsid w:val="00601ADE"/>
    <w:rsid w:val="00601EEF"/>
    <w:rsid w:val="0060255A"/>
    <w:rsid w:val="00602998"/>
    <w:rsid w:val="00602EB3"/>
    <w:rsid w:val="00604307"/>
    <w:rsid w:val="0060487F"/>
    <w:rsid w:val="00604EAD"/>
    <w:rsid w:val="0060513F"/>
    <w:rsid w:val="006065E2"/>
    <w:rsid w:val="0060694B"/>
    <w:rsid w:val="006104FB"/>
    <w:rsid w:val="0061176D"/>
    <w:rsid w:val="0061200F"/>
    <w:rsid w:val="00612756"/>
    <w:rsid w:val="00612A2F"/>
    <w:rsid w:val="00612AAE"/>
    <w:rsid w:val="00612B07"/>
    <w:rsid w:val="00612C00"/>
    <w:rsid w:val="00612FD9"/>
    <w:rsid w:val="006139E0"/>
    <w:rsid w:val="00614D35"/>
    <w:rsid w:val="006156B4"/>
    <w:rsid w:val="00615DAF"/>
    <w:rsid w:val="00616254"/>
    <w:rsid w:val="0061672A"/>
    <w:rsid w:val="00616E05"/>
    <w:rsid w:val="00617985"/>
    <w:rsid w:val="00620B77"/>
    <w:rsid w:val="00621190"/>
    <w:rsid w:val="0062131B"/>
    <w:rsid w:val="00621E26"/>
    <w:rsid w:val="006224EA"/>
    <w:rsid w:val="0062263A"/>
    <w:rsid w:val="006227DF"/>
    <w:rsid w:val="006234A0"/>
    <w:rsid w:val="006236C8"/>
    <w:rsid w:val="00624093"/>
    <w:rsid w:val="00625A84"/>
    <w:rsid w:val="00626079"/>
    <w:rsid w:val="00631698"/>
    <w:rsid w:val="00631E44"/>
    <w:rsid w:val="00634C57"/>
    <w:rsid w:val="00634CE7"/>
    <w:rsid w:val="006350D5"/>
    <w:rsid w:val="0063642C"/>
    <w:rsid w:val="006376B3"/>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2E30"/>
    <w:rsid w:val="00653BD0"/>
    <w:rsid w:val="00654110"/>
    <w:rsid w:val="00656C5D"/>
    <w:rsid w:val="00656CFB"/>
    <w:rsid w:val="00656D25"/>
    <w:rsid w:val="00657E87"/>
    <w:rsid w:val="00660D2D"/>
    <w:rsid w:val="00661C41"/>
    <w:rsid w:val="00661EC9"/>
    <w:rsid w:val="00662469"/>
    <w:rsid w:val="0066411C"/>
    <w:rsid w:val="00664205"/>
    <w:rsid w:val="00664647"/>
    <w:rsid w:val="00664803"/>
    <w:rsid w:val="0066502F"/>
    <w:rsid w:val="006653CC"/>
    <w:rsid w:val="00665982"/>
    <w:rsid w:val="00665BA4"/>
    <w:rsid w:val="00666BF3"/>
    <w:rsid w:val="00667856"/>
    <w:rsid w:val="00667AF2"/>
    <w:rsid w:val="00670489"/>
    <w:rsid w:val="006710C9"/>
    <w:rsid w:val="00671D85"/>
    <w:rsid w:val="00672586"/>
    <w:rsid w:val="006727BC"/>
    <w:rsid w:val="006741CD"/>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B9B"/>
    <w:rsid w:val="00684D59"/>
    <w:rsid w:val="00684E25"/>
    <w:rsid w:val="006858A4"/>
    <w:rsid w:val="00685C08"/>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26CE"/>
    <w:rsid w:val="006D317E"/>
    <w:rsid w:val="006D3E8A"/>
    <w:rsid w:val="006D47D9"/>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310"/>
    <w:rsid w:val="00720D7A"/>
    <w:rsid w:val="007211F5"/>
    <w:rsid w:val="007213C3"/>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261D"/>
    <w:rsid w:val="0073333D"/>
    <w:rsid w:val="007343D9"/>
    <w:rsid w:val="00734F71"/>
    <w:rsid w:val="00735448"/>
    <w:rsid w:val="00736F07"/>
    <w:rsid w:val="007377BD"/>
    <w:rsid w:val="00737DEC"/>
    <w:rsid w:val="0074004D"/>
    <w:rsid w:val="00741493"/>
    <w:rsid w:val="007434E5"/>
    <w:rsid w:val="0074499B"/>
    <w:rsid w:val="0074501E"/>
    <w:rsid w:val="007450BF"/>
    <w:rsid w:val="0074599A"/>
    <w:rsid w:val="00746F45"/>
    <w:rsid w:val="007471A1"/>
    <w:rsid w:val="007477BD"/>
    <w:rsid w:val="007477DA"/>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4A2"/>
    <w:rsid w:val="00764974"/>
    <w:rsid w:val="00764D18"/>
    <w:rsid w:val="0076521E"/>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EF1"/>
    <w:rsid w:val="00781A91"/>
    <w:rsid w:val="00781AD3"/>
    <w:rsid w:val="00781F36"/>
    <w:rsid w:val="0078357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B04B0"/>
    <w:rsid w:val="007B0834"/>
    <w:rsid w:val="007B0E83"/>
    <w:rsid w:val="007B11FA"/>
    <w:rsid w:val="007B1396"/>
    <w:rsid w:val="007B16D6"/>
    <w:rsid w:val="007B1D1B"/>
    <w:rsid w:val="007B2011"/>
    <w:rsid w:val="007B2CFE"/>
    <w:rsid w:val="007B309B"/>
    <w:rsid w:val="007B3D5E"/>
    <w:rsid w:val="007B3DCB"/>
    <w:rsid w:val="007B54AE"/>
    <w:rsid w:val="007B5725"/>
    <w:rsid w:val="007B5C1F"/>
    <w:rsid w:val="007B6689"/>
    <w:rsid w:val="007B6747"/>
    <w:rsid w:val="007B6F72"/>
    <w:rsid w:val="007B74AA"/>
    <w:rsid w:val="007C10BD"/>
    <w:rsid w:val="007C162D"/>
    <w:rsid w:val="007C1F0C"/>
    <w:rsid w:val="007C1FFB"/>
    <w:rsid w:val="007C2D94"/>
    <w:rsid w:val="007C4A6B"/>
    <w:rsid w:val="007C5F92"/>
    <w:rsid w:val="007C622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E0535"/>
    <w:rsid w:val="007E07F2"/>
    <w:rsid w:val="007E0D4A"/>
    <w:rsid w:val="007E1788"/>
    <w:rsid w:val="007E1EE3"/>
    <w:rsid w:val="007E29B4"/>
    <w:rsid w:val="007E2F12"/>
    <w:rsid w:val="007E435A"/>
    <w:rsid w:val="007E445C"/>
    <w:rsid w:val="007E49F7"/>
    <w:rsid w:val="007E4C70"/>
    <w:rsid w:val="007E5B5F"/>
    <w:rsid w:val="007E69C6"/>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1FF8"/>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120"/>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D65"/>
    <w:rsid w:val="00856FA4"/>
    <w:rsid w:val="00860D79"/>
    <w:rsid w:val="00861B41"/>
    <w:rsid w:val="00861B9F"/>
    <w:rsid w:val="00861BE3"/>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BC"/>
    <w:rsid w:val="00880A0E"/>
    <w:rsid w:val="008817FE"/>
    <w:rsid w:val="00881CD7"/>
    <w:rsid w:val="00882911"/>
    <w:rsid w:val="00882F6E"/>
    <w:rsid w:val="00883202"/>
    <w:rsid w:val="00884E02"/>
    <w:rsid w:val="0088502B"/>
    <w:rsid w:val="00885D40"/>
    <w:rsid w:val="008873D4"/>
    <w:rsid w:val="00890CB1"/>
    <w:rsid w:val="00891EDF"/>
    <w:rsid w:val="00892872"/>
    <w:rsid w:val="0089296D"/>
    <w:rsid w:val="00893E85"/>
    <w:rsid w:val="00893EBE"/>
    <w:rsid w:val="00894031"/>
    <w:rsid w:val="00894C5D"/>
    <w:rsid w:val="00895508"/>
    <w:rsid w:val="008967E9"/>
    <w:rsid w:val="00896A5C"/>
    <w:rsid w:val="008972D2"/>
    <w:rsid w:val="0089754C"/>
    <w:rsid w:val="00897CFA"/>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43CA"/>
    <w:rsid w:val="008B5324"/>
    <w:rsid w:val="008B5C99"/>
    <w:rsid w:val="008B6106"/>
    <w:rsid w:val="008B7C02"/>
    <w:rsid w:val="008B7D2B"/>
    <w:rsid w:val="008B7EF9"/>
    <w:rsid w:val="008C0049"/>
    <w:rsid w:val="008C0314"/>
    <w:rsid w:val="008C0E88"/>
    <w:rsid w:val="008C0EBE"/>
    <w:rsid w:val="008C1717"/>
    <w:rsid w:val="008C17F0"/>
    <w:rsid w:val="008C3B05"/>
    <w:rsid w:val="008C4B50"/>
    <w:rsid w:val="008C5A37"/>
    <w:rsid w:val="008C7569"/>
    <w:rsid w:val="008C79C3"/>
    <w:rsid w:val="008D006F"/>
    <w:rsid w:val="008D033D"/>
    <w:rsid w:val="008D0DBD"/>
    <w:rsid w:val="008D117E"/>
    <w:rsid w:val="008D127E"/>
    <w:rsid w:val="008D1CA8"/>
    <w:rsid w:val="008D1E0A"/>
    <w:rsid w:val="008D1E6A"/>
    <w:rsid w:val="008D2407"/>
    <w:rsid w:val="008D2A16"/>
    <w:rsid w:val="008D2AEC"/>
    <w:rsid w:val="008D3295"/>
    <w:rsid w:val="008D33F5"/>
    <w:rsid w:val="008D35E4"/>
    <w:rsid w:val="008D3ACD"/>
    <w:rsid w:val="008D6C3A"/>
    <w:rsid w:val="008D70E2"/>
    <w:rsid w:val="008D7F47"/>
    <w:rsid w:val="008E0001"/>
    <w:rsid w:val="008E039E"/>
    <w:rsid w:val="008E292B"/>
    <w:rsid w:val="008E2C57"/>
    <w:rsid w:val="008E31FF"/>
    <w:rsid w:val="008E3287"/>
    <w:rsid w:val="008E38E4"/>
    <w:rsid w:val="008E3DFA"/>
    <w:rsid w:val="008E51EB"/>
    <w:rsid w:val="008E5746"/>
    <w:rsid w:val="008E64D7"/>
    <w:rsid w:val="008E6DCB"/>
    <w:rsid w:val="008E6F06"/>
    <w:rsid w:val="008E7000"/>
    <w:rsid w:val="008E723E"/>
    <w:rsid w:val="008E7B8E"/>
    <w:rsid w:val="008E7FC9"/>
    <w:rsid w:val="008F0107"/>
    <w:rsid w:val="008F029B"/>
    <w:rsid w:val="008F0589"/>
    <w:rsid w:val="008F2A5D"/>
    <w:rsid w:val="008F2BC7"/>
    <w:rsid w:val="008F2E83"/>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48B"/>
    <w:rsid w:val="00937017"/>
    <w:rsid w:val="009373B2"/>
    <w:rsid w:val="00937AE2"/>
    <w:rsid w:val="0094061F"/>
    <w:rsid w:val="00940F0F"/>
    <w:rsid w:val="00941912"/>
    <w:rsid w:val="0094416B"/>
    <w:rsid w:val="0094427A"/>
    <w:rsid w:val="009449C6"/>
    <w:rsid w:val="00944C7C"/>
    <w:rsid w:val="00945245"/>
    <w:rsid w:val="00945523"/>
    <w:rsid w:val="00946C43"/>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1D45"/>
    <w:rsid w:val="00992BB3"/>
    <w:rsid w:val="00992CF3"/>
    <w:rsid w:val="00993194"/>
    <w:rsid w:val="0099321E"/>
    <w:rsid w:val="00994171"/>
    <w:rsid w:val="00994868"/>
    <w:rsid w:val="00994976"/>
    <w:rsid w:val="00994D28"/>
    <w:rsid w:val="00994F2C"/>
    <w:rsid w:val="00995720"/>
    <w:rsid w:val="009957CC"/>
    <w:rsid w:val="009968D6"/>
    <w:rsid w:val="00997953"/>
    <w:rsid w:val="00997D55"/>
    <w:rsid w:val="009A0BFF"/>
    <w:rsid w:val="009A10A0"/>
    <w:rsid w:val="009A1CAB"/>
    <w:rsid w:val="009A2359"/>
    <w:rsid w:val="009A24F1"/>
    <w:rsid w:val="009A27E0"/>
    <w:rsid w:val="009A4D57"/>
    <w:rsid w:val="009A51A5"/>
    <w:rsid w:val="009A5309"/>
    <w:rsid w:val="009A5759"/>
    <w:rsid w:val="009A60D1"/>
    <w:rsid w:val="009A6225"/>
    <w:rsid w:val="009A64F5"/>
    <w:rsid w:val="009B00D2"/>
    <w:rsid w:val="009B05B3"/>
    <w:rsid w:val="009B0CAF"/>
    <w:rsid w:val="009B1324"/>
    <w:rsid w:val="009B2558"/>
    <w:rsid w:val="009B284F"/>
    <w:rsid w:val="009B3764"/>
    <w:rsid w:val="009B3840"/>
    <w:rsid w:val="009B52AC"/>
    <w:rsid w:val="009B553D"/>
    <w:rsid w:val="009B59EA"/>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E1120"/>
    <w:rsid w:val="009E1393"/>
    <w:rsid w:val="009E1922"/>
    <w:rsid w:val="009E1A3D"/>
    <w:rsid w:val="009E4715"/>
    <w:rsid w:val="009E4A58"/>
    <w:rsid w:val="009E5273"/>
    <w:rsid w:val="009E57A8"/>
    <w:rsid w:val="009E5B85"/>
    <w:rsid w:val="009E5DDB"/>
    <w:rsid w:val="009F1CA6"/>
    <w:rsid w:val="009F2921"/>
    <w:rsid w:val="009F42CF"/>
    <w:rsid w:val="009F4982"/>
    <w:rsid w:val="009F4CA7"/>
    <w:rsid w:val="009F4F6A"/>
    <w:rsid w:val="009F55BA"/>
    <w:rsid w:val="009F7D36"/>
    <w:rsid w:val="009F7D61"/>
    <w:rsid w:val="00A00E71"/>
    <w:rsid w:val="00A0187B"/>
    <w:rsid w:val="00A02E8B"/>
    <w:rsid w:val="00A0306F"/>
    <w:rsid w:val="00A03511"/>
    <w:rsid w:val="00A03B10"/>
    <w:rsid w:val="00A03E2E"/>
    <w:rsid w:val="00A04616"/>
    <w:rsid w:val="00A04717"/>
    <w:rsid w:val="00A05D8F"/>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628E"/>
    <w:rsid w:val="00A266BF"/>
    <w:rsid w:val="00A26777"/>
    <w:rsid w:val="00A2731E"/>
    <w:rsid w:val="00A309AC"/>
    <w:rsid w:val="00A30F65"/>
    <w:rsid w:val="00A315D0"/>
    <w:rsid w:val="00A3279E"/>
    <w:rsid w:val="00A33DB1"/>
    <w:rsid w:val="00A33EEB"/>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8BA"/>
    <w:rsid w:val="00A50D73"/>
    <w:rsid w:val="00A518BB"/>
    <w:rsid w:val="00A52A88"/>
    <w:rsid w:val="00A52CAD"/>
    <w:rsid w:val="00A53340"/>
    <w:rsid w:val="00A53FC7"/>
    <w:rsid w:val="00A55569"/>
    <w:rsid w:val="00A55C36"/>
    <w:rsid w:val="00A5661B"/>
    <w:rsid w:val="00A566A0"/>
    <w:rsid w:val="00A601E7"/>
    <w:rsid w:val="00A60AC1"/>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1652"/>
    <w:rsid w:val="00A82BF0"/>
    <w:rsid w:val="00A82C91"/>
    <w:rsid w:val="00A83150"/>
    <w:rsid w:val="00A83398"/>
    <w:rsid w:val="00A83D6E"/>
    <w:rsid w:val="00A83FD5"/>
    <w:rsid w:val="00A8521A"/>
    <w:rsid w:val="00A857C0"/>
    <w:rsid w:val="00A85ACB"/>
    <w:rsid w:val="00A9036F"/>
    <w:rsid w:val="00A9092B"/>
    <w:rsid w:val="00A90F2C"/>
    <w:rsid w:val="00A90FED"/>
    <w:rsid w:val="00A91482"/>
    <w:rsid w:val="00A9189D"/>
    <w:rsid w:val="00A91E71"/>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D0B22"/>
    <w:rsid w:val="00AD0EE7"/>
    <w:rsid w:val="00AD168E"/>
    <w:rsid w:val="00AD306C"/>
    <w:rsid w:val="00AD44CD"/>
    <w:rsid w:val="00AD47A7"/>
    <w:rsid w:val="00AD5AD2"/>
    <w:rsid w:val="00AD6462"/>
    <w:rsid w:val="00AD66C5"/>
    <w:rsid w:val="00AD68C4"/>
    <w:rsid w:val="00AD71F9"/>
    <w:rsid w:val="00AE09B3"/>
    <w:rsid w:val="00AE1A83"/>
    <w:rsid w:val="00AE30BE"/>
    <w:rsid w:val="00AE3E6A"/>
    <w:rsid w:val="00AE417E"/>
    <w:rsid w:val="00AE56EE"/>
    <w:rsid w:val="00AE6414"/>
    <w:rsid w:val="00AE7269"/>
    <w:rsid w:val="00AE797C"/>
    <w:rsid w:val="00AE7CE7"/>
    <w:rsid w:val="00AE7FAB"/>
    <w:rsid w:val="00AF0DE4"/>
    <w:rsid w:val="00AF12A0"/>
    <w:rsid w:val="00AF1E87"/>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3108D"/>
    <w:rsid w:val="00B32DDB"/>
    <w:rsid w:val="00B32F57"/>
    <w:rsid w:val="00B3345C"/>
    <w:rsid w:val="00B343C4"/>
    <w:rsid w:val="00B34528"/>
    <w:rsid w:val="00B34750"/>
    <w:rsid w:val="00B34CC9"/>
    <w:rsid w:val="00B34CDA"/>
    <w:rsid w:val="00B3563B"/>
    <w:rsid w:val="00B36BDC"/>
    <w:rsid w:val="00B37D3A"/>
    <w:rsid w:val="00B37D96"/>
    <w:rsid w:val="00B402FC"/>
    <w:rsid w:val="00B422E2"/>
    <w:rsid w:val="00B42517"/>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3A11"/>
    <w:rsid w:val="00B64425"/>
    <w:rsid w:val="00B64C24"/>
    <w:rsid w:val="00B64E72"/>
    <w:rsid w:val="00B65CEF"/>
    <w:rsid w:val="00B6608F"/>
    <w:rsid w:val="00B67749"/>
    <w:rsid w:val="00B679FB"/>
    <w:rsid w:val="00B71FBF"/>
    <w:rsid w:val="00B734A0"/>
    <w:rsid w:val="00B73A14"/>
    <w:rsid w:val="00B748BD"/>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5C12"/>
    <w:rsid w:val="00B96D74"/>
    <w:rsid w:val="00B9720E"/>
    <w:rsid w:val="00B97ACC"/>
    <w:rsid w:val="00B97FE2"/>
    <w:rsid w:val="00BA0E0B"/>
    <w:rsid w:val="00BA201A"/>
    <w:rsid w:val="00BA21DF"/>
    <w:rsid w:val="00BA361D"/>
    <w:rsid w:val="00BA3787"/>
    <w:rsid w:val="00BA403A"/>
    <w:rsid w:val="00BA46E8"/>
    <w:rsid w:val="00BA49DB"/>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6EA2"/>
    <w:rsid w:val="00BB714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65C"/>
    <w:rsid w:val="00BF77FC"/>
    <w:rsid w:val="00C006D6"/>
    <w:rsid w:val="00C00BD7"/>
    <w:rsid w:val="00C01410"/>
    <w:rsid w:val="00C02D23"/>
    <w:rsid w:val="00C03D4D"/>
    <w:rsid w:val="00C044F4"/>
    <w:rsid w:val="00C04B78"/>
    <w:rsid w:val="00C052AA"/>
    <w:rsid w:val="00C06EE3"/>
    <w:rsid w:val="00C07279"/>
    <w:rsid w:val="00C07749"/>
    <w:rsid w:val="00C07C67"/>
    <w:rsid w:val="00C11244"/>
    <w:rsid w:val="00C118A9"/>
    <w:rsid w:val="00C11D48"/>
    <w:rsid w:val="00C12304"/>
    <w:rsid w:val="00C12316"/>
    <w:rsid w:val="00C1246C"/>
    <w:rsid w:val="00C1493E"/>
    <w:rsid w:val="00C15DBD"/>
    <w:rsid w:val="00C161C5"/>
    <w:rsid w:val="00C172F7"/>
    <w:rsid w:val="00C2010D"/>
    <w:rsid w:val="00C20CB5"/>
    <w:rsid w:val="00C21430"/>
    <w:rsid w:val="00C216DF"/>
    <w:rsid w:val="00C21E61"/>
    <w:rsid w:val="00C21F94"/>
    <w:rsid w:val="00C224BD"/>
    <w:rsid w:val="00C2272B"/>
    <w:rsid w:val="00C234DB"/>
    <w:rsid w:val="00C23C5C"/>
    <w:rsid w:val="00C2479A"/>
    <w:rsid w:val="00C24903"/>
    <w:rsid w:val="00C2590D"/>
    <w:rsid w:val="00C25D9C"/>
    <w:rsid w:val="00C27913"/>
    <w:rsid w:val="00C27FA7"/>
    <w:rsid w:val="00C300E2"/>
    <w:rsid w:val="00C31F21"/>
    <w:rsid w:val="00C32631"/>
    <w:rsid w:val="00C33301"/>
    <w:rsid w:val="00C33311"/>
    <w:rsid w:val="00C33B68"/>
    <w:rsid w:val="00C34AD4"/>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0AE3"/>
    <w:rsid w:val="00C61F47"/>
    <w:rsid w:val="00C62828"/>
    <w:rsid w:val="00C655DA"/>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EB6"/>
    <w:rsid w:val="00C93389"/>
    <w:rsid w:val="00C948E6"/>
    <w:rsid w:val="00C94CDD"/>
    <w:rsid w:val="00C95123"/>
    <w:rsid w:val="00C97588"/>
    <w:rsid w:val="00CA0346"/>
    <w:rsid w:val="00CA0BD5"/>
    <w:rsid w:val="00CA0DA1"/>
    <w:rsid w:val="00CA1BD6"/>
    <w:rsid w:val="00CA37FF"/>
    <w:rsid w:val="00CA423A"/>
    <w:rsid w:val="00CA47BC"/>
    <w:rsid w:val="00CA5EAD"/>
    <w:rsid w:val="00CA6AB4"/>
    <w:rsid w:val="00CA7255"/>
    <w:rsid w:val="00CA79E2"/>
    <w:rsid w:val="00CB111E"/>
    <w:rsid w:val="00CB1BEE"/>
    <w:rsid w:val="00CB2351"/>
    <w:rsid w:val="00CB4022"/>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04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7E9E"/>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3F3E"/>
    <w:rsid w:val="00D14C5B"/>
    <w:rsid w:val="00D15FED"/>
    <w:rsid w:val="00D16712"/>
    <w:rsid w:val="00D214EF"/>
    <w:rsid w:val="00D215B0"/>
    <w:rsid w:val="00D21D6D"/>
    <w:rsid w:val="00D21D83"/>
    <w:rsid w:val="00D22A47"/>
    <w:rsid w:val="00D235B7"/>
    <w:rsid w:val="00D23A99"/>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E3C"/>
    <w:rsid w:val="00D60FA7"/>
    <w:rsid w:val="00D61FAB"/>
    <w:rsid w:val="00D63BE5"/>
    <w:rsid w:val="00D6475F"/>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32B8"/>
    <w:rsid w:val="00D932F0"/>
    <w:rsid w:val="00D95302"/>
    <w:rsid w:val="00D95889"/>
    <w:rsid w:val="00D95C5D"/>
    <w:rsid w:val="00D97D00"/>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3E5D"/>
    <w:rsid w:val="00DE450F"/>
    <w:rsid w:val="00DE4865"/>
    <w:rsid w:val="00DE5CA6"/>
    <w:rsid w:val="00DE5E55"/>
    <w:rsid w:val="00DE7156"/>
    <w:rsid w:val="00DE7AC8"/>
    <w:rsid w:val="00DF0830"/>
    <w:rsid w:val="00DF2C5D"/>
    <w:rsid w:val="00DF2CD3"/>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79"/>
    <w:rsid w:val="00E417BE"/>
    <w:rsid w:val="00E41CD5"/>
    <w:rsid w:val="00E42054"/>
    <w:rsid w:val="00E4372D"/>
    <w:rsid w:val="00E43A9E"/>
    <w:rsid w:val="00E44243"/>
    <w:rsid w:val="00E453F9"/>
    <w:rsid w:val="00E45D7D"/>
    <w:rsid w:val="00E4623F"/>
    <w:rsid w:val="00E4665D"/>
    <w:rsid w:val="00E47854"/>
    <w:rsid w:val="00E478E2"/>
    <w:rsid w:val="00E47EBA"/>
    <w:rsid w:val="00E50156"/>
    <w:rsid w:val="00E504EB"/>
    <w:rsid w:val="00E5076C"/>
    <w:rsid w:val="00E50D2E"/>
    <w:rsid w:val="00E50D7D"/>
    <w:rsid w:val="00E51EF0"/>
    <w:rsid w:val="00E53470"/>
    <w:rsid w:val="00E5368D"/>
    <w:rsid w:val="00E539F6"/>
    <w:rsid w:val="00E54698"/>
    <w:rsid w:val="00E54BE9"/>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C94"/>
    <w:rsid w:val="00E76A08"/>
    <w:rsid w:val="00E76B9B"/>
    <w:rsid w:val="00E76E61"/>
    <w:rsid w:val="00E76EE4"/>
    <w:rsid w:val="00E77CC0"/>
    <w:rsid w:val="00E80B3D"/>
    <w:rsid w:val="00E80CA3"/>
    <w:rsid w:val="00E81AAA"/>
    <w:rsid w:val="00E82618"/>
    <w:rsid w:val="00E82A42"/>
    <w:rsid w:val="00E84E09"/>
    <w:rsid w:val="00E87CE2"/>
    <w:rsid w:val="00E90CA8"/>
    <w:rsid w:val="00E911C6"/>
    <w:rsid w:val="00E920DE"/>
    <w:rsid w:val="00E930A1"/>
    <w:rsid w:val="00E93820"/>
    <w:rsid w:val="00E94A86"/>
    <w:rsid w:val="00E951AB"/>
    <w:rsid w:val="00E953F6"/>
    <w:rsid w:val="00E96143"/>
    <w:rsid w:val="00E96833"/>
    <w:rsid w:val="00E97506"/>
    <w:rsid w:val="00E97BB5"/>
    <w:rsid w:val="00E97D5B"/>
    <w:rsid w:val="00E97F14"/>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FAC"/>
    <w:rsid w:val="00EB7BAC"/>
    <w:rsid w:val="00EB7CC9"/>
    <w:rsid w:val="00EC03D7"/>
    <w:rsid w:val="00EC13A7"/>
    <w:rsid w:val="00EC2EB6"/>
    <w:rsid w:val="00EC4FFF"/>
    <w:rsid w:val="00EC5517"/>
    <w:rsid w:val="00EC6E8C"/>
    <w:rsid w:val="00ED0962"/>
    <w:rsid w:val="00ED0EF0"/>
    <w:rsid w:val="00ED12B9"/>
    <w:rsid w:val="00ED16B8"/>
    <w:rsid w:val="00ED1959"/>
    <w:rsid w:val="00ED1A00"/>
    <w:rsid w:val="00ED1DF0"/>
    <w:rsid w:val="00ED2386"/>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E06"/>
    <w:rsid w:val="00EE7179"/>
    <w:rsid w:val="00EF0D90"/>
    <w:rsid w:val="00EF150D"/>
    <w:rsid w:val="00EF1F5A"/>
    <w:rsid w:val="00EF23B5"/>
    <w:rsid w:val="00EF326A"/>
    <w:rsid w:val="00EF3898"/>
    <w:rsid w:val="00EF47BF"/>
    <w:rsid w:val="00EF52F7"/>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73ED"/>
    <w:rsid w:val="00F07C4C"/>
    <w:rsid w:val="00F07E45"/>
    <w:rsid w:val="00F10F11"/>
    <w:rsid w:val="00F11159"/>
    <w:rsid w:val="00F115E4"/>
    <w:rsid w:val="00F11AC4"/>
    <w:rsid w:val="00F120A5"/>
    <w:rsid w:val="00F12CFB"/>
    <w:rsid w:val="00F13E60"/>
    <w:rsid w:val="00F13FDB"/>
    <w:rsid w:val="00F15AAA"/>
    <w:rsid w:val="00F15BEF"/>
    <w:rsid w:val="00F17898"/>
    <w:rsid w:val="00F204BF"/>
    <w:rsid w:val="00F207C2"/>
    <w:rsid w:val="00F21337"/>
    <w:rsid w:val="00F219A1"/>
    <w:rsid w:val="00F23E20"/>
    <w:rsid w:val="00F24407"/>
    <w:rsid w:val="00F249CE"/>
    <w:rsid w:val="00F24FAA"/>
    <w:rsid w:val="00F25040"/>
    <w:rsid w:val="00F269D7"/>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537"/>
    <w:rsid w:val="00F46185"/>
    <w:rsid w:val="00F46423"/>
    <w:rsid w:val="00F4696A"/>
    <w:rsid w:val="00F47067"/>
    <w:rsid w:val="00F47234"/>
    <w:rsid w:val="00F51ADD"/>
    <w:rsid w:val="00F525AB"/>
    <w:rsid w:val="00F525EB"/>
    <w:rsid w:val="00F52CB5"/>
    <w:rsid w:val="00F53378"/>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B66"/>
    <w:rsid w:val="00F93688"/>
    <w:rsid w:val="00F939F3"/>
    <w:rsid w:val="00F93C6E"/>
    <w:rsid w:val="00F93F2C"/>
    <w:rsid w:val="00F947E9"/>
    <w:rsid w:val="00F962AD"/>
    <w:rsid w:val="00F9644E"/>
    <w:rsid w:val="00FA0105"/>
    <w:rsid w:val="00FA05A0"/>
    <w:rsid w:val="00FA0AEF"/>
    <w:rsid w:val="00FA17CC"/>
    <w:rsid w:val="00FA1CFE"/>
    <w:rsid w:val="00FA1EE7"/>
    <w:rsid w:val="00FA1F01"/>
    <w:rsid w:val="00FA26DF"/>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916"/>
    <w:rsid w:val="00FD4D12"/>
    <w:rsid w:val="00FD4F73"/>
    <w:rsid w:val="00FD595E"/>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B8C"/>
    <w:rsid w:val="00FF63E6"/>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2Q2\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581433637284726E-2"/>
          <c:y val="2.1711264016309895E-2"/>
          <c:w val="0.93508633063154345"/>
          <c:h val="0.73130361364405039"/>
        </c:manualLayout>
      </c:layout>
      <c:barChart>
        <c:barDir val="col"/>
        <c:grouping val="clustered"/>
        <c:varyColors val="0"/>
        <c:ser>
          <c:idx val="0"/>
          <c:order val="0"/>
          <c:tx>
            <c:strRef>
              <c:f>'Měnové podmínky 1'!$C$5</c:f>
              <c:strCache>
                <c:ptCount val="1"/>
                <c:pt idx="0">
                  <c:v>2T repo sazba</c:v>
                </c:pt>
              </c:strCache>
            </c:strRef>
          </c:tx>
          <c:spPr>
            <a:solidFill>
              <a:schemeClr val="bg1">
                <a:lumMod val="65000"/>
              </a:schemeClr>
            </a:solidFill>
          </c:spPr>
          <c:invertIfNegative val="0"/>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1'!$C$66:$C$131</c:f>
              <c:numCache>
                <c:formatCode>General</c:formatCode>
                <c:ptCount val="66"/>
                <c:pt idx="0">
                  <c:v>5.0000000000000017E-2</c:v>
                </c:pt>
                <c:pt idx="1">
                  <c:v>5.0000000000000017E-2</c:v>
                </c:pt>
                <c:pt idx="2">
                  <c:v>5.0000000000000017E-2</c:v>
                </c:pt>
                <c:pt idx="3">
                  <c:v>5.0000000000000017E-2</c:v>
                </c:pt>
                <c:pt idx="4">
                  <c:v>5.0000000000000017E-2</c:v>
                </c:pt>
                <c:pt idx="5">
                  <c:v>5.0000000000000017E-2</c:v>
                </c:pt>
                <c:pt idx="6">
                  <c:v>5.0000000000000017E-2</c:v>
                </c:pt>
                <c:pt idx="7">
                  <c:v>0.25</c:v>
                </c:pt>
                <c:pt idx="8">
                  <c:v>0.25</c:v>
                </c:pt>
                <c:pt idx="9">
                  <c:v>0.25</c:v>
                </c:pt>
                <c:pt idx="10">
                  <c:v>0.5</c:v>
                </c:pt>
                <c:pt idx="11">
                  <c:v>0.5</c:v>
                </c:pt>
                <c:pt idx="12">
                  <c:v>0.5</c:v>
                </c:pt>
                <c:pt idx="13">
                  <c:v>0.75000000000000022</c:v>
                </c:pt>
                <c:pt idx="14">
                  <c:v>0.75000000000000022</c:v>
                </c:pt>
                <c:pt idx="15">
                  <c:v>0.75000000000000022</c:v>
                </c:pt>
                <c:pt idx="16">
                  <c:v>0.75000000000000022</c:v>
                </c:pt>
                <c:pt idx="17">
                  <c:v>1</c:v>
                </c:pt>
                <c:pt idx="18">
                  <c:v>1</c:v>
                </c:pt>
                <c:pt idx="19">
                  <c:v>1.25</c:v>
                </c:pt>
                <c:pt idx="20">
                  <c:v>1.5</c:v>
                </c:pt>
                <c:pt idx="21">
                  <c:v>1.5</c:v>
                </c:pt>
                <c:pt idx="22">
                  <c:v>1.7500000000000002</c:v>
                </c:pt>
                <c:pt idx="23">
                  <c:v>1.7500000000000002</c:v>
                </c:pt>
                <c:pt idx="24">
                  <c:v>1.7500000000000002</c:v>
                </c:pt>
                <c:pt idx="25">
                  <c:v>1.7500000000000002</c:v>
                </c:pt>
                <c:pt idx="26">
                  <c:v>1.7500000000000002</c:v>
                </c:pt>
                <c:pt idx="27">
                  <c:v>1.7500000000000002</c:v>
                </c:pt>
                <c:pt idx="28">
                  <c:v>2</c:v>
                </c:pt>
                <c:pt idx="29">
                  <c:v>2</c:v>
                </c:pt>
                <c:pt idx="30">
                  <c:v>2</c:v>
                </c:pt>
                <c:pt idx="31">
                  <c:v>2</c:v>
                </c:pt>
                <c:pt idx="32">
                  <c:v>2</c:v>
                </c:pt>
                <c:pt idx="33">
                  <c:v>2</c:v>
                </c:pt>
                <c:pt idx="34">
                  <c:v>2</c:v>
                </c:pt>
                <c:pt idx="35">
                  <c:v>2</c:v>
                </c:pt>
                <c:pt idx="36">
                  <c:v>2</c:v>
                </c:pt>
                <c:pt idx="37">
                  <c:v>2.25</c:v>
                </c:pt>
                <c:pt idx="38">
                  <c:v>1</c:v>
                </c:pt>
                <c:pt idx="39">
                  <c:v>1</c:v>
                </c:pt>
                <c:pt idx="40">
                  <c:v>0.25</c:v>
                </c:pt>
                <c:pt idx="41">
                  <c:v>0.25</c:v>
                </c:pt>
                <c:pt idx="42">
                  <c:v>0.25</c:v>
                </c:pt>
                <c:pt idx="43">
                  <c:v>0.25</c:v>
                </c:pt>
                <c:pt idx="44">
                  <c:v>0.25</c:v>
                </c:pt>
                <c:pt idx="45">
                  <c:v>0.25</c:v>
                </c:pt>
                <c:pt idx="46">
                  <c:v>0.25</c:v>
                </c:pt>
                <c:pt idx="47">
                  <c:v>0.25</c:v>
                </c:pt>
                <c:pt idx="48">
                  <c:v>0.25</c:v>
                </c:pt>
                <c:pt idx="49">
                  <c:v>0.25</c:v>
                </c:pt>
                <c:pt idx="50">
                  <c:v>0.25</c:v>
                </c:pt>
                <c:pt idx="51">
                  <c:v>0.25</c:v>
                </c:pt>
                <c:pt idx="52">
                  <c:v>0.25</c:v>
                </c:pt>
                <c:pt idx="53">
                  <c:v>0.5</c:v>
                </c:pt>
                <c:pt idx="54">
                  <c:v>0.5</c:v>
                </c:pt>
                <c:pt idx="55">
                  <c:v>0.75000000000000022</c:v>
                </c:pt>
                <c:pt idx="56">
                  <c:v>0.75000000000000022</c:v>
                </c:pt>
                <c:pt idx="57">
                  <c:v>1.5</c:v>
                </c:pt>
                <c:pt idx="58">
                  <c:v>2.75</c:v>
                </c:pt>
                <c:pt idx="59">
                  <c:v>3.75</c:v>
                </c:pt>
                <c:pt idx="60">
                  <c:v>3.75</c:v>
                </c:pt>
                <c:pt idx="61">
                  <c:v>4.5</c:v>
                </c:pt>
                <c:pt idx="62">
                  <c:v>4.5</c:v>
                </c:pt>
                <c:pt idx="63">
                  <c:v>5</c:v>
                </c:pt>
                <c:pt idx="64">
                  <c:v>5.75</c:v>
                </c:pt>
                <c:pt idx="65">
                  <c:v>7</c:v>
                </c:pt>
              </c:numCache>
            </c:numRef>
          </c:val>
          <c:extLst>
            <c:ext xmlns:c16="http://schemas.microsoft.com/office/drawing/2014/chart" uri="{C3380CC4-5D6E-409C-BE32-E72D297353CC}">
              <c16:uniqueId val="{00000000-EFC7-4237-934C-8DAF071676E2}"/>
            </c:ext>
          </c:extLst>
        </c:ser>
        <c:dLbls>
          <c:showLegendKey val="0"/>
          <c:showVal val="0"/>
          <c:showCatName val="0"/>
          <c:showSerName val="0"/>
          <c:showPercent val="0"/>
          <c:showBubbleSize val="0"/>
        </c:dLbls>
        <c:gapWidth val="31"/>
        <c:axId val="103651584"/>
        <c:axId val="112795648"/>
      </c:barChart>
      <c:lineChart>
        <c:grouping val="standard"/>
        <c:varyColors val="0"/>
        <c:ser>
          <c:idx val="3"/>
          <c:order val="1"/>
          <c:tx>
            <c:strRef>
              <c:f>'Měnové podmínky 1'!$F$5</c:f>
              <c:strCache>
                <c:ptCount val="1"/>
                <c:pt idx="0">
                  <c:v>Průměrný výnos státních dluhopisů (2Y)</c:v>
                </c:pt>
              </c:strCache>
            </c:strRef>
          </c:tx>
          <c:spPr>
            <a:ln w="19050">
              <a:solidFill>
                <a:srgbClr val="7DBB2D"/>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1'!$F$66:$F$131</c:f>
              <c:numCache>
                <c:formatCode>General</c:formatCode>
                <c:ptCount val="66"/>
                <c:pt idx="0">
                  <c:v>-0.88000000000000012</c:v>
                </c:pt>
                <c:pt idx="1">
                  <c:v>-0.53</c:v>
                </c:pt>
                <c:pt idx="2">
                  <c:v>-0.44000000000000006</c:v>
                </c:pt>
                <c:pt idx="3">
                  <c:v>-0.23</c:v>
                </c:pt>
                <c:pt idx="4">
                  <c:v>-0.24000000000000005</c:v>
                </c:pt>
                <c:pt idx="5">
                  <c:v>-0.25</c:v>
                </c:pt>
                <c:pt idx="6">
                  <c:v>-0.29000000000000009</c:v>
                </c:pt>
                <c:pt idx="7">
                  <c:v>-0.33000000000000013</c:v>
                </c:pt>
                <c:pt idx="8">
                  <c:v>-0.29000000000000009</c:v>
                </c:pt>
                <c:pt idx="9">
                  <c:v>0.12000000000000002</c:v>
                </c:pt>
                <c:pt idx="10">
                  <c:v>0.31000000000000011</c:v>
                </c:pt>
                <c:pt idx="11">
                  <c:v>0.19000000000000003</c:v>
                </c:pt>
                <c:pt idx="12">
                  <c:v>0.46</c:v>
                </c:pt>
                <c:pt idx="13">
                  <c:v>0.55000000000000004</c:v>
                </c:pt>
                <c:pt idx="14">
                  <c:v>0.62000000000000022</c:v>
                </c:pt>
                <c:pt idx="15">
                  <c:v>0.6000000000000002</c:v>
                </c:pt>
                <c:pt idx="16">
                  <c:v>0.70000000000000018</c:v>
                </c:pt>
                <c:pt idx="17">
                  <c:v>0.89000000000000012</c:v>
                </c:pt>
                <c:pt idx="18">
                  <c:v>1.0900000000000001</c:v>
                </c:pt>
                <c:pt idx="19">
                  <c:v>1.26</c:v>
                </c:pt>
                <c:pt idx="20">
                  <c:v>1.34</c:v>
                </c:pt>
                <c:pt idx="21">
                  <c:v>1.44</c:v>
                </c:pt>
                <c:pt idx="22">
                  <c:v>1.49</c:v>
                </c:pt>
                <c:pt idx="23">
                  <c:v>1.52</c:v>
                </c:pt>
                <c:pt idx="24">
                  <c:v>1.6600000000000001</c:v>
                </c:pt>
                <c:pt idx="25">
                  <c:v>1.7400000000000002</c:v>
                </c:pt>
                <c:pt idx="26">
                  <c:v>1.7100000000000002</c:v>
                </c:pt>
                <c:pt idx="27">
                  <c:v>1.6300000000000001</c:v>
                </c:pt>
                <c:pt idx="28">
                  <c:v>1.62</c:v>
                </c:pt>
                <c:pt idx="29">
                  <c:v>1.52</c:v>
                </c:pt>
                <c:pt idx="30">
                  <c:v>1.35</c:v>
                </c:pt>
                <c:pt idx="31">
                  <c:v>0.8500000000000002</c:v>
                </c:pt>
                <c:pt idx="32">
                  <c:v>1.07</c:v>
                </c:pt>
                <c:pt idx="33">
                  <c:v>1.1700000000000004</c:v>
                </c:pt>
                <c:pt idx="34">
                  <c:v>1.33</c:v>
                </c:pt>
                <c:pt idx="35">
                  <c:v>1.36</c:v>
                </c:pt>
                <c:pt idx="36">
                  <c:v>1.55</c:v>
                </c:pt>
                <c:pt idx="37">
                  <c:v>1.57</c:v>
                </c:pt>
                <c:pt idx="38">
                  <c:v>1.27</c:v>
                </c:pt>
                <c:pt idx="39">
                  <c:v>0.71000000000000019</c:v>
                </c:pt>
                <c:pt idx="40">
                  <c:v>0.13</c:v>
                </c:pt>
                <c:pt idx="41">
                  <c:v>8.0000000000000029E-2</c:v>
                </c:pt>
                <c:pt idx="42">
                  <c:v>2.0000000000000007E-2</c:v>
                </c:pt>
                <c:pt idx="43">
                  <c:v>4.0000000000000015E-2</c:v>
                </c:pt>
                <c:pt idx="44">
                  <c:v>5.0000000000000017E-2</c:v>
                </c:pt>
                <c:pt idx="45">
                  <c:v>0</c:v>
                </c:pt>
                <c:pt idx="46">
                  <c:v>6.0000000000000019E-2</c:v>
                </c:pt>
                <c:pt idx="47">
                  <c:v>0.16000000000000003</c:v>
                </c:pt>
                <c:pt idx="48">
                  <c:v>0.26</c:v>
                </c:pt>
                <c:pt idx="49">
                  <c:v>0.45</c:v>
                </c:pt>
                <c:pt idx="50">
                  <c:v>0.75000000000000022</c:v>
                </c:pt>
                <c:pt idx="51">
                  <c:v>0.76000000000000023</c:v>
                </c:pt>
                <c:pt idx="52">
                  <c:v>0.76000000000000023</c:v>
                </c:pt>
                <c:pt idx="53">
                  <c:v>0.69000000000000028</c:v>
                </c:pt>
                <c:pt idx="54">
                  <c:v>0.84000000000000019</c:v>
                </c:pt>
                <c:pt idx="55">
                  <c:v>1.24</c:v>
                </c:pt>
                <c:pt idx="56">
                  <c:v>1.6</c:v>
                </c:pt>
                <c:pt idx="57">
                  <c:v>2.29</c:v>
                </c:pt>
                <c:pt idx="58">
                  <c:v>3</c:v>
                </c:pt>
                <c:pt idx="59">
                  <c:v>3.07</c:v>
                </c:pt>
                <c:pt idx="60">
                  <c:v>3.8099999999999992</c:v>
                </c:pt>
                <c:pt idx="61">
                  <c:v>3.77</c:v>
                </c:pt>
                <c:pt idx="62">
                  <c:v>4.54</c:v>
                </c:pt>
                <c:pt idx="63">
                  <c:v>5.13</c:v>
                </c:pt>
                <c:pt idx="64">
                  <c:v>5.6499999999999995</c:v>
                </c:pt>
                <c:pt idx="65">
                  <c:v>6.26</c:v>
                </c:pt>
              </c:numCache>
            </c:numRef>
          </c:val>
          <c:smooth val="0"/>
          <c:extLst>
            <c:ext xmlns:c16="http://schemas.microsoft.com/office/drawing/2014/chart" uri="{C3380CC4-5D6E-409C-BE32-E72D297353CC}">
              <c16:uniqueId val="{00000001-EFC7-4237-934C-8DAF071676E2}"/>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1'!$D$66:$D$131</c:f>
              <c:numCache>
                <c:formatCode>General</c:formatCode>
                <c:ptCount val="66"/>
                <c:pt idx="0">
                  <c:v>0.28000000000000008</c:v>
                </c:pt>
                <c:pt idx="1">
                  <c:v>0.28000000000000008</c:v>
                </c:pt>
                <c:pt idx="2">
                  <c:v>0.28000000000000008</c:v>
                </c:pt>
                <c:pt idx="3">
                  <c:v>0.29000000000000009</c:v>
                </c:pt>
                <c:pt idx="4">
                  <c:v>0.3000000000000001</c:v>
                </c:pt>
                <c:pt idx="5">
                  <c:v>0.3000000000000001</c:v>
                </c:pt>
                <c:pt idx="6">
                  <c:v>0.3000000000000001</c:v>
                </c:pt>
                <c:pt idx="7">
                  <c:v>0.4300000000000001</c:v>
                </c:pt>
                <c:pt idx="8">
                  <c:v>0.46</c:v>
                </c:pt>
                <c:pt idx="9">
                  <c:v>0.51</c:v>
                </c:pt>
                <c:pt idx="10">
                  <c:v>0.71000000000000019</c:v>
                </c:pt>
                <c:pt idx="11">
                  <c:v>0.75000000000000022</c:v>
                </c:pt>
                <c:pt idx="12">
                  <c:v>0.77000000000000013</c:v>
                </c:pt>
                <c:pt idx="13">
                  <c:v>0.9</c:v>
                </c:pt>
                <c:pt idx="14">
                  <c:v>0.9</c:v>
                </c:pt>
                <c:pt idx="15">
                  <c:v>0.9</c:v>
                </c:pt>
                <c:pt idx="16">
                  <c:v>0.9</c:v>
                </c:pt>
                <c:pt idx="17">
                  <c:v>0.93</c:v>
                </c:pt>
                <c:pt idx="18">
                  <c:v>1.1800000000000004</c:v>
                </c:pt>
                <c:pt idx="19">
                  <c:v>1.45</c:v>
                </c:pt>
                <c:pt idx="20">
                  <c:v>1.54</c:v>
                </c:pt>
                <c:pt idx="21">
                  <c:v>1.7600000000000002</c:v>
                </c:pt>
                <c:pt idx="22">
                  <c:v>1.9900000000000002</c:v>
                </c:pt>
                <c:pt idx="23">
                  <c:v>2.0099999999999998</c:v>
                </c:pt>
                <c:pt idx="24">
                  <c:v>2.0099999999999998</c:v>
                </c:pt>
                <c:pt idx="25">
                  <c:v>2.0099999999999998</c:v>
                </c:pt>
                <c:pt idx="26">
                  <c:v>2.0299999999999998</c:v>
                </c:pt>
                <c:pt idx="27">
                  <c:v>2.02</c:v>
                </c:pt>
                <c:pt idx="28">
                  <c:v>2.19</c:v>
                </c:pt>
                <c:pt idx="29">
                  <c:v>2.17</c:v>
                </c:pt>
                <c:pt idx="30">
                  <c:v>2.16</c:v>
                </c:pt>
                <c:pt idx="31">
                  <c:v>2.14</c:v>
                </c:pt>
                <c:pt idx="32">
                  <c:v>2.14</c:v>
                </c:pt>
                <c:pt idx="33">
                  <c:v>2.17</c:v>
                </c:pt>
                <c:pt idx="34">
                  <c:v>2.1800000000000002</c:v>
                </c:pt>
                <c:pt idx="35">
                  <c:v>2.1800000000000002</c:v>
                </c:pt>
                <c:pt idx="36">
                  <c:v>2.17</c:v>
                </c:pt>
                <c:pt idx="37">
                  <c:v>2.34</c:v>
                </c:pt>
                <c:pt idx="38">
                  <c:v>2</c:v>
                </c:pt>
                <c:pt idx="39">
                  <c:v>0.97000000000000008</c:v>
                </c:pt>
                <c:pt idx="40">
                  <c:v>0.46</c:v>
                </c:pt>
                <c:pt idx="41">
                  <c:v>0.34000000000000008</c:v>
                </c:pt>
                <c:pt idx="42">
                  <c:v>0.34000000000000008</c:v>
                </c:pt>
                <c:pt idx="43">
                  <c:v>0.34000000000000008</c:v>
                </c:pt>
                <c:pt idx="44">
                  <c:v>0.34000000000000008</c:v>
                </c:pt>
                <c:pt idx="45">
                  <c:v>0.35000000000000009</c:v>
                </c:pt>
                <c:pt idx="46">
                  <c:v>0.35000000000000009</c:v>
                </c:pt>
                <c:pt idx="47">
                  <c:v>0.35000000000000009</c:v>
                </c:pt>
                <c:pt idx="48">
                  <c:v>0.3600000000000001</c:v>
                </c:pt>
                <c:pt idx="49">
                  <c:v>0.3600000000000001</c:v>
                </c:pt>
                <c:pt idx="50">
                  <c:v>0.3600000000000001</c:v>
                </c:pt>
                <c:pt idx="51">
                  <c:v>0.3600000000000001</c:v>
                </c:pt>
                <c:pt idx="52">
                  <c:v>0.37000000000000011</c:v>
                </c:pt>
                <c:pt idx="53">
                  <c:v>0.48000000000000009</c:v>
                </c:pt>
                <c:pt idx="54">
                  <c:v>0.69000000000000028</c:v>
                </c:pt>
                <c:pt idx="55">
                  <c:v>0.94000000000000017</c:v>
                </c:pt>
                <c:pt idx="56">
                  <c:v>1.1100000000000001</c:v>
                </c:pt>
                <c:pt idx="57">
                  <c:v>2.02</c:v>
                </c:pt>
                <c:pt idx="58">
                  <c:v>2.9699999999999998</c:v>
                </c:pt>
                <c:pt idx="59">
                  <c:v>3.5</c:v>
                </c:pt>
                <c:pt idx="60">
                  <c:v>4.21</c:v>
                </c:pt>
                <c:pt idx="61">
                  <c:v>4.6899999999999995</c:v>
                </c:pt>
                <c:pt idx="62">
                  <c:v>4.8599999999999985</c:v>
                </c:pt>
                <c:pt idx="63">
                  <c:v>5.3599999999999985</c:v>
                </c:pt>
                <c:pt idx="64">
                  <c:v>5.9700000000000015</c:v>
                </c:pt>
                <c:pt idx="65">
                  <c:v>6.64</c:v>
                </c:pt>
              </c:numCache>
            </c:numRef>
          </c:val>
          <c:smooth val="0"/>
          <c:extLst>
            <c:ext xmlns:c16="http://schemas.microsoft.com/office/drawing/2014/chart" uri="{C3380CC4-5D6E-409C-BE32-E72D297353CC}">
              <c16:uniqueId val="{00000002-EFC7-4237-934C-8DAF071676E2}"/>
            </c:ext>
          </c:extLst>
        </c:ser>
        <c:ser>
          <c:idx val="4"/>
          <c:order val="3"/>
          <c:tx>
            <c:strRef>
              <c:f>'Měnové podmínky 1'!$G$5</c:f>
              <c:strCache>
                <c:ptCount val="1"/>
                <c:pt idx="0">
                  <c:v>Průměrný výnos státních dluhopisů (5Y)</c:v>
                </c:pt>
              </c:strCache>
            </c:strRef>
          </c:tx>
          <c:spPr>
            <a:ln w="19050">
              <a:solidFill>
                <a:srgbClr val="F8A124"/>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1'!$G$66:$G$131</c:f>
              <c:numCache>
                <c:formatCode>General</c:formatCode>
                <c:ptCount val="66"/>
                <c:pt idx="0">
                  <c:v>-0.22000000000000003</c:v>
                </c:pt>
                <c:pt idx="1">
                  <c:v>9.0000000000000024E-2</c:v>
                </c:pt>
                <c:pt idx="2">
                  <c:v>0.1</c:v>
                </c:pt>
                <c:pt idx="3">
                  <c:v>0.16000000000000003</c:v>
                </c:pt>
                <c:pt idx="4">
                  <c:v>4.0000000000000015E-2</c:v>
                </c:pt>
                <c:pt idx="5">
                  <c:v>-3.0000000000000009E-2</c:v>
                </c:pt>
                <c:pt idx="6">
                  <c:v>0.14000000000000001</c:v>
                </c:pt>
                <c:pt idx="7">
                  <c:v>9.0000000000000024E-2</c:v>
                </c:pt>
                <c:pt idx="8">
                  <c:v>0.1</c:v>
                </c:pt>
                <c:pt idx="9">
                  <c:v>0.63000000000000023</c:v>
                </c:pt>
                <c:pt idx="10">
                  <c:v>0.87000000000000022</c:v>
                </c:pt>
                <c:pt idx="11">
                  <c:v>0.68000000000000027</c:v>
                </c:pt>
                <c:pt idx="12">
                  <c:v>0.99</c:v>
                </c:pt>
                <c:pt idx="13">
                  <c:v>1.07</c:v>
                </c:pt>
                <c:pt idx="14">
                  <c:v>1.0900000000000001</c:v>
                </c:pt>
                <c:pt idx="15">
                  <c:v>1.05</c:v>
                </c:pt>
                <c:pt idx="16">
                  <c:v>1.21</c:v>
                </c:pt>
                <c:pt idx="17">
                  <c:v>1.41</c:v>
                </c:pt>
                <c:pt idx="18">
                  <c:v>1.44</c:v>
                </c:pt>
                <c:pt idx="19">
                  <c:v>1.55</c:v>
                </c:pt>
                <c:pt idx="20">
                  <c:v>1.7000000000000002</c:v>
                </c:pt>
                <c:pt idx="21">
                  <c:v>1.81</c:v>
                </c:pt>
                <c:pt idx="22">
                  <c:v>1.7900000000000003</c:v>
                </c:pt>
                <c:pt idx="23">
                  <c:v>1.7100000000000002</c:v>
                </c:pt>
                <c:pt idx="24">
                  <c:v>1.6</c:v>
                </c:pt>
                <c:pt idx="25">
                  <c:v>1.61</c:v>
                </c:pt>
                <c:pt idx="26">
                  <c:v>1.7000000000000002</c:v>
                </c:pt>
                <c:pt idx="27">
                  <c:v>1.6300000000000001</c:v>
                </c:pt>
                <c:pt idx="28">
                  <c:v>1.57</c:v>
                </c:pt>
                <c:pt idx="29">
                  <c:v>1.43</c:v>
                </c:pt>
                <c:pt idx="30">
                  <c:v>1.31</c:v>
                </c:pt>
                <c:pt idx="31">
                  <c:v>0.89000000000000012</c:v>
                </c:pt>
                <c:pt idx="32">
                  <c:v>1.1299999999999994</c:v>
                </c:pt>
                <c:pt idx="33">
                  <c:v>1.23</c:v>
                </c:pt>
                <c:pt idx="34">
                  <c:v>1.32</c:v>
                </c:pt>
                <c:pt idx="35">
                  <c:v>1.31</c:v>
                </c:pt>
                <c:pt idx="36">
                  <c:v>1.51</c:v>
                </c:pt>
                <c:pt idx="37">
                  <c:v>1.52</c:v>
                </c:pt>
                <c:pt idx="38">
                  <c:v>1.23</c:v>
                </c:pt>
                <c:pt idx="39">
                  <c:v>1.06</c:v>
                </c:pt>
                <c:pt idx="40">
                  <c:v>0.56999999999999995</c:v>
                </c:pt>
                <c:pt idx="41">
                  <c:v>0.52</c:v>
                </c:pt>
                <c:pt idx="42">
                  <c:v>0.52</c:v>
                </c:pt>
                <c:pt idx="43">
                  <c:v>0.58000000000000007</c:v>
                </c:pt>
                <c:pt idx="44">
                  <c:v>0.58000000000000007</c:v>
                </c:pt>
                <c:pt idx="45">
                  <c:v>0.54</c:v>
                </c:pt>
                <c:pt idx="46">
                  <c:v>0.66000000000000025</c:v>
                </c:pt>
                <c:pt idx="47">
                  <c:v>0.8</c:v>
                </c:pt>
                <c:pt idx="48">
                  <c:v>0.82000000000000017</c:v>
                </c:pt>
                <c:pt idx="49">
                  <c:v>1.06</c:v>
                </c:pt>
                <c:pt idx="50">
                  <c:v>1.4</c:v>
                </c:pt>
                <c:pt idx="51">
                  <c:v>1.43</c:v>
                </c:pt>
                <c:pt idx="52">
                  <c:v>1.47</c:v>
                </c:pt>
                <c:pt idx="53">
                  <c:v>1.55</c:v>
                </c:pt>
                <c:pt idx="54">
                  <c:v>1.6300000000000001</c:v>
                </c:pt>
                <c:pt idx="55">
                  <c:v>1.6800000000000004</c:v>
                </c:pt>
                <c:pt idx="56">
                  <c:v>1.87</c:v>
                </c:pt>
                <c:pt idx="57">
                  <c:v>2.3699999999999997</c:v>
                </c:pt>
                <c:pt idx="58">
                  <c:v>2.84</c:v>
                </c:pt>
                <c:pt idx="59">
                  <c:v>2.84</c:v>
                </c:pt>
                <c:pt idx="60">
                  <c:v>3.36</c:v>
                </c:pt>
                <c:pt idx="61">
                  <c:v>3.2</c:v>
                </c:pt>
                <c:pt idx="62">
                  <c:v>3.8499999999999992</c:v>
                </c:pt>
                <c:pt idx="63">
                  <c:v>4.54</c:v>
                </c:pt>
                <c:pt idx="64">
                  <c:v>4.99</c:v>
                </c:pt>
                <c:pt idx="65">
                  <c:v>5.49</c:v>
                </c:pt>
              </c:numCache>
            </c:numRef>
          </c:val>
          <c:smooth val="0"/>
          <c:extLst>
            <c:ext xmlns:c16="http://schemas.microsoft.com/office/drawing/2014/chart" uri="{C3380CC4-5D6E-409C-BE32-E72D297353CC}">
              <c16:uniqueId val="{00000003-EFC7-4237-934C-8DAF071676E2}"/>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1'!$E$66:$E$131</c:f>
              <c:numCache>
                <c:formatCode>General</c:formatCode>
                <c:ptCount val="66"/>
                <c:pt idx="0">
                  <c:v>0.44000000000000006</c:v>
                </c:pt>
                <c:pt idx="1">
                  <c:v>0.44000000000000006</c:v>
                </c:pt>
                <c:pt idx="2">
                  <c:v>0.44000000000000006</c:v>
                </c:pt>
                <c:pt idx="3">
                  <c:v>0.45</c:v>
                </c:pt>
                <c:pt idx="4">
                  <c:v>0.46</c:v>
                </c:pt>
                <c:pt idx="5">
                  <c:v>0.46</c:v>
                </c:pt>
                <c:pt idx="6">
                  <c:v>0.47000000000000008</c:v>
                </c:pt>
                <c:pt idx="7">
                  <c:v>0.6000000000000002</c:v>
                </c:pt>
                <c:pt idx="8">
                  <c:v>0.64000000000000024</c:v>
                </c:pt>
                <c:pt idx="9">
                  <c:v>0.69000000000000028</c:v>
                </c:pt>
                <c:pt idx="10">
                  <c:v>0.91</c:v>
                </c:pt>
                <c:pt idx="11">
                  <c:v>0.96000000000000019</c:v>
                </c:pt>
                <c:pt idx="12">
                  <c:v>0.98</c:v>
                </c:pt>
                <c:pt idx="13">
                  <c:v>1.1100000000000001</c:v>
                </c:pt>
                <c:pt idx="14">
                  <c:v>1.1200000000000001</c:v>
                </c:pt>
                <c:pt idx="15">
                  <c:v>1.1200000000000001</c:v>
                </c:pt>
                <c:pt idx="16">
                  <c:v>1.1200000000000001</c:v>
                </c:pt>
                <c:pt idx="17">
                  <c:v>1.1499999999999995</c:v>
                </c:pt>
                <c:pt idx="18">
                  <c:v>1.3900000000000001</c:v>
                </c:pt>
                <c:pt idx="19">
                  <c:v>1.6700000000000004</c:v>
                </c:pt>
                <c:pt idx="20">
                  <c:v>1.7900000000000003</c:v>
                </c:pt>
                <c:pt idx="21">
                  <c:v>1.9500000000000002</c:v>
                </c:pt>
                <c:pt idx="22">
                  <c:v>2.1800000000000002</c:v>
                </c:pt>
                <c:pt idx="23">
                  <c:v>2.21</c:v>
                </c:pt>
                <c:pt idx="24">
                  <c:v>2.21</c:v>
                </c:pt>
                <c:pt idx="25">
                  <c:v>2.2000000000000002</c:v>
                </c:pt>
                <c:pt idx="26">
                  <c:v>2.2000000000000002</c:v>
                </c:pt>
                <c:pt idx="27">
                  <c:v>2.21</c:v>
                </c:pt>
                <c:pt idx="28">
                  <c:v>2.319999999999999</c:v>
                </c:pt>
                <c:pt idx="29">
                  <c:v>2.29</c:v>
                </c:pt>
                <c:pt idx="30">
                  <c:v>2.2799999999999998</c:v>
                </c:pt>
                <c:pt idx="31">
                  <c:v>2.2200000000000002</c:v>
                </c:pt>
                <c:pt idx="32">
                  <c:v>2.2000000000000002</c:v>
                </c:pt>
                <c:pt idx="33">
                  <c:v>2.2799999999999998</c:v>
                </c:pt>
                <c:pt idx="34">
                  <c:v>2.2799999999999998</c:v>
                </c:pt>
                <c:pt idx="35">
                  <c:v>2.27</c:v>
                </c:pt>
                <c:pt idx="36">
                  <c:v>2.27</c:v>
                </c:pt>
                <c:pt idx="37">
                  <c:v>2.42</c:v>
                </c:pt>
                <c:pt idx="38">
                  <c:v>2.0099999999999998</c:v>
                </c:pt>
                <c:pt idx="39">
                  <c:v>0.92</c:v>
                </c:pt>
                <c:pt idx="40">
                  <c:v>0.51</c:v>
                </c:pt>
                <c:pt idx="41">
                  <c:v>0.4300000000000001</c:v>
                </c:pt>
                <c:pt idx="42">
                  <c:v>0.4300000000000001</c:v>
                </c:pt>
                <c:pt idx="43">
                  <c:v>0.4300000000000001</c:v>
                </c:pt>
                <c:pt idx="44">
                  <c:v>0.44000000000000006</c:v>
                </c:pt>
                <c:pt idx="45">
                  <c:v>0.4300000000000001</c:v>
                </c:pt>
                <c:pt idx="46">
                  <c:v>0.44000000000000006</c:v>
                </c:pt>
                <c:pt idx="47">
                  <c:v>0.4900000000000001</c:v>
                </c:pt>
                <c:pt idx="48">
                  <c:v>0.4900000000000001</c:v>
                </c:pt>
                <c:pt idx="49">
                  <c:v>0.54</c:v>
                </c:pt>
                <c:pt idx="50">
                  <c:v>0.56000000000000005</c:v>
                </c:pt>
                <c:pt idx="51">
                  <c:v>0.56000000000000005</c:v>
                </c:pt>
                <c:pt idx="52">
                  <c:v>0.67000000000000026</c:v>
                </c:pt>
                <c:pt idx="53">
                  <c:v>0.78</c:v>
                </c:pt>
                <c:pt idx="54">
                  <c:v>1</c:v>
                </c:pt>
                <c:pt idx="55">
                  <c:v>1.3</c:v>
                </c:pt>
                <c:pt idx="56">
                  <c:v>1.52</c:v>
                </c:pt>
                <c:pt idx="57">
                  <c:v>2.44</c:v>
                </c:pt>
                <c:pt idx="58">
                  <c:v>3.5</c:v>
                </c:pt>
                <c:pt idx="59">
                  <c:v>3.96</c:v>
                </c:pt>
                <c:pt idx="60">
                  <c:v>4.55</c:v>
                </c:pt>
                <c:pt idx="61">
                  <c:v>4.87</c:v>
                </c:pt>
                <c:pt idx="62">
                  <c:v>5.1199999999999983</c:v>
                </c:pt>
                <c:pt idx="63">
                  <c:v>5.74</c:v>
                </c:pt>
                <c:pt idx="64">
                  <c:v>6.33</c:v>
                </c:pt>
                <c:pt idx="65">
                  <c:v>7.02</c:v>
                </c:pt>
              </c:numCache>
            </c:numRef>
          </c:val>
          <c:smooth val="0"/>
          <c:extLst>
            <c:ext xmlns:c16="http://schemas.microsoft.com/office/drawing/2014/chart" uri="{C3380CC4-5D6E-409C-BE32-E72D297353CC}">
              <c16:uniqueId val="{00000004-EFC7-4237-934C-8DAF071676E2}"/>
            </c:ext>
          </c:extLst>
        </c:ser>
        <c:ser>
          <c:idx val="5"/>
          <c:order val="5"/>
          <c:tx>
            <c:strRef>
              <c:f>'Měnové podmínky 1'!$H$5</c:f>
              <c:strCache>
                <c:ptCount val="1"/>
                <c:pt idx="0">
                  <c:v>Průměrný výnos státních dluhopisů (10Y)</c:v>
                </c:pt>
              </c:strCache>
            </c:strRef>
          </c:tx>
          <c:spPr>
            <a:ln w="19050">
              <a:solidFill>
                <a:srgbClr val="48AEE7"/>
              </a:solidFill>
            </a:ln>
          </c:spPr>
          <c:marker>
            <c:symbol val="none"/>
          </c:marker>
          <c:cat>
            <c:multiLvlStrRef>
              <c:f>'Měnové podmínky 1'!$A$66:$B$131</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2017</c:v>
                  </c:pt>
                  <c:pt idx="12">
                    <c:v>2018</c:v>
                  </c:pt>
                  <c:pt idx="24">
                    <c:v>2019</c:v>
                  </c:pt>
                  <c:pt idx="36">
                    <c:v>2020</c:v>
                  </c:pt>
                  <c:pt idx="48">
                    <c:v>2021</c:v>
                  </c:pt>
                  <c:pt idx="60">
                    <c:v>2022</c:v>
                  </c:pt>
                </c:lvl>
              </c:multiLvlStrCache>
            </c:multiLvlStrRef>
          </c:cat>
          <c:val>
            <c:numRef>
              <c:f>'Měnové podmínky 1'!$H$66:$H$131</c:f>
              <c:numCache>
                <c:formatCode>General</c:formatCode>
                <c:ptCount val="66"/>
                <c:pt idx="0">
                  <c:v>0.47000000000000008</c:v>
                </c:pt>
                <c:pt idx="1">
                  <c:v>0.63000000000000023</c:v>
                </c:pt>
                <c:pt idx="2">
                  <c:v>0.87000000000000022</c:v>
                </c:pt>
                <c:pt idx="3">
                  <c:v>0.96000000000000019</c:v>
                </c:pt>
                <c:pt idx="4">
                  <c:v>0.74000000000000021</c:v>
                </c:pt>
                <c:pt idx="5">
                  <c:v>0.77000000000000013</c:v>
                </c:pt>
                <c:pt idx="6">
                  <c:v>0.9</c:v>
                </c:pt>
                <c:pt idx="7">
                  <c:v>0.83000000000000018</c:v>
                </c:pt>
                <c:pt idx="8">
                  <c:v>0.97000000000000008</c:v>
                </c:pt>
                <c:pt idx="9">
                  <c:v>1.45</c:v>
                </c:pt>
                <c:pt idx="10">
                  <c:v>1.6800000000000004</c:v>
                </c:pt>
                <c:pt idx="11">
                  <c:v>1.5</c:v>
                </c:pt>
                <c:pt idx="12">
                  <c:v>1.7700000000000002</c:v>
                </c:pt>
                <c:pt idx="13">
                  <c:v>1.82</c:v>
                </c:pt>
                <c:pt idx="14">
                  <c:v>1.81</c:v>
                </c:pt>
                <c:pt idx="15">
                  <c:v>1.7400000000000002</c:v>
                </c:pt>
                <c:pt idx="16">
                  <c:v>1.8900000000000001</c:v>
                </c:pt>
                <c:pt idx="17">
                  <c:v>2.14</c:v>
                </c:pt>
                <c:pt idx="18">
                  <c:v>2.11</c:v>
                </c:pt>
                <c:pt idx="19">
                  <c:v>2.14</c:v>
                </c:pt>
                <c:pt idx="20">
                  <c:v>2.14</c:v>
                </c:pt>
                <c:pt idx="21">
                  <c:v>2.14</c:v>
                </c:pt>
                <c:pt idx="22">
                  <c:v>2.0699999999999998</c:v>
                </c:pt>
                <c:pt idx="23">
                  <c:v>2.0099999999999998</c:v>
                </c:pt>
                <c:pt idx="24">
                  <c:v>1.85</c:v>
                </c:pt>
                <c:pt idx="25">
                  <c:v>1.7600000000000002</c:v>
                </c:pt>
                <c:pt idx="26">
                  <c:v>1.82</c:v>
                </c:pt>
                <c:pt idx="27">
                  <c:v>1.82</c:v>
                </c:pt>
                <c:pt idx="28">
                  <c:v>1.86</c:v>
                </c:pt>
                <c:pt idx="29">
                  <c:v>1.58</c:v>
                </c:pt>
                <c:pt idx="30">
                  <c:v>1.36</c:v>
                </c:pt>
                <c:pt idx="31">
                  <c:v>0.99</c:v>
                </c:pt>
                <c:pt idx="32">
                  <c:v>1.24</c:v>
                </c:pt>
                <c:pt idx="33">
                  <c:v>1.32</c:v>
                </c:pt>
                <c:pt idx="34">
                  <c:v>1.47</c:v>
                </c:pt>
                <c:pt idx="35">
                  <c:v>1.51</c:v>
                </c:pt>
                <c:pt idx="36">
                  <c:v>1.62</c:v>
                </c:pt>
                <c:pt idx="37">
                  <c:v>1.47</c:v>
                </c:pt>
                <c:pt idx="38">
                  <c:v>1.28</c:v>
                </c:pt>
                <c:pt idx="39">
                  <c:v>1.28</c:v>
                </c:pt>
                <c:pt idx="40">
                  <c:v>0.92</c:v>
                </c:pt>
                <c:pt idx="41">
                  <c:v>0.86000000000000021</c:v>
                </c:pt>
                <c:pt idx="42">
                  <c:v>0.86000000000000021</c:v>
                </c:pt>
                <c:pt idx="43">
                  <c:v>0.95000000000000018</c:v>
                </c:pt>
                <c:pt idx="44">
                  <c:v>0.98</c:v>
                </c:pt>
                <c:pt idx="45">
                  <c:v>0.94000000000000017</c:v>
                </c:pt>
                <c:pt idx="46">
                  <c:v>1.1200000000000001</c:v>
                </c:pt>
                <c:pt idx="47">
                  <c:v>1.26</c:v>
                </c:pt>
                <c:pt idx="48">
                  <c:v>1.28</c:v>
                </c:pt>
                <c:pt idx="49">
                  <c:v>1.49</c:v>
                </c:pt>
                <c:pt idx="50">
                  <c:v>1.87</c:v>
                </c:pt>
                <c:pt idx="51">
                  <c:v>1.86</c:v>
                </c:pt>
                <c:pt idx="52">
                  <c:v>1.7400000000000002</c:v>
                </c:pt>
                <c:pt idx="53">
                  <c:v>1.6700000000000004</c:v>
                </c:pt>
                <c:pt idx="54">
                  <c:v>1.7200000000000002</c:v>
                </c:pt>
                <c:pt idx="55">
                  <c:v>1.7400000000000002</c:v>
                </c:pt>
                <c:pt idx="56">
                  <c:v>1.9000000000000001</c:v>
                </c:pt>
                <c:pt idx="57">
                  <c:v>2.34</c:v>
                </c:pt>
                <c:pt idx="58">
                  <c:v>2.62</c:v>
                </c:pt>
                <c:pt idx="59">
                  <c:v>2.62</c:v>
                </c:pt>
                <c:pt idx="60">
                  <c:v>3.12</c:v>
                </c:pt>
                <c:pt idx="61">
                  <c:v>3.03</c:v>
                </c:pt>
                <c:pt idx="62">
                  <c:v>3.53</c:v>
                </c:pt>
                <c:pt idx="63">
                  <c:v>4.01</c:v>
                </c:pt>
                <c:pt idx="64">
                  <c:v>4.6099999999999985</c:v>
                </c:pt>
                <c:pt idx="65">
                  <c:v>5.1199999999999983</c:v>
                </c:pt>
              </c:numCache>
            </c:numRef>
          </c:val>
          <c:smooth val="0"/>
          <c:extLst>
            <c:ext xmlns:c16="http://schemas.microsoft.com/office/drawing/2014/chart" uri="{C3380CC4-5D6E-409C-BE32-E72D297353CC}">
              <c16:uniqueId val="{00000005-EFC7-4237-934C-8DAF071676E2}"/>
            </c:ext>
          </c:extLst>
        </c:ser>
        <c:dLbls>
          <c:showLegendKey val="0"/>
          <c:showVal val="0"/>
          <c:showCatName val="0"/>
          <c:showSerName val="0"/>
          <c:showPercent val="0"/>
          <c:showBubbleSize val="0"/>
        </c:dLbls>
        <c:marker val="1"/>
        <c:smooth val="0"/>
        <c:axId val="103651584"/>
        <c:axId val="112795648"/>
      </c:lineChart>
      <c:catAx>
        <c:axId val="103651584"/>
        <c:scaling>
          <c:orientation val="minMax"/>
        </c:scaling>
        <c:delete val="0"/>
        <c:axPos val="b"/>
        <c:numFmt formatCode="General" sourceLinked="0"/>
        <c:majorTickMark val="out"/>
        <c:minorTickMark val="none"/>
        <c:tickLblPos val="low"/>
        <c:spPr>
          <a:ln>
            <a:solidFill>
              <a:schemeClr val="tx1"/>
            </a:solidFill>
          </a:ln>
        </c:spPr>
        <c:crossAx val="112795648"/>
        <c:crosses val="autoZero"/>
        <c:auto val="1"/>
        <c:lblAlgn val="ctr"/>
        <c:lblOffset val="100"/>
        <c:noMultiLvlLbl val="0"/>
      </c:catAx>
      <c:valAx>
        <c:axId val="112795648"/>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03651584"/>
        <c:crosses val="autoZero"/>
        <c:crossBetween val="between"/>
        <c:majorUnit val="1"/>
      </c:valAx>
      <c:spPr>
        <a:ln>
          <a:solidFill>
            <a:schemeClr val="tx1"/>
          </a:solidFill>
        </a:ln>
      </c:spPr>
    </c:plotArea>
    <c:legend>
      <c:legendPos val="b"/>
      <c:layout>
        <c:manualLayout>
          <c:xMode val="edge"/>
          <c:yMode val="edge"/>
          <c:x val="4.7501055386693677E-2"/>
          <c:y val="0.87558269120103249"/>
          <c:w val="0.93350515028706516"/>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A7BB-742C-4575-808C-50EF450809EF}">
  <ds:schemaRefs>
    <ds:schemaRef ds:uri="http://schemas.openxmlformats.org/officeDocument/2006/bibliography"/>
  </ds:schemaRefs>
</ds:datastoreItem>
</file>

<file path=customXml/itemProps2.xml><?xml version="1.0" encoding="utf-8"?>
<ds:datastoreItem xmlns:ds="http://schemas.openxmlformats.org/officeDocument/2006/customXml" ds:itemID="{D8BDF1F4-999C-412D-90D1-9437F465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25</TotalTime>
  <Pages>1</Pages>
  <Words>841</Words>
  <Characters>4967</Characters>
  <Application>Microsoft Office Word</Application>
  <DocSecurity>0</DocSecurity>
  <Lines>41</Lines>
  <Paragraphs>11</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5797</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Zábojníková Karolína</cp:lastModifiedBy>
  <cp:revision>6</cp:revision>
  <cp:lastPrinted>2019-04-08T10:52:00Z</cp:lastPrinted>
  <dcterms:created xsi:type="dcterms:W3CDTF">2022-09-15T09:40:00Z</dcterms:created>
  <dcterms:modified xsi:type="dcterms:W3CDTF">2022-09-15T10:01:00Z</dcterms:modified>
</cp:coreProperties>
</file>